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3C" w:rsidRPr="008010BE" w:rsidRDefault="0007296B" w:rsidP="007A003C">
      <w:pPr>
        <w:pStyle w:val="ListParagraph"/>
        <w:ind w:left="36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Методология и </w:t>
      </w:r>
      <w:r w:rsidRPr="0098214C">
        <w:rPr>
          <w:rFonts w:ascii="Palatino Linotype" w:hAnsi="Palatino Linotype"/>
          <w:b/>
          <w:sz w:val="28"/>
          <w:szCs w:val="28"/>
        </w:rPr>
        <w:t>критерии</w:t>
      </w:r>
      <w:r w:rsidRPr="0098214C">
        <w:rPr>
          <w:rFonts w:ascii="Palatino Linotype" w:hAnsi="Palatino Linotype"/>
          <w:b/>
          <w:sz w:val="28"/>
          <w:szCs w:val="28"/>
          <w:lang w:val="en-US"/>
        </w:rPr>
        <w:t xml:space="preserve"> </w:t>
      </w:r>
      <w:r w:rsidR="007A003C" w:rsidRPr="0098214C">
        <w:rPr>
          <w:rFonts w:ascii="Palatino Linotype" w:hAnsi="Palatino Linotype"/>
          <w:b/>
          <w:sz w:val="28"/>
          <w:szCs w:val="28"/>
        </w:rPr>
        <w:t xml:space="preserve">за подбор </w:t>
      </w:r>
      <w:r w:rsidR="00FF4DEB">
        <w:rPr>
          <w:rFonts w:ascii="Palatino Linotype" w:hAnsi="Palatino Linotype"/>
          <w:b/>
          <w:sz w:val="28"/>
          <w:szCs w:val="28"/>
        </w:rPr>
        <w:t xml:space="preserve">на </w:t>
      </w:r>
      <w:r w:rsidR="008010BE">
        <w:rPr>
          <w:rFonts w:ascii="Palatino Linotype" w:hAnsi="Palatino Linotype"/>
          <w:b/>
          <w:sz w:val="28"/>
          <w:szCs w:val="28"/>
        </w:rPr>
        <w:t xml:space="preserve">операции по процедура </w:t>
      </w:r>
      <w:r w:rsidR="00081E1B" w:rsidRPr="00081E1B">
        <w:rPr>
          <w:rFonts w:ascii="Palatino Linotype" w:hAnsi="Palatino Linotype"/>
          <w:b/>
          <w:sz w:val="28"/>
          <w:szCs w:val="28"/>
        </w:rPr>
        <w:t xml:space="preserve">BG16M1OP001-4.003 </w:t>
      </w:r>
      <w:r w:rsidR="00081E1B">
        <w:rPr>
          <w:rFonts w:ascii="Palatino Linotype" w:hAnsi="Palatino Linotype"/>
          <w:b/>
          <w:sz w:val="28"/>
          <w:szCs w:val="28"/>
        </w:rPr>
        <w:t>„</w:t>
      </w:r>
      <w:r w:rsidR="009D0CEE">
        <w:rPr>
          <w:rFonts w:ascii="Palatino Linotype" w:hAnsi="Palatino Linotype"/>
          <w:b/>
          <w:sz w:val="28"/>
          <w:szCs w:val="28"/>
        </w:rPr>
        <w:t>Увеличаване на капацитета на българските черноморски при</w:t>
      </w:r>
      <w:bookmarkStart w:id="0" w:name="_GoBack"/>
      <w:bookmarkEnd w:id="0"/>
      <w:r w:rsidR="009D0CEE">
        <w:rPr>
          <w:rFonts w:ascii="Palatino Linotype" w:hAnsi="Palatino Linotype"/>
          <w:b/>
          <w:sz w:val="28"/>
          <w:szCs w:val="28"/>
        </w:rPr>
        <w:t>станища</w:t>
      </w:r>
      <w:r w:rsidR="008010BE" w:rsidRPr="008010BE">
        <w:rPr>
          <w:rFonts w:ascii="Palatino Linotype" w:hAnsi="Palatino Linotype"/>
          <w:b/>
          <w:sz w:val="28"/>
          <w:szCs w:val="28"/>
        </w:rPr>
        <w:t>“</w:t>
      </w:r>
      <w:r w:rsidR="007A003C" w:rsidRPr="008010BE">
        <w:rPr>
          <w:rFonts w:ascii="Palatino Linotype" w:hAnsi="Palatino Linotype"/>
          <w:b/>
          <w:sz w:val="28"/>
          <w:szCs w:val="28"/>
        </w:rPr>
        <w:t xml:space="preserve"> </w:t>
      </w:r>
    </w:p>
    <w:p w:rsidR="00844D1F" w:rsidRPr="0098214C" w:rsidRDefault="00844D1F" w:rsidP="00950779">
      <w:pPr>
        <w:jc w:val="both"/>
        <w:rPr>
          <w:rFonts w:ascii="Palatino Linotype" w:hAnsi="Palatino Linotype"/>
        </w:rPr>
      </w:pPr>
    </w:p>
    <w:p w:rsidR="0007296B" w:rsidRPr="006F524E" w:rsidRDefault="0007296B" w:rsidP="006F524E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0"/>
        <w:ind w:left="993" w:hanging="426"/>
        <w:jc w:val="both"/>
        <w:rPr>
          <w:rFonts w:ascii="Palatino Linotype" w:hAnsi="Palatino Linotype"/>
          <w:color w:val="auto"/>
          <w:sz w:val="24"/>
          <w:szCs w:val="24"/>
        </w:rPr>
      </w:pPr>
      <w:r w:rsidRPr="006F524E">
        <w:rPr>
          <w:rFonts w:ascii="Palatino Linotype" w:hAnsi="Palatino Linotype"/>
          <w:color w:val="auto"/>
          <w:sz w:val="24"/>
          <w:szCs w:val="24"/>
        </w:rPr>
        <w:t xml:space="preserve">Методология за оценка на проектни предложения за предоставяне на безвъзмездна финансова помощ (БФП) по </w:t>
      </w:r>
      <w:r w:rsidR="008010BE">
        <w:rPr>
          <w:rFonts w:ascii="Palatino Linotype" w:hAnsi="Palatino Linotype"/>
          <w:color w:val="auto"/>
          <w:sz w:val="24"/>
          <w:szCs w:val="24"/>
        </w:rPr>
        <w:t>процедурата</w:t>
      </w:r>
    </w:p>
    <w:p w:rsidR="0007296B" w:rsidRDefault="0007296B" w:rsidP="0007296B">
      <w:pPr>
        <w:ind w:firstLine="567"/>
        <w:jc w:val="both"/>
        <w:rPr>
          <w:rFonts w:ascii="Palatino Linotype" w:hAnsi="Palatino Linotype"/>
        </w:rPr>
      </w:pPr>
    </w:p>
    <w:p w:rsidR="006F524E" w:rsidRPr="0081249B" w:rsidRDefault="006F524E" w:rsidP="0007296B">
      <w:pPr>
        <w:ind w:firstLine="567"/>
        <w:jc w:val="both"/>
        <w:rPr>
          <w:rFonts w:ascii="Palatino Linotype" w:hAnsi="Palatino Linotype"/>
        </w:rPr>
      </w:pPr>
    </w:p>
    <w:p w:rsidR="006F524E" w:rsidRPr="006F524E" w:rsidRDefault="006F524E" w:rsidP="006F524E">
      <w:pPr>
        <w:pStyle w:val="Heading1"/>
        <w:spacing w:before="0"/>
        <w:ind w:left="567" w:hanging="357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Процедура и етапи на оценка</w:t>
      </w:r>
    </w:p>
    <w:p w:rsidR="0007296B" w:rsidRPr="0007296B" w:rsidRDefault="0007296B" w:rsidP="0007296B">
      <w:pPr>
        <w:ind w:firstLine="567"/>
        <w:jc w:val="both"/>
        <w:rPr>
          <w:rFonts w:ascii="Palatino Linotype" w:hAnsi="Palatino Linotype"/>
        </w:rPr>
      </w:pPr>
      <w:r w:rsidRPr="002B5E8B">
        <w:rPr>
          <w:rFonts w:ascii="Palatino Linotype" w:hAnsi="Palatino Linotype"/>
        </w:rPr>
        <w:t>Предвидено е</w:t>
      </w:r>
      <w:r>
        <w:rPr>
          <w:rFonts w:ascii="Palatino Linotype" w:hAnsi="Palatino Linotype"/>
        </w:rPr>
        <w:t xml:space="preserve"> безвъзмездна финансова помощ (БФП) по </w:t>
      </w:r>
      <w:r w:rsidR="008010BE">
        <w:rPr>
          <w:rFonts w:ascii="Palatino Linotype" w:hAnsi="Palatino Linotype"/>
        </w:rPr>
        <w:t xml:space="preserve">процедурата </w:t>
      </w:r>
      <w:r>
        <w:rPr>
          <w:rFonts w:ascii="Palatino Linotype" w:hAnsi="Palatino Linotype"/>
        </w:rPr>
        <w:t>да се предоставя чрез процедура на директно предоставяне</w:t>
      </w:r>
      <w:r w:rsidR="008010BE">
        <w:rPr>
          <w:rFonts w:ascii="Palatino Linotype" w:hAnsi="Palatino Linotype"/>
        </w:rPr>
        <w:t xml:space="preserve"> на конкретни бенефициенти</w:t>
      </w:r>
      <w:r>
        <w:rPr>
          <w:rFonts w:ascii="Palatino Linotype" w:hAnsi="Palatino Linotype"/>
        </w:rPr>
        <w:t xml:space="preserve">. </w:t>
      </w:r>
      <w:r w:rsidRPr="0007296B">
        <w:rPr>
          <w:rFonts w:ascii="Palatino Linotype" w:hAnsi="Palatino Linotype"/>
        </w:rPr>
        <w:t>Процедурите, правилата и указанията</w:t>
      </w:r>
      <w:r>
        <w:rPr>
          <w:rFonts w:ascii="Palatino Linotype" w:hAnsi="Palatino Linotype"/>
        </w:rPr>
        <w:t xml:space="preserve"> за</w:t>
      </w:r>
      <w:r w:rsidRPr="0007296B">
        <w:rPr>
          <w:rFonts w:ascii="Palatino Linotype" w:hAnsi="Palatino Linotype"/>
        </w:rPr>
        <w:t xml:space="preserve"> подготовката и оцен</w:t>
      </w:r>
      <w:r>
        <w:rPr>
          <w:rFonts w:ascii="Palatino Linotype" w:hAnsi="Palatino Linotype"/>
        </w:rPr>
        <w:t xml:space="preserve">ката на проектните предложения </w:t>
      </w:r>
      <w:r w:rsidRPr="0007296B">
        <w:rPr>
          <w:rFonts w:ascii="Palatino Linotype" w:hAnsi="Palatino Linotype"/>
        </w:rPr>
        <w:t xml:space="preserve">за предоставяне на безвъзмездна финансова помощ </w:t>
      </w:r>
      <w:r>
        <w:rPr>
          <w:rFonts w:ascii="Palatino Linotype" w:hAnsi="Palatino Linotype"/>
        </w:rPr>
        <w:t>са</w:t>
      </w:r>
      <w:r w:rsidRPr="0007296B">
        <w:rPr>
          <w:rFonts w:ascii="Palatino Linotype" w:hAnsi="Palatino Linotype"/>
        </w:rPr>
        <w:t xml:space="preserve"> разписани в </w:t>
      </w:r>
      <w:r w:rsidR="008010BE" w:rsidRPr="0007296B">
        <w:rPr>
          <w:rFonts w:ascii="Palatino Linotype" w:hAnsi="Palatino Linotype"/>
        </w:rPr>
        <w:t>насоки</w:t>
      </w:r>
      <w:r w:rsidR="008010BE">
        <w:rPr>
          <w:rFonts w:ascii="Palatino Linotype" w:hAnsi="Palatino Linotype"/>
        </w:rPr>
        <w:t>те по процедурата</w:t>
      </w:r>
      <w:r w:rsidRPr="0007296B">
        <w:rPr>
          <w:rFonts w:ascii="Palatino Linotype" w:hAnsi="Palatino Linotype"/>
        </w:rPr>
        <w:t>.</w:t>
      </w:r>
    </w:p>
    <w:p w:rsidR="00471201" w:rsidRDefault="0007296B" w:rsidP="0007296B">
      <w:pPr>
        <w:ind w:firstLine="567"/>
        <w:jc w:val="both"/>
        <w:rPr>
          <w:rFonts w:ascii="Palatino Linotype" w:hAnsi="Palatino Linotype"/>
        </w:rPr>
      </w:pPr>
      <w:r w:rsidRPr="0007296B">
        <w:rPr>
          <w:rFonts w:ascii="Palatino Linotype" w:hAnsi="Palatino Linotype"/>
        </w:rPr>
        <w:t xml:space="preserve">Процесът на  оценка на проектните предложения протича на следните етапи – „проверка за административно съответствие и допустимост“ и „техническа и финансова оценка“. Всеки оценител извършва последователно административна проверка, проверка на допустимост, техническа и финансова оценка, като резултатите отразява в оценителна таблица.  Преминаването от един в друг етап на оценка се осъществява след решение на оценителната комисия, взето с мнозинство. </w:t>
      </w:r>
    </w:p>
    <w:p w:rsidR="008010BE" w:rsidRPr="0007296B" w:rsidRDefault="008010BE" w:rsidP="0007296B">
      <w:pPr>
        <w:ind w:firstLine="567"/>
        <w:jc w:val="both"/>
        <w:rPr>
          <w:rFonts w:ascii="Palatino Linotype" w:hAnsi="Palatino Linotype"/>
        </w:rPr>
      </w:pPr>
    </w:p>
    <w:p w:rsidR="006F524E" w:rsidRPr="00471201" w:rsidRDefault="006F524E" w:rsidP="00471201">
      <w:pPr>
        <w:pStyle w:val="Heading1"/>
        <w:spacing w:before="0"/>
        <w:ind w:left="567" w:hanging="357"/>
        <w:rPr>
          <w:rFonts w:ascii="Palatino Linotype" w:hAnsi="Palatino Linotype"/>
          <w:color w:val="auto"/>
          <w:sz w:val="24"/>
          <w:szCs w:val="24"/>
        </w:rPr>
      </w:pPr>
      <w:bookmarkStart w:id="1" w:name="_Toc417898298"/>
      <w:r w:rsidRPr="00471201">
        <w:rPr>
          <w:rFonts w:ascii="Palatino Linotype" w:hAnsi="Palatino Linotype"/>
          <w:color w:val="auto"/>
          <w:sz w:val="24"/>
          <w:szCs w:val="24"/>
        </w:rPr>
        <w:t>Метод за оценка на проектните предложения</w:t>
      </w:r>
      <w:bookmarkEnd w:id="1"/>
    </w:p>
    <w:p w:rsidR="006F524E" w:rsidRPr="00B94946" w:rsidRDefault="006F524E" w:rsidP="00B94946">
      <w:pPr>
        <w:ind w:firstLine="567"/>
        <w:jc w:val="both"/>
        <w:rPr>
          <w:rFonts w:ascii="Palatino Linotype" w:hAnsi="Palatino Linotype"/>
        </w:rPr>
      </w:pPr>
      <w:r w:rsidRPr="00B94946">
        <w:rPr>
          <w:rFonts w:ascii="Palatino Linotype" w:hAnsi="Palatino Linotype"/>
        </w:rPr>
        <w:t xml:space="preserve">Методът, който ще бъде използван е проектите да бъдат оценявани един по един след получаването и регистрирането им в системата ИСУН 2020, и те да бъдат сравнявани единствено с одобрените критерии за </w:t>
      </w:r>
      <w:r w:rsidR="008010BE">
        <w:rPr>
          <w:rFonts w:ascii="Palatino Linotype" w:hAnsi="Palatino Linotype"/>
        </w:rPr>
        <w:t>подбор на операции по процедурата</w:t>
      </w:r>
      <w:r w:rsidRPr="00B94946">
        <w:rPr>
          <w:rFonts w:ascii="Palatino Linotype" w:hAnsi="Palatino Linotype"/>
        </w:rPr>
        <w:t xml:space="preserve"> от Комитета за наблюдение</w:t>
      </w:r>
      <w:r w:rsidR="00B94946">
        <w:rPr>
          <w:rFonts w:ascii="Palatino Linotype" w:hAnsi="Palatino Linotype"/>
        </w:rPr>
        <w:t xml:space="preserve"> на ОПТТИ</w:t>
      </w:r>
      <w:r w:rsidRPr="00B94946">
        <w:rPr>
          <w:rFonts w:ascii="Palatino Linotype" w:hAnsi="Palatino Linotype"/>
        </w:rPr>
        <w:t>.</w:t>
      </w:r>
    </w:p>
    <w:p w:rsidR="006F524E" w:rsidRPr="00471201" w:rsidRDefault="006F524E" w:rsidP="00471201">
      <w:pPr>
        <w:pStyle w:val="Heading2"/>
        <w:rPr>
          <w:rFonts w:ascii="Palatino Linotype" w:hAnsi="Palatino Linotype" w:cs="Times New Roman"/>
          <w:color w:val="auto"/>
          <w:sz w:val="24"/>
          <w:szCs w:val="24"/>
        </w:rPr>
      </w:pPr>
      <w:bookmarkStart w:id="2" w:name="_Toc417898299"/>
      <w:bookmarkStart w:id="3" w:name="_Toc414036218"/>
      <w:r w:rsidRPr="00471201">
        <w:rPr>
          <w:rFonts w:ascii="Palatino Linotype" w:hAnsi="Palatino Linotype" w:cs="Times New Roman"/>
          <w:color w:val="auto"/>
          <w:sz w:val="24"/>
          <w:szCs w:val="24"/>
        </w:rPr>
        <w:t>Проверка за административно съответствие и допустимост</w:t>
      </w:r>
      <w:bookmarkEnd w:id="2"/>
    </w:p>
    <w:p w:rsidR="005A299F" w:rsidRDefault="005A299F" w:rsidP="006F524E">
      <w:pPr>
        <w:spacing w:after="120"/>
        <w:ind w:right="141" w:firstLine="851"/>
        <w:jc w:val="both"/>
        <w:rPr>
          <w:rFonts w:ascii="Palatino Linotype" w:hAnsi="Palatino Linotype"/>
          <w:b/>
          <w:i/>
          <w:u w:val="single"/>
        </w:rPr>
      </w:pPr>
    </w:p>
    <w:p w:rsidR="006F524E" w:rsidRPr="00471201" w:rsidRDefault="006F524E" w:rsidP="006F524E">
      <w:pPr>
        <w:spacing w:after="120"/>
        <w:ind w:right="141" w:firstLine="851"/>
        <w:jc w:val="both"/>
        <w:rPr>
          <w:rFonts w:ascii="Palatino Linotype" w:hAnsi="Palatino Linotype"/>
          <w:b/>
          <w:i/>
          <w:u w:val="single"/>
        </w:rPr>
      </w:pPr>
      <w:r w:rsidRPr="00471201">
        <w:rPr>
          <w:rFonts w:ascii="Palatino Linotype" w:hAnsi="Palatino Linotype"/>
          <w:b/>
          <w:i/>
          <w:u w:val="single"/>
        </w:rPr>
        <w:t>Проверка за административно съответствие</w:t>
      </w:r>
    </w:p>
    <w:bookmarkEnd w:id="3"/>
    <w:p w:rsidR="006F524E" w:rsidRPr="00471201" w:rsidRDefault="006F524E" w:rsidP="006F524E">
      <w:pPr>
        <w:spacing w:after="120"/>
        <w:ind w:right="141" w:firstLine="851"/>
        <w:jc w:val="both"/>
        <w:rPr>
          <w:rFonts w:ascii="Palatino Linotype" w:hAnsi="Palatino Linotype"/>
        </w:rPr>
      </w:pPr>
      <w:r w:rsidRPr="00471201">
        <w:rPr>
          <w:rFonts w:ascii="Palatino Linotype" w:hAnsi="Palatino Linotype"/>
        </w:rPr>
        <w:t xml:space="preserve">Проверка за административно съответствие на проектното предложение се прилага при оценката на всички подадени проектни предложения. Членовете на Оценителната комисия проверяват за административното съответствие на проектното предложение за съответствие с </w:t>
      </w:r>
      <w:r w:rsidR="00B94946">
        <w:rPr>
          <w:rFonts w:ascii="Palatino Linotype" w:hAnsi="Palatino Linotype"/>
        </w:rPr>
        <w:t>административните критерии</w:t>
      </w:r>
      <w:r w:rsidRPr="00471201">
        <w:rPr>
          <w:rFonts w:ascii="Palatino Linotype" w:hAnsi="Palatino Linotype"/>
        </w:rPr>
        <w:t>. Проверките за административно съответствие</w:t>
      </w:r>
      <w:r w:rsidR="007F701B">
        <w:rPr>
          <w:rFonts w:ascii="Palatino Linotype" w:hAnsi="Palatino Linotype"/>
        </w:rPr>
        <w:t xml:space="preserve"> по критериите, посочени в т. ІІ</w:t>
      </w:r>
      <w:r w:rsidRPr="00471201">
        <w:rPr>
          <w:rFonts w:ascii="Palatino Linotype" w:hAnsi="Palatino Linotype"/>
        </w:rPr>
        <w:t xml:space="preserve"> включват основно </w:t>
      </w:r>
      <w:r w:rsidR="00672448">
        <w:rPr>
          <w:rFonts w:ascii="Palatino Linotype" w:hAnsi="Palatino Linotype"/>
        </w:rPr>
        <w:t>коректното</w:t>
      </w:r>
      <w:r w:rsidR="00672448" w:rsidRPr="00471201">
        <w:rPr>
          <w:rFonts w:ascii="Palatino Linotype" w:hAnsi="Palatino Linotype"/>
        </w:rPr>
        <w:t xml:space="preserve"> </w:t>
      </w:r>
      <w:r w:rsidRPr="00471201">
        <w:rPr>
          <w:rFonts w:ascii="Palatino Linotype" w:hAnsi="Palatino Linotype"/>
        </w:rPr>
        <w:t>попълване</w:t>
      </w:r>
      <w:r w:rsidR="00672448">
        <w:rPr>
          <w:rFonts w:ascii="Palatino Linotype" w:hAnsi="Palatino Linotype"/>
        </w:rPr>
        <w:t xml:space="preserve"> </w:t>
      </w:r>
      <w:r w:rsidRPr="00471201">
        <w:rPr>
          <w:rFonts w:ascii="Palatino Linotype" w:hAnsi="Palatino Linotype"/>
        </w:rPr>
        <w:t xml:space="preserve"> на </w:t>
      </w:r>
      <w:r w:rsidR="00680287">
        <w:rPr>
          <w:rFonts w:ascii="Palatino Linotype" w:hAnsi="Palatino Linotype"/>
        </w:rPr>
        <w:t>формуляра за кандидатстване (</w:t>
      </w:r>
      <w:r w:rsidRPr="00471201">
        <w:rPr>
          <w:rFonts w:ascii="Palatino Linotype" w:hAnsi="Palatino Linotype"/>
        </w:rPr>
        <w:t>ФК</w:t>
      </w:r>
      <w:r w:rsidR="00680287">
        <w:rPr>
          <w:rFonts w:ascii="Palatino Linotype" w:hAnsi="Palatino Linotype"/>
        </w:rPr>
        <w:t>)</w:t>
      </w:r>
      <w:r w:rsidRPr="00471201">
        <w:rPr>
          <w:rFonts w:ascii="Palatino Linotype" w:hAnsi="Palatino Linotype"/>
        </w:rPr>
        <w:t xml:space="preserve"> и </w:t>
      </w:r>
      <w:r w:rsidR="00C161BE">
        <w:rPr>
          <w:rFonts w:ascii="Palatino Linotype" w:hAnsi="Palatino Linotype"/>
        </w:rPr>
        <w:t xml:space="preserve">представянето </w:t>
      </w:r>
      <w:r w:rsidRPr="00471201">
        <w:rPr>
          <w:rFonts w:ascii="Palatino Linotype" w:hAnsi="Palatino Linotype"/>
        </w:rPr>
        <w:t>на изисканите</w:t>
      </w:r>
      <w:r w:rsidR="00C161BE">
        <w:rPr>
          <w:rFonts w:ascii="Palatino Linotype" w:hAnsi="Palatino Linotype"/>
        </w:rPr>
        <w:t xml:space="preserve"> </w:t>
      </w:r>
      <w:r w:rsidRPr="00471201">
        <w:rPr>
          <w:rFonts w:ascii="Palatino Linotype" w:hAnsi="Palatino Linotype"/>
        </w:rPr>
        <w:t xml:space="preserve"> документи</w:t>
      </w:r>
      <w:r w:rsidR="00C161BE">
        <w:rPr>
          <w:rFonts w:ascii="Palatino Linotype" w:hAnsi="Palatino Linotype"/>
        </w:rPr>
        <w:t xml:space="preserve"> към него</w:t>
      </w:r>
      <w:r w:rsidRPr="00471201">
        <w:rPr>
          <w:rFonts w:ascii="Palatino Linotype" w:hAnsi="Palatino Linotype"/>
        </w:rPr>
        <w:t>.</w:t>
      </w:r>
    </w:p>
    <w:p w:rsidR="006F524E" w:rsidRPr="00471201" w:rsidRDefault="006F524E" w:rsidP="006F524E">
      <w:pPr>
        <w:ind w:right="141" w:firstLine="851"/>
        <w:contextualSpacing/>
        <w:jc w:val="both"/>
        <w:rPr>
          <w:rFonts w:ascii="Palatino Linotype" w:hAnsi="Palatino Linotype"/>
        </w:rPr>
      </w:pPr>
      <w:r w:rsidRPr="00471201">
        <w:rPr>
          <w:rFonts w:ascii="Palatino Linotype" w:hAnsi="Palatino Linotype"/>
        </w:rPr>
        <w:lastRenderedPageBreak/>
        <w:t>Всички критерии за оценка на административното съответствие  се оценяват с отговор „</w:t>
      </w:r>
      <w:r w:rsidR="00B94946" w:rsidRPr="00471201">
        <w:rPr>
          <w:rFonts w:ascii="Palatino Linotype" w:hAnsi="Palatino Linotype"/>
        </w:rPr>
        <w:t>ДА</w:t>
      </w:r>
      <w:r w:rsidRPr="00471201">
        <w:rPr>
          <w:rFonts w:ascii="Palatino Linotype" w:hAnsi="Palatino Linotype"/>
        </w:rPr>
        <w:t>“ или „</w:t>
      </w:r>
      <w:r w:rsidR="00B94946" w:rsidRPr="00471201">
        <w:rPr>
          <w:rFonts w:ascii="Palatino Linotype" w:hAnsi="Palatino Linotype"/>
        </w:rPr>
        <w:t>НЕ</w:t>
      </w:r>
      <w:r w:rsidRPr="00471201">
        <w:rPr>
          <w:rFonts w:ascii="Palatino Linotype" w:hAnsi="Palatino Linotype"/>
        </w:rPr>
        <w:t>“, което се отразява в зависимост от вида на проектното предложение в оценителни таблици.</w:t>
      </w:r>
    </w:p>
    <w:p w:rsidR="00C161BE" w:rsidRPr="00994263" w:rsidRDefault="00C161BE" w:rsidP="006F524E">
      <w:pPr>
        <w:spacing w:after="120"/>
        <w:ind w:right="141" w:firstLine="851"/>
        <w:jc w:val="both"/>
        <w:rPr>
          <w:rFonts w:ascii="Palatino Linotype" w:hAnsi="Palatino Linotype"/>
        </w:rPr>
      </w:pPr>
      <w:bookmarkStart w:id="4" w:name="_Toc414036219"/>
      <w:r w:rsidRPr="00994263">
        <w:rPr>
          <w:rFonts w:ascii="Palatino Linotype" w:hAnsi="Palatino Linotype"/>
        </w:rPr>
        <w:t xml:space="preserve">За да се премине на следващия етап </w:t>
      </w:r>
      <w:r>
        <w:rPr>
          <w:rFonts w:ascii="Palatino Linotype" w:hAnsi="Palatino Linotype"/>
        </w:rPr>
        <w:t xml:space="preserve"> на оценка по всички критерии трябва да е получена положителна оценка </w:t>
      </w:r>
      <w:r w:rsidRPr="00C161BE">
        <w:rPr>
          <w:rFonts w:ascii="Palatino Linotype" w:hAnsi="Palatino Linotype"/>
        </w:rPr>
        <w:t>„ДА“</w:t>
      </w:r>
      <w:r>
        <w:rPr>
          <w:rFonts w:ascii="Palatino Linotype" w:hAnsi="Palatino Linotype"/>
        </w:rPr>
        <w:t xml:space="preserve">.  В случай, че по някой от критериите  е получен отрицателна оценка </w:t>
      </w:r>
      <w:r w:rsidRPr="00C161BE">
        <w:rPr>
          <w:rFonts w:ascii="Palatino Linotype" w:hAnsi="Palatino Linotype"/>
        </w:rPr>
        <w:t>„</w:t>
      </w:r>
      <w:r>
        <w:rPr>
          <w:rFonts w:ascii="Palatino Linotype" w:hAnsi="Palatino Linotype"/>
        </w:rPr>
        <w:t>НЕ</w:t>
      </w:r>
      <w:r w:rsidRPr="00C161BE">
        <w:rPr>
          <w:rFonts w:ascii="Palatino Linotype" w:hAnsi="Palatino Linotype"/>
        </w:rPr>
        <w:t>“</w:t>
      </w:r>
      <w:r>
        <w:rPr>
          <w:rFonts w:ascii="Palatino Linotype" w:hAnsi="Palatino Linotype"/>
        </w:rPr>
        <w:t xml:space="preserve"> ФК може да бъде върнат за ревизиране</w:t>
      </w:r>
      <w:r w:rsidR="00672448">
        <w:rPr>
          <w:rFonts w:ascii="Palatino Linotype" w:hAnsi="Palatino Linotype"/>
        </w:rPr>
        <w:t xml:space="preserve"> или</w:t>
      </w:r>
      <w:r>
        <w:rPr>
          <w:rFonts w:ascii="Palatino Linotype" w:hAnsi="Palatino Linotype"/>
        </w:rPr>
        <w:t xml:space="preserve"> </w:t>
      </w:r>
      <w:r w:rsidR="00672448">
        <w:rPr>
          <w:rFonts w:ascii="Palatino Linotype" w:hAnsi="Palatino Linotype"/>
        </w:rPr>
        <w:t>отхвърлен</w:t>
      </w:r>
      <w:r>
        <w:rPr>
          <w:rFonts w:ascii="Palatino Linotype" w:hAnsi="Palatino Linotype"/>
        </w:rPr>
        <w:t>.</w:t>
      </w:r>
    </w:p>
    <w:p w:rsidR="006F524E" w:rsidRPr="00471201" w:rsidRDefault="006F524E" w:rsidP="006F524E">
      <w:pPr>
        <w:spacing w:after="120"/>
        <w:ind w:right="141" w:firstLine="851"/>
        <w:jc w:val="both"/>
        <w:rPr>
          <w:rFonts w:ascii="Palatino Linotype" w:hAnsi="Palatino Linotype"/>
          <w:b/>
          <w:i/>
          <w:u w:val="single"/>
        </w:rPr>
      </w:pPr>
      <w:r w:rsidRPr="00471201">
        <w:rPr>
          <w:rFonts w:ascii="Palatino Linotype" w:hAnsi="Palatino Linotype"/>
          <w:b/>
          <w:i/>
          <w:u w:val="single"/>
        </w:rPr>
        <w:t>Проверка за допустимост</w:t>
      </w:r>
      <w:bookmarkEnd w:id="4"/>
    </w:p>
    <w:p w:rsidR="006F524E" w:rsidRPr="00471201" w:rsidRDefault="006F524E" w:rsidP="006F524E">
      <w:pPr>
        <w:spacing w:after="120"/>
        <w:ind w:right="141" w:firstLine="851"/>
        <w:jc w:val="both"/>
        <w:rPr>
          <w:rFonts w:ascii="Palatino Linotype" w:hAnsi="Palatino Linotype"/>
        </w:rPr>
      </w:pPr>
      <w:r w:rsidRPr="00471201">
        <w:rPr>
          <w:rFonts w:ascii="Palatino Linotype" w:hAnsi="Palatino Linotype"/>
        </w:rPr>
        <w:t xml:space="preserve">След проверката за административното съответствие на проектното предложение, оценителната комисия извършва проверка за допустимост. </w:t>
      </w:r>
    </w:p>
    <w:p w:rsidR="007F701B" w:rsidRPr="001C78B2" w:rsidRDefault="006F524E" w:rsidP="007F701B">
      <w:pPr>
        <w:spacing w:after="120"/>
        <w:ind w:right="141" w:firstLine="851"/>
        <w:jc w:val="both"/>
        <w:rPr>
          <w:rFonts w:ascii="Palatino Linotype" w:hAnsi="Palatino Linotype"/>
        </w:rPr>
      </w:pPr>
      <w:r w:rsidRPr="00471201">
        <w:rPr>
          <w:rFonts w:ascii="Palatino Linotype" w:hAnsi="Palatino Linotype"/>
        </w:rPr>
        <w:t>Проверка за допустимост на проектното предложение се прилага при оценката на всички подадени проектни предложения Проверката за допустимост е важен етап от оценката на проекта. Отговорите на въпросите за допустимост са или „</w:t>
      </w:r>
      <w:r w:rsidR="000B5DAD" w:rsidRPr="00471201">
        <w:rPr>
          <w:rFonts w:ascii="Palatino Linotype" w:hAnsi="Palatino Linotype"/>
        </w:rPr>
        <w:t>ДА</w:t>
      </w:r>
      <w:r w:rsidRPr="00471201">
        <w:rPr>
          <w:rFonts w:ascii="Palatino Linotype" w:hAnsi="Palatino Linotype"/>
        </w:rPr>
        <w:t>” или „</w:t>
      </w:r>
      <w:r w:rsidR="000B5DAD" w:rsidRPr="00471201">
        <w:rPr>
          <w:rFonts w:ascii="Palatino Linotype" w:hAnsi="Palatino Linotype"/>
        </w:rPr>
        <w:t>НЕ</w:t>
      </w:r>
      <w:r w:rsidRPr="00471201">
        <w:rPr>
          <w:rFonts w:ascii="Palatino Linotype" w:hAnsi="Palatino Linotype"/>
        </w:rPr>
        <w:t xml:space="preserve">”. Проверката протича </w:t>
      </w:r>
      <w:r w:rsidR="007F701B">
        <w:rPr>
          <w:rFonts w:ascii="Palatino Linotype" w:hAnsi="Palatino Linotype"/>
        </w:rPr>
        <w:t>по критериите, подробно описани в т. ІІ</w:t>
      </w:r>
    </w:p>
    <w:p w:rsidR="00D51D48" w:rsidRPr="00471201" w:rsidRDefault="007F701B" w:rsidP="00D51D48">
      <w:pPr>
        <w:ind w:right="141" w:firstLine="851"/>
        <w:contextualSpacing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 </w:t>
      </w:r>
      <w:r w:rsidR="006F524E" w:rsidRPr="00471201">
        <w:rPr>
          <w:rFonts w:ascii="Palatino Linotype" w:hAnsi="Palatino Linotype"/>
        </w:rPr>
        <w:t>В случай, че всички изисквания са изцяло удовлетворени, се преминава към следващия втори етап – техническа и финансова оценка на предложението.</w:t>
      </w:r>
      <w:r w:rsidR="00C161BE">
        <w:rPr>
          <w:rFonts w:ascii="Palatino Linotype" w:hAnsi="Palatino Linotype"/>
          <w:b/>
        </w:rPr>
        <w:t xml:space="preserve"> </w:t>
      </w:r>
      <w:r w:rsidR="00C161BE" w:rsidRPr="00994263">
        <w:rPr>
          <w:rFonts w:ascii="Palatino Linotype" w:hAnsi="Palatino Linotype"/>
        </w:rPr>
        <w:t xml:space="preserve">За да се премине на следващия етап  на оценка по всички критерии трябва да е получена положителна оценка „ДА“.  </w:t>
      </w:r>
    </w:p>
    <w:p w:rsidR="00C161BE" w:rsidRPr="00994263" w:rsidRDefault="00C161BE" w:rsidP="007F701B">
      <w:pPr>
        <w:ind w:right="141" w:firstLine="851"/>
        <w:contextualSpacing/>
        <w:jc w:val="both"/>
        <w:rPr>
          <w:rFonts w:ascii="Palatino Linotype" w:hAnsi="Palatino Linotype"/>
        </w:rPr>
      </w:pPr>
      <w:r w:rsidRPr="00994263">
        <w:rPr>
          <w:rFonts w:ascii="Palatino Linotype" w:hAnsi="Palatino Linotype"/>
        </w:rPr>
        <w:t>В случай, че по някой от критериите  е получен отрицателна оценка „НЕ“ ФК може да бъде върнат за ревизиране или отхвърлено.</w:t>
      </w:r>
      <w:r w:rsidR="00684C85" w:rsidRPr="00684C85">
        <w:rPr>
          <w:rFonts w:ascii="Palatino Linotype" w:hAnsi="Palatino Linotype"/>
        </w:rPr>
        <w:t xml:space="preserve"> </w:t>
      </w:r>
      <w:r w:rsidR="00684C85">
        <w:rPr>
          <w:rFonts w:ascii="Palatino Linotype" w:hAnsi="Palatino Linotype"/>
        </w:rPr>
        <w:t xml:space="preserve"> </w:t>
      </w:r>
      <w:r w:rsidR="00684C85" w:rsidRPr="00471201">
        <w:rPr>
          <w:rFonts w:ascii="Palatino Linotype" w:hAnsi="Palatino Linotype"/>
        </w:rPr>
        <w:t xml:space="preserve">Ако проектното предложение </w:t>
      </w:r>
      <w:r w:rsidR="00684C85">
        <w:rPr>
          <w:rFonts w:ascii="Palatino Linotype" w:hAnsi="Palatino Linotype"/>
        </w:rPr>
        <w:t>(</w:t>
      </w:r>
      <w:r w:rsidR="00684C85" w:rsidRPr="00471201">
        <w:rPr>
          <w:rFonts w:ascii="Palatino Linotype" w:hAnsi="Palatino Linotype"/>
        </w:rPr>
        <w:t>всички дейности</w:t>
      </w:r>
      <w:r w:rsidR="00684C85">
        <w:rPr>
          <w:rFonts w:ascii="Palatino Linotype" w:hAnsi="Palatino Linotype"/>
        </w:rPr>
        <w:t>)</w:t>
      </w:r>
      <w:r w:rsidR="00684C85" w:rsidRPr="00471201">
        <w:rPr>
          <w:rFonts w:ascii="Palatino Linotype" w:hAnsi="Palatino Linotype"/>
        </w:rPr>
        <w:t xml:space="preserve">, включени в </w:t>
      </w:r>
      <w:r w:rsidR="00684C85">
        <w:rPr>
          <w:rFonts w:ascii="Palatino Linotype" w:hAnsi="Palatino Linotype"/>
        </w:rPr>
        <w:t>него</w:t>
      </w:r>
      <w:r w:rsidR="00684C85" w:rsidRPr="00471201">
        <w:rPr>
          <w:rFonts w:ascii="Palatino Linotype" w:hAnsi="Palatino Linotype"/>
        </w:rPr>
        <w:t xml:space="preserve"> е/са недопустимо/и, то проектното предложение не се процедира за по-нататъшна оценка (не преминава).</w:t>
      </w:r>
    </w:p>
    <w:p w:rsidR="001C78B2" w:rsidRPr="001C78B2" w:rsidRDefault="001C78B2" w:rsidP="001C78B2">
      <w:pPr>
        <w:pStyle w:val="Heading2"/>
        <w:rPr>
          <w:rFonts w:ascii="Palatino Linotype" w:hAnsi="Palatino Linotype" w:cs="Times New Roman"/>
          <w:color w:val="auto"/>
          <w:sz w:val="24"/>
          <w:szCs w:val="24"/>
        </w:rPr>
      </w:pPr>
      <w:bookmarkStart w:id="5" w:name="_Toc414036220"/>
      <w:bookmarkStart w:id="6" w:name="_Toc417898300"/>
      <w:r w:rsidRPr="001C78B2">
        <w:rPr>
          <w:rFonts w:ascii="Palatino Linotype" w:hAnsi="Palatino Linotype" w:cs="Times New Roman"/>
          <w:color w:val="auto"/>
          <w:sz w:val="24"/>
          <w:szCs w:val="24"/>
        </w:rPr>
        <w:t>Техническа и финансова оценка</w:t>
      </w:r>
      <w:bookmarkEnd w:id="5"/>
      <w:bookmarkEnd w:id="6"/>
    </w:p>
    <w:p w:rsidR="001C78B2" w:rsidRPr="00471201" w:rsidRDefault="001C78B2" w:rsidP="001C78B2">
      <w:pPr>
        <w:ind w:right="141" w:firstLine="851"/>
        <w:contextualSpacing/>
        <w:jc w:val="both"/>
        <w:rPr>
          <w:rFonts w:ascii="Palatino Linotype" w:hAnsi="Palatino Linotype"/>
        </w:rPr>
      </w:pPr>
      <w:r w:rsidRPr="001C78B2">
        <w:rPr>
          <w:rFonts w:ascii="Palatino Linotype" w:hAnsi="Palatino Linotype"/>
        </w:rPr>
        <w:t>Този етап включва детайлна техническа и финансова оценка на проектното предложение.</w:t>
      </w:r>
      <w:r>
        <w:rPr>
          <w:rFonts w:ascii="Palatino Linotype" w:hAnsi="Palatino Linotype"/>
        </w:rPr>
        <w:t xml:space="preserve"> </w:t>
      </w:r>
      <w:r w:rsidRPr="00471201">
        <w:rPr>
          <w:rFonts w:ascii="Palatino Linotype" w:hAnsi="Palatino Linotype"/>
        </w:rPr>
        <w:t xml:space="preserve">Всички критерии за </w:t>
      </w:r>
      <w:r>
        <w:rPr>
          <w:rFonts w:ascii="Palatino Linotype" w:hAnsi="Palatino Linotype"/>
        </w:rPr>
        <w:t xml:space="preserve">техническа и финансова </w:t>
      </w:r>
      <w:r w:rsidRPr="00471201">
        <w:rPr>
          <w:rFonts w:ascii="Palatino Linotype" w:hAnsi="Palatino Linotype"/>
        </w:rPr>
        <w:t>оценка се оценяват с отговор „ДА</w:t>
      </w:r>
      <w:r w:rsidR="007C76E7">
        <w:rPr>
          <w:rFonts w:ascii="Palatino Linotype" w:hAnsi="Palatino Linotype"/>
        </w:rPr>
        <w:t xml:space="preserve">“, </w:t>
      </w:r>
      <w:r w:rsidRPr="00471201">
        <w:rPr>
          <w:rFonts w:ascii="Palatino Linotype" w:hAnsi="Palatino Linotype"/>
        </w:rPr>
        <w:t>„НЕ“</w:t>
      </w:r>
      <w:r w:rsidR="007C76E7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</w:t>
      </w:r>
      <w:r w:rsidR="007C76E7" w:rsidRPr="007C76E7">
        <w:rPr>
          <w:rFonts w:ascii="Palatino Linotype" w:hAnsi="Palatino Linotype"/>
        </w:rPr>
        <w:t>а където са предвидени ограничения на приложимостта на даден критерий с</w:t>
      </w:r>
      <w:r w:rsidRPr="007C76E7">
        <w:rPr>
          <w:rFonts w:ascii="Palatino Linotype" w:hAnsi="Palatino Linotype"/>
        </w:rPr>
        <w:t xml:space="preserve"> „НЕПРИЛОЖИ</w:t>
      </w:r>
      <w:r>
        <w:rPr>
          <w:rFonts w:ascii="Palatino Linotype" w:hAnsi="Palatino Linotype"/>
        </w:rPr>
        <w:t>МО“</w:t>
      </w:r>
      <w:r w:rsidR="007F701B">
        <w:rPr>
          <w:rFonts w:ascii="Palatino Linotype" w:hAnsi="Palatino Linotype"/>
        </w:rPr>
        <w:t>, като резултатите</w:t>
      </w:r>
      <w:r w:rsidRPr="00471201">
        <w:rPr>
          <w:rFonts w:ascii="Palatino Linotype" w:hAnsi="Palatino Linotype"/>
        </w:rPr>
        <w:t xml:space="preserve"> се отразява</w:t>
      </w:r>
      <w:r w:rsidR="007F701B">
        <w:rPr>
          <w:rFonts w:ascii="Palatino Linotype" w:hAnsi="Palatino Linotype"/>
        </w:rPr>
        <w:t>т</w:t>
      </w:r>
      <w:r w:rsidRPr="00471201">
        <w:rPr>
          <w:rFonts w:ascii="Palatino Linotype" w:hAnsi="Palatino Linotype"/>
        </w:rPr>
        <w:t xml:space="preserve"> в оценителни таблици.</w:t>
      </w:r>
    </w:p>
    <w:p w:rsidR="001C78B2" w:rsidRPr="001C78B2" w:rsidRDefault="001C78B2" w:rsidP="001C78B2">
      <w:pPr>
        <w:spacing w:after="120"/>
        <w:ind w:right="141" w:firstLine="567"/>
        <w:jc w:val="both"/>
        <w:rPr>
          <w:rFonts w:ascii="Palatino Linotype" w:hAnsi="Palatino Linotype"/>
        </w:rPr>
      </w:pPr>
      <w:r w:rsidRPr="001C78B2">
        <w:rPr>
          <w:rFonts w:ascii="Palatino Linotype" w:hAnsi="Palatino Linotype"/>
        </w:rPr>
        <w:t xml:space="preserve">Най-значимият елемент на оценката на проекта е техническата оценка. Основен аналитичен инструмент , който ще бъде използван при оценката за вземане на решение за финансиране на </w:t>
      </w:r>
      <w:r w:rsidR="008010BE">
        <w:rPr>
          <w:rFonts w:ascii="Palatino Linotype" w:hAnsi="Palatino Linotype"/>
        </w:rPr>
        <w:t>инвестиционните проекти</w:t>
      </w:r>
      <w:r w:rsidR="007C76E7">
        <w:rPr>
          <w:rFonts w:ascii="Palatino Linotype" w:hAnsi="Palatino Linotype"/>
        </w:rPr>
        <w:t xml:space="preserve"> </w:t>
      </w:r>
      <w:r w:rsidRPr="001C78B2">
        <w:rPr>
          <w:rFonts w:ascii="Palatino Linotype" w:hAnsi="Palatino Linotype"/>
        </w:rPr>
        <w:t>е Анализа „разходи-ползи“</w:t>
      </w:r>
      <w:r w:rsidR="008010BE">
        <w:rPr>
          <w:rFonts w:ascii="Palatino Linotype" w:hAnsi="Palatino Linotype"/>
        </w:rPr>
        <w:t xml:space="preserve">. </w:t>
      </w:r>
      <w:r w:rsidRPr="001C78B2">
        <w:rPr>
          <w:rFonts w:ascii="Palatino Linotype" w:hAnsi="Palatino Linotype"/>
        </w:rPr>
        <w:t>Методологията за извършване на анализ на разходите и ползите е представена в Приложение ІІІ на Регламент (ЕС) № 207/2015 г.</w:t>
      </w:r>
    </w:p>
    <w:p w:rsidR="001C78B2" w:rsidRPr="001C78B2" w:rsidRDefault="001C78B2" w:rsidP="001C78B2">
      <w:pPr>
        <w:spacing w:after="120"/>
        <w:ind w:right="141" w:firstLine="851"/>
        <w:jc w:val="both"/>
        <w:rPr>
          <w:rFonts w:ascii="Palatino Linotype" w:hAnsi="Palatino Linotype"/>
        </w:rPr>
      </w:pPr>
      <w:r w:rsidRPr="001C78B2">
        <w:rPr>
          <w:rFonts w:ascii="Palatino Linotype" w:hAnsi="Palatino Linotype"/>
        </w:rPr>
        <w:t xml:space="preserve">Целта на анализа на разходите и ползите („АРП“) в контекста на политиката на сближаване е да допринесе за оценяването на </w:t>
      </w:r>
      <w:r w:rsidR="008010BE">
        <w:rPr>
          <w:rFonts w:ascii="Palatino Linotype" w:hAnsi="Palatino Linotype"/>
        </w:rPr>
        <w:t xml:space="preserve">инвестиционните </w:t>
      </w:r>
      <w:r w:rsidR="008010BE" w:rsidRPr="001C78B2">
        <w:rPr>
          <w:rFonts w:ascii="Palatino Linotype" w:hAnsi="Palatino Linotype"/>
        </w:rPr>
        <w:t xml:space="preserve"> </w:t>
      </w:r>
      <w:r w:rsidRPr="001C78B2">
        <w:rPr>
          <w:rFonts w:ascii="Palatino Linotype" w:hAnsi="Palatino Linotype"/>
        </w:rPr>
        <w:t>проекти, за да се:</w:t>
      </w:r>
    </w:p>
    <w:p w:rsidR="001C78B2" w:rsidRPr="001C78B2" w:rsidRDefault="001C78B2" w:rsidP="001C78B2">
      <w:pPr>
        <w:ind w:right="142" w:firstLine="851"/>
        <w:jc w:val="both"/>
        <w:rPr>
          <w:rFonts w:ascii="Palatino Linotype" w:hAnsi="Palatino Linotype"/>
        </w:rPr>
      </w:pPr>
      <w:r w:rsidRPr="001C78B2">
        <w:rPr>
          <w:rFonts w:ascii="Palatino Linotype" w:hAnsi="Palatino Linotype"/>
        </w:rPr>
        <w:t xml:space="preserve">— определи дали </w:t>
      </w:r>
      <w:r w:rsidR="008010BE">
        <w:rPr>
          <w:rFonts w:ascii="Palatino Linotype" w:hAnsi="Palatino Linotype"/>
        </w:rPr>
        <w:t>инвестиционният</w:t>
      </w:r>
      <w:r w:rsidR="008010BE" w:rsidRPr="001C78B2">
        <w:rPr>
          <w:rFonts w:ascii="Palatino Linotype" w:hAnsi="Palatino Linotype"/>
        </w:rPr>
        <w:t xml:space="preserve"> </w:t>
      </w:r>
      <w:r w:rsidRPr="001C78B2">
        <w:rPr>
          <w:rFonts w:ascii="Palatino Linotype" w:hAnsi="Palatino Linotype"/>
        </w:rPr>
        <w:t>проект заслужава да бъде съфинансиран (от икономическа гледна точка);</w:t>
      </w:r>
    </w:p>
    <w:p w:rsidR="001C78B2" w:rsidRPr="001C78B2" w:rsidRDefault="001C78B2" w:rsidP="001C78B2">
      <w:pPr>
        <w:ind w:right="142" w:firstLine="851"/>
        <w:jc w:val="both"/>
        <w:rPr>
          <w:rFonts w:ascii="Palatino Linotype" w:hAnsi="Palatino Linotype"/>
        </w:rPr>
      </w:pPr>
      <w:r w:rsidRPr="001C78B2">
        <w:rPr>
          <w:rFonts w:ascii="Palatino Linotype" w:hAnsi="Palatino Linotype"/>
        </w:rPr>
        <w:lastRenderedPageBreak/>
        <w:t xml:space="preserve">— определи дали </w:t>
      </w:r>
      <w:r w:rsidR="008010BE">
        <w:rPr>
          <w:rFonts w:ascii="Palatino Linotype" w:hAnsi="Palatino Linotype"/>
        </w:rPr>
        <w:t>инвестиционният</w:t>
      </w:r>
      <w:r w:rsidR="008010BE" w:rsidRPr="001C78B2">
        <w:rPr>
          <w:rFonts w:ascii="Palatino Linotype" w:hAnsi="Palatino Linotype"/>
        </w:rPr>
        <w:t xml:space="preserve"> </w:t>
      </w:r>
      <w:r w:rsidRPr="001C78B2">
        <w:rPr>
          <w:rFonts w:ascii="Palatino Linotype" w:hAnsi="Palatino Linotype"/>
        </w:rPr>
        <w:t>проект се нуждае от съфинансиране (от финансова гледна точка).</w:t>
      </w:r>
    </w:p>
    <w:p w:rsidR="008010BE" w:rsidRDefault="008010BE" w:rsidP="001C78B2">
      <w:pPr>
        <w:spacing w:after="120"/>
        <w:ind w:right="141" w:firstLine="851"/>
        <w:jc w:val="both"/>
        <w:rPr>
          <w:rFonts w:ascii="Palatino Linotype" w:hAnsi="Palatino Linotype"/>
        </w:rPr>
      </w:pPr>
      <w:r w:rsidRPr="008010BE">
        <w:rPr>
          <w:rFonts w:ascii="Palatino Linotype" w:hAnsi="Palatino Linotype"/>
        </w:rPr>
        <w:t>Изготвянето на пълен  АРП е задължителен за „големи проекти”, а за останалите инвестиционни проекти е задължително изготвянето на финансов анализ, анализ на риска и чувствителността.</w:t>
      </w:r>
    </w:p>
    <w:p w:rsidR="001C78B2" w:rsidRDefault="001C78B2" w:rsidP="001C78B2">
      <w:pPr>
        <w:spacing w:after="120"/>
        <w:ind w:right="141" w:firstLine="851"/>
        <w:jc w:val="both"/>
        <w:rPr>
          <w:rFonts w:ascii="Palatino Linotype" w:hAnsi="Palatino Linotype"/>
        </w:rPr>
      </w:pPr>
      <w:r w:rsidRPr="001C78B2">
        <w:rPr>
          <w:rFonts w:ascii="Palatino Linotype" w:hAnsi="Palatino Linotype"/>
        </w:rPr>
        <w:t>Основните групи от критерии за техническа оценка са описани в т. ІІ.</w:t>
      </w:r>
    </w:p>
    <w:p w:rsidR="00D51D48" w:rsidRPr="001C78B2" w:rsidRDefault="00D51D48" w:rsidP="001C78B2">
      <w:pPr>
        <w:spacing w:after="120"/>
        <w:ind w:right="141" w:firstLine="85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При оценката на този етап не е задължително по </w:t>
      </w:r>
      <w:r w:rsidRPr="00D51D48">
        <w:rPr>
          <w:rFonts w:ascii="Palatino Linotype" w:hAnsi="Palatino Linotype"/>
        </w:rPr>
        <w:t xml:space="preserve">всички критерии да </w:t>
      </w:r>
      <w:r>
        <w:rPr>
          <w:rFonts w:ascii="Palatino Linotype" w:hAnsi="Palatino Linotype"/>
        </w:rPr>
        <w:t>бъд</w:t>
      </w:r>
      <w:r w:rsidRPr="00D51D48">
        <w:rPr>
          <w:rFonts w:ascii="Palatino Linotype" w:hAnsi="Palatino Linotype"/>
        </w:rPr>
        <w:t>е получена положителна оценка „ДА“</w:t>
      </w:r>
      <w:r>
        <w:rPr>
          <w:rFonts w:ascii="Palatino Linotype" w:hAnsi="Palatino Linotype"/>
        </w:rPr>
        <w:t xml:space="preserve">, възможно </w:t>
      </w:r>
      <w:r w:rsidR="00684C85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 xml:space="preserve"> </w:t>
      </w:r>
      <w:r w:rsidR="00684C85">
        <w:rPr>
          <w:rFonts w:ascii="Palatino Linotype" w:hAnsi="Palatino Linotype"/>
        </w:rPr>
        <w:t xml:space="preserve">по един или няколко  критериите оценката да  бъде </w:t>
      </w:r>
      <w:r w:rsidR="00684C85" w:rsidRPr="00684C85">
        <w:rPr>
          <w:rFonts w:ascii="Palatino Linotype" w:hAnsi="Palatino Linotype"/>
        </w:rPr>
        <w:t>„НЕПРИЛОЖИМО“</w:t>
      </w:r>
      <w:r w:rsidR="00684C85">
        <w:rPr>
          <w:rFonts w:ascii="Palatino Linotype" w:hAnsi="Palatino Linotype"/>
        </w:rPr>
        <w:t xml:space="preserve">, като в този случай проектното предложение може да бъде одобрено. В случай, че поне по един от </w:t>
      </w:r>
      <w:r w:rsidR="00684C85" w:rsidRPr="00684C85">
        <w:rPr>
          <w:rFonts w:ascii="Palatino Linotype" w:hAnsi="Palatino Linotype"/>
        </w:rPr>
        <w:t>критерии</w:t>
      </w:r>
      <w:r w:rsidR="00684C85">
        <w:rPr>
          <w:rFonts w:ascii="Palatino Linotype" w:hAnsi="Palatino Linotype"/>
        </w:rPr>
        <w:t>те</w:t>
      </w:r>
      <w:r w:rsidR="00684C85" w:rsidRPr="00684C85">
        <w:rPr>
          <w:rFonts w:ascii="Palatino Linotype" w:hAnsi="Palatino Linotype"/>
        </w:rPr>
        <w:t xml:space="preserve"> </w:t>
      </w:r>
      <w:r w:rsidR="00684C85">
        <w:rPr>
          <w:rFonts w:ascii="Palatino Linotype" w:hAnsi="Palatino Linotype"/>
        </w:rPr>
        <w:t>е</w:t>
      </w:r>
      <w:r w:rsidR="00684C85" w:rsidRPr="00684C85">
        <w:rPr>
          <w:rFonts w:ascii="Palatino Linotype" w:hAnsi="Palatino Linotype"/>
        </w:rPr>
        <w:t xml:space="preserve"> получена </w:t>
      </w:r>
      <w:r w:rsidR="00684C85">
        <w:rPr>
          <w:rFonts w:ascii="Palatino Linotype" w:hAnsi="Palatino Linotype"/>
        </w:rPr>
        <w:t xml:space="preserve">отрицателна </w:t>
      </w:r>
      <w:r w:rsidR="00684C85" w:rsidRPr="00684C85">
        <w:rPr>
          <w:rFonts w:ascii="Palatino Linotype" w:hAnsi="Palatino Linotype"/>
        </w:rPr>
        <w:t xml:space="preserve"> оценка „</w:t>
      </w:r>
      <w:r w:rsidR="00684C85">
        <w:rPr>
          <w:rFonts w:ascii="Palatino Linotype" w:hAnsi="Palatino Linotype"/>
        </w:rPr>
        <w:t>НЕ</w:t>
      </w:r>
      <w:r w:rsidR="00684C85" w:rsidRPr="00684C85">
        <w:rPr>
          <w:rFonts w:ascii="Palatino Linotype" w:hAnsi="Palatino Linotype"/>
        </w:rPr>
        <w:t>“</w:t>
      </w:r>
      <w:r w:rsidR="00684C85">
        <w:rPr>
          <w:rFonts w:ascii="Palatino Linotype" w:hAnsi="Palatino Linotype"/>
        </w:rPr>
        <w:t xml:space="preserve">, ФК </w:t>
      </w:r>
      <w:r w:rsidR="00684C85" w:rsidRPr="00684C85">
        <w:rPr>
          <w:rFonts w:ascii="Palatino Linotype" w:hAnsi="Palatino Linotype"/>
        </w:rPr>
        <w:t>може да бъде върнат за ревизиране или отхвърлен.</w:t>
      </w:r>
    </w:p>
    <w:p w:rsidR="007A003C" w:rsidRPr="006F524E" w:rsidRDefault="007A003C" w:rsidP="006F524E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0"/>
        <w:ind w:left="993" w:hanging="426"/>
        <w:jc w:val="both"/>
        <w:rPr>
          <w:rFonts w:ascii="Palatino Linotype" w:hAnsi="Palatino Linotype"/>
          <w:color w:val="auto"/>
          <w:sz w:val="24"/>
          <w:szCs w:val="24"/>
        </w:rPr>
      </w:pPr>
      <w:r w:rsidRPr="006F524E">
        <w:rPr>
          <w:rFonts w:ascii="Palatino Linotype" w:hAnsi="Palatino Linotype"/>
          <w:color w:val="auto"/>
          <w:sz w:val="24"/>
          <w:szCs w:val="24"/>
        </w:rPr>
        <w:t xml:space="preserve">Общи </w:t>
      </w:r>
      <w:r w:rsidR="00385EBC" w:rsidRPr="006F524E">
        <w:rPr>
          <w:rFonts w:ascii="Palatino Linotype" w:hAnsi="Palatino Linotype"/>
          <w:color w:val="auto"/>
          <w:sz w:val="24"/>
          <w:szCs w:val="24"/>
        </w:rPr>
        <w:t xml:space="preserve">групи </w:t>
      </w:r>
      <w:r w:rsidRPr="006F524E">
        <w:rPr>
          <w:rFonts w:ascii="Palatino Linotype" w:hAnsi="Palatino Linotype"/>
          <w:color w:val="auto"/>
          <w:sz w:val="24"/>
          <w:szCs w:val="24"/>
        </w:rPr>
        <w:t>критерии</w:t>
      </w:r>
    </w:p>
    <w:p w:rsidR="007A003C" w:rsidRPr="0098214C" w:rsidRDefault="007A003C" w:rsidP="007A003C">
      <w:pPr>
        <w:pStyle w:val="ListParagraph"/>
        <w:jc w:val="both"/>
        <w:rPr>
          <w:rFonts w:ascii="Palatino Linotype" w:hAnsi="Palatino Linotype"/>
        </w:rPr>
      </w:pPr>
    </w:p>
    <w:p w:rsidR="001B44DF" w:rsidRPr="001B44DF" w:rsidRDefault="001B44DF" w:rsidP="001B44D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1B44DF">
        <w:rPr>
          <w:rFonts w:ascii="Palatino Linotype" w:hAnsi="Palatino Linotype"/>
          <w:b/>
        </w:rPr>
        <w:t>Административно съответствие</w:t>
      </w:r>
    </w:p>
    <w:p w:rsidR="001B44DF" w:rsidRPr="00994263" w:rsidRDefault="001B44DF" w:rsidP="001B44DF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94263">
        <w:rPr>
          <w:rFonts w:ascii="Palatino Linotype" w:hAnsi="Palatino Linotype"/>
          <w:i/>
        </w:rPr>
        <w:t xml:space="preserve">Формулярът за кандидатстване е подаден от бенефициент, посочен в </w:t>
      </w:r>
      <w:r w:rsidR="008010BE">
        <w:rPr>
          <w:rFonts w:ascii="Palatino Linotype" w:hAnsi="Palatino Linotype"/>
          <w:i/>
        </w:rPr>
        <w:t xml:space="preserve">процедурата </w:t>
      </w:r>
      <w:r w:rsidRPr="00994263">
        <w:rPr>
          <w:rFonts w:ascii="Palatino Linotype" w:hAnsi="Palatino Linotype"/>
          <w:i/>
        </w:rPr>
        <w:t xml:space="preserve">като конкретен бенефициент; </w:t>
      </w:r>
    </w:p>
    <w:p w:rsidR="001B44DF" w:rsidRPr="00994263" w:rsidRDefault="001B44DF" w:rsidP="001B44DF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94263">
        <w:rPr>
          <w:rFonts w:ascii="Palatino Linotype" w:hAnsi="Palatino Linotype"/>
          <w:i/>
        </w:rPr>
        <w:t>Формулярът за кандидатстване е получен по съответния ред и начин (електронно или на хартиен носител);</w:t>
      </w:r>
    </w:p>
    <w:p w:rsidR="001B44DF" w:rsidRPr="00994263" w:rsidRDefault="001B44DF" w:rsidP="001B44DF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94263">
        <w:rPr>
          <w:rFonts w:ascii="Palatino Linotype" w:hAnsi="Palatino Linotype"/>
          <w:i/>
        </w:rPr>
        <w:t>Използван е образеца на ФК, съгласно ИСУН 2020, а за инвестиционни проекти е попълнен образеца на ФК съгласно, Приложение ІІ на Регламент № (ЕС) 207/2015 г.;</w:t>
      </w:r>
    </w:p>
    <w:p w:rsidR="001B44DF" w:rsidRPr="00994263" w:rsidRDefault="001B44DF" w:rsidP="001B44DF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94263">
        <w:rPr>
          <w:rFonts w:ascii="Palatino Linotype" w:hAnsi="Palatino Linotype"/>
          <w:i/>
        </w:rPr>
        <w:t>Проектното предложение е подадено в срок;</w:t>
      </w:r>
    </w:p>
    <w:p w:rsidR="001B44DF" w:rsidRPr="00994263" w:rsidRDefault="001B44DF" w:rsidP="001B44DF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94263">
        <w:rPr>
          <w:rFonts w:ascii="Palatino Linotype" w:hAnsi="Palatino Linotype"/>
          <w:i/>
        </w:rPr>
        <w:t>Всички изискани документи са изпратени по установения ред и начин;</w:t>
      </w:r>
    </w:p>
    <w:p w:rsidR="001B44DF" w:rsidRPr="00994263" w:rsidRDefault="001B44DF" w:rsidP="001B44DF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94263">
        <w:rPr>
          <w:rFonts w:ascii="Palatino Linotype" w:hAnsi="Palatino Linotype"/>
          <w:i/>
        </w:rPr>
        <w:t xml:space="preserve">Във ФК е попълнена цялата изискуема информация в съответствие с изискванията на ИСУН 2020 и с указанията за попълване в Насоки за </w:t>
      </w:r>
      <w:r w:rsidR="008010BE">
        <w:rPr>
          <w:rFonts w:ascii="Palatino Linotype" w:hAnsi="Palatino Linotype"/>
          <w:i/>
        </w:rPr>
        <w:t>процедурата</w:t>
      </w:r>
      <w:r w:rsidRPr="00994263">
        <w:rPr>
          <w:rFonts w:ascii="Palatino Linotype" w:hAnsi="Palatino Linotype"/>
          <w:i/>
        </w:rPr>
        <w:t>.</w:t>
      </w:r>
    </w:p>
    <w:p w:rsidR="001B44DF" w:rsidRPr="001B44DF" w:rsidRDefault="001B44DF" w:rsidP="001B44DF">
      <w:pPr>
        <w:pStyle w:val="ListParagraph"/>
        <w:jc w:val="both"/>
        <w:rPr>
          <w:rFonts w:ascii="Palatino Linotype" w:hAnsi="Palatino Linotype"/>
        </w:rPr>
      </w:pPr>
    </w:p>
    <w:p w:rsidR="00844D1F" w:rsidRPr="0098214C" w:rsidRDefault="00844D1F" w:rsidP="003F154A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98214C">
        <w:rPr>
          <w:rFonts w:ascii="Palatino Linotype" w:hAnsi="Palatino Linotype"/>
          <w:b/>
        </w:rPr>
        <w:t>Допустимост</w:t>
      </w:r>
    </w:p>
    <w:p w:rsidR="00DC0AC7" w:rsidRPr="0098214C" w:rsidRDefault="00C7622A" w:rsidP="001B44DF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 xml:space="preserve">Проектното предложение  попада в обхвата </w:t>
      </w:r>
      <w:r w:rsidRPr="00FF2BD1">
        <w:rPr>
          <w:rFonts w:ascii="Palatino Linotype" w:hAnsi="Palatino Linotype"/>
          <w:i/>
        </w:rPr>
        <w:t xml:space="preserve">на </w:t>
      </w:r>
      <w:r w:rsidR="001B44DF" w:rsidRPr="00994263">
        <w:rPr>
          <w:rFonts w:ascii="Palatino Linotype" w:hAnsi="Palatino Linotype"/>
          <w:b/>
          <w:i/>
        </w:rPr>
        <w:t>ЕФРР</w:t>
      </w:r>
      <w:r w:rsidRPr="00FF2BD1">
        <w:rPr>
          <w:rFonts w:ascii="Palatino Linotype" w:hAnsi="Palatino Linotype"/>
          <w:i/>
        </w:rPr>
        <w:t xml:space="preserve"> и</w:t>
      </w:r>
      <w:r w:rsidRPr="0098214C">
        <w:rPr>
          <w:rFonts w:ascii="Palatino Linotype" w:hAnsi="Palatino Linotype"/>
          <w:i/>
        </w:rPr>
        <w:t xml:space="preserve"> може да бъде вк</w:t>
      </w:r>
      <w:r w:rsidR="003D6DCC" w:rsidRPr="0098214C">
        <w:rPr>
          <w:rFonts w:ascii="Palatino Linotype" w:hAnsi="Palatino Linotype"/>
          <w:i/>
        </w:rPr>
        <w:t>лючено в категория интервенции,</w:t>
      </w:r>
      <w:r w:rsidRPr="0098214C">
        <w:rPr>
          <w:rFonts w:ascii="Palatino Linotype" w:hAnsi="Palatino Linotype"/>
          <w:i/>
        </w:rPr>
        <w:t xml:space="preserve"> </w:t>
      </w:r>
      <w:r w:rsidR="003D6DCC" w:rsidRPr="0098214C">
        <w:rPr>
          <w:rFonts w:ascii="Palatino Linotype" w:hAnsi="Palatino Linotype"/>
          <w:i/>
        </w:rPr>
        <w:t>заложени</w:t>
      </w:r>
      <w:r w:rsidR="00FC2B6B">
        <w:rPr>
          <w:rFonts w:ascii="Palatino Linotype" w:hAnsi="Palatino Linotype"/>
          <w:i/>
        </w:rPr>
        <w:t xml:space="preserve"> в</w:t>
      </w:r>
      <w:r w:rsidR="003D6DCC" w:rsidRPr="0098214C">
        <w:rPr>
          <w:rFonts w:ascii="Palatino Linotype" w:hAnsi="Palatino Linotype"/>
          <w:i/>
        </w:rPr>
        <w:t xml:space="preserve"> </w:t>
      </w:r>
      <w:r w:rsidR="00FC2B6B" w:rsidRPr="0098214C">
        <w:rPr>
          <w:rFonts w:ascii="Palatino Linotype" w:hAnsi="Palatino Linotype"/>
          <w:b/>
          <w:i/>
        </w:rPr>
        <w:t>инвестицион</w:t>
      </w:r>
      <w:r w:rsidR="00FC2B6B">
        <w:rPr>
          <w:rFonts w:ascii="Palatino Linotype" w:hAnsi="Palatino Linotype"/>
          <w:b/>
          <w:i/>
        </w:rPr>
        <w:t>н</w:t>
      </w:r>
      <w:r w:rsidR="00FC2B6B" w:rsidRPr="0098214C">
        <w:rPr>
          <w:rFonts w:ascii="Palatino Linotype" w:hAnsi="Palatino Linotype"/>
          <w:b/>
          <w:i/>
        </w:rPr>
        <w:t>ия</w:t>
      </w:r>
      <w:r w:rsidR="00391C3C" w:rsidRPr="0098214C">
        <w:rPr>
          <w:rFonts w:ascii="Palatino Linotype" w:hAnsi="Palatino Linotype"/>
          <w:b/>
          <w:i/>
        </w:rPr>
        <w:t xml:space="preserve"> </w:t>
      </w:r>
      <w:r w:rsidRPr="0098214C">
        <w:rPr>
          <w:rFonts w:ascii="Palatino Linotype" w:hAnsi="Palatino Linotype"/>
          <w:b/>
          <w:i/>
        </w:rPr>
        <w:t>приоритет</w:t>
      </w:r>
      <w:r w:rsidR="003D6DCC" w:rsidRPr="0098214C">
        <w:rPr>
          <w:rFonts w:ascii="Palatino Linotype" w:hAnsi="Palatino Linotype"/>
          <w:b/>
          <w:i/>
        </w:rPr>
        <w:t xml:space="preserve"> </w:t>
      </w:r>
      <w:r w:rsidR="003D6DCC" w:rsidRPr="0098214C">
        <w:rPr>
          <w:rFonts w:ascii="Palatino Linotype" w:hAnsi="Palatino Linotype"/>
          <w:i/>
        </w:rPr>
        <w:t>в</w:t>
      </w:r>
      <w:r w:rsidRPr="0098214C">
        <w:rPr>
          <w:rFonts w:ascii="Palatino Linotype" w:hAnsi="Palatino Linotype"/>
          <w:i/>
        </w:rPr>
        <w:t xml:space="preserve"> </w:t>
      </w:r>
      <w:r w:rsidR="00FC2B6B">
        <w:rPr>
          <w:rFonts w:ascii="Palatino Linotype" w:hAnsi="Palatino Linotype"/>
          <w:i/>
        </w:rPr>
        <w:t xml:space="preserve">ПО 4 на </w:t>
      </w:r>
      <w:r w:rsidRPr="0098214C">
        <w:rPr>
          <w:rFonts w:ascii="Palatino Linotype" w:hAnsi="Palatino Linotype"/>
          <w:i/>
        </w:rPr>
        <w:t>оперативната програма;</w:t>
      </w:r>
    </w:p>
    <w:p w:rsidR="00A61F00" w:rsidRPr="0098214C" w:rsidRDefault="007A000A" w:rsidP="00A61F00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Проектното предложение</w:t>
      </w:r>
      <w:r w:rsidR="00A61F00" w:rsidRPr="0098214C">
        <w:rPr>
          <w:rFonts w:ascii="Palatino Linotype" w:hAnsi="Palatino Linotype"/>
          <w:i/>
        </w:rPr>
        <w:t xml:space="preserve"> съответства на </w:t>
      </w:r>
      <w:r w:rsidR="00A61F00" w:rsidRPr="0098214C">
        <w:rPr>
          <w:rFonts w:ascii="Palatino Linotype" w:hAnsi="Palatino Linotype"/>
          <w:b/>
          <w:i/>
        </w:rPr>
        <w:t>видовете транспорт</w:t>
      </w:r>
      <w:r w:rsidR="00A61F00" w:rsidRPr="0098214C">
        <w:rPr>
          <w:rFonts w:ascii="Palatino Linotype" w:hAnsi="Palatino Linotype"/>
          <w:i/>
        </w:rPr>
        <w:t xml:space="preserve">, включени за финансиране </w:t>
      </w:r>
      <w:r w:rsidR="00FC2B6B">
        <w:rPr>
          <w:rFonts w:ascii="Palatino Linotype" w:hAnsi="Palatino Linotype"/>
          <w:i/>
        </w:rPr>
        <w:t>по процедурата;</w:t>
      </w:r>
    </w:p>
    <w:p w:rsidR="00391C3C" w:rsidRPr="00FC2B6B" w:rsidRDefault="007A000A" w:rsidP="00FC2B6B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FC2B6B">
        <w:rPr>
          <w:rFonts w:ascii="Palatino Linotype" w:hAnsi="Palatino Linotype"/>
          <w:i/>
        </w:rPr>
        <w:t xml:space="preserve">Проектното предложение </w:t>
      </w:r>
      <w:r w:rsidR="00391C3C" w:rsidRPr="00FC2B6B">
        <w:rPr>
          <w:rFonts w:ascii="Palatino Linotype" w:hAnsi="Palatino Linotype"/>
          <w:i/>
        </w:rPr>
        <w:t xml:space="preserve">допринася за постигане на </w:t>
      </w:r>
      <w:r w:rsidRPr="00FC2B6B">
        <w:rPr>
          <w:rFonts w:ascii="Palatino Linotype" w:hAnsi="Palatino Linotype"/>
          <w:b/>
          <w:i/>
        </w:rPr>
        <w:t>общата цел</w:t>
      </w:r>
      <w:r w:rsidRPr="00FC2B6B">
        <w:rPr>
          <w:rFonts w:ascii="Palatino Linotype" w:hAnsi="Palatino Linotype"/>
          <w:i/>
        </w:rPr>
        <w:t xml:space="preserve"> на приоритетната ос, свързана с  </w:t>
      </w:r>
      <w:r w:rsidR="00391C3C" w:rsidRPr="00FC2B6B">
        <w:rPr>
          <w:rFonts w:ascii="Palatino Linotype" w:hAnsi="Palatino Linotype"/>
          <w:i/>
        </w:rPr>
        <w:t>тематична цел:</w:t>
      </w:r>
      <w:r w:rsidR="00FC2B6B" w:rsidRPr="00FC2B6B">
        <w:rPr>
          <w:rFonts w:ascii="Palatino Linotype" w:hAnsi="Palatino Linotype"/>
          <w:i/>
        </w:rPr>
        <w:t xml:space="preserve"> </w:t>
      </w:r>
      <w:r w:rsidR="00391C3C" w:rsidRPr="00FC2B6B">
        <w:rPr>
          <w:rFonts w:ascii="Palatino Linotype" w:hAnsi="Palatino Linotype"/>
          <w:b/>
          <w:i/>
        </w:rPr>
        <w:t xml:space="preserve">№ 7 </w:t>
      </w:r>
      <w:r w:rsidR="00391C3C" w:rsidRPr="00FC2B6B">
        <w:rPr>
          <w:rFonts w:ascii="Palatino Linotype" w:hAnsi="Palatino Linotype"/>
          <w:i/>
        </w:rPr>
        <w:t>„Насърчаване на устойчивия транспорт и премахване на участъците с недостатъчен капацитет във всички ключови мрежови инфраструктури”.</w:t>
      </w:r>
    </w:p>
    <w:p w:rsidR="0073786F" w:rsidRPr="00994263" w:rsidRDefault="0073786F" w:rsidP="0073786F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D923B6">
        <w:rPr>
          <w:rFonts w:ascii="Palatino Linotype" w:hAnsi="Palatino Linotype"/>
          <w:i/>
        </w:rPr>
        <w:t xml:space="preserve">Проектното предложение показва </w:t>
      </w:r>
      <w:r w:rsidR="00C31C01" w:rsidRPr="00D923B6">
        <w:rPr>
          <w:rFonts w:ascii="Palatino Linotype" w:hAnsi="Palatino Linotype"/>
          <w:b/>
          <w:i/>
        </w:rPr>
        <w:t>необходимост</w:t>
      </w:r>
      <w:r w:rsidRPr="00D923B6">
        <w:rPr>
          <w:rFonts w:ascii="Palatino Linotype" w:hAnsi="Palatino Linotype"/>
          <w:b/>
          <w:i/>
        </w:rPr>
        <w:t xml:space="preserve"> от </w:t>
      </w:r>
      <w:r w:rsidR="00A61F00" w:rsidRPr="00D923B6">
        <w:rPr>
          <w:rFonts w:ascii="Palatino Linotype" w:hAnsi="Palatino Linotype"/>
          <w:b/>
          <w:i/>
        </w:rPr>
        <w:t>финансова</w:t>
      </w:r>
      <w:r w:rsidRPr="00D923B6">
        <w:rPr>
          <w:rFonts w:ascii="Palatino Linotype" w:hAnsi="Palatino Linotype"/>
          <w:b/>
          <w:i/>
        </w:rPr>
        <w:t xml:space="preserve"> подкрепа</w:t>
      </w:r>
      <w:r w:rsidRPr="00FF2BD1">
        <w:rPr>
          <w:rFonts w:ascii="Palatino Linotype" w:hAnsi="Palatino Linotype"/>
          <w:i/>
        </w:rPr>
        <w:t xml:space="preserve">  </w:t>
      </w:r>
    </w:p>
    <w:p w:rsidR="008A4539" w:rsidRPr="00994263" w:rsidRDefault="00A66547" w:rsidP="008A4539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94263">
        <w:rPr>
          <w:rFonts w:ascii="Palatino Linotype" w:hAnsi="Palatino Linotype"/>
          <w:i/>
        </w:rPr>
        <w:lastRenderedPageBreak/>
        <w:t>Д</w:t>
      </w:r>
      <w:r w:rsidR="008A4539" w:rsidRPr="00994263">
        <w:rPr>
          <w:rFonts w:ascii="Palatino Linotype" w:hAnsi="Palatino Linotype"/>
          <w:i/>
        </w:rPr>
        <w:t xml:space="preserve">ейностите по проекта съответстват на дейностите, предвидени в </w:t>
      </w:r>
      <w:r w:rsidR="00FC2B6B">
        <w:rPr>
          <w:rFonts w:ascii="Palatino Linotype" w:hAnsi="Palatino Linotype"/>
          <w:i/>
        </w:rPr>
        <w:t>процедурата</w:t>
      </w:r>
      <w:r w:rsidR="008A4539" w:rsidRPr="00994263">
        <w:rPr>
          <w:rFonts w:ascii="Palatino Linotype" w:hAnsi="Palatino Linotype"/>
          <w:i/>
        </w:rPr>
        <w:t>;</w:t>
      </w:r>
    </w:p>
    <w:p w:rsidR="008A4539" w:rsidRPr="00994263" w:rsidRDefault="008A4539" w:rsidP="008A4539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94263">
        <w:rPr>
          <w:rFonts w:ascii="Palatino Linotype" w:hAnsi="Palatino Linotype"/>
          <w:i/>
        </w:rPr>
        <w:t xml:space="preserve">Допустимите разходи за проекта са определени в съответствие с актуалната националната нормативна уредба . </w:t>
      </w:r>
    </w:p>
    <w:p w:rsidR="008A4539" w:rsidRPr="00994263" w:rsidRDefault="00A66547" w:rsidP="008A4539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94263">
        <w:rPr>
          <w:rFonts w:ascii="Palatino Linotype" w:hAnsi="Palatino Linotype"/>
          <w:i/>
        </w:rPr>
        <w:t xml:space="preserve">Всички </w:t>
      </w:r>
      <w:r w:rsidR="008A4539" w:rsidRPr="00994263">
        <w:rPr>
          <w:rFonts w:ascii="Palatino Linotype" w:hAnsi="Palatino Linotype"/>
          <w:i/>
        </w:rPr>
        <w:t>дейности по проекта не са физически приключили и не са изцяло изпълнени преди подаване на ФК;</w:t>
      </w:r>
    </w:p>
    <w:p w:rsidR="00391C3C" w:rsidRPr="00994263" w:rsidRDefault="00A66547" w:rsidP="008A4539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94263">
        <w:rPr>
          <w:rFonts w:ascii="Palatino Linotype" w:hAnsi="Palatino Linotype"/>
          <w:i/>
        </w:rPr>
        <w:t xml:space="preserve">Дейностите по проекта </w:t>
      </w:r>
      <w:r w:rsidR="008A4539" w:rsidRPr="00994263">
        <w:rPr>
          <w:rFonts w:ascii="Palatino Linotype" w:hAnsi="Palatino Linotype"/>
          <w:i/>
        </w:rPr>
        <w:t>не са финансирани/ не се финансират по друг проект, програма или каквато и да е друга схема с източник националния бюджет, бюджета на ЕС или друга донорска програма;</w:t>
      </w:r>
    </w:p>
    <w:p w:rsidR="00A50D18" w:rsidRPr="0098214C" w:rsidRDefault="00DC0AC7" w:rsidP="00950779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98214C">
        <w:rPr>
          <w:rFonts w:ascii="Palatino Linotype" w:hAnsi="Palatino Linotype"/>
          <w:b/>
        </w:rPr>
        <w:t>Свързаност</w:t>
      </w:r>
      <w:r w:rsidRPr="0098214C">
        <w:rPr>
          <w:rFonts w:ascii="Palatino Linotype" w:hAnsi="Palatino Linotype"/>
        </w:rPr>
        <w:t xml:space="preserve"> </w:t>
      </w:r>
      <w:r w:rsidR="00A50D18" w:rsidRPr="0098214C">
        <w:rPr>
          <w:rFonts w:ascii="Palatino Linotype" w:hAnsi="Palatino Linotype"/>
          <w:b/>
        </w:rPr>
        <w:t>и</w:t>
      </w:r>
      <w:r w:rsidR="00A50D18" w:rsidRPr="0098214C">
        <w:rPr>
          <w:rFonts w:ascii="Palatino Linotype" w:hAnsi="Palatino Linotype"/>
        </w:rPr>
        <w:t xml:space="preserve"> </w:t>
      </w:r>
      <w:r w:rsidR="00A50D18" w:rsidRPr="0098214C">
        <w:rPr>
          <w:rFonts w:ascii="Palatino Linotype" w:hAnsi="Palatino Linotype"/>
          <w:b/>
        </w:rPr>
        <w:t>съгласуваност</w:t>
      </w:r>
      <w:r w:rsidR="00A50D18" w:rsidRPr="0098214C">
        <w:rPr>
          <w:rFonts w:ascii="Palatino Linotype" w:hAnsi="Palatino Linotype"/>
        </w:rPr>
        <w:t xml:space="preserve"> </w:t>
      </w:r>
    </w:p>
    <w:p w:rsidR="003F154A" w:rsidRPr="0098214C" w:rsidRDefault="003F154A" w:rsidP="003F154A">
      <w:pPr>
        <w:pStyle w:val="ListParagraph"/>
        <w:jc w:val="both"/>
        <w:rPr>
          <w:rFonts w:ascii="Palatino Linotype" w:hAnsi="Palatino Linotype"/>
        </w:rPr>
      </w:pPr>
    </w:p>
    <w:p w:rsidR="00CF12FF" w:rsidRPr="0098214C" w:rsidRDefault="00DC0AC7" w:rsidP="003F154A">
      <w:pPr>
        <w:pStyle w:val="ListParagraph"/>
        <w:numPr>
          <w:ilvl w:val="0"/>
          <w:numId w:val="5"/>
        </w:numPr>
        <w:ind w:left="709" w:hanging="425"/>
        <w:jc w:val="both"/>
        <w:rPr>
          <w:rFonts w:ascii="Palatino Linotype" w:hAnsi="Palatino Linotype"/>
          <w:b/>
          <w:i/>
        </w:rPr>
      </w:pPr>
      <w:r w:rsidRPr="0098214C">
        <w:rPr>
          <w:rFonts w:ascii="Palatino Linotype" w:hAnsi="Palatino Linotype"/>
          <w:b/>
          <w:i/>
        </w:rPr>
        <w:t>с целите и приоритетите на националната и общоевропейска политика за програмния период 2014-2020 г.</w:t>
      </w:r>
      <w:r w:rsidR="00810837" w:rsidRPr="0098214C">
        <w:rPr>
          <w:rFonts w:ascii="Palatino Linotype" w:hAnsi="Palatino Linotype"/>
          <w:b/>
          <w:i/>
        </w:rPr>
        <w:t xml:space="preserve">: </w:t>
      </w:r>
    </w:p>
    <w:p w:rsidR="00CF12FF" w:rsidRPr="0098214C" w:rsidRDefault="00810837" w:rsidP="00DA27C2">
      <w:pPr>
        <w:pStyle w:val="ListParagraph"/>
        <w:numPr>
          <w:ilvl w:val="1"/>
          <w:numId w:val="5"/>
        </w:numPr>
        <w:ind w:left="284" w:firstLine="1134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 xml:space="preserve">Връзка с основните </w:t>
      </w:r>
      <w:r w:rsidRPr="0098214C">
        <w:rPr>
          <w:rFonts w:ascii="Palatino Linotype" w:hAnsi="Palatino Linotype"/>
          <w:b/>
          <w:i/>
        </w:rPr>
        <w:t>политики на ЕС и трансгранично влияние</w:t>
      </w:r>
      <w:r w:rsidRPr="0098214C">
        <w:rPr>
          <w:rFonts w:ascii="Palatino Linotype" w:hAnsi="Palatino Linotype"/>
          <w:i/>
        </w:rPr>
        <w:t xml:space="preserve"> –  Стратегия Europe 2020, EC Position Paper 2012, „Бяла книга 2011” и други приложими стратегии, и стратегически документи; да бъде налице съответствие с разпоредбите на Общия Регламент, Приложния регламент, регламентите за ЕФРР, както и с други приложими регламенти и изисквания на ЕС;</w:t>
      </w:r>
    </w:p>
    <w:p w:rsidR="003F154A" w:rsidRPr="0098214C" w:rsidRDefault="00810837" w:rsidP="0098214C">
      <w:pPr>
        <w:pStyle w:val="ListParagraph"/>
        <w:numPr>
          <w:ilvl w:val="1"/>
          <w:numId w:val="5"/>
        </w:numPr>
        <w:ind w:left="284" w:firstLine="1134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 xml:space="preserve">Връзка с </w:t>
      </w:r>
      <w:r w:rsidRPr="0098214C">
        <w:rPr>
          <w:rFonts w:ascii="Palatino Linotype" w:hAnsi="Palatino Linotype"/>
          <w:b/>
          <w:i/>
        </w:rPr>
        <w:t>основни национални политики</w:t>
      </w:r>
      <w:r w:rsidRPr="0098214C">
        <w:rPr>
          <w:rFonts w:ascii="Palatino Linotype" w:hAnsi="Palatino Linotype"/>
          <w:i/>
        </w:rPr>
        <w:t xml:space="preserve"> – Национална програма за развитие „България 2020”, Национална транспортна стратегия, Национална стратегия за регионално развитие на Република България 2012-2022, ОГПТ,  приоритетите на ОПТТИ, Споразумението за партньорство, процедурните наръчници и документи на УО и бенефициентите на ОПТТИ, където е приложимо и др.</w:t>
      </w:r>
    </w:p>
    <w:p w:rsidR="0098214C" w:rsidRDefault="0098214C" w:rsidP="0098214C">
      <w:pPr>
        <w:jc w:val="both"/>
        <w:rPr>
          <w:rFonts w:ascii="Palatino Linotype" w:hAnsi="Palatino Linotype"/>
          <w:i/>
          <w:lang w:val="en-US"/>
        </w:rPr>
      </w:pPr>
    </w:p>
    <w:p w:rsidR="00CF12FF" w:rsidRPr="0098214C" w:rsidRDefault="00CF12FF" w:rsidP="003F154A">
      <w:pPr>
        <w:pStyle w:val="ListParagraph"/>
        <w:numPr>
          <w:ilvl w:val="0"/>
          <w:numId w:val="5"/>
        </w:numPr>
        <w:ind w:left="709" w:hanging="425"/>
        <w:jc w:val="both"/>
        <w:rPr>
          <w:rFonts w:ascii="Palatino Linotype" w:hAnsi="Palatino Linotype"/>
          <w:b/>
          <w:i/>
        </w:rPr>
      </w:pPr>
      <w:r w:rsidRPr="0098214C">
        <w:rPr>
          <w:rFonts w:ascii="Palatino Linotype" w:hAnsi="Palatino Linotype"/>
          <w:b/>
          <w:i/>
        </w:rPr>
        <w:t>с основните приложими хоризонтални политики на ЕС:</w:t>
      </w:r>
    </w:p>
    <w:p w:rsidR="00CF12FF" w:rsidRPr="0098214C" w:rsidRDefault="00CF12FF" w:rsidP="00CF12FF">
      <w:pPr>
        <w:pStyle w:val="ListParagraph"/>
        <w:numPr>
          <w:ilvl w:val="1"/>
          <w:numId w:val="5"/>
        </w:numPr>
        <w:ind w:left="1843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Устойчиво развитие, включващо:</w:t>
      </w:r>
    </w:p>
    <w:p w:rsidR="00CF12FF" w:rsidRPr="0098214C" w:rsidRDefault="00CF12FF" w:rsidP="00CF12F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Опазване на околната среда</w:t>
      </w:r>
    </w:p>
    <w:p w:rsidR="00CF12FF" w:rsidRPr="0098214C" w:rsidRDefault="00CF12FF" w:rsidP="00CF12F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Ефективно използване на ресурсите</w:t>
      </w:r>
    </w:p>
    <w:p w:rsidR="00CF12FF" w:rsidRPr="0098214C" w:rsidRDefault="00CF12FF" w:rsidP="00CF12F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Смекчаване измененията на климата и адаптация към него</w:t>
      </w:r>
    </w:p>
    <w:p w:rsidR="00CF12FF" w:rsidRPr="0098214C" w:rsidRDefault="00CF12FF" w:rsidP="00CF12F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Устойчивост при бедствия</w:t>
      </w:r>
    </w:p>
    <w:p w:rsidR="00CF12FF" w:rsidRPr="0098214C" w:rsidRDefault="00CF12FF" w:rsidP="00CF12F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Превенция и управление на риска от бедствия</w:t>
      </w:r>
    </w:p>
    <w:p w:rsidR="00CF12FF" w:rsidRPr="0098214C" w:rsidRDefault="00CF12FF" w:rsidP="00CF12FF">
      <w:pPr>
        <w:pStyle w:val="ListParagraph"/>
        <w:numPr>
          <w:ilvl w:val="1"/>
          <w:numId w:val="5"/>
        </w:numPr>
        <w:ind w:left="1843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 xml:space="preserve">Равни възможности и </w:t>
      </w:r>
      <w:r w:rsidR="00306F8C" w:rsidRPr="0098214C">
        <w:rPr>
          <w:rFonts w:ascii="Palatino Linotype" w:hAnsi="Palatino Linotype"/>
          <w:i/>
        </w:rPr>
        <w:t>недопускане</w:t>
      </w:r>
      <w:r w:rsidRPr="0098214C">
        <w:rPr>
          <w:rFonts w:ascii="Palatino Linotype" w:hAnsi="Palatino Linotype"/>
          <w:i/>
        </w:rPr>
        <w:t xml:space="preserve"> на дискриминация</w:t>
      </w:r>
    </w:p>
    <w:p w:rsidR="00810837" w:rsidRPr="0098214C" w:rsidRDefault="00CF12FF" w:rsidP="00CF12FF">
      <w:pPr>
        <w:pStyle w:val="ListParagraph"/>
        <w:numPr>
          <w:ilvl w:val="1"/>
          <w:numId w:val="5"/>
        </w:numPr>
        <w:ind w:left="1843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Равенство между половете</w:t>
      </w:r>
    </w:p>
    <w:p w:rsidR="00306F8C" w:rsidRPr="0098214C" w:rsidRDefault="00306F8C" w:rsidP="00306F8C">
      <w:pPr>
        <w:pStyle w:val="ListParagraph"/>
        <w:numPr>
          <w:ilvl w:val="1"/>
          <w:numId w:val="5"/>
        </w:numPr>
        <w:ind w:left="1843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Партньорство и многостепенно управление</w:t>
      </w:r>
    </w:p>
    <w:p w:rsidR="00306F8C" w:rsidRPr="0098214C" w:rsidRDefault="00306F8C" w:rsidP="00306F8C">
      <w:pPr>
        <w:pStyle w:val="ListParagraph"/>
        <w:numPr>
          <w:ilvl w:val="1"/>
          <w:numId w:val="5"/>
        </w:numPr>
        <w:ind w:left="1843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Държавни помощи</w:t>
      </w:r>
    </w:p>
    <w:p w:rsidR="00306F8C" w:rsidRPr="0098214C" w:rsidRDefault="00306F8C" w:rsidP="00306F8C">
      <w:pPr>
        <w:pStyle w:val="ListParagraph"/>
        <w:numPr>
          <w:ilvl w:val="1"/>
          <w:numId w:val="5"/>
        </w:numPr>
        <w:ind w:left="1843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Обществени поръчки</w:t>
      </w:r>
    </w:p>
    <w:p w:rsidR="00306F8C" w:rsidRPr="0098214C" w:rsidRDefault="00306F8C" w:rsidP="00306F8C">
      <w:pPr>
        <w:pStyle w:val="ListParagraph"/>
        <w:numPr>
          <w:ilvl w:val="1"/>
          <w:numId w:val="5"/>
        </w:numPr>
        <w:ind w:left="1843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Конкурентоспособност</w:t>
      </w:r>
    </w:p>
    <w:p w:rsidR="00DC0AC7" w:rsidRPr="0098214C" w:rsidRDefault="00306F8C" w:rsidP="00306F8C">
      <w:pPr>
        <w:pStyle w:val="ListParagraph"/>
        <w:numPr>
          <w:ilvl w:val="1"/>
          <w:numId w:val="5"/>
        </w:numPr>
        <w:ind w:left="1843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Други приложими;</w:t>
      </w:r>
    </w:p>
    <w:p w:rsidR="0098214C" w:rsidRPr="0098214C" w:rsidRDefault="0098214C" w:rsidP="0098214C">
      <w:pPr>
        <w:pStyle w:val="ListParagraph"/>
        <w:ind w:left="1843"/>
        <w:jc w:val="both"/>
        <w:rPr>
          <w:rFonts w:ascii="Palatino Linotype" w:hAnsi="Palatino Linotype"/>
          <w:i/>
        </w:rPr>
      </w:pPr>
    </w:p>
    <w:p w:rsidR="00306F8C" w:rsidRPr="0098214C" w:rsidRDefault="00306F8C" w:rsidP="003F154A">
      <w:pPr>
        <w:pStyle w:val="ListParagraph"/>
        <w:numPr>
          <w:ilvl w:val="0"/>
          <w:numId w:val="5"/>
        </w:numPr>
        <w:ind w:left="709" w:hanging="425"/>
        <w:jc w:val="both"/>
        <w:rPr>
          <w:rFonts w:ascii="Palatino Linotype" w:hAnsi="Palatino Linotype"/>
          <w:b/>
          <w:i/>
        </w:rPr>
      </w:pPr>
      <w:r w:rsidRPr="0098214C">
        <w:rPr>
          <w:rFonts w:ascii="Palatino Linotype" w:hAnsi="Palatino Linotype"/>
          <w:b/>
          <w:i/>
        </w:rPr>
        <w:lastRenderedPageBreak/>
        <w:t xml:space="preserve">с ОПТ 2007-2013, </w:t>
      </w:r>
      <w:r w:rsidRPr="0098214C">
        <w:rPr>
          <w:rFonts w:ascii="Palatino Linotype" w:hAnsi="Palatino Linotype"/>
          <w:i/>
        </w:rPr>
        <w:t>с други оперативни програми и/или проекти/инициативи в ход и финансирани от други източници</w:t>
      </w:r>
    </w:p>
    <w:p w:rsidR="00844D1F" w:rsidRPr="0098214C" w:rsidRDefault="00844D1F" w:rsidP="00CF12FF">
      <w:pPr>
        <w:pStyle w:val="ListParagraph"/>
        <w:ind w:left="3204"/>
        <w:jc w:val="both"/>
        <w:rPr>
          <w:rFonts w:ascii="Palatino Linotype" w:hAnsi="Palatino Linotype"/>
          <w:i/>
        </w:rPr>
      </w:pPr>
    </w:p>
    <w:p w:rsidR="00DC0AC7" w:rsidRPr="0098214C" w:rsidRDefault="00844D1F" w:rsidP="009639E8">
      <w:pPr>
        <w:pStyle w:val="ListParagraph"/>
        <w:numPr>
          <w:ilvl w:val="0"/>
          <w:numId w:val="1"/>
        </w:numPr>
        <w:ind w:left="284" w:firstLine="142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b/>
        </w:rPr>
        <w:t>Ефективност</w:t>
      </w:r>
      <w:r w:rsidR="00DC0AC7" w:rsidRPr="0098214C">
        <w:rPr>
          <w:rFonts w:ascii="Palatino Linotype" w:hAnsi="Palatino Linotype"/>
        </w:rPr>
        <w:t xml:space="preserve"> – о</w:t>
      </w:r>
      <w:r w:rsidR="00DC0AC7" w:rsidRPr="0098214C">
        <w:rPr>
          <w:rFonts w:ascii="Palatino Linotype" w:hAnsi="Palatino Linotype"/>
          <w:i/>
        </w:rPr>
        <w:t>ценка</w:t>
      </w:r>
      <w:r w:rsidR="00DC0AC7" w:rsidRPr="0098214C">
        <w:rPr>
          <w:rFonts w:ascii="Palatino Linotype" w:hAnsi="Palatino Linotype"/>
        </w:rPr>
        <w:t xml:space="preserve"> </w:t>
      </w:r>
      <w:r w:rsidR="00DC0AC7" w:rsidRPr="0098214C">
        <w:rPr>
          <w:rFonts w:ascii="Palatino Linotype" w:hAnsi="Palatino Linotype"/>
          <w:i/>
        </w:rPr>
        <w:t xml:space="preserve">на приноса на </w:t>
      </w:r>
      <w:r w:rsidR="009639E8" w:rsidRPr="0098214C">
        <w:rPr>
          <w:rFonts w:ascii="Palatino Linotype" w:hAnsi="Palatino Linotype"/>
          <w:i/>
        </w:rPr>
        <w:t xml:space="preserve">проектното предложение  </w:t>
      </w:r>
      <w:r w:rsidR="00DC0AC7" w:rsidRPr="0098214C">
        <w:rPr>
          <w:rFonts w:ascii="Palatino Linotype" w:hAnsi="Palatino Linotype"/>
          <w:i/>
        </w:rPr>
        <w:t>към постигането на целите, в т.ч. цели по:</w:t>
      </w:r>
    </w:p>
    <w:p w:rsidR="00DC0AC7" w:rsidRPr="0098214C" w:rsidRDefault="00DC0AC7" w:rsidP="003F154A">
      <w:pPr>
        <w:pStyle w:val="ListParagraph"/>
        <w:numPr>
          <w:ilvl w:val="0"/>
          <w:numId w:val="5"/>
        </w:numPr>
        <w:ind w:left="284" w:firstLine="85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b/>
          <w:i/>
        </w:rPr>
        <w:t>Въздействие</w:t>
      </w:r>
      <w:r w:rsidRPr="0098214C">
        <w:rPr>
          <w:rFonts w:ascii="Palatino Linotype" w:hAnsi="Palatino Linotype"/>
          <w:i/>
        </w:rPr>
        <w:t xml:space="preserve"> върху </w:t>
      </w:r>
      <w:r w:rsidRPr="0098214C">
        <w:rPr>
          <w:rFonts w:ascii="Palatino Linotype" w:hAnsi="Palatino Linotype"/>
          <w:b/>
          <w:i/>
        </w:rPr>
        <w:t>околната среда</w:t>
      </w:r>
      <w:r w:rsidR="005B6E60" w:rsidRPr="0098214C">
        <w:rPr>
          <w:rFonts w:ascii="Palatino Linotype" w:hAnsi="Palatino Linotype"/>
          <w:i/>
        </w:rPr>
        <w:t>: ползи за околната среда, разходи за корекция въздействието върху  околната среда, липса на негативен ефект върху екосистемите и биоразнообразието</w:t>
      </w:r>
      <w:r w:rsidR="00DC3726" w:rsidRPr="0098214C">
        <w:rPr>
          <w:rFonts w:ascii="Palatino Linotype" w:hAnsi="Palatino Linotype"/>
          <w:i/>
        </w:rPr>
        <w:t>;</w:t>
      </w:r>
      <w:r w:rsidR="00E539B5" w:rsidRPr="0098214C">
        <w:rPr>
          <w:rFonts w:ascii="Palatino Linotype" w:hAnsi="Palatino Linotype"/>
          <w:i/>
        </w:rPr>
        <w:t xml:space="preserve"> в съответствие с</w:t>
      </w:r>
      <w:r w:rsidR="009D4130" w:rsidRPr="0098214C">
        <w:rPr>
          <w:rFonts w:ascii="Palatino Linotype" w:hAnsi="Palatino Linotype"/>
          <w:i/>
        </w:rPr>
        <w:t xml:space="preserve"> приложимите мерки в </w:t>
      </w:r>
      <w:r w:rsidR="00E539B5" w:rsidRPr="0098214C">
        <w:rPr>
          <w:rFonts w:ascii="Palatino Linotype" w:hAnsi="Palatino Linotype"/>
          <w:i/>
        </w:rPr>
        <w:t xml:space="preserve"> </w:t>
      </w:r>
      <w:r w:rsidR="009D4130" w:rsidRPr="0098214C">
        <w:rPr>
          <w:rFonts w:ascii="Palatino Linotype" w:hAnsi="Palatino Linotype"/>
          <w:i/>
        </w:rPr>
        <w:t>Становището по екологична оценка № 10-6/2014 г. на ОПТТИ</w:t>
      </w:r>
      <w:r w:rsidR="0098214C">
        <w:rPr>
          <w:rFonts w:ascii="Palatino Linotype" w:hAnsi="Palatino Linotype"/>
          <w:i/>
          <w:lang w:val="en-US"/>
        </w:rPr>
        <w:t>.</w:t>
      </w:r>
    </w:p>
    <w:p w:rsidR="00844D1F" w:rsidRPr="0098214C" w:rsidRDefault="00DC0AC7" w:rsidP="003F154A">
      <w:pPr>
        <w:pStyle w:val="ListParagraph"/>
        <w:numPr>
          <w:ilvl w:val="0"/>
          <w:numId w:val="5"/>
        </w:numPr>
        <w:ind w:left="284" w:firstLine="85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b/>
          <w:i/>
        </w:rPr>
        <w:t>Социално-икономически критерии</w:t>
      </w:r>
      <w:r w:rsidR="00DC3726" w:rsidRPr="0098214C">
        <w:rPr>
          <w:rFonts w:ascii="Palatino Linotype" w:hAnsi="Palatino Linotype"/>
          <w:b/>
          <w:i/>
        </w:rPr>
        <w:t xml:space="preserve">: </w:t>
      </w:r>
      <w:r w:rsidR="005160E1" w:rsidRPr="0098214C">
        <w:rPr>
          <w:rFonts w:ascii="Palatino Linotype" w:hAnsi="Palatino Linotype"/>
          <w:b/>
          <w:i/>
        </w:rPr>
        <w:t xml:space="preserve">създадена </w:t>
      </w:r>
      <w:r w:rsidR="00DC3726" w:rsidRPr="0098214C">
        <w:rPr>
          <w:rFonts w:ascii="Palatino Linotype" w:hAnsi="Palatino Linotype"/>
          <w:b/>
          <w:i/>
        </w:rPr>
        <w:t>трудова заетост</w:t>
      </w:r>
      <w:r w:rsidR="00DC3726" w:rsidRPr="0098214C">
        <w:rPr>
          <w:rFonts w:ascii="Palatino Linotype" w:hAnsi="Palatino Linotype"/>
          <w:i/>
        </w:rPr>
        <w:t xml:space="preserve"> по време и след изпълнение на проекта; Икономическа нетна настояща стойност (</w:t>
      </w:r>
      <w:r w:rsidR="00DC3726" w:rsidRPr="0098214C">
        <w:rPr>
          <w:rFonts w:ascii="Palatino Linotype" w:hAnsi="Palatino Linotype"/>
          <w:b/>
          <w:i/>
        </w:rPr>
        <w:t>ИННС</w:t>
      </w:r>
      <w:r w:rsidR="00DC3726" w:rsidRPr="0098214C">
        <w:rPr>
          <w:rFonts w:ascii="Palatino Linotype" w:hAnsi="Palatino Linotype"/>
          <w:i/>
        </w:rPr>
        <w:t>) и икономическа вътрешна норма на възвращаемост (</w:t>
      </w:r>
      <w:r w:rsidR="00DC3726" w:rsidRPr="0098214C">
        <w:rPr>
          <w:rFonts w:ascii="Palatino Linotype" w:hAnsi="Palatino Linotype"/>
          <w:b/>
          <w:i/>
        </w:rPr>
        <w:t>ИВНВ</w:t>
      </w:r>
      <w:r w:rsidR="00DC3726" w:rsidRPr="0098214C">
        <w:rPr>
          <w:rFonts w:ascii="Palatino Linotype" w:hAnsi="Palatino Linotype"/>
          <w:i/>
        </w:rPr>
        <w:t>)</w:t>
      </w:r>
      <w:r w:rsidR="00682248" w:rsidRPr="0098214C">
        <w:rPr>
          <w:rFonts w:ascii="Palatino Linotype" w:hAnsi="Palatino Linotype"/>
          <w:i/>
        </w:rPr>
        <w:t xml:space="preserve"> - ИННС на един проект трябва да е &gt; 0, а ИВНВ трябва да е &gt; 5,5 %, за да се дефинира като проект, който допринася за повече ползи за обществото като цяло, отколкото са разходите за неговата реализация</w:t>
      </w:r>
      <w:r w:rsidR="00FC2B6B">
        <w:rPr>
          <w:rFonts w:ascii="Palatino Linotype" w:hAnsi="Palatino Linotype"/>
          <w:i/>
        </w:rPr>
        <w:t xml:space="preserve"> (когато е приложимо)</w:t>
      </w:r>
      <w:r w:rsidR="00682248" w:rsidRPr="0098214C">
        <w:rPr>
          <w:rFonts w:ascii="Palatino Linotype" w:hAnsi="Palatino Linotype"/>
          <w:i/>
        </w:rPr>
        <w:t>.</w:t>
      </w:r>
    </w:p>
    <w:p w:rsidR="00682248" w:rsidRPr="0098214C" w:rsidRDefault="009639E8" w:rsidP="003F154A">
      <w:pPr>
        <w:pStyle w:val="ListParagraph"/>
        <w:numPr>
          <w:ilvl w:val="0"/>
          <w:numId w:val="5"/>
        </w:numPr>
        <w:ind w:left="1134" w:firstLine="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П</w:t>
      </w:r>
      <w:r w:rsidR="00342583" w:rsidRPr="0098214C">
        <w:rPr>
          <w:rFonts w:ascii="Palatino Linotype" w:hAnsi="Palatino Linotype"/>
          <w:i/>
        </w:rPr>
        <w:t>одобряван</w:t>
      </w:r>
      <w:r w:rsidR="005160E1" w:rsidRPr="0098214C">
        <w:rPr>
          <w:rFonts w:ascii="Palatino Linotype" w:hAnsi="Palatino Linotype"/>
          <w:i/>
        </w:rPr>
        <w:t>е</w:t>
      </w:r>
      <w:r w:rsidR="00342583" w:rsidRPr="0098214C">
        <w:rPr>
          <w:rFonts w:ascii="Palatino Linotype" w:hAnsi="Palatino Linotype"/>
          <w:i/>
        </w:rPr>
        <w:t xml:space="preserve"> на </w:t>
      </w:r>
      <w:r w:rsidR="00342583" w:rsidRPr="0098214C">
        <w:rPr>
          <w:rFonts w:ascii="Palatino Linotype" w:hAnsi="Palatino Linotype"/>
          <w:b/>
          <w:i/>
        </w:rPr>
        <w:t>безопасността</w:t>
      </w:r>
      <w:r w:rsidR="00342583" w:rsidRPr="0098214C">
        <w:rPr>
          <w:rFonts w:ascii="Palatino Linotype" w:hAnsi="Palatino Linotype"/>
          <w:i/>
        </w:rPr>
        <w:t xml:space="preserve"> на транспорта</w:t>
      </w:r>
      <w:r w:rsidR="00682248" w:rsidRPr="0098214C">
        <w:rPr>
          <w:rFonts w:ascii="Palatino Linotype" w:hAnsi="Palatino Linotype"/>
          <w:i/>
        </w:rPr>
        <w:t>;</w:t>
      </w:r>
    </w:p>
    <w:p w:rsidR="00A15EA0" w:rsidRPr="0098214C" w:rsidRDefault="005160E1" w:rsidP="003F154A">
      <w:pPr>
        <w:pStyle w:val="ListParagraph"/>
        <w:numPr>
          <w:ilvl w:val="0"/>
          <w:numId w:val="5"/>
        </w:numPr>
        <w:ind w:left="284" w:firstLine="85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b/>
          <w:i/>
        </w:rPr>
        <w:t>Проектна</w:t>
      </w:r>
      <w:r w:rsidR="00682248" w:rsidRPr="0098214C">
        <w:rPr>
          <w:rFonts w:ascii="Palatino Linotype" w:hAnsi="Palatino Linotype"/>
          <w:b/>
          <w:i/>
        </w:rPr>
        <w:t xml:space="preserve"> готовност</w:t>
      </w:r>
      <w:r w:rsidRPr="0098214C">
        <w:rPr>
          <w:rFonts w:ascii="Palatino Linotype" w:hAnsi="Palatino Linotype"/>
          <w:b/>
          <w:i/>
        </w:rPr>
        <w:t xml:space="preserve"> –</w:t>
      </w:r>
      <w:r w:rsidR="00682248" w:rsidRPr="0098214C">
        <w:rPr>
          <w:rFonts w:ascii="Palatino Linotype" w:hAnsi="Palatino Linotype"/>
          <w:i/>
        </w:rPr>
        <w:t xml:space="preserve"> </w:t>
      </w:r>
      <w:r w:rsidRPr="0098214C">
        <w:rPr>
          <w:rFonts w:ascii="Palatino Linotype" w:hAnsi="Palatino Linotype"/>
          <w:i/>
        </w:rPr>
        <w:t xml:space="preserve">тя е </w:t>
      </w:r>
      <w:r w:rsidR="00682248" w:rsidRPr="0098214C">
        <w:rPr>
          <w:rFonts w:ascii="Palatino Linotype" w:hAnsi="Palatino Linotype"/>
          <w:i/>
        </w:rPr>
        <w:t xml:space="preserve">индикация за вложените до момента средства по проектното предложение, както и за степента на </w:t>
      </w:r>
      <w:r w:rsidR="00682248" w:rsidRPr="0098214C">
        <w:rPr>
          <w:rFonts w:ascii="Palatino Linotype" w:hAnsi="Palatino Linotype"/>
          <w:b/>
          <w:i/>
        </w:rPr>
        <w:t>риска за осъществяването</w:t>
      </w:r>
      <w:r w:rsidR="00682248" w:rsidRPr="0098214C">
        <w:rPr>
          <w:rFonts w:ascii="Palatino Linotype" w:hAnsi="Palatino Linotype"/>
          <w:i/>
        </w:rPr>
        <w:t xml:space="preserve"> на проекта</w:t>
      </w:r>
      <w:r w:rsidRPr="0098214C">
        <w:rPr>
          <w:rFonts w:ascii="Palatino Linotype" w:hAnsi="Palatino Linotype"/>
          <w:i/>
        </w:rPr>
        <w:t xml:space="preserve">; </w:t>
      </w:r>
      <w:r w:rsidR="00DC3969" w:rsidRPr="0098214C">
        <w:rPr>
          <w:rFonts w:ascii="Palatino Linotype" w:hAnsi="Palatino Linotype"/>
          <w:i/>
        </w:rPr>
        <w:t xml:space="preserve">проверява се за </w:t>
      </w:r>
      <w:r w:rsidRPr="0098214C">
        <w:rPr>
          <w:rFonts w:ascii="Palatino Linotype" w:hAnsi="Palatino Linotype"/>
          <w:i/>
        </w:rPr>
        <w:t>наличие на</w:t>
      </w:r>
      <w:r w:rsidR="00DC3969" w:rsidRPr="0098214C">
        <w:rPr>
          <w:rFonts w:ascii="Palatino Linotype" w:hAnsi="Palatino Linotype"/>
          <w:i/>
        </w:rPr>
        <w:t xml:space="preserve"> пред-проектни проучвания</w:t>
      </w:r>
      <w:r w:rsidRPr="0098214C">
        <w:rPr>
          <w:rFonts w:ascii="Palatino Linotype" w:hAnsi="Palatino Linotype"/>
          <w:i/>
        </w:rPr>
        <w:t xml:space="preserve"> идеен/технически проект; отчуждения</w:t>
      </w:r>
      <w:r w:rsidR="00DC3969" w:rsidRPr="0098214C">
        <w:rPr>
          <w:rFonts w:ascii="Palatino Linotype" w:hAnsi="Palatino Linotype"/>
          <w:i/>
        </w:rPr>
        <w:t>; доклад по ОВОС;</w:t>
      </w:r>
      <w:r w:rsidRPr="0098214C">
        <w:rPr>
          <w:rFonts w:ascii="Palatino Linotype" w:hAnsi="Palatino Linotype"/>
          <w:i/>
        </w:rPr>
        <w:t xml:space="preserve"> </w:t>
      </w:r>
      <w:r w:rsidR="00A15EA0" w:rsidRPr="0098214C">
        <w:rPr>
          <w:rFonts w:ascii="Palatino Linotype" w:hAnsi="Palatino Linotype"/>
          <w:i/>
        </w:rPr>
        <w:t xml:space="preserve"> </w:t>
      </w:r>
    </w:p>
    <w:p w:rsidR="00A15EA0" w:rsidRPr="0098214C" w:rsidRDefault="009639E8" w:rsidP="003F154A">
      <w:pPr>
        <w:pStyle w:val="ListParagraph"/>
        <w:numPr>
          <w:ilvl w:val="0"/>
          <w:numId w:val="5"/>
        </w:numPr>
        <w:ind w:left="284" w:firstLine="85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П</w:t>
      </w:r>
      <w:r w:rsidR="00A15EA0" w:rsidRPr="0098214C">
        <w:rPr>
          <w:rFonts w:ascii="Palatino Linotype" w:hAnsi="Palatino Linotype"/>
          <w:i/>
        </w:rPr>
        <w:t xml:space="preserve">роектното предложение има принос </w:t>
      </w:r>
      <w:r w:rsidR="00A15EA0" w:rsidRPr="0098214C">
        <w:rPr>
          <w:rFonts w:ascii="Palatino Linotype" w:hAnsi="Palatino Linotype"/>
          <w:b/>
          <w:i/>
        </w:rPr>
        <w:t>за европейска добавена стойност</w:t>
      </w:r>
      <w:r w:rsidR="00DA27C2" w:rsidRPr="0098214C">
        <w:rPr>
          <w:rFonts w:ascii="Palatino Linotype" w:hAnsi="Palatino Linotype"/>
          <w:b/>
          <w:i/>
        </w:rPr>
        <w:t>:</w:t>
      </w:r>
      <w:r w:rsidR="00A15EA0" w:rsidRPr="0098214C">
        <w:rPr>
          <w:rFonts w:ascii="Palatino Linotype" w:hAnsi="Palatino Linotype"/>
        </w:rPr>
        <w:t xml:space="preserve"> </w:t>
      </w:r>
      <w:r w:rsidR="00A15EA0" w:rsidRPr="0098214C">
        <w:rPr>
          <w:rFonts w:ascii="Palatino Linotype" w:hAnsi="Palatino Linotype"/>
          <w:i/>
        </w:rPr>
        <w:t>Преценява се степента на реализиране на проекта в рамките на ЕС (не единствено на национално ниво).</w:t>
      </w:r>
    </w:p>
    <w:p w:rsidR="00DC0AC7" w:rsidRPr="0098214C" w:rsidRDefault="00DC0AC7" w:rsidP="0098214C">
      <w:pPr>
        <w:pStyle w:val="ListParagraph"/>
        <w:ind w:left="2484"/>
        <w:jc w:val="both"/>
        <w:rPr>
          <w:rFonts w:ascii="Palatino Linotype" w:hAnsi="Palatino Linotype"/>
          <w:i/>
        </w:rPr>
      </w:pPr>
    </w:p>
    <w:p w:rsidR="000E66A7" w:rsidRPr="0098214C" w:rsidRDefault="00844D1F" w:rsidP="00950779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i/>
        </w:rPr>
      </w:pPr>
      <w:r w:rsidRPr="0098214C">
        <w:rPr>
          <w:rFonts w:ascii="Palatino Linotype" w:hAnsi="Palatino Linotype"/>
          <w:b/>
        </w:rPr>
        <w:t>Ефикасност</w:t>
      </w:r>
      <w:r w:rsidR="00DC0AC7" w:rsidRPr="0098214C">
        <w:rPr>
          <w:rFonts w:ascii="Palatino Linotype" w:hAnsi="Palatino Linotype"/>
        </w:rPr>
        <w:t xml:space="preserve"> - </w:t>
      </w:r>
      <w:r w:rsidR="00DC0AC7" w:rsidRPr="0098214C">
        <w:rPr>
          <w:rFonts w:ascii="Palatino Linotype" w:hAnsi="Palatino Linotype"/>
          <w:i/>
        </w:rPr>
        <w:t>показва отношението на постигнатия резултат спрямо вложените ресурсите (финансови, времеви), н</w:t>
      </w:r>
      <w:r w:rsidR="00DC0AC7" w:rsidRPr="0098214C">
        <w:rPr>
          <w:rFonts w:ascii="Palatino Linotype" w:hAnsi="Palatino Linotype"/>
          <w:b/>
          <w:i/>
        </w:rPr>
        <w:t>еобходими за постигане на целите.</w:t>
      </w:r>
    </w:p>
    <w:p w:rsidR="000E66A7" w:rsidRPr="0098214C" w:rsidRDefault="000E66A7" w:rsidP="003F154A">
      <w:pPr>
        <w:pStyle w:val="ListParagraph"/>
        <w:numPr>
          <w:ilvl w:val="0"/>
          <w:numId w:val="5"/>
        </w:numPr>
        <w:ind w:left="284" w:firstLine="850"/>
        <w:jc w:val="both"/>
        <w:rPr>
          <w:rFonts w:ascii="Palatino Linotype" w:hAnsi="Palatino Linotype" w:cs="EUAlbertina"/>
          <w:color w:val="000000"/>
        </w:rPr>
      </w:pPr>
      <w:r w:rsidRPr="0098214C">
        <w:rPr>
          <w:rFonts w:ascii="Palatino Linotype" w:hAnsi="Palatino Linotype"/>
          <w:b/>
          <w:i/>
        </w:rPr>
        <w:t>Финансов капацитет</w:t>
      </w:r>
      <w:r w:rsidRPr="0098214C">
        <w:rPr>
          <w:rFonts w:ascii="Palatino Linotype" w:hAnsi="Palatino Linotype"/>
          <w:i/>
        </w:rPr>
        <w:t xml:space="preserve"> на бенефициера - във формуляра за кандидатстване да бъде показан правният статут на бенефициера и неговият финансовия капацитет да изпълни дейностите в проектното предложение </w:t>
      </w:r>
      <w:r w:rsidRPr="0098214C">
        <w:rPr>
          <w:rStyle w:val="FootnoteReference"/>
          <w:rFonts w:ascii="Palatino Linotype" w:hAnsi="Palatino Linotype" w:cs="EUAlbertina"/>
          <w:color w:val="000000"/>
        </w:rPr>
        <w:footnoteReference w:id="1"/>
      </w:r>
      <w:r w:rsidRPr="0098214C">
        <w:rPr>
          <w:rFonts w:ascii="Palatino Linotype" w:hAnsi="Palatino Linotype" w:cs="EUAlbertina"/>
          <w:color w:val="000000"/>
        </w:rPr>
        <w:t>.</w:t>
      </w:r>
    </w:p>
    <w:p w:rsidR="000E66A7" w:rsidRPr="0098214C" w:rsidRDefault="003F154A" w:rsidP="003F154A">
      <w:pPr>
        <w:pStyle w:val="ListParagraph"/>
        <w:numPr>
          <w:ilvl w:val="0"/>
          <w:numId w:val="5"/>
        </w:numPr>
        <w:ind w:left="284" w:firstLine="85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b/>
          <w:i/>
        </w:rPr>
        <w:t>А</w:t>
      </w:r>
      <w:r w:rsidR="000E66A7" w:rsidRPr="0098214C">
        <w:rPr>
          <w:rFonts w:ascii="Palatino Linotype" w:hAnsi="Palatino Linotype"/>
          <w:b/>
          <w:i/>
        </w:rPr>
        <w:t>дминистративен и оперативен капацитет</w:t>
      </w:r>
      <w:r w:rsidR="000E66A7" w:rsidRPr="0098214C">
        <w:rPr>
          <w:rFonts w:ascii="Palatino Linotype" w:hAnsi="Palatino Linotype"/>
          <w:i/>
        </w:rPr>
        <w:t xml:space="preserve"> на бенефициера - в проектното предложение е показано, че бенефициера разполага с необходимия административен и оперативен капацитет за изпълнение на дейностите по проектното предложение</w:t>
      </w:r>
      <w:r w:rsidR="000E66A7" w:rsidRPr="0098214C">
        <w:rPr>
          <w:rFonts w:ascii="Palatino Linotype" w:hAnsi="Palatino Linotype" w:cs="EUAlbertina"/>
          <w:color w:val="000000"/>
          <w:vertAlign w:val="superscript"/>
        </w:rPr>
        <w:t>1</w:t>
      </w:r>
      <w:r w:rsidR="00B45F55" w:rsidRPr="0098214C">
        <w:rPr>
          <w:rFonts w:ascii="Palatino Linotype" w:hAnsi="Palatino Linotype" w:cs="EUAlbertina"/>
          <w:color w:val="000000"/>
        </w:rPr>
        <w:t xml:space="preserve">; </w:t>
      </w:r>
      <w:r w:rsidR="00B45F55" w:rsidRPr="0098214C">
        <w:rPr>
          <w:rFonts w:ascii="Palatino Linotype" w:hAnsi="Palatino Linotype"/>
          <w:i/>
        </w:rPr>
        <w:t>Установена</w:t>
      </w:r>
      <w:r w:rsidR="00445F8F" w:rsidRPr="0098214C">
        <w:rPr>
          <w:rFonts w:ascii="Palatino Linotype" w:hAnsi="Palatino Linotype"/>
          <w:i/>
        </w:rPr>
        <w:t xml:space="preserve"> е </w:t>
      </w:r>
      <w:r w:rsidR="00B45F55" w:rsidRPr="0098214C">
        <w:rPr>
          <w:rFonts w:ascii="Palatino Linotype" w:hAnsi="Palatino Linotype"/>
          <w:i/>
        </w:rPr>
        <w:t>действаща ясна структура за управление/ изпълнение на проекта</w:t>
      </w:r>
      <w:r w:rsidR="00445F8F" w:rsidRPr="0098214C">
        <w:rPr>
          <w:rFonts w:ascii="Palatino Linotype" w:hAnsi="Palatino Linotype"/>
          <w:i/>
        </w:rPr>
        <w:t>; Създадени и действащи системи за добро управление и контрол</w:t>
      </w:r>
      <w:r w:rsidR="00DA27C2" w:rsidRPr="0098214C">
        <w:rPr>
          <w:rFonts w:ascii="Palatino Linotype" w:hAnsi="Palatino Linotype"/>
          <w:i/>
        </w:rPr>
        <w:t>.</w:t>
      </w:r>
    </w:p>
    <w:p w:rsidR="00C27557" w:rsidRPr="0098214C" w:rsidRDefault="00C27557" w:rsidP="003F154A">
      <w:pPr>
        <w:pStyle w:val="ListParagraph"/>
        <w:numPr>
          <w:ilvl w:val="0"/>
          <w:numId w:val="5"/>
        </w:numPr>
        <w:ind w:left="284" w:firstLine="850"/>
        <w:jc w:val="both"/>
        <w:rPr>
          <w:rFonts w:ascii="Palatino Linotype" w:hAnsi="Palatino Linotype"/>
          <w:b/>
          <w:i/>
        </w:rPr>
      </w:pPr>
      <w:r w:rsidRPr="0098214C">
        <w:rPr>
          <w:rFonts w:ascii="Palatino Linotype" w:hAnsi="Palatino Linotype"/>
          <w:b/>
          <w:i/>
        </w:rPr>
        <w:t xml:space="preserve">Оценка на Финансов план: </w:t>
      </w:r>
      <w:r w:rsidRPr="0098214C">
        <w:rPr>
          <w:rFonts w:ascii="Palatino Linotype" w:hAnsi="Palatino Linotype"/>
          <w:i/>
        </w:rPr>
        <w:t>Основан на реалистична програма за физическо изпълнение; разработен в детайли; осигурени от бенефициента приемливи източници за финансиране на недопустими разходи</w:t>
      </w:r>
      <w:r w:rsidR="00DC3969" w:rsidRPr="0098214C">
        <w:rPr>
          <w:rFonts w:ascii="Palatino Linotype" w:hAnsi="Palatino Linotype"/>
          <w:i/>
        </w:rPr>
        <w:t>, собствено съ-финаниране</w:t>
      </w:r>
      <w:r w:rsidRPr="0098214C">
        <w:rPr>
          <w:rFonts w:ascii="Palatino Linotype" w:hAnsi="Palatino Linotype"/>
          <w:i/>
        </w:rPr>
        <w:t xml:space="preserve"> и за управление на проекта;</w:t>
      </w:r>
    </w:p>
    <w:p w:rsidR="00C27557" w:rsidRPr="0098214C" w:rsidRDefault="00C27557" w:rsidP="003F154A">
      <w:pPr>
        <w:pStyle w:val="ListParagraph"/>
        <w:numPr>
          <w:ilvl w:val="0"/>
          <w:numId w:val="5"/>
        </w:numPr>
        <w:tabs>
          <w:tab w:val="left" w:pos="284"/>
        </w:tabs>
        <w:ind w:left="284" w:firstLine="85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b/>
          <w:i/>
        </w:rPr>
        <w:lastRenderedPageBreak/>
        <w:t xml:space="preserve">Анализ и оценка на риска: </w:t>
      </w:r>
      <w:r w:rsidR="009639E8" w:rsidRPr="0098214C">
        <w:rPr>
          <w:rFonts w:ascii="Palatino Linotype" w:hAnsi="Palatino Linotype"/>
          <w:i/>
        </w:rPr>
        <w:t>а</w:t>
      </w:r>
      <w:r w:rsidRPr="0098214C">
        <w:rPr>
          <w:rFonts w:ascii="Palatino Linotype" w:hAnsi="Palatino Linotype"/>
          <w:i/>
        </w:rPr>
        <w:t>декватно и приложимо определяне на потенциалните и реалните рискове;</w:t>
      </w:r>
      <w:r w:rsidR="00B45F55" w:rsidRPr="0098214C">
        <w:rPr>
          <w:rFonts w:ascii="Palatino Linotype" w:hAnsi="Palatino Linotype"/>
          <w:i/>
        </w:rPr>
        <w:t xml:space="preserve"> формулирани подходящи мерки за преодоляването им;</w:t>
      </w:r>
    </w:p>
    <w:p w:rsidR="00B45F55" w:rsidRPr="0098214C" w:rsidRDefault="00B45F55" w:rsidP="003F154A">
      <w:pPr>
        <w:pStyle w:val="ListParagraph"/>
        <w:numPr>
          <w:ilvl w:val="0"/>
          <w:numId w:val="5"/>
        </w:numPr>
        <w:ind w:left="284" w:firstLine="85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b/>
          <w:i/>
        </w:rPr>
        <w:t>График за изпълнение на проекта</w:t>
      </w:r>
      <w:r w:rsidRPr="0098214C">
        <w:rPr>
          <w:rFonts w:ascii="Palatino Linotype" w:hAnsi="Palatino Linotype"/>
          <w:i/>
        </w:rPr>
        <w:t xml:space="preserve"> - изпълнението и приключването на проекта попада в периода на действие на програмата.</w:t>
      </w:r>
    </w:p>
    <w:p w:rsidR="00013392" w:rsidRPr="0098214C" w:rsidRDefault="00013392" w:rsidP="003F154A">
      <w:pPr>
        <w:pStyle w:val="ListParagraph"/>
        <w:numPr>
          <w:ilvl w:val="0"/>
          <w:numId w:val="5"/>
        </w:numPr>
        <w:ind w:left="284" w:firstLine="85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 xml:space="preserve">Наличие на </w:t>
      </w:r>
      <w:r w:rsidRPr="0098214C">
        <w:rPr>
          <w:rFonts w:ascii="Palatino Linotype" w:hAnsi="Palatino Linotype"/>
          <w:b/>
          <w:i/>
        </w:rPr>
        <w:t>от реалистични и измерими индикатори</w:t>
      </w:r>
      <w:r w:rsidRPr="0098214C">
        <w:rPr>
          <w:rFonts w:ascii="Palatino Linotype" w:hAnsi="Palatino Linotype"/>
          <w:i/>
        </w:rPr>
        <w:t>, приложими за проследяване на напредъка по проекта  и измерване на общия напредък по отношение постигане на целите по приоритетната ос и по програмата</w:t>
      </w:r>
    </w:p>
    <w:p w:rsidR="00844D1F" w:rsidRPr="0098214C" w:rsidRDefault="00844D1F" w:rsidP="003F154A">
      <w:pPr>
        <w:jc w:val="both"/>
        <w:rPr>
          <w:rFonts w:ascii="Palatino Linotype" w:hAnsi="Palatino Linotype"/>
          <w:i/>
        </w:rPr>
      </w:pPr>
    </w:p>
    <w:p w:rsidR="00844D1F" w:rsidRPr="0098214C" w:rsidRDefault="00844D1F" w:rsidP="003F154A">
      <w:pPr>
        <w:pStyle w:val="ListParagraph"/>
        <w:numPr>
          <w:ilvl w:val="0"/>
          <w:numId w:val="1"/>
        </w:numPr>
        <w:ind w:left="284" w:firstLine="76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b/>
        </w:rPr>
        <w:t xml:space="preserve">Устойчивост </w:t>
      </w:r>
      <w:r w:rsidR="00DC0AC7" w:rsidRPr="0098214C">
        <w:rPr>
          <w:rFonts w:ascii="Palatino Linotype" w:hAnsi="Palatino Linotype"/>
          <w:i/>
        </w:rPr>
        <w:t xml:space="preserve">на очакваните резултати от </w:t>
      </w:r>
      <w:r w:rsidR="009639E8" w:rsidRPr="0098214C">
        <w:rPr>
          <w:rFonts w:ascii="Palatino Linotype" w:hAnsi="Palatino Linotype"/>
          <w:i/>
        </w:rPr>
        <w:t xml:space="preserve">проектното предложение </w:t>
      </w:r>
      <w:r w:rsidR="00DC0AC7" w:rsidRPr="0098214C">
        <w:rPr>
          <w:rFonts w:ascii="Palatino Linotype" w:hAnsi="Palatino Linotype"/>
          <w:i/>
        </w:rPr>
        <w:t>от гледна точка на консумирани ресурси, въздействие върху околната среда, също и финансова, експлоатационна и институционална устойчивост.</w:t>
      </w:r>
    </w:p>
    <w:p w:rsidR="00445F8F" w:rsidRPr="0098214C" w:rsidRDefault="00445F8F" w:rsidP="003F154A">
      <w:pPr>
        <w:pStyle w:val="ListParagraph"/>
        <w:numPr>
          <w:ilvl w:val="0"/>
          <w:numId w:val="5"/>
        </w:numPr>
        <w:ind w:left="284" w:firstLine="85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 xml:space="preserve">Представени доказателства за осигурено </w:t>
      </w:r>
      <w:r w:rsidRPr="0098214C">
        <w:rPr>
          <w:rFonts w:ascii="Palatino Linotype" w:hAnsi="Palatino Linotype"/>
          <w:b/>
          <w:i/>
        </w:rPr>
        <w:t>партньорство</w:t>
      </w:r>
      <w:r w:rsidRPr="0098214C">
        <w:rPr>
          <w:rFonts w:ascii="Palatino Linotype" w:hAnsi="Palatino Linotype"/>
          <w:i/>
        </w:rPr>
        <w:t xml:space="preserve"> </w:t>
      </w:r>
      <w:r w:rsidRPr="0098214C">
        <w:rPr>
          <w:rFonts w:ascii="Palatino Linotype" w:hAnsi="Palatino Linotype"/>
          <w:b/>
          <w:i/>
        </w:rPr>
        <w:t>и консенсус</w:t>
      </w:r>
      <w:r w:rsidRPr="0098214C">
        <w:rPr>
          <w:rFonts w:ascii="Palatino Linotype" w:hAnsi="Palatino Linotype"/>
          <w:i/>
        </w:rPr>
        <w:t xml:space="preserve"> между страните както по време на изпълнението, така и след завършването на проекта</w:t>
      </w:r>
      <w:r w:rsidR="003B6626" w:rsidRPr="0098214C">
        <w:rPr>
          <w:rFonts w:ascii="Palatino Linotype" w:hAnsi="Palatino Linotype"/>
          <w:i/>
        </w:rPr>
        <w:t>;</w:t>
      </w:r>
    </w:p>
    <w:p w:rsidR="009F463C" w:rsidRPr="0098214C" w:rsidRDefault="003B6626" w:rsidP="003F154A">
      <w:pPr>
        <w:pStyle w:val="ListParagraph"/>
        <w:numPr>
          <w:ilvl w:val="0"/>
          <w:numId w:val="5"/>
        </w:numPr>
        <w:ind w:left="284" w:firstLine="85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 xml:space="preserve">Доказана </w:t>
      </w:r>
      <w:r w:rsidRPr="0098214C">
        <w:rPr>
          <w:rFonts w:ascii="Palatino Linotype" w:hAnsi="Palatino Linotype"/>
          <w:b/>
          <w:i/>
        </w:rPr>
        <w:t>жизнеспособност</w:t>
      </w:r>
      <w:r w:rsidRPr="0098214C">
        <w:rPr>
          <w:rFonts w:ascii="Palatino Linotype" w:hAnsi="Palatino Linotype"/>
          <w:i/>
        </w:rPr>
        <w:t xml:space="preserve"> на проекта – наличие на осигурени ресурси за експлоатация и поддръжка на проекта;</w:t>
      </w:r>
    </w:p>
    <w:p w:rsidR="00844D1F" w:rsidRPr="0098214C" w:rsidRDefault="009F463C" w:rsidP="003F154A">
      <w:pPr>
        <w:pStyle w:val="ListParagraph"/>
        <w:numPr>
          <w:ilvl w:val="0"/>
          <w:numId w:val="5"/>
        </w:numPr>
        <w:tabs>
          <w:tab w:val="left" w:pos="993"/>
        </w:tabs>
        <w:ind w:left="284" w:firstLine="85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b/>
          <w:i/>
        </w:rPr>
        <w:t>На околната среда</w:t>
      </w:r>
      <w:r w:rsidRPr="0098214C">
        <w:rPr>
          <w:rFonts w:ascii="Palatino Linotype" w:hAnsi="Palatino Linotype"/>
          <w:i/>
        </w:rPr>
        <w:t xml:space="preserve"> - </w:t>
      </w:r>
      <w:r w:rsidR="009D4130" w:rsidRPr="0098214C">
        <w:rPr>
          <w:rFonts w:ascii="Palatino Linotype" w:hAnsi="Palatino Linotype"/>
          <w:i/>
        </w:rPr>
        <w:t>в съответствие с приложимите мерки в  Становището по екологична оценка № 10-6/2014 г. на ОПТТИ</w:t>
      </w:r>
    </w:p>
    <w:p w:rsidR="0098214C" w:rsidRPr="0098214C" w:rsidRDefault="0098214C" w:rsidP="007937F7">
      <w:pPr>
        <w:pStyle w:val="ListParagraph"/>
        <w:ind w:left="851"/>
        <w:jc w:val="both"/>
        <w:rPr>
          <w:rFonts w:ascii="Palatino Linotype" w:hAnsi="Palatino Linotype"/>
          <w:i/>
          <w:lang w:val="en-US"/>
        </w:rPr>
      </w:pPr>
    </w:p>
    <w:p w:rsidR="00844D1F" w:rsidRPr="0098214C" w:rsidRDefault="00DA27C2" w:rsidP="00081E1B">
      <w:pPr>
        <w:pStyle w:val="ListParagraph"/>
        <w:numPr>
          <w:ilvl w:val="0"/>
          <w:numId w:val="1"/>
        </w:numPr>
        <w:ind w:left="284" w:firstLine="76"/>
        <w:jc w:val="both"/>
        <w:rPr>
          <w:rFonts w:ascii="Palatino Linotype" w:hAnsi="Palatino Linotype"/>
        </w:rPr>
      </w:pPr>
      <w:r w:rsidRPr="00FC2B6B">
        <w:rPr>
          <w:rFonts w:ascii="Palatino Linotype" w:hAnsi="Palatino Linotype"/>
          <w:i/>
        </w:rPr>
        <w:t>П</w:t>
      </w:r>
      <w:r w:rsidR="00E2180B" w:rsidRPr="00FC2B6B">
        <w:rPr>
          <w:rFonts w:ascii="Palatino Linotype" w:hAnsi="Palatino Linotype"/>
          <w:i/>
        </w:rPr>
        <w:t>ри оценката на проектите</w:t>
      </w:r>
      <w:r w:rsidR="005E12AA">
        <w:rPr>
          <w:rFonts w:ascii="Palatino Linotype" w:hAnsi="Palatino Linotype"/>
          <w:i/>
        </w:rPr>
        <w:t xml:space="preserve"> по процедурата</w:t>
      </w:r>
      <w:r w:rsidR="00E2180B" w:rsidRPr="00FC2B6B">
        <w:rPr>
          <w:rFonts w:ascii="Palatino Linotype" w:hAnsi="Palatino Linotype"/>
          <w:i/>
        </w:rPr>
        <w:t xml:space="preserve"> по </w:t>
      </w:r>
      <w:r w:rsidR="00844D1F" w:rsidRPr="00FC2B6B">
        <w:rPr>
          <w:rFonts w:ascii="Palatino Linotype" w:hAnsi="Palatino Linotype"/>
          <w:i/>
        </w:rPr>
        <w:t xml:space="preserve">инвестиционния приоритет </w:t>
      </w:r>
      <w:r w:rsidR="00844D1F" w:rsidRPr="00FC2B6B">
        <w:rPr>
          <w:rFonts w:ascii="Palatino Linotype" w:hAnsi="Palatino Linotype"/>
          <w:b/>
          <w:i/>
        </w:rPr>
        <w:t>7с</w:t>
      </w:r>
      <w:r w:rsidR="00A10373" w:rsidRPr="0098214C">
        <w:rPr>
          <w:rStyle w:val="FootnoteReference"/>
          <w:rFonts w:ascii="Palatino Linotype" w:hAnsi="Palatino Linotype"/>
          <w:b/>
          <w:i/>
        </w:rPr>
        <w:footnoteReference w:id="2"/>
      </w:r>
      <w:r w:rsidR="00844D1F" w:rsidRPr="00FC2B6B">
        <w:rPr>
          <w:rFonts w:ascii="Palatino Linotype" w:hAnsi="Palatino Linotype"/>
          <w:i/>
        </w:rPr>
        <w:t xml:space="preserve">, включен  </w:t>
      </w:r>
      <w:r w:rsidRPr="00FC2B6B">
        <w:rPr>
          <w:rFonts w:ascii="Palatino Linotype" w:hAnsi="Palatino Linotype"/>
          <w:i/>
        </w:rPr>
        <w:t xml:space="preserve">в обхвата на </w:t>
      </w:r>
      <w:r w:rsidR="00A10373" w:rsidRPr="00FC2B6B">
        <w:rPr>
          <w:rFonts w:ascii="Palatino Linotype" w:hAnsi="Palatino Linotype"/>
          <w:b/>
          <w:i/>
        </w:rPr>
        <w:t>ПО</w:t>
      </w:r>
      <w:r w:rsidRPr="00FC2B6B">
        <w:rPr>
          <w:rFonts w:ascii="Palatino Linotype" w:hAnsi="Palatino Linotype"/>
          <w:b/>
          <w:i/>
        </w:rPr>
        <w:t xml:space="preserve">4 </w:t>
      </w:r>
      <w:r w:rsidRPr="00FC2B6B">
        <w:rPr>
          <w:rFonts w:ascii="Palatino Linotype" w:hAnsi="Palatino Linotype"/>
          <w:i/>
        </w:rPr>
        <w:t xml:space="preserve">ще се търси </w:t>
      </w:r>
      <w:r w:rsidR="00844D1F" w:rsidRPr="00FC2B6B">
        <w:rPr>
          <w:rFonts w:ascii="Palatino Linotype" w:hAnsi="Palatino Linotype"/>
          <w:i/>
        </w:rPr>
        <w:t>отчитане на покриването на</w:t>
      </w:r>
      <w:r w:rsidR="00FC2B6B">
        <w:rPr>
          <w:rFonts w:ascii="Palatino Linotype" w:hAnsi="Palatino Linotype"/>
          <w:i/>
        </w:rPr>
        <w:t xml:space="preserve"> </w:t>
      </w:r>
      <w:r w:rsidR="00844D1F" w:rsidRPr="00FC2B6B">
        <w:rPr>
          <w:rFonts w:ascii="Palatino Linotype" w:hAnsi="Palatino Linotype"/>
          <w:i/>
        </w:rPr>
        <w:t>под-критери</w:t>
      </w:r>
      <w:r w:rsidR="00081E1B">
        <w:rPr>
          <w:rFonts w:ascii="Palatino Linotype" w:hAnsi="Palatino Linotype"/>
          <w:i/>
        </w:rPr>
        <w:t xml:space="preserve">й </w:t>
      </w:r>
      <w:r w:rsidR="00844D1F" w:rsidRPr="0098214C">
        <w:rPr>
          <w:rFonts w:ascii="Palatino Linotype" w:hAnsi="Palatino Linotype"/>
        </w:rPr>
        <w:t xml:space="preserve">степен на изпълнение на </w:t>
      </w:r>
      <w:r w:rsidR="00844D1F" w:rsidRPr="009D1646">
        <w:rPr>
          <w:rFonts w:ascii="Palatino Linotype" w:hAnsi="Palatino Linotype"/>
          <w:b/>
        </w:rPr>
        <w:t>Интегрираната морска политика на</w:t>
      </w:r>
      <w:r w:rsidR="00844D1F" w:rsidRPr="0098214C">
        <w:rPr>
          <w:rFonts w:ascii="Palatino Linotype" w:hAnsi="Palatino Linotype"/>
        </w:rPr>
        <w:t xml:space="preserve"> ЕС</w:t>
      </w:r>
      <w:r w:rsidR="00081E1B">
        <w:rPr>
          <w:rFonts w:ascii="Palatino Linotype" w:hAnsi="Palatino Linotype"/>
        </w:rPr>
        <w:t xml:space="preserve">, в т. ч. и на </w:t>
      </w:r>
      <w:r w:rsidR="00081E1B" w:rsidRPr="001731C9">
        <w:t>План</w:t>
      </w:r>
      <w:r w:rsidR="00081E1B">
        <w:t>а</w:t>
      </w:r>
      <w:r w:rsidR="00081E1B" w:rsidRPr="001731C9">
        <w:t xml:space="preserve"> за действие за коридорите на солидарността между ЕС и Украйна с цел улесняване на износа на селскостопански продукти от Украйна и на двустранната търговия с ЕС</w:t>
      </w:r>
      <w:r w:rsidR="00844D1F" w:rsidRPr="0098214C">
        <w:rPr>
          <w:rFonts w:ascii="Palatino Linotype" w:hAnsi="Palatino Linotype"/>
        </w:rPr>
        <w:t>;</w:t>
      </w:r>
      <w:r w:rsidR="00081E1B">
        <w:rPr>
          <w:rFonts w:ascii="Palatino Linotype" w:hAnsi="Palatino Linotype"/>
        </w:rPr>
        <w:t xml:space="preserve"> </w:t>
      </w:r>
    </w:p>
    <w:p w:rsidR="00442DF2" w:rsidRDefault="00442DF2" w:rsidP="00950779">
      <w:pPr>
        <w:jc w:val="both"/>
        <w:rPr>
          <w:rFonts w:ascii="Palatino Linotype" w:hAnsi="Palatino Linotype"/>
          <w:i/>
        </w:rPr>
      </w:pPr>
    </w:p>
    <w:p w:rsidR="009D1646" w:rsidRPr="009D1646" w:rsidRDefault="00442DF2" w:rsidP="00950779">
      <w:pPr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i/>
        </w:rPr>
        <w:t>Подробно критериите за оценка на проекти са представени в Приложение № 1.</w:t>
      </w:r>
    </w:p>
    <w:p w:rsidR="00844D1F" w:rsidRPr="0098214C" w:rsidRDefault="00844D1F" w:rsidP="00950779">
      <w:pPr>
        <w:pStyle w:val="ListParagraph"/>
        <w:jc w:val="both"/>
        <w:rPr>
          <w:rFonts w:ascii="Palatino Linotype" w:hAnsi="Palatino Linotype"/>
        </w:rPr>
      </w:pPr>
    </w:p>
    <w:sectPr w:rsidR="00844D1F" w:rsidRPr="0098214C" w:rsidSect="003F154A">
      <w:headerReference w:type="default" r:id="rId8"/>
      <w:foot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A2" w:rsidRDefault="009D22A2" w:rsidP="000E66A7">
      <w:r>
        <w:separator/>
      </w:r>
    </w:p>
  </w:endnote>
  <w:endnote w:type="continuationSeparator" w:id="0">
    <w:p w:rsidR="009D22A2" w:rsidRDefault="009D22A2" w:rsidP="000E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382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63C" w:rsidRDefault="009F46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C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F463C" w:rsidRDefault="009F4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A2" w:rsidRDefault="009D22A2" w:rsidP="000E66A7">
      <w:r>
        <w:separator/>
      </w:r>
    </w:p>
  </w:footnote>
  <w:footnote w:type="continuationSeparator" w:id="0">
    <w:p w:rsidR="009D22A2" w:rsidRDefault="009D22A2" w:rsidP="000E66A7">
      <w:r>
        <w:continuationSeparator/>
      </w:r>
    </w:p>
  </w:footnote>
  <w:footnote w:id="1">
    <w:p w:rsidR="000E66A7" w:rsidRDefault="000E66A7" w:rsidP="000E66A7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В съответствие с чл. 125 параграф 3 буква г) на </w:t>
      </w:r>
      <w:r w:rsidR="00081E1B">
        <w:t xml:space="preserve">Регламент </w:t>
      </w:r>
      <w:r>
        <w:t>1303/2013 г.</w:t>
      </w:r>
    </w:p>
  </w:footnote>
  <w:footnote w:id="2">
    <w:p w:rsidR="00A10373" w:rsidRDefault="00A103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0D1F">
        <w:rPr>
          <w:i/>
          <w:lang w:eastAsia="en-GB"/>
        </w:rPr>
        <w:t>Разработване и подобряване на екологосъобразни, включително с ниски емисии на шум, и ниско-въглеродни транспортни системи, включително вътрешни водни пътища и морски транспорт, пристанища, мултимодални връзки и летищна инфраструктура с цел насърчаване на устойчиво развита регионална и местна достъпност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3C" w:rsidRPr="007446FA" w:rsidRDefault="007A003C" w:rsidP="007A003C">
    <w:r w:rsidRPr="007A003C">
      <w:t xml:space="preserve">  </w:t>
    </w:r>
    <w:r>
      <w:rPr>
        <w:noProof/>
      </w:rPr>
      <w:drawing>
        <wp:inline distT="0" distB="0" distL="0" distR="0" wp14:anchorId="3388DFA4" wp14:editId="24F85718">
          <wp:extent cx="680314" cy="827867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New LOGO 2014-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803" cy="828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6631F641" wp14:editId="25C100D8">
          <wp:extent cx="1237931" cy="74615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ort_New LOGO 2014-2020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15" cy="74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003C" w:rsidRDefault="007A003C">
    <w:pPr>
      <w:pStyle w:val="Header"/>
    </w:pPr>
    <w:r w:rsidRPr="007A003C"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5F79"/>
    <w:multiLevelType w:val="hybridMultilevel"/>
    <w:tmpl w:val="D854BB5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070FD"/>
    <w:multiLevelType w:val="multilevel"/>
    <w:tmpl w:val="D2745D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04B0F62"/>
    <w:multiLevelType w:val="multilevel"/>
    <w:tmpl w:val="B34028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32332C4"/>
    <w:multiLevelType w:val="hybridMultilevel"/>
    <w:tmpl w:val="8CC038D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58C3"/>
    <w:multiLevelType w:val="multilevel"/>
    <w:tmpl w:val="BE36A4E4"/>
    <w:lvl w:ilvl="0">
      <w:start w:val="1"/>
      <w:numFmt w:val="decimal"/>
      <w:lvlText w:val="%1."/>
      <w:lvlJc w:val="left"/>
      <w:pPr>
        <w:ind w:left="100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440"/>
      </w:pPr>
      <w:rPr>
        <w:rFonts w:hint="default"/>
      </w:rPr>
    </w:lvl>
  </w:abstractNum>
  <w:abstractNum w:abstractNumId="5" w15:restartNumberingAfterBreak="0">
    <w:nsid w:val="3BE92AE2"/>
    <w:multiLevelType w:val="hybridMultilevel"/>
    <w:tmpl w:val="3288EF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BADC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960CB"/>
    <w:multiLevelType w:val="hybridMultilevel"/>
    <w:tmpl w:val="4AC026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BADC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17C33"/>
    <w:multiLevelType w:val="hybridMultilevel"/>
    <w:tmpl w:val="539E6D8A"/>
    <w:lvl w:ilvl="0" w:tplc="B1EEA90E">
      <w:start w:val="1"/>
      <w:numFmt w:val="decimal"/>
      <w:lvlText w:val="2.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B4DF2"/>
    <w:multiLevelType w:val="multilevel"/>
    <w:tmpl w:val="0402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9B85CC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973C5D"/>
    <w:multiLevelType w:val="hybridMultilevel"/>
    <w:tmpl w:val="15EA0A5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5A4E"/>
    <w:multiLevelType w:val="hybridMultilevel"/>
    <w:tmpl w:val="C1B0137E"/>
    <w:lvl w:ilvl="0" w:tplc="0402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5C381821"/>
    <w:multiLevelType w:val="multilevel"/>
    <w:tmpl w:val="8A16F7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CE32EEF"/>
    <w:multiLevelType w:val="hybridMultilevel"/>
    <w:tmpl w:val="8E8E5A4C"/>
    <w:lvl w:ilvl="0" w:tplc="0402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4" w15:restartNumberingAfterBreak="0">
    <w:nsid w:val="74F77D09"/>
    <w:multiLevelType w:val="hybridMultilevel"/>
    <w:tmpl w:val="CBFE8D20"/>
    <w:lvl w:ilvl="0" w:tplc="B7385E5E">
      <w:start w:val="1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  <w:color w:val="auto"/>
      </w:rPr>
    </w:lvl>
    <w:lvl w:ilvl="1" w:tplc="78BADCA6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7A5852E2"/>
    <w:multiLevelType w:val="hybridMultilevel"/>
    <w:tmpl w:val="3EAA745A"/>
    <w:lvl w:ilvl="0" w:tplc="04020013">
      <w:start w:val="1"/>
      <w:numFmt w:val="upperRoman"/>
      <w:lvlText w:val="%1."/>
      <w:lvlJc w:val="righ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365BBD"/>
    <w:multiLevelType w:val="multilevel"/>
    <w:tmpl w:val="32B2534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2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0"/>
  </w:num>
  <w:num w:numId="10">
    <w:abstractNumId w:val="2"/>
  </w:num>
  <w:num w:numId="11">
    <w:abstractNumId w:val="16"/>
  </w:num>
  <w:num w:numId="12">
    <w:abstractNumId w:val="10"/>
  </w:num>
  <w:num w:numId="13">
    <w:abstractNumId w:val="8"/>
  </w:num>
  <w:num w:numId="14">
    <w:abstractNumId w:val="4"/>
  </w:num>
  <w:num w:numId="15">
    <w:abstractNumId w:val="3"/>
  </w:num>
  <w:num w:numId="16">
    <w:abstractNumId w:val="9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1F"/>
    <w:rsid w:val="00011C31"/>
    <w:rsid w:val="00013392"/>
    <w:rsid w:val="00061E78"/>
    <w:rsid w:val="0007296B"/>
    <w:rsid w:val="00081E1B"/>
    <w:rsid w:val="000B2296"/>
    <w:rsid w:val="000B5DAD"/>
    <w:rsid w:val="000E66A7"/>
    <w:rsid w:val="00103AA7"/>
    <w:rsid w:val="00116B3B"/>
    <w:rsid w:val="00162FFB"/>
    <w:rsid w:val="00175D21"/>
    <w:rsid w:val="001A3BB0"/>
    <w:rsid w:val="001B44DF"/>
    <w:rsid w:val="001C78B2"/>
    <w:rsid w:val="001D0AA5"/>
    <w:rsid w:val="00240B05"/>
    <w:rsid w:val="002506B9"/>
    <w:rsid w:val="00306F8C"/>
    <w:rsid w:val="00342583"/>
    <w:rsid w:val="00357415"/>
    <w:rsid w:val="00362C32"/>
    <w:rsid w:val="00385EBC"/>
    <w:rsid w:val="00391C3C"/>
    <w:rsid w:val="003B6626"/>
    <w:rsid w:val="003C7DD8"/>
    <w:rsid w:val="003D6DCC"/>
    <w:rsid w:val="003E36A7"/>
    <w:rsid w:val="003F154A"/>
    <w:rsid w:val="004226A5"/>
    <w:rsid w:val="00442DF2"/>
    <w:rsid w:val="00445166"/>
    <w:rsid w:val="00445F8F"/>
    <w:rsid w:val="0047001D"/>
    <w:rsid w:val="00471201"/>
    <w:rsid w:val="004912EA"/>
    <w:rsid w:val="005160E1"/>
    <w:rsid w:val="005247B4"/>
    <w:rsid w:val="00535774"/>
    <w:rsid w:val="00543147"/>
    <w:rsid w:val="00581813"/>
    <w:rsid w:val="00597C34"/>
    <w:rsid w:val="005A299F"/>
    <w:rsid w:val="005B6E60"/>
    <w:rsid w:val="005D36D5"/>
    <w:rsid w:val="005D76DE"/>
    <w:rsid w:val="005E12AA"/>
    <w:rsid w:val="00610D08"/>
    <w:rsid w:val="006165BB"/>
    <w:rsid w:val="00624649"/>
    <w:rsid w:val="00643D31"/>
    <w:rsid w:val="00672448"/>
    <w:rsid w:val="00680287"/>
    <w:rsid w:val="00682248"/>
    <w:rsid w:val="00684C85"/>
    <w:rsid w:val="006F524E"/>
    <w:rsid w:val="00714F2B"/>
    <w:rsid w:val="00726CEB"/>
    <w:rsid w:val="0073786F"/>
    <w:rsid w:val="00737EF6"/>
    <w:rsid w:val="00753CF1"/>
    <w:rsid w:val="007937F7"/>
    <w:rsid w:val="007A000A"/>
    <w:rsid w:val="007A003C"/>
    <w:rsid w:val="007C76E7"/>
    <w:rsid w:val="007D44CA"/>
    <w:rsid w:val="007F701B"/>
    <w:rsid w:val="008010BE"/>
    <w:rsid w:val="00810837"/>
    <w:rsid w:val="0082398F"/>
    <w:rsid w:val="00844D1F"/>
    <w:rsid w:val="0086366F"/>
    <w:rsid w:val="008A4539"/>
    <w:rsid w:val="008F693C"/>
    <w:rsid w:val="00904479"/>
    <w:rsid w:val="0090705F"/>
    <w:rsid w:val="00950779"/>
    <w:rsid w:val="009639E8"/>
    <w:rsid w:val="0098214C"/>
    <w:rsid w:val="00994263"/>
    <w:rsid w:val="009A7543"/>
    <w:rsid w:val="009B186E"/>
    <w:rsid w:val="009D0CEE"/>
    <w:rsid w:val="009D1646"/>
    <w:rsid w:val="009D22A2"/>
    <w:rsid w:val="009D4130"/>
    <w:rsid w:val="009F463C"/>
    <w:rsid w:val="00A10373"/>
    <w:rsid w:val="00A15EA0"/>
    <w:rsid w:val="00A25E52"/>
    <w:rsid w:val="00A47A0A"/>
    <w:rsid w:val="00A50D18"/>
    <w:rsid w:val="00A61F00"/>
    <w:rsid w:val="00A6583D"/>
    <w:rsid w:val="00A66547"/>
    <w:rsid w:val="00AC1BA8"/>
    <w:rsid w:val="00AD7F32"/>
    <w:rsid w:val="00AE5EA5"/>
    <w:rsid w:val="00AF1FA4"/>
    <w:rsid w:val="00AF3D71"/>
    <w:rsid w:val="00B0742F"/>
    <w:rsid w:val="00B45F55"/>
    <w:rsid w:val="00B8344C"/>
    <w:rsid w:val="00B94946"/>
    <w:rsid w:val="00BF2F54"/>
    <w:rsid w:val="00C161BE"/>
    <w:rsid w:val="00C16DDE"/>
    <w:rsid w:val="00C27557"/>
    <w:rsid w:val="00C31C01"/>
    <w:rsid w:val="00C5295C"/>
    <w:rsid w:val="00C665D0"/>
    <w:rsid w:val="00C7622A"/>
    <w:rsid w:val="00CA6457"/>
    <w:rsid w:val="00CD0C42"/>
    <w:rsid w:val="00CF12FF"/>
    <w:rsid w:val="00D51D48"/>
    <w:rsid w:val="00D52524"/>
    <w:rsid w:val="00D923B6"/>
    <w:rsid w:val="00D94B7C"/>
    <w:rsid w:val="00DA27C2"/>
    <w:rsid w:val="00DC0AC7"/>
    <w:rsid w:val="00DC3726"/>
    <w:rsid w:val="00DC3969"/>
    <w:rsid w:val="00DE23A8"/>
    <w:rsid w:val="00DF07F8"/>
    <w:rsid w:val="00E2180B"/>
    <w:rsid w:val="00E23A3D"/>
    <w:rsid w:val="00E3584E"/>
    <w:rsid w:val="00E3602D"/>
    <w:rsid w:val="00E539B5"/>
    <w:rsid w:val="00E939D7"/>
    <w:rsid w:val="00F364DE"/>
    <w:rsid w:val="00F64E50"/>
    <w:rsid w:val="00F7213F"/>
    <w:rsid w:val="00FC2B6B"/>
    <w:rsid w:val="00FF2BD1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086B65"/>
  <w15:docId w15:val="{AF9485F6-A600-46BC-A55F-D4111CB5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24E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71201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1201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120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120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120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120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120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120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4D1F"/>
    <w:pPr>
      <w:ind w:left="720"/>
      <w:contextualSpacing/>
    </w:p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qFormat/>
    <w:rsid w:val="000E66A7"/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0E66A7"/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DefaultParagraphFont"/>
    <w:rsid w:val="000E66A7"/>
    <w:rPr>
      <w:vertAlign w:val="superscript"/>
    </w:rPr>
  </w:style>
  <w:style w:type="paragraph" w:styleId="Header">
    <w:name w:val="header"/>
    <w:basedOn w:val="Normal"/>
    <w:link w:val="HeaderChar"/>
    <w:rsid w:val="009F46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46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46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63C"/>
    <w:rPr>
      <w:sz w:val="24"/>
      <w:szCs w:val="24"/>
    </w:rPr>
  </w:style>
  <w:style w:type="paragraph" w:styleId="BalloonText">
    <w:name w:val="Balloon Text"/>
    <w:basedOn w:val="Normal"/>
    <w:link w:val="BalloonTextChar"/>
    <w:rsid w:val="007A0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0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F5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524E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6F524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1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712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712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712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712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7120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7120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712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FC2B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A25F-43F3-448F-B29B-5586899F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1719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Ivanov Ignatov</dc:creator>
  <cp:keywords/>
  <dc:description/>
  <cp:lastModifiedBy>Momchil Markov</cp:lastModifiedBy>
  <cp:revision>6</cp:revision>
  <cp:lastPrinted>2014-11-17T15:14:00Z</cp:lastPrinted>
  <dcterms:created xsi:type="dcterms:W3CDTF">2022-11-10T09:01:00Z</dcterms:created>
  <dcterms:modified xsi:type="dcterms:W3CDTF">2023-07-27T13:50:00Z</dcterms:modified>
</cp:coreProperties>
</file>