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EB84DF" w14:textId="0C29AD1A" w:rsidR="007958CF" w:rsidRDefault="007958CF">
      <w:pPr>
        <w:rPr>
          <w:rFonts w:ascii="Times New Roman" w:eastAsia="Times New Roman" w:hAnsi="Times New Roman" w:cs="Times New Roman"/>
          <w:b/>
          <w:bCs/>
          <w:color w:val="000000"/>
          <w:sz w:val="24"/>
          <w:szCs w:val="24"/>
          <w:lang w:eastAsia="bg-BG"/>
        </w:rPr>
      </w:pPr>
    </w:p>
    <w:p w14:paraId="60C6707C" w14:textId="3FF3FDAD" w:rsidR="00444454" w:rsidRPr="007D063B" w:rsidRDefault="00444454" w:rsidP="00891FF1">
      <w:pPr>
        <w:jc w:val="center"/>
        <w:rPr>
          <w:rFonts w:ascii="Times New Roman" w:eastAsia="Times New Roman" w:hAnsi="Times New Roman" w:cs="Times New Roman"/>
          <w:b/>
          <w:bCs/>
          <w:color w:val="000000"/>
          <w:sz w:val="36"/>
          <w:szCs w:val="36"/>
          <w:lang w:eastAsia="bg-BG"/>
        </w:rPr>
      </w:pPr>
      <w:r w:rsidRPr="007D063B">
        <w:rPr>
          <w:rFonts w:ascii="Times New Roman" w:eastAsia="Times New Roman" w:hAnsi="Times New Roman" w:cs="Times New Roman"/>
          <w:b/>
          <w:bCs/>
          <w:color w:val="000000"/>
          <w:sz w:val="36"/>
          <w:szCs w:val="36"/>
          <w:lang w:eastAsia="bg-BG"/>
        </w:rPr>
        <w:t>РЕПУБЛИКА БЪЛГАРИЯ</w:t>
      </w:r>
    </w:p>
    <w:p w14:paraId="2CC4D821" w14:textId="77777777" w:rsidR="00444454" w:rsidRPr="007D063B" w:rsidRDefault="00444454" w:rsidP="00891FF1">
      <w:pPr>
        <w:jc w:val="center"/>
        <w:rPr>
          <w:rFonts w:ascii="Times New Roman" w:eastAsia="Times New Roman" w:hAnsi="Times New Roman" w:cs="Times New Roman"/>
          <w:b/>
          <w:bCs/>
          <w:color w:val="000000"/>
          <w:sz w:val="36"/>
          <w:szCs w:val="36"/>
          <w:lang w:eastAsia="bg-BG"/>
        </w:rPr>
      </w:pPr>
    </w:p>
    <w:p w14:paraId="61326BC0" w14:textId="37D62136" w:rsidR="00891FF1" w:rsidRPr="007D063B" w:rsidRDefault="00891FF1" w:rsidP="00891FF1">
      <w:pPr>
        <w:jc w:val="center"/>
        <w:rPr>
          <w:rFonts w:ascii="Times New Roman" w:eastAsia="Times New Roman" w:hAnsi="Times New Roman" w:cs="Times New Roman"/>
          <w:b/>
          <w:bCs/>
          <w:color w:val="000000"/>
          <w:sz w:val="36"/>
          <w:szCs w:val="36"/>
          <w:lang w:eastAsia="bg-BG"/>
        </w:rPr>
      </w:pPr>
      <w:r w:rsidRPr="007D063B">
        <w:rPr>
          <w:rFonts w:ascii="Times New Roman" w:eastAsia="Times New Roman" w:hAnsi="Times New Roman" w:cs="Times New Roman"/>
          <w:b/>
          <w:bCs/>
          <w:color w:val="000000"/>
          <w:sz w:val="36"/>
          <w:szCs w:val="36"/>
          <w:lang w:eastAsia="bg-BG"/>
        </w:rPr>
        <w:t>АДМИНИСТРАЦИЯ НА МИНИСТЕРСКИЯ СЪВЕТ</w:t>
      </w:r>
    </w:p>
    <w:p w14:paraId="6A482FA0" w14:textId="6E57FA5E" w:rsidR="00891FF1" w:rsidRPr="007D063B" w:rsidRDefault="00891FF1" w:rsidP="00891FF1">
      <w:pPr>
        <w:jc w:val="center"/>
        <w:rPr>
          <w:rFonts w:ascii="Times New Roman" w:eastAsia="Times New Roman" w:hAnsi="Times New Roman" w:cs="Times New Roman"/>
          <w:b/>
          <w:bCs/>
          <w:color w:val="000000"/>
          <w:sz w:val="36"/>
          <w:szCs w:val="36"/>
          <w:lang w:eastAsia="bg-BG"/>
        </w:rPr>
      </w:pPr>
    </w:p>
    <w:p w14:paraId="402CE1E8" w14:textId="39ABE627" w:rsidR="00891FF1" w:rsidRPr="007D063B" w:rsidRDefault="00891FF1" w:rsidP="00891FF1">
      <w:pPr>
        <w:jc w:val="center"/>
        <w:rPr>
          <w:rFonts w:ascii="Times New Roman" w:eastAsia="Times New Roman" w:hAnsi="Times New Roman" w:cs="Times New Roman"/>
          <w:b/>
          <w:bCs/>
          <w:color w:val="000000"/>
          <w:sz w:val="36"/>
          <w:szCs w:val="36"/>
          <w:lang w:eastAsia="bg-BG"/>
        </w:rPr>
      </w:pPr>
      <w:r w:rsidRPr="007D063B">
        <w:rPr>
          <w:rFonts w:ascii="Times New Roman" w:eastAsia="Times New Roman" w:hAnsi="Times New Roman" w:cs="Times New Roman"/>
          <w:b/>
          <w:bCs/>
          <w:color w:val="000000"/>
          <w:sz w:val="36"/>
          <w:szCs w:val="36"/>
          <w:lang w:eastAsia="bg-BG"/>
        </w:rPr>
        <w:t>ДИРЕКЦИЯ „ДОБРО УПРАВЛЕНИЕ“</w:t>
      </w:r>
    </w:p>
    <w:p w14:paraId="12A9288F" w14:textId="7E85A6E0" w:rsidR="00891FF1" w:rsidRPr="007D063B" w:rsidRDefault="00891FF1" w:rsidP="00891FF1">
      <w:pPr>
        <w:jc w:val="center"/>
        <w:rPr>
          <w:rFonts w:ascii="Times New Roman" w:eastAsia="Times New Roman" w:hAnsi="Times New Roman" w:cs="Times New Roman"/>
          <w:b/>
          <w:bCs/>
          <w:color w:val="000000"/>
          <w:sz w:val="36"/>
          <w:szCs w:val="36"/>
          <w:lang w:eastAsia="bg-BG"/>
        </w:rPr>
      </w:pPr>
    </w:p>
    <w:p w14:paraId="685FD0AA" w14:textId="2016FF6B" w:rsidR="00891FF1" w:rsidRPr="007D063B" w:rsidRDefault="00891FF1" w:rsidP="00891FF1">
      <w:pPr>
        <w:jc w:val="center"/>
        <w:rPr>
          <w:rFonts w:ascii="Times New Roman" w:eastAsia="Times New Roman" w:hAnsi="Times New Roman" w:cs="Times New Roman"/>
          <w:b/>
          <w:bCs/>
          <w:color w:val="000000"/>
          <w:sz w:val="36"/>
          <w:szCs w:val="36"/>
          <w:lang w:eastAsia="bg-BG"/>
        </w:rPr>
      </w:pPr>
      <w:r w:rsidRPr="007D063B">
        <w:rPr>
          <w:rFonts w:ascii="Times New Roman" w:eastAsia="Times New Roman" w:hAnsi="Times New Roman" w:cs="Times New Roman"/>
          <w:b/>
          <w:bCs/>
          <w:color w:val="000000"/>
          <w:sz w:val="36"/>
          <w:szCs w:val="36"/>
          <w:lang w:eastAsia="bg-BG"/>
        </w:rPr>
        <w:t xml:space="preserve">УПРАВЛЯВАЩ ОРГАН НА </w:t>
      </w:r>
      <w:r w:rsidRPr="007D063B">
        <w:rPr>
          <w:rFonts w:ascii="Times New Roman" w:eastAsia="Times New Roman" w:hAnsi="Times New Roman" w:cs="Times New Roman"/>
          <w:b/>
          <w:bCs/>
          <w:color w:val="000000"/>
          <w:sz w:val="36"/>
          <w:szCs w:val="36"/>
          <w:lang w:eastAsia="bg-BG"/>
        </w:rPr>
        <w:br/>
        <w:t>ОПЕРАТИВНА ПРОГРАМА „ДОБРО УПРАВЛЕНИЕ“</w:t>
      </w:r>
    </w:p>
    <w:p w14:paraId="419BE43E" w14:textId="77777777" w:rsidR="005745C0" w:rsidRPr="007D063B" w:rsidRDefault="005745C0" w:rsidP="002B3BEA">
      <w:pPr>
        <w:jc w:val="center"/>
        <w:rPr>
          <w:rFonts w:ascii="Times New Roman" w:eastAsia="Times New Roman" w:hAnsi="Times New Roman" w:cs="Times New Roman"/>
          <w:b/>
          <w:bCs/>
          <w:color w:val="000000"/>
          <w:sz w:val="24"/>
          <w:szCs w:val="24"/>
          <w:lang w:eastAsia="bg-BG"/>
        </w:rPr>
      </w:pPr>
    </w:p>
    <w:p w14:paraId="768CEB86" w14:textId="7C2EAAAF" w:rsidR="007958CF" w:rsidRPr="007D063B" w:rsidRDefault="007958CF" w:rsidP="002B3BEA">
      <w:pPr>
        <w:jc w:val="center"/>
        <w:rPr>
          <w:rFonts w:ascii="Times New Roman" w:eastAsia="Times New Roman" w:hAnsi="Times New Roman" w:cs="Times New Roman"/>
          <w:b/>
          <w:bCs/>
          <w:color w:val="000000"/>
          <w:sz w:val="36"/>
          <w:szCs w:val="36"/>
          <w:lang w:eastAsia="bg-BG"/>
        </w:rPr>
      </w:pPr>
      <w:r w:rsidRPr="007D063B">
        <w:rPr>
          <w:rFonts w:ascii="Times New Roman" w:eastAsia="Times New Roman" w:hAnsi="Times New Roman" w:cs="Times New Roman"/>
          <w:b/>
          <w:bCs/>
          <w:color w:val="000000"/>
          <w:sz w:val="36"/>
          <w:szCs w:val="36"/>
          <w:lang w:eastAsia="bg-BG"/>
        </w:rPr>
        <w:t>ГОДИШЕН ДОКЛАД ЗА ИЗПЪЛНЕНИЕТО НА</w:t>
      </w:r>
    </w:p>
    <w:p w14:paraId="1C565BE7" w14:textId="57F24393" w:rsidR="007958CF" w:rsidRPr="007D063B" w:rsidRDefault="007958CF" w:rsidP="002B3BEA">
      <w:pPr>
        <w:jc w:val="center"/>
        <w:rPr>
          <w:rFonts w:ascii="Times New Roman" w:eastAsia="Times New Roman" w:hAnsi="Times New Roman" w:cs="Times New Roman"/>
          <w:b/>
          <w:bCs/>
          <w:color w:val="000000"/>
          <w:sz w:val="36"/>
          <w:szCs w:val="36"/>
          <w:lang w:eastAsia="bg-BG"/>
        </w:rPr>
      </w:pPr>
      <w:r w:rsidRPr="007D063B">
        <w:rPr>
          <w:rFonts w:ascii="Times New Roman" w:eastAsia="Times New Roman" w:hAnsi="Times New Roman" w:cs="Times New Roman"/>
          <w:b/>
          <w:bCs/>
          <w:color w:val="000000"/>
          <w:sz w:val="36"/>
          <w:szCs w:val="36"/>
          <w:lang w:eastAsia="bg-BG"/>
        </w:rPr>
        <w:t>ОПЕРАТИВНА ПРОГРАМА „ДОБРО УПРАВЛЕНИЕ“</w:t>
      </w:r>
    </w:p>
    <w:p w14:paraId="1742D1E1" w14:textId="62378C90" w:rsidR="008D531F" w:rsidRPr="007D063B" w:rsidRDefault="008D531F" w:rsidP="002B3BEA">
      <w:pPr>
        <w:jc w:val="center"/>
        <w:rPr>
          <w:rFonts w:ascii="Times New Roman" w:eastAsia="Times New Roman" w:hAnsi="Times New Roman" w:cs="Times New Roman"/>
          <w:b/>
          <w:bCs/>
          <w:color w:val="000000"/>
          <w:sz w:val="36"/>
          <w:szCs w:val="36"/>
          <w:lang w:eastAsia="bg-BG"/>
        </w:rPr>
      </w:pPr>
      <w:r w:rsidRPr="007D063B">
        <w:rPr>
          <w:rFonts w:ascii="Times New Roman" w:eastAsia="Times New Roman" w:hAnsi="Times New Roman" w:cs="Times New Roman"/>
          <w:b/>
          <w:bCs/>
          <w:color w:val="000000"/>
          <w:sz w:val="36"/>
          <w:szCs w:val="36"/>
          <w:lang w:eastAsia="bg-BG"/>
        </w:rPr>
        <w:t>ЗА 201</w:t>
      </w:r>
      <w:r w:rsidR="004D7E1E" w:rsidRPr="007D063B">
        <w:rPr>
          <w:rFonts w:ascii="Times New Roman" w:eastAsia="Times New Roman" w:hAnsi="Times New Roman" w:cs="Times New Roman"/>
          <w:b/>
          <w:bCs/>
          <w:color w:val="000000"/>
          <w:sz w:val="36"/>
          <w:szCs w:val="36"/>
          <w:lang w:eastAsia="bg-BG"/>
        </w:rPr>
        <w:t>6</w:t>
      </w:r>
      <w:r w:rsidR="00E71A37" w:rsidRPr="007D063B">
        <w:rPr>
          <w:rFonts w:ascii="Times New Roman" w:eastAsia="Times New Roman" w:hAnsi="Times New Roman" w:cs="Times New Roman"/>
          <w:b/>
          <w:bCs/>
          <w:color w:val="000000"/>
          <w:sz w:val="36"/>
          <w:szCs w:val="36"/>
          <w:lang w:eastAsia="bg-BG"/>
        </w:rPr>
        <w:t xml:space="preserve"> </w:t>
      </w:r>
      <w:r w:rsidRPr="007D063B">
        <w:rPr>
          <w:rFonts w:ascii="Times New Roman" w:eastAsia="Times New Roman" w:hAnsi="Times New Roman" w:cs="Times New Roman"/>
          <w:b/>
          <w:bCs/>
          <w:color w:val="000000"/>
          <w:sz w:val="36"/>
          <w:szCs w:val="36"/>
          <w:lang w:eastAsia="bg-BG"/>
        </w:rPr>
        <w:t>г.</w:t>
      </w:r>
    </w:p>
    <w:p w14:paraId="797A74D5" w14:textId="77777777" w:rsidR="008D531F" w:rsidRPr="007D063B" w:rsidRDefault="008D531F" w:rsidP="002B3BEA">
      <w:pPr>
        <w:jc w:val="center"/>
        <w:rPr>
          <w:rFonts w:ascii="Times New Roman" w:eastAsia="Times New Roman" w:hAnsi="Times New Roman" w:cs="Times New Roman"/>
          <w:b/>
          <w:bCs/>
          <w:color w:val="000000"/>
          <w:sz w:val="36"/>
          <w:szCs w:val="36"/>
          <w:lang w:eastAsia="bg-BG"/>
        </w:rPr>
      </w:pPr>
    </w:p>
    <w:p w14:paraId="1E8BC446" w14:textId="77777777" w:rsidR="008D531F" w:rsidRPr="007D063B" w:rsidRDefault="008D531F" w:rsidP="002B3BEA">
      <w:pPr>
        <w:jc w:val="center"/>
        <w:rPr>
          <w:rFonts w:ascii="Times New Roman" w:eastAsia="Times New Roman" w:hAnsi="Times New Roman" w:cs="Times New Roman"/>
          <w:b/>
          <w:bCs/>
          <w:color w:val="000000"/>
          <w:sz w:val="36"/>
          <w:szCs w:val="36"/>
          <w:lang w:eastAsia="bg-BG"/>
        </w:rPr>
      </w:pPr>
    </w:p>
    <w:p w14:paraId="14003EBD" w14:textId="5B63ACBB" w:rsidR="007958CF" w:rsidRPr="007D063B" w:rsidRDefault="003814F5" w:rsidP="00134FF9">
      <w:pPr>
        <w:jc w:val="center"/>
        <w:rPr>
          <w:rFonts w:ascii="Times New Roman" w:eastAsia="Times New Roman" w:hAnsi="Times New Roman" w:cs="Times New Roman"/>
          <w:b/>
          <w:bCs/>
          <w:color w:val="000000"/>
          <w:sz w:val="24"/>
          <w:szCs w:val="24"/>
          <w:lang w:eastAsia="bg-BG"/>
        </w:rPr>
      </w:pPr>
      <w:r w:rsidRPr="007D063B">
        <w:rPr>
          <w:rFonts w:ascii="Times New Roman" w:eastAsia="Times New Roman" w:hAnsi="Times New Roman" w:cs="Times New Roman"/>
          <w:bCs/>
          <w:i/>
          <w:color w:val="000000"/>
          <w:lang w:eastAsia="bg-BG"/>
        </w:rPr>
        <w:t>ю</w:t>
      </w:r>
      <w:r w:rsidR="00C224CD" w:rsidRPr="007D063B">
        <w:rPr>
          <w:rFonts w:ascii="Times New Roman" w:eastAsia="Times New Roman" w:hAnsi="Times New Roman" w:cs="Times New Roman"/>
          <w:bCs/>
          <w:i/>
          <w:color w:val="000000"/>
          <w:lang w:eastAsia="bg-BG"/>
        </w:rPr>
        <w:t xml:space="preserve">ни </w:t>
      </w:r>
      <w:r w:rsidR="001357CE" w:rsidRPr="007D063B">
        <w:rPr>
          <w:rFonts w:ascii="Times New Roman" w:eastAsia="Times New Roman" w:hAnsi="Times New Roman" w:cs="Times New Roman"/>
          <w:bCs/>
          <w:i/>
          <w:color w:val="000000"/>
          <w:lang w:eastAsia="bg-BG"/>
        </w:rPr>
        <w:t>201</w:t>
      </w:r>
      <w:r w:rsidR="00C224CD" w:rsidRPr="007D063B">
        <w:rPr>
          <w:rFonts w:ascii="Times New Roman" w:eastAsia="Times New Roman" w:hAnsi="Times New Roman" w:cs="Times New Roman"/>
          <w:bCs/>
          <w:i/>
          <w:color w:val="000000"/>
          <w:lang w:eastAsia="bg-BG"/>
        </w:rPr>
        <w:t>7</w:t>
      </w:r>
      <w:r w:rsidR="007958CF" w:rsidRPr="007D063B">
        <w:rPr>
          <w:rFonts w:ascii="Times New Roman" w:eastAsia="Times New Roman" w:hAnsi="Times New Roman" w:cs="Times New Roman"/>
          <w:bCs/>
          <w:i/>
          <w:color w:val="000000"/>
          <w:lang w:eastAsia="bg-BG"/>
        </w:rPr>
        <w:t xml:space="preserve"> г.</w:t>
      </w:r>
      <w:r w:rsidR="007958CF" w:rsidRPr="007D063B">
        <w:rPr>
          <w:rFonts w:ascii="Times New Roman" w:eastAsia="Times New Roman" w:hAnsi="Times New Roman" w:cs="Times New Roman"/>
          <w:b/>
          <w:bCs/>
          <w:color w:val="000000"/>
          <w:sz w:val="24"/>
          <w:szCs w:val="24"/>
          <w:lang w:eastAsia="bg-BG"/>
        </w:rPr>
        <w:br w:type="page"/>
      </w:r>
    </w:p>
    <w:p w14:paraId="140FFE57" w14:textId="22E8E614" w:rsidR="00CA2A1D" w:rsidRPr="007D063B" w:rsidRDefault="00D279B7" w:rsidP="00134FF9">
      <w:pPr>
        <w:shd w:val="clear" w:color="auto" w:fill="FFFFFF"/>
        <w:spacing w:before="240" w:after="120" w:line="240" w:lineRule="auto"/>
        <w:jc w:val="center"/>
        <w:rPr>
          <w:rFonts w:ascii="Times New Roman" w:eastAsia="Times New Roman" w:hAnsi="Times New Roman" w:cs="Times New Roman"/>
          <w:b/>
          <w:bCs/>
          <w:color w:val="000000"/>
          <w:spacing w:val="40"/>
          <w:sz w:val="24"/>
          <w:szCs w:val="24"/>
          <w:lang w:eastAsia="bg-BG"/>
        </w:rPr>
      </w:pPr>
      <w:r w:rsidRPr="007D063B">
        <w:rPr>
          <w:rFonts w:ascii="Times New Roman" w:eastAsia="Times New Roman" w:hAnsi="Times New Roman" w:cs="Times New Roman"/>
          <w:b/>
          <w:bCs/>
          <w:color w:val="000000"/>
          <w:spacing w:val="40"/>
          <w:sz w:val="24"/>
          <w:szCs w:val="24"/>
          <w:lang w:eastAsia="bg-BG"/>
        </w:rPr>
        <w:lastRenderedPageBreak/>
        <w:t>СЪДЪРЖАНИЕ</w:t>
      </w:r>
    </w:p>
    <w:sdt>
      <w:sdtPr>
        <w:rPr>
          <w:rFonts w:asciiTheme="minorHAnsi" w:eastAsiaTheme="minorHAnsi" w:hAnsiTheme="minorHAnsi" w:cstheme="minorBidi"/>
          <w:color w:val="auto"/>
          <w:sz w:val="22"/>
          <w:szCs w:val="22"/>
          <w:lang w:val="bg-BG"/>
        </w:rPr>
        <w:id w:val="1907499310"/>
        <w:docPartObj>
          <w:docPartGallery w:val="Table of Contents"/>
          <w:docPartUnique/>
        </w:docPartObj>
      </w:sdtPr>
      <w:sdtEndPr>
        <w:rPr>
          <w:b/>
          <w:bCs/>
          <w:noProof/>
        </w:rPr>
      </w:sdtEndPr>
      <w:sdtContent>
        <w:p w14:paraId="1ABDC572" w14:textId="6E648902" w:rsidR="005548A5" w:rsidRPr="007D063B" w:rsidRDefault="005548A5">
          <w:pPr>
            <w:pStyle w:val="TOCHeading"/>
          </w:pPr>
        </w:p>
        <w:p w14:paraId="3F6CA623" w14:textId="12160145" w:rsidR="0095721D" w:rsidRPr="007D063B" w:rsidRDefault="0095721D">
          <w:pPr>
            <w:pStyle w:val="TOC1"/>
            <w:tabs>
              <w:tab w:val="right" w:leader="dot" w:pos="13994"/>
            </w:tabs>
            <w:rPr>
              <w:rFonts w:eastAsiaTheme="minorEastAsia"/>
              <w:noProof/>
              <w:lang w:eastAsia="bg-BG"/>
            </w:rPr>
          </w:pPr>
          <w:r w:rsidRPr="007D063B">
            <w:fldChar w:fldCharType="begin"/>
          </w:r>
          <w:r w:rsidRPr="007D063B">
            <w:instrText xml:space="preserve"> TOC \o "1-3" \h \z \u </w:instrText>
          </w:r>
          <w:r w:rsidRPr="007D063B">
            <w:fldChar w:fldCharType="separate"/>
          </w:r>
          <w:hyperlink w:anchor="_Toc481594261" w:history="1">
            <w:r w:rsidRPr="007D063B">
              <w:rPr>
                <w:rStyle w:val="Hyperlink"/>
                <w:rFonts w:ascii="Times New Roman" w:eastAsia="Times New Roman" w:hAnsi="Times New Roman" w:cs="Times New Roman"/>
                <w:b/>
                <w:bCs/>
                <w:noProof/>
                <w:lang w:eastAsia="bg-BG"/>
              </w:rPr>
              <w:t>1.   ИДЕНТИФИКАЦИЯ НА ГОДИШНИЯ/ОКОНЧАТЕЛНИЯ ДОКЛАД ЗА ИЗПЪЛНЕНИЕТО</w:t>
            </w:r>
            <w:r w:rsidRPr="007D063B">
              <w:rPr>
                <w:noProof/>
                <w:webHidden/>
              </w:rPr>
              <w:tab/>
            </w:r>
            <w:r w:rsidRPr="007D063B">
              <w:rPr>
                <w:noProof/>
                <w:webHidden/>
              </w:rPr>
              <w:fldChar w:fldCharType="begin"/>
            </w:r>
            <w:r w:rsidRPr="007D063B">
              <w:rPr>
                <w:noProof/>
                <w:webHidden/>
              </w:rPr>
              <w:instrText xml:space="preserve"> PAGEREF _Toc481594261 \h </w:instrText>
            </w:r>
            <w:r w:rsidRPr="007D063B">
              <w:rPr>
                <w:noProof/>
                <w:webHidden/>
              </w:rPr>
            </w:r>
            <w:r w:rsidRPr="007D063B">
              <w:rPr>
                <w:noProof/>
                <w:webHidden/>
              </w:rPr>
              <w:fldChar w:fldCharType="separate"/>
            </w:r>
            <w:r w:rsidRPr="007D063B">
              <w:rPr>
                <w:noProof/>
                <w:webHidden/>
              </w:rPr>
              <w:t>7</w:t>
            </w:r>
            <w:r w:rsidRPr="007D063B">
              <w:rPr>
                <w:noProof/>
                <w:webHidden/>
              </w:rPr>
              <w:fldChar w:fldCharType="end"/>
            </w:r>
          </w:hyperlink>
        </w:p>
        <w:p w14:paraId="462E753D" w14:textId="2B9E67E0" w:rsidR="0095721D" w:rsidRPr="007D063B" w:rsidRDefault="00DC49EA">
          <w:pPr>
            <w:pStyle w:val="TOC1"/>
            <w:tabs>
              <w:tab w:val="right" w:leader="dot" w:pos="13994"/>
            </w:tabs>
            <w:rPr>
              <w:rFonts w:eastAsiaTheme="minorEastAsia"/>
              <w:noProof/>
              <w:lang w:eastAsia="bg-BG"/>
            </w:rPr>
          </w:pPr>
          <w:hyperlink w:anchor="_Toc481594262" w:history="1">
            <w:r w:rsidR="0095721D" w:rsidRPr="007D063B">
              <w:rPr>
                <w:rStyle w:val="Hyperlink"/>
                <w:rFonts w:ascii="Times New Roman" w:eastAsia="Times New Roman" w:hAnsi="Times New Roman" w:cs="Times New Roman"/>
                <w:b/>
                <w:bCs/>
                <w:noProof/>
                <w:lang w:eastAsia="bg-BG"/>
              </w:rPr>
              <w:t>2.   ПРЕГЛЕД НА ИЗПЪЛНЕНИЕТО НА ОПЕРАТИВНАТА ПРОГРАМА (ЧЛЕН 50, ПАРАГРАФ 2 И ЧЛЕН 111, ПАРАГРАФ 3, БУКВА а) от Регламент (ЕС) № 1303/2013)</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_Toc481594262 \h </w:instrText>
            </w:r>
            <w:r w:rsidR="0095721D" w:rsidRPr="007D063B">
              <w:rPr>
                <w:noProof/>
                <w:webHidden/>
              </w:rPr>
            </w:r>
            <w:r w:rsidR="0095721D" w:rsidRPr="007D063B">
              <w:rPr>
                <w:noProof/>
                <w:webHidden/>
              </w:rPr>
              <w:fldChar w:fldCharType="separate"/>
            </w:r>
            <w:r w:rsidR="0095721D" w:rsidRPr="007D063B">
              <w:rPr>
                <w:noProof/>
                <w:webHidden/>
              </w:rPr>
              <w:t>7</w:t>
            </w:r>
            <w:r w:rsidR="0095721D" w:rsidRPr="007D063B">
              <w:rPr>
                <w:noProof/>
                <w:webHidden/>
              </w:rPr>
              <w:fldChar w:fldCharType="end"/>
            </w:r>
          </w:hyperlink>
        </w:p>
        <w:p w14:paraId="7F548DE8" w14:textId="36212762" w:rsidR="0095721D" w:rsidRPr="007D063B" w:rsidRDefault="00DC49EA">
          <w:pPr>
            <w:pStyle w:val="TOC1"/>
            <w:tabs>
              <w:tab w:val="right" w:leader="dot" w:pos="13994"/>
            </w:tabs>
            <w:rPr>
              <w:rFonts w:eastAsiaTheme="minorEastAsia"/>
              <w:noProof/>
              <w:lang w:eastAsia="bg-BG"/>
            </w:rPr>
          </w:pPr>
          <w:hyperlink w:anchor="_Toc481594263" w:history="1">
            <w:r w:rsidR="0095721D" w:rsidRPr="007D063B">
              <w:rPr>
                <w:rStyle w:val="Hyperlink"/>
                <w:rFonts w:ascii="Times New Roman" w:eastAsia="Times New Roman" w:hAnsi="Times New Roman" w:cs="Times New Roman"/>
                <w:b/>
                <w:bCs/>
                <w:noProof/>
                <w:lang w:eastAsia="bg-BG"/>
              </w:rPr>
              <w:t>3.   ИЗПЪЛНЕНИЕ НА ПРИОРИТЕТНАТА ОС (член 50, параграф 2 от Регламент (ЕС) № 1303/2013)</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_Toc481594263 \h </w:instrText>
            </w:r>
            <w:r w:rsidR="0095721D" w:rsidRPr="007D063B">
              <w:rPr>
                <w:noProof/>
                <w:webHidden/>
              </w:rPr>
            </w:r>
            <w:r w:rsidR="0095721D" w:rsidRPr="007D063B">
              <w:rPr>
                <w:noProof/>
                <w:webHidden/>
              </w:rPr>
              <w:fldChar w:fldCharType="separate"/>
            </w:r>
            <w:r w:rsidR="0095721D" w:rsidRPr="007D063B">
              <w:rPr>
                <w:noProof/>
                <w:webHidden/>
              </w:rPr>
              <w:t>11</w:t>
            </w:r>
            <w:r w:rsidR="0095721D" w:rsidRPr="007D063B">
              <w:rPr>
                <w:noProof/>
                <w:webHidden/>
              </w:rPr>
              <w:fldChar w:fldCharType="end"/>
            </w:r>
          </w:hyperlink>
        </w:p>
        <w:p w14:paraId="69D4FAEF" w14:textId="3AAF5F3C" w:rsidR="0095721D" w:rsidRPr="007D063B" w:rsidRDefault="00DC49EA" w:rsidP="00E354F5">
          <w:pPr>
            <w:pStyle w:val="TOC2"/>
            <w:rPr>
              <w:rFonts w:eastAsiaTheme="minorEastAsia"/>
              <w:noProof/>
              <w:lang w:eastAsia="bg-BG"/>
            </w:rPr>
          </w:pPr>
          <w:hyperlink w:anchor="_Toc481594264" w:history="1">
            <w:r w:rsidR="0095721D" w:rsidRPr="007D063B">
              <w:rPr>
                <w:rStyle w:val="Hyperlink"/>
                <w:rFonts w:ascii="Times New Roman" w:eastAsia="Times New Roman" w:hAnsi="Times New Roman" w:cs="Times New Roman"/>
                <w:b/>
                <w:bCs/>
                <w:noProof/>
                <w:lang w:eastAsia="bg-BG"/>
              </w:rPr>
              <w:t>3.1   </w:t>
            </w:r>
            <w:r w:rsidR="0095721D" w:rsidRPr="007D063B">
              <w:rPr>
                <w:rStyle w:val="Hyperlink"/>
                <w:rFonts w:ascii="inherit" w:eastAsia="Times New Roman" w:hAnsi="inherit" w:cs="Times New Roman"/>
                <w:b/>
                <w:bCs/>
                <w:noProof/>
                <w:lang w:eastAsia="bg-BG"/>
              </w:rPr>
              <w:t>Преглед на изпълнението – приоритетна ос 1</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_Toc481594264 \h </w:instrText>
            </w:r>
            <w:r w:rsidR="0095721D" w:rsidRPr="007D063B">
              <w:rPr>
                <w:noProof/>
                <w:webHidden/>
              </w:rPr>
            </w:r>
            <w:r w:rsidR="0095721D" w:rsidRPr="007D063B">
              <w:rPr>
                <w:noProof/>
                <w:webHidden/>
              </w:rPr>
              <w:fldChar w:fldCharType="separate"/>
            </w:r>
            <w:r w:rsidR="0095721D" w:rsidRPr="007D063B">
              <w:rPr>
                <w:noProof/>
                <w:webHidden/>
              </w:rPr>
              <w:t>11</w:t>
            </w:r>
            <w:r w:rsidR="0095721D" w:rsidRPr="007D063B">
              <w:rPr>
                <w:noProof/>
                <w:webHidden/>
              </w:rPr>
              <w:fldChar w:fldCharType="end"/>
            </w:r>
          </w:hyperlink>
        </w:p>
        <w:p w14:paraId="2AAB9431" w14:textId="3693B2DC" w:rsidR="0095721D" w:rsidRPr="007D063B" w:rsidRDefault="00DC49EA" w:rsidP="00E354F5">
          <w:pPr>
            <w:pStyle w:val="TOC2"/>
            <w:rPr>
              <w:rFonts w:eastAsiaTheme="minorEastAsia"/>
              <w:noProof/>
              <w:lang w:eastAsia="bg-BG"/>
            </w:rPr>
          </w:pPr>
          <w:hyperlink w:anchor="_Toc481594265" w:history="1">
            <w:r w:rsidR="0095721D" w:rsidRPr="007D063B">
              <w:rPr>
                <w:rStyle w:val="Hyperlink"/>
                <w:rFonts w:ascii="Times New Roman" w:eastAsia="Times New Roman" w:hAnsi="Times New Roman" w:cs="Times New Roman"/>
                <w:b/>
                <w:bCs/>
                <w:noProof/>
                <w:lang w:eastAsia="bg-BG"/>
              </w:rPr>
              <w:t>3.2   </w:t>
            </w:r>
            <w:r w:rsidR="0095721D" w:rsidRPr="007D063B">
              <w:rPr>
                <w:rStyle w:val="Hyperlink"/>
                <w:rFonts w:ascii="inherit" w:eastAsia="Times New Roman" w:hAnsi="inherit" w:cs="Times New Roman"/>
                <w:b/>
                <w:bCs/>
                <w:noProof/>
                <w:lang w:eastAsia="bg-BG"/>
              </w:rPr>
              <w:t>Общи и специфични за програмата показатели (член 50, параграф 2 от Регламент (ЕС) № 1303/2013) – приоритетна ос 1</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_Toc481594265 \h </w:instrText>
            </w:r>
            <w:r w:rsidR="0095721D" w:rsidRPr="007D063B">
              <w:rPr>
                <w:noProof/>
                <w:webHidden/>
              </w:rPr>
            </w:r>
            <w:r w:rsidR="0095721D" w:rsidRPr="007D063B">
              <w:rPr>
                <w:noProof/>
                <w:webHidden/>
              </w:rPr>
              <w:fldChar w:fldCharType="separate"/>
            </w:r>
            <w:r w:rsidR="0095721D" w:rsidRPr="007D063B">
              <w:rPr>
                <w:noProof/>
                <w:webHidden/>
              </w:rPr>
              <w:t>13</w:t>
            </w:r>
            <w:r w:rsidR="0095721D" w:rsidRPr="007D063B">
              <w:rPr>
                <w:noProof/>
                <w:webHidden/>
              </w:rPr>
              <w:fldChar w:fldCharType="end"/>
            </w:r>
          </w:hyperlink>
        </w:p>
        <w:p w14:paraId="1360EED3" w14:textId="1B51D8E1" w:rsidR="0095721D" w:rsidRPr="007D063B" w:rsidRDefault="00DC49EA">
          <w:pPr>
            <w:pStyle w:val="TOC3"/>
            <w:tabs>
              <w:tab w:val="right" w:leader="dot" w:pos="13994"/>
            </w:tabs>
            <w:rPr>
              <w:rFonts w:eastAsiaTheme="minorEastAsia"/>
              <w:noProof/>
              <w:lang w:eastAsia="bg-BG"/>
            </w:rPr>
          </w:pPr>
          <w:hyperlink w:anchor="_Toc481594266" w:history="1">
            <w:r w:rsidR="0095721D" w:rsidRPr="007D063B">
              <w:rPr>
                <w:rStyle w:val="Hyperlink"/>
                <w:rFonts w:ascii="inherit" w:eastAsia="Times New Roman" w:hAnsi="inherit" w:cs="Times New Roman"/>
                <w:i/>
                <w:iCs/>
                <w:noProof/>
                <w:lang w:eastAsia="bg-BG"/>
              </w:rPr>
              <w:t>Таблица 2А</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_Toc481594266 \h </w:instrText>
            </w:r>
            <w:r w:rsidR="0095721D" w:rsidRPr="007D063B">
              <w:rPr>
                <w:noProof/>
                <w:webHidden/>
              </w:rPr>
            </w:r>
            <w:r w:rsidR="0095721D" w:rsidRPr="007D063B">
              <w:rPr>
                <w:noProof/>
                <w:webHidden/>
              </w:rPr>
              <w:fldChar w:fldCharType="separate"/>
            </w:r>
            <w:r w:rsidR="0095721D" w:rsidRPr="007D063B">
              <w:rPr>
                <w:noProof/>
                <w:webHidden/>
              </w:rPr>
              <w:t>14</w:t>
            </w:r>
            <w:r w:rsidR="0095721D" w:rsidRPr="007D063B">
              <w:rPr>
                <w:noProof/>
                <w:webHidden/>
              </w:rPr>
              <w:fldChar w:fldCharType="end"/>
            </w:r>
          </w:hyperlink>
        </w:p>
        <w:p w14:paraId="08B6D206" w14:textId="72286AB9" w:rsidR="0095721D" w:rsidRPr="007D063B" w:rsidRDefault="00DC49EA">
          <w:pPr>
            <w:pStyle w:val="TOC3"/>
            <w:tabs>
              <w:tab w:val="right" w:leader="dot" w:pos="13994"/>
            </w:tabs>
            <w:rPr>
              <w:rFonts w:eastAsiaTheme="minorEastAsia"/>
              <w:noProof/>
              <w:lang w:eastAsia="bg-BG"/>
            </w:rPr>
          </w:pPr>
          <w:hyperlink w:anchor="_Toc481594267" w:history="1">
            <w:r w:rsidR="0095721D" w:rsidRPr="007D063B">
              <w:rPr>
                <w:rStyle w:val="Hyperlink"/>
                <w:rFonts w:ascii="inherit" w:eastAsia="Times New Roman" w:hAnsi="inherit" w:cs="Times New Roman"/>
                <w:i/>
                <w:iCs/>
                <w:noProof/>
                <w:lang w:eastAsia="bg-BG"/>
              </w:rPr>
              <w:t>Таблица 2В</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_Toc481594267 \h </w:instrText>
            </w:r>
            <w:r w:rsidR="0095721D" w:rsidRPr="007D063B">
              <w:rPr>
                <w:noProof/>
                <w:webHidden/>
              </w:rPr>
            </w:r>
            <w:r w:rsidR="0095721D" w:rsidRPr="007D063B">
              <w:rPr>
                <w:noProof/>
                <w:webHidden/>
              </w:rPr>
              <w:fldChar w:fldCharType="separate"/>
            </w:r>
            <w:r w:rsidR="0095721D" w:rsidRPr="007D063B">
              <w:rPr>
                <w:noProof/>
                <w:webHidden/>
              </w:rPr>
              <w:t>16</w:t>
            </w:r>
            <w:r w:rsidR="0095721D" w:rsidRPr="007D063B">
              <w:rPr>
                <w:noProof/>
                <w:webHidden/>
              </w:rPr>
              <w:fldChar w:fldCharType="end"/>
            </w:r>
          </w:hyperlink>
        </w:p>
        <w:p w14:paraId="68A3DA96" w14:textId="2621C344" w:rsidR="0095721D" w:rsidRPr="007D063B" w:rsidRDefault="00DC49EA">
          <w:pPr>
            <w:pStyle w:val="TOC3"/>
            <w:tabs>
              <w:tab w:val="right" w:leader="dot" w:pos="13994"/>
            </w:tabs>
            <w:rPr>
              <w:rFonts w:eastAsiaTheme="minorEastAsia"/>
              <w:noProof/>
              <w:lang w:eastAsia="bg-BG"/>
            </w:rPr>
          </w:pPr>
          <w:hyperlink w:anchor="_Toc481594268" w:history="1">
            <w:r w:rsidR="0095721D" w:rsidRPr="007D063B">
              <w:rPr>
                <w:rStyle w:val="Hyperlink"/>
                <w:rFonts w:ascii="inherit" w:eastAsia="Times New Roman" w:hAnsi="inherit" w:cs="Times New Roman"/>
                <w:i/>
                <w:iCs/>
                <w:noProof/>
                <w:lang w:eastAsia="bg-BG"/>
              </w:rPr>
              <w:t>Таблица 4А</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_Toc481594268 \h </w:instrText>
            </w:r>
            <w:r w:rsidR="0095721D" w:rsidRPr="007D063B">
              <w:rPr>
                <w:noProof/>
                <w:webHidden/>
              </w:rPr>
            </w:r>
            <w:r w:rsidR="0095721D" w:rsidRPr="007D063B">
              <w:rPr>
                <w:noProof/>
                <w:webHidden/>
              </w:rPr>
              <w:fldChar w:fldCharType="separate"/>
            </w:r>
            <w:r w:rsidR="0095721D" w:rsidRPr="007D063B">
              <w:rPr>
                <w:noProof/>
                <w:webHidden/>
              </w:rPr>
              <w:t>18</w:t>
            </w:r>
            <w:r w:rsidR="0095721D" w:rsidRPr="007D063B">
              <w:rPr>
                <w:noProof/>
                <w:webHidden/>
              </w:rPr>
              <w:fldChar w:fldCharType="end"/>
            </w:r>
          </w:hyperlink>
        </w:p>
        <w:p w14:paraId="7105A559" w14:textId="0A701137" w:rsidR="0095721D" w:rsidRPr="007D063B" w:rsidRDefault="00DC49EA">
          <w:pPr>
            <w:pStyle w:val="TOC3"/>
            <w:tabs>
              <w:tab w:val="right" w:leader="dot" w:pos="13994"/>
            </w:tabs>
            <w:rPr>
              <w:rFonts w:eastAsiaTheme="minorEastAsia"/>
              <w:noProof/>
              <w:lang w:eastAsia="bg-BG"/>
            </w:rPr>
          </w:pPr>
          <w:hyperlink w:anchor="_Toc481594269" w:history="1">
            <w:r w:rsidR="0095721D" w:rsidRPr="007D063B">
              <w:rPr>
                <w:rStyle w:val="Hyperlink"/>
                <w:rFonts w:ascii="inherit" w:eastAsia="Times New Roman" w:hAnsi="inherit" w:cs="Times New Roman"/>
                <w:i/>
                <w:iCs/>
                <w:noProof/>
                <w:lang w:eastAsia="bg-BG"/>
              </w:rPr>
              <w:t>Таблица 4Б</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_Toc481594269 \h </w:instrText>
            </w:r>
            <w:r w:rsidR="0095721D" w:rsidRPr="007D063B">
              <w:rPr>
                <w:noProof/>
                <w:webHidden/>
              </w:rPr>
            </w:r>
            <w:r w:rsidR="0095721D" w:rsidRPr="007D063B">
              <w:rPr>
                <w:noProof/>
                <w:webHidden/>
              </w:rPr>
              <w:fldChar w:fldCharType="separate"/>
            </w:r>
            <w:r w:rsidR="0095721D" w:rsidRPr="007D063B">
              <w:rPr>
                <w:noProof/>
                <w:webHidden/>
              </w:rPr>
              <w:t>24</w:t>
            </w:r>
            <w:r w:rsidR="0095721D" w:rsidRPr="007D063B">
              <w:rPr>
                <w:noProof/>
                <w:webHidden/>
              </w:rPr>
              <w:fldChar w:fldCharType="end"/>
            </w:r>
          </w:hyperlink>
        </w:p>
        <w:p w14:paraId="00A54704" w14:textId="02DBFDAB" w:rsidR="0095721D" w:rsidRPr="007D063B" w:rsidRDefault="00DC49EA" w:rsidP="00E354F5">
          <w:pPr>
            <w:pStyle w:val="TOC2"/>
            <w:rPr>
              <w:rFonts w:eastAsiaTheme="minorEastAsia"/>
              <w:noProof/>
              <w:lang w:eastAsia="bg-BG"/>
            </w:rPr>
          </w:pPr>
          <w:hyperlink w:anchor="_Toc481594270" w:history="1">
            <w:r w:rsidR="0095721D" w:rsidRPr="007D063B">
              <w:rPr>
                <w:rStyle w:val="Hyperlink"/>
                <w:rFonts w:ascii="Times New Roman" w:eastAsia="Times New Roman" w:hAnsi="Times New Roman" w:cs="Times New Roman"/>
                <w:b/>
                <w:bCs/>
                <w:noProof/>
                <w:lang w:eastAsia="bg-BG"/>
              </w:rPr>
              <w:t>3.1   </w:t>
            </w:r>
            <w:r w:rsidR="0095721D" w:rsidRPr="007D063B">
              <w:rPr>
                <w:rStyle w:val="Hyperlink"/>
                <w:rFonts w:ascii="inherit" w:eastAsia="Times New Roman" w:hAnsi="inherit" w:cs="Times New Roman"/>
                <w:b/>
                <w:bCs/>
                <w:noProof/>
                <w:lang w:eastAsia="bg-BG"/>
              </w:rPr>
              <w:t>Преглед на изпълнението – приоритетна ос 2</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_Toc481594270 \h </w:instrText>
            </w:r>
            <w:r w:rsidR="0095721D" w:rsidRPr="007D063B">
              <w:rPr>
                <w:noProof/>
                <w:webHidden/>
              </w:rPr>
            </w:r>
            <w:r w:rsidR="0095721D" w:rsidRPr="007D063B">
              <w:rPr>
                <w:noProof/>
                <w:webHidden/>
              </w:rPr>
              <w:fldChar w:fldCharType="separate"/>
            </w:r>
            <w:r w:rsidR="0095721D" w:rsidRPr="007D063B">
              <w:rPr>
                <w:noProof/>
                <w:webHidden/>
              </w:rPr>
              <w:t>26</w:t>
            </w:r>
            <w:r w:rsidR="0095721D" w:rsidRPr="007D063B">
              <w:rPr>
                <w:noProof/>
                <w:webHidden/>
              </w:rPr>
              <w:fldChar w:fldCharType="end"/>
            </w:r>
          </w:hyperlink>
        </w:p>
        <w:p w14:paraId="5FA20558" w14:textId="29673B1C" w:rsidR="0095721D" w:rsidRPr="007D063B" w:rsidRDefault="00DC49EA" w:rsidP="00E354F5">
          <w:pPr>
            <w:pStyle w:val="TOC2"/>
            <w:rPr>
              <w:rFonts w:eastAsiaTheme="minorEastAsia"/>
              <w:noProof/>
              <w:lang w:eastAsia="bg-BG"/>
            </w:rPr>
          </w:pPr>
          <w:hyperlink w:anchor="_Toc481594271" w:history="1">
            <w:r w:rsidR="0095721D" w:rsidRPr="007D063B">
              <w:rPr>
                <w:rStyle w:val="Hyperlink"/>
                <w:rFonts w:ascii="Times New Roman" w:eastAsia="Times New Roman" w:hAnsi="Times New Roman" w:cs="Times New Roman"/>
                <w:b/>
                <w:bCs/>
                <w:noProof/>
                <w:lang w:eastAsia="bg-BG"/>
              </w:rPr>
              <w:t>3.2   </w:t>
            </w:r>
            <w:r w:rsidR="0095721D" w:rsidRPr="007D063B">
              <w:rPr>
                <w:rStyle w:val="Hyperlink"/>
                <w:rFonts w:ascii="inherit" w:eastAsia="Times New Roman" w:hAnsi="inherit" w:cs="Times New Roman"/>
                <w:b/>
                <w:bCs/>
                <w:noProof/>
                <w:lang w:eastAsia="bg-BG"/>
              </w:rPr>
              <w:t>Общи и специфични за програмата показатели (член 50, параграф 2 от Регламент (ЕС) № 1303/2013) – приоритетна ос 2</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_Toc481594271 \h </w:instrText>
            </w:r>
            <w:r w:rsidR="0095721D" w:rsidRPr="007D063B">
              <w:rPr>
                <w:noProof/>
                <w:webHidden/>
              </w:rPr>
            </w:r>
            <w:r w:rsidR="0095721D" w:rsidRPr="007D063B">
              <w:rPr>
                <w:noProof/>
                <w:webHidden/>
              </w:rPr>
              <w:fldChar w:fldCharType="separate"/>
            </w:r>
            <w:r w:rsidR="0095721D" w:rsidRPr="007D063B">
              <w:rPr>
                <w:noProof/>
                <w:webHidden/>
              </w:rPr>
              <w:t>29</w:t>
            </w:r>
            <w:r w:rsidR="0095721D" w:rsidRPr="007D063B">
              <w:rPr>
                <w:noProof/>
                <w:webHidden/>
              </w:rPr>
              <w:fldChar w:fldCharType="end"/>
            </w:r>
          </w:hyperlink>
        </w:p>
        <w:p w14:paraId="65B3F734" w14:textId="1A6704C2" w:rsidR="0095721D" w:rsidRPr="007D063B" w:rsidRDefault="00DC49EA">
          <w:pPr>
            <w:pStyle w:val="TOC3"/>
            <w:tabs>
              <w:tab w:val="right" w:leader="dot" w:pos="13994"/>
            </w:tabs>
            <w:rPr>
              <w:rFonts w:eastAsiaTheme="minorEastAsia"/>
              <w:noProof/>
              <w:lang w:eastAsia="bg-BG"/>
            </w:rPr>
          </w:pPr>
          <w:hyperlink w:anchor="_Toc481594272" w:history="1">
            <w:r w:rsidR="0095721D" w:rsidRPr="007D063B">
              <w:rPr>
                <w:rStyle w:val="Hyperlink"/>
                <w:rFonts w:ascii="inherit" w:eastAsia="Times New Roman" w:hAnsi="inherit" w:cs="Times New Roman"/>
                <w:i/>
                <w:iCs/>
                <w:noProof/>
                <w:lang w:eastAsia="bg-BG"/>
              </w:rPr>
              <w:t>Таблица 2А</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_Toc481594272 \h </w:instrText>
            </w:r>
            <w:r w:rsidR="0095721D" w:rsidRPr="007D063B">
              <w:rPr>
                <w:noProof/>
                <w:webHidden/>
              </w:rPr>
            </w:r>
            <w:r w:rsidR="0095721D" w:rsidRPr="007D063B">
              <w:rPr>
                <w:noProof/>
                <w:webHidden/>
              </w:rPr>
              <w:fldChar w:fldCharType="separate"/>
            </w:r>
            <w:r w:rsidR="0095721D" w:rsidRPr="007D063B">
              <w:rPr>
                <w:noProof/>
                <w:webHidden/>
              </w:rPr>
              <w:t>30</w:t>
            </w:r>
            <w:r w:rsidR="0095721D" w:rsidRPr="007D063B">
              <w:rPr>
                <w:noProof/>
                <w:webHidden/>
              </w:rPr>
              <w:fldChar w:fldCharType="end"/>
            </w:r>
          </w:hyperlink>
        </w:p>
        <w:p w14:paraId="441F8352" w14:textId="25B2003A" w:rsidR="0095721D" w:rsidRPr="007D063B" w:rsidRDefault="00DC49EA">
          <w:pPr>
            <w:pStyle w:val="TOC3"/>
            <w:tabs>
              <w:tab w:val="right" w:leader="dot" w:pos="13994"/>
            </w:tabs>
            <w:rPr>
              <w:rFonts w:eastAsiaTheme="minorEastAsia"/>
              <w:noProof/>
              <w:lang w:eastAsia="bg-BG"/>
            </w:rPr>
          </w:pPr>
          <w:hyperlink w:anchor="_Toc481594273" w:history="1">
            <w:r w:rsidR="0095721D" w:rsidRPr="007D063B">
              <w:rPr>
                <w:rStyle w:val="Hyperlink"/>
                <w:rFonts w:ascii="inherit" w:eastAsia="Times New Roman" w:hAnsi="inherit" w:cs="Times New Roman"/>
                <w:i/>
                <w:iCs/>
                <w:noProof/>
                <w:lang w:eastAsia="bg-BG"/>
              </w:rPr>
              <w:t>Таблица 2В</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_Toc481594273 \h </w:instrText>
            </w:r>
            <w:r w:rsidR="0095721D" w:rsidRPr="007D063B">
              <w:rPr>
                <w:noProof/>
                <w:webHidden/>
              </w:rPr>
            </w:r>
            <w:r w:rsidR="0095721D" w:rsidRPr="007D063B">
              <w:rPr>
                <w:noProof/>
                <w:webHidden/>
              </w:rPr>
              <w:fldChar w:fldCharType="separate"/>
            </w:r>
            <w:r w:rsidR="0095721D" w:rsidRPr="007D063B">
              <w:rPr>
                <w:noProof/>
                <w:webHidden/>
              </w:rPr>
              <w:t>32</w:t>
            </w:r>
            <w:r w:rsidR="0095721D" w:rsidRPr="007D063B">
              <w:rPr>
                <w:noProof/>
                <w:webHidden/>
              </w:rPr>
              <w:fldChar w:fldCharType="end"/>
            </w:r>
          </w:hyperlink>
        </w:p>
        <w:p w14:paraId="07FDBD2E" w14:textId="771C2B27" w:rsidR="0095721D" w:rsidRPr="007D063B" w:rsidRDefault="00DC49EA">
          <w:pPr>
            <w:pStyle w:val="TOC3"/>
            <w:tabs>
              <w:tab w:val="right" w:leader="dot" w:pos="13994"/>
            </w:tabs>
            <w:rPr>
              <w:rFonts w:eastAsiaTheme="minorEastAsia"/>
              <w:noProof/>
              <w:lang w:eastAsia="bg-BG"/>
            </w:rPr>
          </w:pPr>
          <w:hyperlink w:anchor="_Toc481594274" w:history="1">
            <w:r w:rsidR="0095721D" w:rsidRPr="007D063B">
              <w:rPr>
                <w:rStyle w:val="Hyperlink"/>
                <w:rFonts w:ascii="inherit" w:eastAsia="Times New Roman" w:hAnsi="inherit" w:cs="Times New Roman"/>
                <w:i/>
                <w:iCs/>
                <w:noProof/>
                <w:lang w:eastAsia="bg-BG"/>
              </w:rPr>
              <w:t>Таблица 4А</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_Toc481594274 \h </w:instrText>
            </w:r>
            <w:r w:rsidR="0095721D" w:rsidRPr="007D063B">
              <w:rPr>
                <w:noProof/>
                <w:webHidden/>
              </w:rPr>
            </w:r>
            <w:r w:rsidR="0095721D" w:rsidRPr="007D063B">
              <w:rPr>
                <w:noProof/>
                <w:webHidden/>
              </w:rPr>
              <w:fldChar w:fldCharType="separate"/>
            </w:r>
            <w:r w:rsidR="0095721D" w:rsidRPr="007D063B">
              <w:rPr>
                <w:noProof/>
                <w:webHidden/>
              </w:rPr>
              <w:t>34</w:t>
            </w:r>
            <w:r w:rsidR="0095721D" w:rsidRPr="007D063B">
              <w:rPr>
                <w:noProof/>
                <w:webHidden/>
              </w:rPr>
              <w:fldChar w:fldCharType="end"/>
            </w:r>
          </w:hyperlink>
        </w:p>
        <w:p w14:paraId="2C4F3FC4" w14:textId="286DD3B4" w:rsidR="0095721D" w:rsidRPr="007D063B" w:rsidRDefault="00DC49EA">
          <w:pPr>
            <w:pStyle w:val="TOC3"/>
            <w:tabs>
              <w:tab w:val="right" w:leader="dot" w:pos="13994"/>
            </w:tabs>
            <w:rPr>
              <w:rFonts w:eastAsiaTheme="minorEastAsia"/>
              <w:noProof/>
              <w:lang w:eastAsia="bg-BG"/>
            </w:rPr>
          </w:pPr>
          <w:hyperlink w:anchor="_Toc481594275" w:history="1">
            <w:r w:rsidR="0095721D" w:rsidRPr="007D063B">
              <w:rPr>
                <w:rStyle w:val="Hyperlink"/>
                <w:rFonts w:ascii="inherit" w:eastAsia="Times New Roman" w:hAnsi="inherit" w:cs="Times New Roman"/>
                <w:i/>
                <w:iCs/>
                <w:noProof/>
                <w:lang w:eastAsia="bg-BG"/>
              </w:rPr>
              <w:t>Таблица 4Б</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_Toc481594275 \h </w:instrText>
            </w:r>
            <w:r w:rsidR="0095721D" w:rsidRPr="007D063B">
              <w:rPr>
                <w:noProof/>
                <w:webHidden/>
              </w:rPr>
            </w:r>
            <w:r w:rsidR="0095721D" w:rsidRPr="007D063B">
              <w:rPr>
                <w:noProof/>
                <w:webHidden/>
              </w:rPr>
              <w:fldChar w:fldCharType="separate"/>
            </w:r>
            <w:r w:rsidR="0095721D" w:rsidRPr="007D063B">
              <w:rPr>
                <w:noProof/>
                <w:webHidden/>
              </w:rPr>
              <w:t>40</w:t>
            </w:r>
            <w:r w:rsidR="0095721D" w:rsidRPr="007D063B">
              <w:rPr>
                <w:noProof/>
                <w:webHidden/>
              </w:rPr>
              <w:fldChar w:fldCharType="end"/>
            </w:r>
          </w:hyperlink>
        </w:p>
        <w:p w14:paraId="774E0290" w14:textId="5CC01571" w:rsidR="0095721D" w:rsidRPr="007D063B" w:rsidRDefault="00DC49EA" w:rsidP="00E354F5">
          <w:pPr>
            <w:pStyle w:val="TOC2"/>
            <w:rPr>
              <w:rFonts w:eastAsiaTheme="minorEastAsia"/>
              <w:noProof/>
              <w:lang w:eastAsia="bg-BG"/>
            </w:rPr>
          </w:pPr>
          <w:hyperlink w:anchor="_Toc481594276" w:history="1">
            <w:r w:rsidR="0095721D" w:rsidRPr="007D063B">
              <w:rPr>
                <w:rStyle w:val="Hyperlink"/>
                <w:rFonts w:ascii="Times New Roman" w:eastAsia="Times New Roman" w:hAnsi="Times New Roman" w:cs="Times New Roman"/>
                <w:b/>
                <w:bCs/>
                <w:noProof/>
                <w:lang w:eastAsia="bg-BG"/>
              </w:rPr>
              <w:t>3.1   </w:t>
            </w:r>
            <w:r w:rsidR="0095721D" w:rsidRPr="007D063B">
              <w:rPr>
                <w:rStyle w:val="Hyperlink"/>
                <w:rFonts w:ascii="inherit" w:eastAsia="Times New Roman" w:hAnsi="inherit" w:cs="Times New Roman"/>
                <w:b/>
                <w:bCs/>
                <w:noProof/>
                <w:lang w:eastAsia="bg-BG"/>
              </w:rPr>
              <w:t>Преглед на изпълнението – приоритетна ос 3</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_Toc481594276 \h </w:instrText>
            </w:r>
            <w:r w:rsidR="0095721D" w:rsidRPr="007D063B">
              <w:rPr>
                <w:noProof/>
                <w:webHidden/>
              </w:rPr>
            </w:r>
            <w:r w:rsidR="0095721D" w:rsidRPr="007D063B">
              <w:rPr>
                <w:noProof/>
                <w:webHidden/>
              </w:rPr>
              <w:fldChar w:fldCharType="separate"/>
            </w:r>
            <w:r w:rsidR="0095721D" w:rsidRPr="007D063B">
              <w:rPr>
                <w:noProof/>
                <w:webHidden/>
              </w:rPr>
              <w:t>42</w:t>
            </w:r>
            <w:r w:rsidR="0095721D" w:rsidRPr="007D063B">
              <w:rPr>
                <w:noProof/>
                <w:webHidden/>
              </w:rPr>
              <w:fldChar w:fldCharType="end"/>
            </w:r>
          </w:hyperlink>
        </w:p>
        <w:p w14:paraId="06C54FA4" w14:textId="6CFEE902" w:rsidR="0095721D" w:rsidRPr="007D063B" w:rsidRDefault="00DC49EA" w:rsidP="00E354F5">
          <w:pPr>
            <w:pStyle w:val="TOC2"/>
            <w:rPr>
              <w:rFonts w:eastAsiaTheme="minorEastAsia"/>
              <w:noProof/>
              <w:lang w:eastAsia="bg-BG"/>
            </w:rPr>
          </w:pPr>
          <w:hyperlink w:anchor="_Toc481594277" w:history="1">
            <w:r w:rsidR="0095721D" w:rsidRPr="007D063B">
              <w:rPr>
                <w:rStyle w:val="Hyperlink"/>
                <w:rFonts w:ascii="Times New Roman" w:eastAsia="Times New Roman" w:hAnsi="Times New Roman" w:cs="Times New Roman"/>
                <w:b/>
                <w:bCs/>
                <w:noProof/>
                <w:lang w:eastAsia="bg-BG"/>
              </w:rPr>
              <w:t>3.2   </w:t>
            </w:r>
            <w:r w:rsidR="0095721D" w:rsidRPr="007D063B">
              <w:rPr>
                <w:rStyle w:val="Hyperlink"/>
                <w:rFonts w:ascii="inherit" w:eastAsia="Times New Roman" w:hAnsi="inherit" w:cs="Times New Roman"/>
                <w:b/>
                <w:bCs/>
                <w:noProof/>
                <w:lang w:eastAsia="bg-BG"/>
              </w:rPr>
              <w:t>Общи и специфични за програмата показатели (член 50, параграф 2 от Регламент (ЕС) № 1303/2013) – приоритетна ос 3</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_Toc481594277 \h </w:instrText>
            </w:r>
            <w:r w:rsidR="0095721D" w:rsidRPr="007D063B">
              <w:rPr>
                <w:noProof/>
                <w:webHidden/>
              </w:rPr>
            </w:r>
            <w:r w:rsidR="0095721D" w:rsidRPr="007D063B">
              <w:rPr>
                <w:noProof/>
                <w:webHidden/>
              </w:rPr>
              <w:fldChar w:fldCharType="separate"/>
            </w:r>
            <w:r w:rsidR="0095721D" w:rsidRPr="007D063B">
              <w:rPr>
                <w:noProof/>
                <w:webHidden/>
              </w:rPr>
              <w:t>44</w:t>
            </w:r>
            <w:r w:rsidR="0095721D" w:rsidRPr="007D063B">
              <w:rPr>
                <w:noProof/>
                <w:webHidden/>
              </w:rPr>
              <w:fldChar w:fldCharType="end"/>
            </w:r>
          </w:hyperlink>
        </w:p>
        <w:p w14:paraId="5A8D0DD5" w14:textId="622EFD5E" w:rsidR="0095721D" w:rsidRPr="007D063B" w:rsidRDefault="00DC49EA">
          <w:pPr>
            <w:pStyle w:val="TOC3"/>
            <w:tabs>
              <w:tab w:val="right" w:leader="dot" w:pos="13994"/>
            </w:tabs>
            <w:rPr>
              <w:rFonts w:eastAsiaTheme="minorEastAsia"/>
              <w:noProof/>
              <w:lang w:eastAsia="bg-BG"/>
            </w:rPr>
          </w:pPr>
          <w:hyperlink w:anchor="_Toc481594278" w:history="1">
            <w:r w:rsidR="0095721D" w:rsidRPr="007D063B">
              <w:rPr>
                <w:rStyle w:val="Hyperlink"/>
                <w:rFonts w:ascii="inherit" w:eastAsia="Times New Roman" w:hAnsi="inherit" w:cs="Times New Roman"/>
                <w:i/>
                <w:iCs/>
                <w:noProof/>
                <w:lang w:eastAsia="bg-BG"/>
              </w:rPr>
              <w:t>Таблица 2А</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_Toc481594278 \h </w:instrText>
            </w:r>
            <w:r w:rsidR="0095721D" w:rsidRPr="007D063B">
              <w:rPr>
                <w:noProof/>
                <w:webHidden/>
              </w:rPr>
            </w:r>
            <w:r w:rsidR="0095721D" w:rsidRPr="007D063B">
              <w:rPr>
                <w:noProof/>
                <w:webHidden/>
              </w:rPr>
              <w:fldChar w:fldCharType="separate"/>
            </w:r>
            <w:r w:rsidR="0095721D" w:rsidRPr="007D063B">
              <w:rPr>
                <w:noProof/>
                <w:webHidden/>
              </w:rPr>
              <w:t>45</w:t>
            </w:r>
            <w:r w:rsidR="0095721D" w:rsidRPr="007D063B">
              <w:rPr>
                <w:noProof/>
                <w:webHidden/>
              </w:rPr>
              <w:fldChar w:fldCharType="end"/>
            </w:r>
          </w:hyperlink>
        </w:p>
        <w:p w14:paraId="70589A9D" w14:textId="6579A601" w:rsidR="0095721D" w:rsidRPr="007D063B" w:rsidRDefault="00DC49EA">
          <w:pPr>
            <w:pStyle w:val="TOC3"/>
            <w:tabs>
              <w:tab w:val="right" w:leader="dot" w:pos="13994"/>
            </w:tabs>
            <w:rPr>
              <w:rFonts w:eastAsiaTheme="minorEastAsia"/>
              <w:noProof/>
              <w:lang w:eastAsia="bg-BG"/>
            </w:rPr>
          </w:pPr>
          <w:hyperlink w:anchor="_Toc481594279" w:history="1">
            <w:r w:rsidR="0095721D" w:rsidRPr="007D063B">
              <w:rPr>
                <w:rStyle w:val="Hyperlink"/>
                <w:rFonts w:ascii="inherit" w:eastAsia="Times New Roman" w:hAnsi="inherit" w:cs="Times New Roman"/>
                <w:i/>
                <w:iCs/>
                <w:noProof/>
                <w:lang w:eastAsia="bg-BG"/>
              </w:rPr>
              <w:t>Таблица 2В</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_Toc481594279 \h </w:instrText>
            </w:r>
            <w:r w:rsidR="0095721D" w:rsidRPr="007D063B">
              <w:rPr>
                <w:noProof/>
                <w:webHidden/>
              </w:rPr>
            </w:r>
            <w:r w:rsidR="0095721D" w:rsidRPr="007D063B">
              <w:rPr>
                <w:noProof/>
                <w:webHidden/>
              </w:rPr>
              <w:fldChar w:fldCharType="separate"/>
            </w:r>
            <w:r w:rsidR="0095721D" w:rsidRPr="007D063B">
              <w:rPr>
                <w:noProof/>
                <w:webHidden/>
              </w:rPr>
              <w:t>47</w:t>
            </w:r>
            <w:r w:rsidR="0095721D" w:rsidRPr="007D063B">
              <w:rPr>
                <w:noProof/>
                <w:webHidden/>
              </w:rPr>
              <w:fldChar w:fldCharType="end"/>
            </w:r>
          </w:hyperlink>
        </w:p>
        <w:p w14:paraId="12306B01" w14:textId="49963C46" w:rsidR="0095721D" w:rsidRPr="007D063B" w:rsidRDefault="00DC49EA">
          <w:pPr>
            <w:pStyle w:val="TOC3"/>
            <w:tabs>
              <w:tab w:val="right" w:leader="dot" w:pos="13994"/>
            </w:tabs>
            <w:rPr>
              <w:rFonts w:eastAsiaTheme="minorEastAsia"/>
              <w:noProof/>
              <w:lang w:eastAsia="bg-BG"/>
            </w:rPr>
          </w:pPr>
          <w:hyperlink w:anchor="_Toc481594280" w:history="1">
            <w:r w:rsidR="0095721D" w:rsidRPr="007D063B">
              <w:rPr>
                <w:rStyle w:val="Hyperlink"/>
                <w:rFonts w:ascii="inherit" w:eastAsia="Times New Roman" w:hAnsi="inherit" w:cs="Times New Roman"/>
                <w:i/>
                <w:iCs/>
                <w:noProof/>
                <w:lang w:eastAsia="bg-BG"/>
              </w:rPr>
              <w:t>Таблица 4А</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_Toc481594280 \h </w:instrText>
            </w:r>
            <w:r w:rsidR="0095721D" w:rsidRPr="007D063B">
              <w:rPr>
                <w:noProof/>
                <w:webHidden/>
              </w:rPr>
            </w:r>
            <w:r w:rsidR="0095721D" w:rsidRPr="007D063B">
              <w:rPr>
                <w:noProof/>
                <w:webHidden/>
              </w:rPr>
              <w:fldChar w:fldCharType="separate"/>
            </w:r>
            <w:r w:rsidR="0095721D" w:rsidRPr="007D063B">
              <w:rPr>
                <w:noProof/>
                <w:webHidden/>
              </w:rPr>
              <w:t>49</w:t>
            </w:r>
            <w:r w:rsidR="0095721D" w:rsidRPr="007D063B">
              <w:rPr>
                <w:noProof/>
                <w:webHidden/>
              </w:rPr>
              <w:fldChar w:fldCharType="end"/>
            </w:r>
          </w:hyperlink>
        </w:p>
        <w:p w14:paraId="6685C37A" w14:textId="029C3B7F" w:rsidR="0095721D" w:rsidRPr="007D063B" w:rsidRDefault="00DC49EA">
          <w:pPr>
            <w:pStyle w:val="TOC3"/>
            <w:tabs>
              <w:tab w:val="right" w:leader="dot" w:pos="13994"/>
            </w:tabs>
            <w:rPr>
              <w:rFonts w:eastAsiaTheme="minorEastAsia"/>
              <w:noProof/>
              <w:lang w:eastAsia="bg-BG"/>
            </w:rPr>
          </w:pPr>
          <w:hyperlink w:anchor="_Toc481594281" w:history="1">
            <w:r w:rsidR="0095721D" w:rsidRPr="007D063B">
              <w:rPr>
                <w:rStyle w:val="Hyperlink"/>
                <w:rFonts w:ascii="inherit" w:eastAsia="Times New Roman" w:hAnsi="inherit" w:cs="Times New Roman"/>
                <w:i/>
                <w:iCs/>
                <w:noProof/>
                <w:lang w:eastAsia="bg-BG"/>
              </w:rPr>
              <w:t>Таблица 4Б</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_Toc481594281 \h </w:instrText>
            </w:r>
            <w:r w:rsidR="0095721D" w:rsidRPr="007D063B">
              <w:rPr>
                <w:noProof/>
                <w:webHidden/>
              </w:rPr>
            </w:r>
            <w:r w:rsidR="0095721D" w:rsidRPr="007D063B">
              <w:rPr>
                <w:noProof/>
                <w:webHidden/>
              </w:rPr>
              <w:fldChar w:fldCharType="separate"/>
            </w:r>
            <w:r w:rsidR="0095721D" w:rsidRPr="007D063B">
              <w:rPr>
                <w:noProof/>
                <w:webHidden/>
              </w:rPr>
              <w:t>55</w:t>
            </w:r>
            <w:r w:rsidR="0095721D" w:rsidRPr="007D063B">
              <w:rPr>
                <w:noProof/>
                <w:webHidden/>
              </w:rPr>
              <w:fldChar w:fldCharType="end"/>
            </w:r>
          </w:hyperlink>
        </w:p>
        <w:p w14:paraId="34A90F6A" w14:textId="58DBFBA8" w:rsidR="0095721D" w:rsidRPr="007D063B" w:rsidRDefault="00DC49EA" w:rsidP="00E354F5">
          <w:pPr>
            <w:pStyle w:val="TOC2"/>
            <w:rPr>
              <w:rFonts w:eastAsiaTheme="minorEastAsia"/>
              <w:noProof/>
              <w:lang w:eastAsia="bg-BG"/>
            </w:rPr>
          </w:pPr>
          <w:hyperlink w:anchor="_Toc481594282" w:history="1">
            <w:r w:rsidR="0095721D" w:rsidRPr="007D063B">
              <w:rPr>
                <w:rStyle w:val="Hyperlink"/>
                <w:rFonts w:ascii="Times New Roman" w:eastAsia="Times New Roman" w:hAnsi="Times New Roman" w:cs="Times New Roman"/>
                <w:b/>
                <w:bCs/>
                <w:noProof/>
                <w:lang w:eastAsia="bg-BG"/>
              </w:rPr>
              <w:t>3.1   </w:t>
            </w:r>
            <w:r w:rsidR="0095721D" w:rsidRPr="007D063B">
              <w:rPr>
                <w:rStyle w:val="Hyperlink"/>
                <w:rFonts w:ascii="inherit" w:eastAsia="Times New Roman" w:hAnsi="inherit" w:cs="Times New Roman"/>
                <w:b/>
                <w:bCs/>
                <w:noProof/>
                <w:lang w:eastAsia="bg-BG"/>
              </w:rPr>
              <w:t>Преглед на изпълнението – приоритетна ос 4</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_Toc481594282 \h </w:instrText>
            </w:r>
            <w:r w:rsidR="0095721D" w:rsidRPr="007D063B">
              <w:rPr>
                <w:noProof/>
                <w:webHidden/>
              </w:rPr>
            </w:r>
            <w:r w:rsidR="0095721D" w:rsidRPr="007D063B">
              <w:rPr>
                <w:noProof/>
                <w:webHidden/>
              </w:rPr>
              <w:fldChar w:fldCharType="separate"/>
            </w:r>
            <w:r w:rsidR="0095721D" w:rsidRPr="007D063B">
              <w:rPr>
                <w:noProof/>
                <w:webHidden/>
              </w:rPr>
              <w:t>57</w:t>
            </w:r>
            <w:r w:rsidR="0095721D" w:rsidRPr="007D063B">
              <w:rPr>
                <w:noProof/>
                <w:webHidden/>
              </w:rPr>
              <w:fldChar w:fldCharType="end"/>
            </w:r>
          </w:hyperlink>
        </w:p>
        <w:p w14:paraId="54C12528" w14:textId="71C5CDA9" w:rsidR="0095721D" w:rsidRPr="007D063B" w:rsidRDefault="00DC49EA" w:rsidP="00E354F5">
          <w:pPr>
            <w:pStyle w:val="TOC2"/>
            <w:rPr>
              <w:rFonts w:eastAsiaTheme="minorEastAsia"/>
              <w:noProof/>
              <w:lang w:eastAsia="bg-BG"/>
            </w:rPr>
          </w:pPr>
          <w:hyperlink w:anchor="_Toc481594283" w:history="1">
            <w:r w:rsidR="0095721D" w:rsidRPr="007D063B">
              <w:rPr>
                <w:rStyle w:val="Hyperlink"/>
                <w:rFonts w:ascii="Times New Roman" w:eastAsia="Times New Roman" w:hAnsi="Times New Roman" w:cs="Times New Roman"/>
                <w:b/>
                <w:bCs/>
                <w:noProof/>
                <w:lang w:eastAsia="bg-BG"/>
              </w:rPr>
              <w:t>3.2   </w:t>
            </w:r>
            <w:r w:rsidR="0095721D" w:rsidRPr="007D063B">
              <w:rPr>
                <w:rStyle w:val="Hyperlink"/>
                <w:rFonts w:ascii="inherit" w:eastAsia="Times New Roman" w:hAnsi="inherit" w:cs="Times New Roman"/>
                <w:b/>
                <w:bCs/>
                <w:noProof/>
                <w:lang w:eastAsia="bg-BG"/>
              </w:rPr>
              <w:t>Общи и специфични за програмата показатели (член 50, параграф 2 от Регламент (ЕС) № 1303/2013) – приоритетна ос 4</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_Toc481594283 \h </w:instrText>
            </w:r>
            <w:r w:rsidR="0095721D" w:rsidRPr="007D063B">
              <w:rPr>
                <w:noProof/>
                <w:webHidden/>
              </w:rPr>
            </w:r>
            <w:r w:rsidR="0095721D" w:rsidRPr="007D063B">
              <w:rPr>
                <w:noProof/>
                <w:webHidden/>
              </w:rPr>
              <w:fldChar w:fldCharType="separate"/>
            </w:r>
            <w:r w:rsidR="0095721D" w:rsidRPr="007D063B">
              <w:rPr>
                <w:noProof/>
                <w:webHidden/>
              </w:rPr>
              <w:t>57</w:t>
            </w:r>
            <w:r w:rsidR="0095721D" w:rsidRPr="007D063B">
              <w:rPr>
                <w:noProof/>
                <w:webHidden/>
              </w:rPr>
              <w:fldChar w:fldCharType="end"/>
            </w:r>
          </w:hyperlink>
        </w:p>
        <w:p w14:paraId="10BB4C98" w14:textId="67501A61" w:rsidR="0095721D" w:rsidRPr="007D063B" w:rsidRDefault="00DC49EA">
          <w:pPr>
            <w:pStyle w:val="TOC3"/>
            <w:tabs>
              <w:tab w:val="right" w:leader="dot" w:pos="13994"/>
            </w:tabs>
            <w:rPr>
              <w:rFonts w:eastAsiaTheme="minorEastAsia"/>
              <w:noProof/>
              <w:lang w:eastAsia="bg-BG"/>
            </w:rPr>
          </w:pPr>
          <w:hyperlink w:anchor="_Toc481594284" w:history="1">
            <w:r w:rsidR="0095721D" w:rsidRPr="007D063B">
              <w:rPr>
                <w:rStyle w:val="Hyperlink"/>
                <w:rFonts w:ascii="inherit" w:eastAsia="Times New Roman" w:hAnsi="inherit" w:cs="Times New Roman"/>
                <w:i/>
                <w:iCs/>
                <w:noProof/>
                <w:lang w:eastAsia="bg-BG"/>
              </w:rPr>
              <w:t>Таблица 2А</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_Toc481594284 \h </w:instrText>
            </w:r>
            <w:r w:rsidR="0095721D" w:rsidRPr="007D063B">
              <w:rPr>
                <w:noProof/>
                <w:webHidden/>
              </w:rPr>
            </w:r>
            <w:r w:rsidR="0095721D" w:rsidRPr="007D063B">
              <w:rPr>
                <w:noProof/>
                <w:webHidden/>
              </w:rPr>
              <w:fldChar w:fldCharType="separate"/>
            </w:r>
            <w:r w:rsidR="0095721D" w:rsidRPr="007D063B">
              <w:rPr>
                <w:noProof/>
                <w:webHidden/>
              </w:rPr>
              <w:t>58</w:t>
            </w:r>
            <w:r w:rsidR="0095721D" w:rsidRPr="007D063B">
              <w:rPr>
                <w:noProof/>
                <w:webHidden/>
              </w:rPr>
              <w:fldChar w:fldCharType="end"/>
            </w:r>
          </w:hyperlink>
        </w:p>
        <w:p w14:paraId="7C762D9F" w14:textId="77A9AABE" w:rsidR="0095721D" w:rsidRPr="007D063B" w:rsidRDefault="00DC49EA">
          <w:pPr>
            <w:pStyle w:val="TOC3"/>
            <w:tabs>
              <w:tab w:val="right" w:leader="dot" w:pos="13994"/>
            </w:tabs>
            <w:rPr>
              <w:rFonts w:eastAsiaTheme="minorEastAsia"/>
              <w:noProof/>
              <w:lang w:eastAsia="bg-BG"/>
            </w:rPr>
          </w:pPr>
          <w:hyperlink w:anchor="_Toc481594285" w:history="1">
            <w:r w:rsidR="0095721D" w:rsidRPr="007D063B">
              <w:rPr>
                <w:rStyle w:val="Hyperlink"/>
                <w:rFonts w:ascii="inherit" w:eastAsia="Times New Roman" w:hAnsi="inherit" w:cs="Times New Roman"/>
                <w:i/>
                <w:iCs/>
                <w:noProof/>
                <w:lang w:eastAsia="bg-BG"/>
              </w:rPr>
              <w:t>Таблица 2В</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_Toc481594285 \h </w:instrText>
            </w:r>
            <w:r w:rsidR="0095721D" w:rsidRPr="007D063B">
              <w:rPr>
                <w:noProof/>
                <w:webHidden/>
              </w:rPr>
            </w:r>
            <w:r w:rsidR="0095721D" w:rsidRPr="007D063B">
              <w:rPr>
                <w:noProof/>
                <w:webHidden/>
              </w:rPr>
              <w:fldChar w:fldCharType="separate"/>
            </w:r>
            <w:r w:rsidR="0095721D" w:rsidRPr="007D063B">
              <w:rPr>
                <w:noProof/>
                <w:webHidden/>
              </w:rPr>
              <w:t>60</w:t>
            </w:r>
            <w:r w:rsidR="0095721D" w:rsidRPr="007D063B">
              <w:rPr>
                <w:noProof/>
                <w:webHidden/>
              </w:rPr>
              <w:fldChar w:fldCharType="end"/>
            </w:r>
          </w:hyperlink>
        </w:p>
        <w:p w14:paraId="5CC114C3" w14:textId="62EA3834" w:rsidR="0095721D" w:rsidRPr="007D063B" w:rsidRDefault="00DC49EA">
          <w:pPr>
            <w:pStyle w:val="TOC3"/>
            <w:tabs>
              <w:tab w:val="right" w:leader="dot" w:pos="13994"/>
            </w:tabs>
            <w:rPr>
              <w:rFonts w:eastAsiaTheme="minorEastAsia"/>
              <w:noProof/>
              <w:lang w:eastAsia="bg-BG"/>
            </w:rPr>
          </w:pPr>
          <w:hyperlink w:anchor="_Toc481594286" w:history="1">
            <w:r w:rsidR="0095721D" w:rsidRPr="007D063B">
              <w:rPr>
                <w:rStyle w:val="Hyperlink"/>
                <w:rFonts w:ascii="inherit" w:eastAsia="Times New Roman" w:hAnsi="inherit" w:cs="Times New Roman"/>
                <w:i/>
                <w:iCs/>
                <w:noProof/>
                <w:lang w:eastAsia="bg-BG"/>
              </w:rPr>
              <w:t>Таблица 4А</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_Toc481594286 \h </w:instrText>
            </w:r>
            <w:r w:rsidR="0095721D" w:rsidRPr="007D063B">
              <w:rPr>
                <w:noProof/>
                <w:webHidden/>
              </w:rPr>
            </w:r>
            <w:r w:rsidR="0095721D" w:rsidRPr="007D063B">
              <w:rPr>
                <w:noProof/>
                <w:webHidden/>
              </w:rPr>
              <w:fldChar w:fldCharType="separate"/>
            </w:r>
            <w:r w:rsidR="0095721D" w:rsidRPr="007D063B">
              <w:rPr>
                <w:noProof/>
                <w:webHidden/>
              </w:rPr>
              <w:t>62</w:t>
            </w:r>
            <w:r w:rsidR="0095721D" w:rsidRPr="007D063B">
              <w:rPr>
                <w:noProof/>
                <w:webHidden/>
              </w:rPr>
              <w:fldChar w:fldCharType="end"/>
            </w:r>
          </w:hyperlink>
        </w:p>
        <w:p w14:paraId="76465B2C" w14:textId="52C41632" w:rsidR="0095721D" w:rsidRPr="007D063B" w:rsidRDefault="00DC49EA">
          <w:pPr>
            <w:pStyle w:val="TOC3"/>
            <w:tabs>
              <w:tab w:val="right" w:leader="dot" w:pos="13994"/>
            </w:tabs>
            <w:rPr>
              <w:rFonts w:eastAsiaTheme="minorEastAsia"/>
              <w:noProof/>
              <w:lang w:eastAsia="bg-BG"/>
            </w:rPr>
          </w:pPr>
          <w:hyperlink w:anchor="_Toc481594287" w:history="1">
            <w:r w:rsidR="0095721D" w:rsidRPr="007D063B">
              <w:rPr>
                <w:rStyle w:val="Hyperlink"/>
                <w:rFonts w:ascii="inherit" w:eastAsia="Times New Roman" w:hAnsi="inherit" w:cs="Times New Roman"/>
                <w:i/>
                <w:iCs/>
                <w:noProof/>
                <w:lang w:eastAsia="bg-BG"/>
              </w:rPr>
              <w:t>Таблица 4Б</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_Toc481594287 \h </w:instrText>
            </w:r>
            <w:r w:rsidR="0095721D" w:rsidRPr="007D063B">
              <w:rPr>
                <w:noProof/>
                <w:webHidden/>
              </w:rPr>
            </w:r>
            <w:r w:rsidR="0095721D" w:rsidRPr="007D063B">
              <w:rPr>
                <w:noProof/>
                <w:webHidden/>
              </w:rPr>
              <w:fldChar w:fldCharType="separate"/>
            </w:r>
            <w:r w:rsidR="0095721D" w:rsidRPr="007D063B">
              <w:rPr>
                <w:noProof/>
                <w:webHidden/>
              </w:rPr>
              <w:t>68</w:t>
            </w:r>
            <w:r w:rsidR="0095721D" w:rsidRPr="007D063B">
              <w:rPr>
                <w:noProof/>
                <w:webHidden/>
              </w:rPr>
              <w:fldChar w:fldCharType="end"/>
            </w:r>
          </w:hyperlink>
        </w:p>
        <w:p w14:paraId="04249B21" w14:textId="112C0A2B" w:rsidR="0095721D" w:rsidRPr="007D063B" w:rsidRDefault="00DC49EA" w:rsidP="00E354F5">
          <w:pPr>
            <w:pStyle w:val="TOC2"/>
            <w:rPr>
              <w:rFonts w:eastAsiaTheme="minorEastAsia"/>
              <w:noProof/>
              <w:lang w:eastAsia="bg-BG"/>
            </w:rPr>
          </w:pPr>
          <w:hyperlink w:anchor="_Toc481594288" w:history="1">
            <w:r w:rsidR="0095721D" w:rsidRPr="007D063B">
              <w:rPr>
                <w:rStyle w:val="Hyperlink"/>
                <w:rFonts w:ascii="Times New Roman" w:eastAsia="Times New Roman" w:hAnsi="Times New Roman" w:cs="Times New Roman"/>
                <w:b/>
                <w:bCs/>
                <w:noProof/>
                <w:lang w:eastAsia="bg-BG"/>
              </w:rPr>
              <w:t>3.1   </w:t>
            </w:r>
            <w:r w:rsidR="0095721D" w:rsidRPr="007D063B">
              <w:rPr>
                <w:rStyle w:val="Hyperlink"/>
                <w:rFonts w:ascii="inherit" w:eastAsia="Times New Roman" w:hAnsi="inherit" w:cs="Times New Roman"/>
                <w:b/>
                <w:bCs/>
                <w:noProof/>
                <w:lang w:eastAsia="bg-BG"/>
              </w:rPr>
              <w:t>Преглед на изпълнението – приоритетна ос 5</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_Toc481594288 \h </w:instrText>
            </w:r>
            <w:r w:rsidR="0095721D" w:rsidRPr="007D063B">
              <w:rPr>
                <w:noProof/>
                <w:webHidden/>
              </w:rPr>
            </w:r>
            <w:r w:rsidR="0095721D" w:rsidRPr="007D063B">
              <w:rPr>
                <w:noProof/>
                <w:webHidden/>
              </w:rPr>
              <w:fldChar w:fldCharType="separate"/>
            </w:r>
            <w:r w:rsidR="0095721D" w:rsidRPr="007D063B">
              <w:rPr>
                <w:noProof/>
                <w:webHidden/>
              </w:rPr>
              <w:t>69</w:t>
            </w:r>
            <w:r w:rsidR="0095721D" w:rsidRPr="007D063B">
              <w:rPr>
                <w:noProof/>
                <w:webHidden/>
              </w:rPr>
              <w:fldChar w:fldCharType="end"/>
            </w:r>
          </w:hyperlink>
        </w:p>
        <w:p w14:paraId="0B5FE316" w14:textId="44D9EDAA" w:rsidR="0095721D" w:rsidRPr="007D063B" w:rsidRDefault="00DC49EA" w:rsidP="00E354F5">
          <w:pPr>
            <w:pStyle w:val="TOC2"/>
            <w:rPr>
              <w:rFonts w:eastAsiaTheme="minorEastAsia"/>
              <w:noProof/>
              <w:lang w:eastAsia="bg-BG"/>
            </w:rPr>
          </w:pPr>
          <w:hyperlink w:anchor="_Toc481594289" w:history="1">
            <w:r w:rsidR="0095721D" w:rsidRPr="007D063B">
              <w:rPr>
                <w:rStyle w:val="Hyperlink"/>
                <w:rFonts w:ascii="Times New Roman" w:eastAsia="Times New Roman" w:hAnsi="Times New Roman" w:cs="Times New Roman"/>
                <w:b/>
                <w:bCs/>
                <w:noProof/>
                <w:lang w:eastAsia="bg-BG"/>
              </w:rPr>
              <w:t>3.2   </w:t>
            </w:r>
            <w:r w:rsidR="0095721D" w:rsidRPr="007D063B">
              <w:rPr>
                <w:rStyle w:val="Hyperlink"/>
                <w:rFonts w:ascii="inherit" w:eastAsia="Times New Roman" w:hAnsi="inherit" w:cs="Times New Roman"/>
                <w:b/>
                <w:bCs/>
                <w:noProof/>
                <w:lang w:eastAsia="bg-BG"/>
              </w:rPr>
              <w:t>Общи и специфични за програмата показатели (член 50, параграф 2 от Регламент (ЕС) № 1303/2013) – приоритетна ос 5</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_Toc481594289 \h </w:instrText>
            </w:r>
            <w:r w:rsidR="0095721D" w:rsidRPr="007D063B">
              <w:rPr>
                <w:noProof/>
                <w:webHidden/>
              </w:rPr>
            </w:r>
            <w:r w:rsidR="0095721D" w:rsidRPr="007D063B">
              <w:rPr>
                <w:noProof/>
                <w:webHidden/>
              </w:rPr>
              <w:fldChar w:fldCharType="separate"/>
            </w:r>
            <w:r w:rsidR="0095721D" w:rsidRPr="007D063B">
              <w:rPr>
                <w:noProof/>
                <w:webHidden/>
              </w:rPr>
              <w:t>70</w:t>
            </w:r>
            <w:r w:rsidR="0095721D" w:rsidRPr="007D063B">
              <w:rPr>
                <w:noProof/>
                <w:webHidden/>
              </w:rPr>
              <w:fldChar w:fldCharType="end"/>
            </w:r>
          </w:hyperlink>
        </w:p>
        <w:p w14:paraId="789768E7" w14:textId="3154A8AE" w:rsidR="0095721D" w:rsidRPr="007D063B" w:rsidRDefault="00DC49EA">
          <w:pPr>
            <w:pStyle w:val="TOC3"/>
            <w:tabs>
              <w:tab w:val="right" w:leader="dot" w:pos="13994"/>
            </w:tabs>
            <w:rPr>
              <w:rFonts w:eastAsiaTheme="minorEastAsia"/>
              <w:noProof/>
              <w:lang w:eastAsia="bg-BG"/>
            </w:rPr>
          </w:pPr>
          <w:hyperlink w:anchor="_Toc481594290" w:history="1">
            <w:r w:rsidR="0095721D" w:rsidRPr="007D063B">
              <w:rPr>
                <w:rStyle w:val="Hyperlink"/>
                <w:rFonts w:ascii="inherit" w:eastAsia="Times New Roman" w:hAnsi="inherit" w:cs="Times New Roman"/>
                <w:i/>
                <w:iCs/>
                <w:noProof/>
                <w:lang w:eastAsia="bg-BG"/>
              </w:rPr>
              <w:t>Таблица 2А</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_Toc481594290 \h </w:instrText>
            </w:r>
            <w:r w:rsidR="0095721D" w:rsidRPr="007D063B">
              <w:rPr>
                <w:noProof/>
                <w:webHidden/>
              </w:rPr>
            </w:r>
            <w:r w:rsidR="0095721D" w:rsidRPr="007D063B">
              <w:rPr>
                <w:noProof/>
                <w:webHidden/>
              </w:rPr>
              <w:fldChar w:fldCharType="separate"/>
            </w:r>
            <w:r w:rsidR="0095721D" w:rsidRPr="007D063B">
              <w:rPr>
                <w:noProof/>
                <w:webHidden/>
              </w:rPr>
              <w:t>71</w:t>
            </w:r>
            <w:r w:rsidR="0095721D" w:rsidRPr="007D063B">
              <w:rPr>
                <w:noProof/>
                <w:webHidden/>
              </w:rPr>
              <w:fldChar w:fldCharType="end"/>
            </w:r>
          </w:hyperlink>
        </w:p>
        <w:p w14:paraId="63A062AC" w14:textId="25E412F6" w:rsidR="0095721D" w:rsidRPr="007D063B" w:rsidRDefault="00DC49EA">
          <w:pPr>
            <w:pStyle w:val="TOC3"/>
            <w:tabs>
              <w:tab w:val="right" w:leader="dot" w:pos="13994"/>
            </w:tabs>
            <w:rPr>
              <w:rFonts w:eastAsiaTheme="minorEastAsia"/>
              <w:noProof/>
              <w:lang w:eastAsia="bg-BG"/>
            </w:rPr>
          </w:pPr>
          <w:hyperlink w:anchor="_Toc481594291" w:history="1">
            <w:r w:rsidR="0095721D" w:rsidRPr="007D063B">
              <w:rPr>
                <w:rStyle w:val="Hyperlink"/>
                <w:rFonts w:ascii="inherit" w:eastAsia="Times New Roman" w:hAnsi="inherit" w:cs="Times New Roman"/>
                <w:i/>
                <w:iCs/>
                <w:noProof/>
                <w:lang w:eastAsia="bg-BG"/>
              </w:rPr>
              <w:t>Таблица 2В</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_Toc481594291 \h </w:instrText>
            </w:r>
            <w:r w:rsidR="0095721D" w:rsidRPr="007D063B">
              <w:rPr>
                <w:noProof/>
                <w:webHidden/>
              </w:rPr>
            </w:r>
            <w:r w:rsidR="0095721D" w:rsidRPr="007D063B">
              <w:rPr>
                <w:noProof/>
                <w:webHidden/>
              </w:rPr>
              <w:fldChar w:fldCharType="separate"/>
            </w:r>
            <w:r w:rsidR="0095721D" w:rsidRPr="007D063B">
              <w:rPr>
                <w:noProof/>
                <w:webHidden/>
              </w:rPr>
              <w:t>73</w:t>
            </w:r>
            <w:r w:rsidR="0095721D" w:rsidRPr="007D063B">
              <w:rPr>
                <w:noProof/>
                <w:webHidden/>
              </w:rPr>
              <w:fldChar w:fldCharType="end"/>
            </w:r>
          </w:hyperlink>
        </w:p>
        <w:p w14:paraId="1AF64AF6" w14:textId="03B4FCA6" w:rsidR="0095721D" w:rsidRPr="007D063B" w:rsidRDefault="00DC49EA">
          <w:pPr>
            <w:pStyle w:val="TOC3"/>
            <w:tabs>
              <w:tab w:val="right" w:leader="dot" w:pos="13994"/>
            </w:tabs>
            <w:rPr>
              <w:rFonts w:eastAsiaTheme="minorEastAsia"/>
              <w:noProof/>
              <w:lang w:eastAsia="bg-BG"/>
            </w:rPr>
          </w:pPr>
          <w:hyperlink w:anchor="_Toc481594292" w:history="1">
            <w:r w:rsidR="0095721D" w:rsidRPr="007D063B">
              <w:rPr>
                <w:rStyle w:val="Hyperlink"/>
                <w:rFonts w:ascii="inherit" w:eastAsia="Times New Roman" w:hAnsi="inherit" w:cs="Times New Roman"/>
                <w:i/>
                <w:iCs/>
                <w:noProof/>
                <w:lang w:eastAsia="bg-BG"/>
              </w:rPr>
              <w:t>Таблица 4А</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_Toc481594292 \h </w:instrText>
            </w:r>
            <w:r w:rsidR="0095721D" w:rsidRPr="007D063B">
              <w:rPr>
                <w:noProof/>
                <w:webHidden/>
              </w:rPr>
            </w:r>
            <w:r w:rsidR="0095721D" w:rsidRPr="007D063B">
              <w:rPr>
                <w:noProof/>
                <w:webHidden/>
              </w:rPr>
              <w:fldChar w:fldCharType="separate"/>
            </w:r>
            <w:r w:rsidR="0095721D" w:rsidRPr="007D063B">
              <w:rPr>
                <w:noProof/>
                <w:webHidden/>
              </w:rPr>
              <w:t>74</w:t>
            </w:r>
            <w:r w:rsidR="0095721D" w:rsidRPr="007D063B">
              <w:rPr>
                <w:noProof/>
                <w:webHidden/>
              </w:rPr>
              <w:fldChar w:fldCharType="end"/>
            </w:r>
          </w:hyperlink>
        </w:p>
        <w:p w14:paraId="75A6771C" w14:textId="5BDEA189" w:rsidR="0095721D" w:rsidRPr="007D063B" w:rsidRDefault="00DC49EA">
          <w:pPr>
            <w:pStyle w:val="TOC3"/>
            <w:tabs>
              <w:tab w:val="right" w:leader="dot" w:pos="13994"/>
            </w:tabs>
            <w:rPr>
              <w:rFonts w:eastAsiaTheme="minorEastAsia"/>
              <w:noProof/>
              <w:lang w:eastAsia="bg-BG"/>
            </w:rPr>
          </w:pPr>
          <w:hyperlink w:anchor="_Toc481594293" w:history="1">
            <w:r w:rsidR="0095721D" w:rsidRPr="007D063B">
              <w:rPr>
                <w:rStyle w:val="Hyperlink"/>
                <w:rFonts w:ascii="inherit" w:eastAsia="Times New Roman" w:hAnsi="inherit" w:cs="Times New Roman"/>
                <w:i/>
                <w:iCs/>
                <w:noProof/>
                <w:lang w:eastAsia="bg-BG"/>
              </w:rPr>
              <w:t>Таблица 4Б</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_Toc481594293 \h </w:instrText>
            </w:r>
            <w:r w:rsidR="0095721D" w:rsidRPr="007D063B">
              <w:rPr>
                <w:noProof/>
                <w:webHidden/>
              </w:rPr>
            </w:r>
            <w:r w:rsidR="0095721D" w:rsidRPr="007D063B">
              <w:rPr>
                <w:noProof/>
                <w:webHidden/>
              </w:rPr>
              <w:fldChar w:fldCharType="separate"/>
            </w:r>
            <w:r w:rsidR="0095721D" w:rsidRPr="007D063B">
              <w:rPr>
                <w:noProof/>
                <w:webHidden/>
              </w:rPr>
              <w:t>80</w:t>
            </w:r>
            <w:r w:rsidR="0095721D" w:rsidRPr="007D063B">
              <w:rPr>
                <w:noProof/>
                <w:webHidden/>
              </w:rPr>
              <w:fldChar w:fldCharType="end"/>
            </w:r>
          </w:hyperlink>
        </w:p>
        <w:p w14:paraId="0E3472C6" w14:textId="054D4B6F" w:rsidR="0095721D" w:rsidRPr="007D063B" w:rsidRDefault="00DC49EA" w:rsidP="00E354F5">
          <w:pPr>
            <w:pStyle w:val="TOC2"/>
            <w:rPr>
              <w:rFonts w:eastAsiaTheme="minorEastAsia"/>
              <w:noProof/>
              <w:lang w:eastAsia="bg-BG"/>
            </w:rPr>
          </w:pPr>
          <w:hyperlink w:anchor="_Toc481594294" w:history="1">
            <w:r w:rsidR="0095721D" w:rsidRPr="007D063B">
              <w:rPr>
                <w:rStyle w:val="Hyperlink"/>
                <w:rFonts w:ascii="Times New Roman" w:eastAsia="Times New Roman" w:hAnsi="Times New Roman" w:cs="Times New Roman"/>
                <w:b/>
                <w:bCs/>
                <w:noProof/>
                <w:lang w:eastAsia="bg-BG"/>
              </w:rPr>
              <w:t>3.3.   </w:t>
            </w:r>
            <w:r w:rsidR="0095721D" w:rsidRPr="007D063B">
              <w:rPr>
                <w:rStyle w:val="Hyperlink"/>
                <w:rFonts w:ascii="inherit" w:eastAsia="Times New Roman" w:hAnsi="inherit" w:cs="Times New Roman"/>
                <w:b/>
                <w:bCs/>
                <w:noProof/>
                <w:lang w:eastAsia="bg-BG"/>
              </w:rPr>
              <w:t>Етапните цели и целевите стойности, определени в рамката на изпълнението (член 50, параграф 2 от Регламент (ЕС) № 1303/2013), представени в годишните доклади за изпълнението, считано от 2017 г.</w:t>
            </w:r>
            <w:r w:rsidR="0095721D" w:rsidRPr="007D063B">
              <w:rPr>
                <w:rStyle w:val="Hyperlink"/>
                <w:rFonts w:ascii="Times New Roman" w:eastAsia="Times New Roman" w:hAnsi="Times New Roman" w:cs="Times New Roman"/>
                <w:b/>
                <w:bCs/>
                <w:noProof/>
                <w:lang w:eastAsia="bg-BG"/>
              </w:rPr>
              <w:t> </w:t>
            </w:r>
            <w:r w:rsidR="0095721D" w:rsidRPr="007D063B">
              <w:rPr>
                <w:rStyle w:val="Hyperlink"/>
                <w:rFonts w:ascii="inherit" w:eastAsia="Times New Roman" w:hAnsi="inherit" w:cs="Times New Roman"/>
                <w:b/>
                <w:bCs/>
                <w:noProof/>
                <w:lang w:eastAsia="bg-BG"/>
              </w:rPr>
              <w:t> (</w:t>
            </w:r>
            <w:r w:rsidR="0095721D" w:rsidRPr="007D063B">
              <w:rPr>
                <w:rStyle w:val="Hyperlink"/>
                <w:rFonts w:ascii="inherit" w:eastAsia="Times New Roman" w:hAnsi="inherit" w:cs="Times New Roman"/>
                <w:b/>
                <w:bCs/>
                <w:noProof/>
                <w:vertAlign w:val="superscript"/>
                <w:lang w:eastAsia="bg-BG"/>
              </w:rPr>
              <w:t>17</w:t>
            </w:r>
            <w:r w:rsidR="0095721D" w:rsidRPr="007D063B">
              <w:rPr>
                <w:rStyle w:val="Hyperlink"/>
                <w:rFonts w:ascii="inherit" w:eastAsia="Times New Roman" w:hAnsi="inherit" w:cs="Times New Roman"/>
                <w:b/>
                <w:bCs/>
                <w:noProof/>
                <w:lang w:eastAsia="bg-BG"/>
              </w:rPr>
              <w:t>)</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_Toc481594294 \h </w:instrText>
            </w:r>
            <w:r w:rsidR="0095721D" w:rsidRPr="007D063B">
              <w:rPr>
                <w:noProof/>
                <w:webHidden/>
              </w:rPr>
            </w:r>
            <w:r w:rsidR="0095721D" w:rsidRPr="007D063B">
              <w:rPr>
                <w:noProof/>
                <w:webHidden/>
              </w:rPr>
              <w:fldChar w:fldCharType="separate"/>
            </w:r>
            <w:r w:rsidR="0095721D" w:rsidRPr="007D063B">
              <w:rPr>
                <w:noProof/>
                <w:webHidden/>
              </w:rPr>
              <w:t>82</w:t>
            </w:r>
            <w:r w:rsidR="0095721D" w:rsidRPr="007D063B">
              <w:rPr>
                <w:noProof/>
                <w:webHidden/>
              </w:rPr>
              <w:fldChar w:fldCharType="end"/>
            </w:r>
          </w:hyperlink>
        </w:p>
        <w:p w14:paraId="0D23C450" w14:textId="03ECB916" w:rsidR="0095721D" w:rsidRPr="007D063B" w:rsidRDefault="00DC49EA" w:rsidP="00E354F5">
          <w:pPr>
            <w:pStyle w:val="TOC2"/>
            <w:rPr>
              <w:rFonts w:eastAsiaTheme="minorEastAsia"/>
              <w:noProof/>
              <w:lang w:eastAsia="bg-BG"/>
            </w:rPr>
          </w:pPr>
          <w:hyperlink w:anchor="_Toc481594295" w:history="1">
            <w:r w:rsidR="0095721D" w:rsidRPr="007D063B">
              <w:rPr>
                <w:rStyle w:val="Hyperlink"/>
                <w:rFonts w:ascii="Times New Roman" w:eastAsia="Times New Roman" w:hAnsi="Times New Roman" w:cs="Times New Roman"/>
                <w:b/>
                <w:bCs/>
                <w:noProof/>
                <w:lang w:eastAsia="bg-BG"/>
              </w:rPr>
              <w:t>3.4.   </w:t>
            </w:r>
            <w:r w:rsidR="0095721D" w:rsidRPr="007D063B">
              <w:rPr>
                <w:rStyle w:val="Hyperlink"/>
                <w:rFonts w:ascii="inherit" w:eastAsia="Times New Roman" w:hAnsi="inherit" w:cs="Times New Roman"/>
                <w:b/>
                <w:bCs/>
                <w:noProof/>
                <w:lang w:eastAsia="bg-BG"/>
              </w:rPr>
              <w:t>Финансови данни (член 50, параграф 2 от Регламент (ЕС) № 1303/2013)</w:t>
            </w:r>
            <w:r w:rsidR="0095721D" w:rsidRPr="007D063B">
              <w:rPr>
                <w:rStyle w:val="Hyperlink"/>
                <w:rFonts w:ascii="Times New Roman" w:eastAsia="Times New Roman" w:hAnsi="Times New Roman" w:cs="Times New Roman"/>
                <w:b/>
                <w:bCs/>
                <w:noProof/>
                <w:lang w:eastAsia="bg-BG"/>
              </w:rPr>
              <w:t> </w:t>
            </w:r>
            <w:r w:rsidR="0095721D" w:rsidRPr="007D063B">
              <w:rPr>
                <w:rStyle w:val="Hyperlink"/>
                <w:rFonts w:ascii="inherit" w:eastAsia="Times New Roman" w:hAnsi="inherit" w:cs="Times New Roman"/>
                <w:b/>
                <w:bCs/>
                <w:noProof/>
                <w:lang w:eastAsia="bg-BG"/>
              </w:rPr>
              <w:t> (</w:t>
            </w:r>
            <w:r w:rsidR="0095721D" w:rsidRPr="007D063B">
              <w:rPr>
                <w:rStyle w:val="Hyperlink"/>
                <w:rFonts w:ascii="inherit" w:eastAsia="Times New Roman" w:hAnsi="inherit" w:cs="Times New Roman"/>
                <w:b/>
                <w:bCs/>
                <w:noProof/>
                <w:vertAlign w:val="superscript"/>
                <w:lang w:eastAsia="bg-BG"/>
              </w:rPr>
              <w:t>19</w:t>
            </w:r>
            <w:r w:rsidR="0095721D" w:rsidRPr="007D063B">
              <w:rPr>
                <w:rStyle w:val="Hyperlink"/>
                <w:rFonts w:ascii="inherit" w:eastAsia="Times New Roman" w:hAnsi="inherit" w:cs="Times New Roman"/>
                <w:b/>
                <w:bCs/>
                <w:noProof/>
                <w:lang w:eastAsia="bg-BG"/>
              </w:rPr>
              <w:t>)</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_Toc481594295 \h </w:instrText>
            </w:r>
            <w:r w:rsidR="0095721D" w:rsidRPr="007D063B">
              <w:rPr>
                <w:noProof/>
                <w:webHidden/>
              </w:rPr>
            </w:r>
            <w:r w:rsidR="0095721D" w:rsidRPr="007D063B">
              <w:rPr>
                <w:noProof/>
                <w:webHidden/>
              </w:rPr>
              <w:fldChar w:fldCharType="separate"/>
            </w:r>
            <w:r w:rsidR="0095721D" w:rsidRPr="007D063B">
              <w:rPr>
                <w:noProof/>
                <w:webHidden/>
              </w:rPr>
              <w:t>82</w:t>
            </w:r>
            <w:r w:rsidR="0095721D" w:rsidRPr="007D063B">
              <w:rPr>
                <w:noProof/>
                <w:webHidden/>
              </w:rPr>
              <w:fldChar w:fldCharType="end"/>
            </w:r>
          </w:hyperlink>
        </w:p>
        <w:p w14:paraId="302EF540" w14:textId="15481AEA" w:rsidR="0095721D" w:rsidRPr="007D063B" w:rsidRDefault="00DC49EA">
          <w:pPr>
            <w:pStyle w:val="TOC1"/>
            <w:tabs>
              <w:tab w:val="right" w:leader="dot" w:pos="13994"/>
            </w:tabs>
            <w:rPr>
              <w:rFonts w:eastAsiaTheme="minorEastAsia"/>
              <w:noProof/>
              <w:lang w:eastAsia="bg-BG"/>
            </w:rPr>
          </w:pPr>
          <w:hyperlink w:anchor="_Toc481594296" w:history="1">
            <w:r w:rsidR="0095721D" w:rsidRPr="007D063B">
              <w:rPr>
                <w:rStyle w:val="Hyperlink"/>
                <w:rFonts w:ascii="Times New Roman" w:eastAsia="Times New Roman" w:hAnsi="Times New Roman" w:cs="Times New Roman"/>
                <w:b/>
                <w:bCs/>
                <w:noProof/>
                <w:lang w:eastAsia="bg-BG"/>
              </w:rPr>
              <w:t>4.   ОБОБЩЕНИЕ НА ОЦЕНКИТЕ (член 50, параграф 2 от Регламент (ЕС) № 1303/2013)</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_Toc481594296 \h </w:instrText>
            </w:r>
            <w:r w:rsidR="0095721D" w:rsidRPr="007D063B">
              <w:rPr>
                <w:noProof/>
                <w:webHidden/>
              </w:rPr>
            </w:r>
            <w:r w:rsidR="0095721D" w:rsidRPr="007D063B">
              <w:rPr>
                <w:noProof/>
                <w:webHidden/>
              </w:rPr>
              <w:fldChar w:fldCharType="separate"/>
            </w:r>
            <w:r w:rsidR="0095721D" w:rsidRPr="007D063B">
              <w:rPr>
                <w:noProof/>
                <w:webHidden/>
              </w:rPr>
              <w:t>82</w:t>
            </w:r>
            <w:r w:rsidR="0095721D" w:rsidRPr="007D063B">
              <w:rPr>
                <w:noProof/>
                <w:webHidden/>
              </w:rPr>
              <w:fldChar w:fldCharType="end"/>
            </w:r>
          </w:hyperlink>
        </w:p>
        <w:p w14:paraId="148356F8" w14:textId="7A012851" w:rsidR="0095721D" w:rsidRPr="007D063B" w:rsidRDefault="00DC49EA">
          <w:pPr>
            <w:pStyle w:val="TOC1"/>
            <w:tabs>
              <w:tab w:val="right" w:leader="dot" w:pos="13994"/>
            </w:tabs>
            <w:rPr>
              <w:rFonts w:eastAsiaTheme="minorEastAsia"/>
              <w:noProof/>
              <w:lang w:eastAsia="bg-BG"/>
            </w:rPr>
          </w:pPr>
          <w:hyperlink w:anchor="_Toc481594297" w:history="1">
            <w:r w:rsidR="0095721D" w:rsidRPr="007D063B">
              <w:rPr>
                <w:rStyle w:val="Hyperlink"/>
                <w:rFonts w:ascii="Times New Roman" w:eastAsia="Times New Roman" w:hAnsi="Times New Roman" w:cs="Times New Roman"/>
                <w:b/>
                <w:bCs/>
                <w:noProof/>
                <w:lang w:eastAsia="bg-BG"/>
              </w:rPr>
              <w:t>5.   ИНФОРМАЦИЯ ЗА ИЗПЪЛНЕНИЕТО НА ИНИЦИАТИВАТА ЗА МЛАДЕЖКА ЗАЕТОСТ, КОГАТО Е ПРИЛОЖИМО (член 19, параграфи 2 и 4 от Регламент (ЕС) № 1304/2013)</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_Toc481594297 \h </w:instrText>
            </w:r>
            <w:r w:rsidR="0095721D" w:rsidRPr="007D063B">
              <w:rPr>
                <w:noProof/>
                <w:webHidden/>
              </w:rPr>
            </w:r>
            <w:r w:rsidR="0095721D" w:rsidRPr="007D063B">
              <w:rPr>
                <w:noProof/>
                <w:webHidden/>
              </w:rPr>
              <w:fldChar w:fldCharType="separate"/>
            </w:r>
            <w:r w:rsidR="0095721D" w:rsidRPr="007D063B">
              <w:rPr>
                <w:noProof/>
                <w:webHidden/>
              </w:rPr>
              <w:t>87</w:t>
            </w:r>
            <w:r w:rsidR="0095721D" w:rsidRPr="007D063B">
              <w:rPr>
                <w:noProof/>
                <w:webHidden/>
              </w:rPr>
              <w:fldChar w:fldCharType="end"/>
            </w:r>
          </w:hyperlink>
        </w:p>
        <w:p w14:paraId="0DAC1CD9" w14:textId="14971DE7" w:rsidR="0095721D" w:rsidRPr="007D063B" w:rsidRDefault="00DC49EA">
          <w:pPr>
            <w:pStyle w:val="TOC1"/>
            <w:tabs>
              <w:tab w:val="right" w:leader="dot" w:pos="13994"/>
            </w:tabs>
            <w:rPr>
              <w:rFonts w:eastAsiaTheme="minorEastAsia"/>
              <w:noProof/>
              <w:lang w:eastAsia="bg-BG"/>
            </w:rPr>
          </w:pPr>
          <w:hyperlink w:anchor="_Toc481594298" w:history="1">
            <w:r w:rsidR="0095721D" w:rsidRPr="007D063B">
              <w:rPr>
                <w:rStyle w:val="Hyperlink"/>
                <w:rFonts w:ascii="Times New Roman" w:eastAsia="Times New Roman" w:hAnsi="Times New Roman" w:cs="Times New Roman"/>
                <w:b/>
                <w:bCs/>
                <w:noProof/>
                <w:lang w:eastAsia="bg-BG"/>
              </w:rPr>
              <w:t>6.   ПРОБЛЕМИ, СВЪРЗАНИ С ИЗПЪЛНЕНИЕТО НА ПРОГРАМАТА И ПРИЕТИТЕ МЕРКИ (член 50, параграф 2 от Регламент (ЕС) № 1303/2013)</w:t>
            </w:r>
            <w:r w:rsidR="0095721D" w:rsidRPr="007D063B">
              <w:rPr>
                <w:rStyle w:val="Hyperlink"/>
                <w:rFonts w:ascii="inherit" w:eastAsia="Times New Roman" w:hAnsi="inherit" w:cs="Times New Roman"/>
                <w:b/>
                <w:bCs/>
                <w:noProof/>
                <w:lang w:eastAsia="bg-BG"/>
              </w:rPr>
              <w:t> (</w:t>
            </w:r>
            <w:r w:rsidR="0095721D" w:rsidRPr="007D063B">
              <w:rPr>
                <w:rStyle w:val="Hyperlink"/>
                <w:rFonts w:ascii="inherit" w:eastAsia="Times New Roman" w:hAnsi="inherit" w:cs="Times New Roman"/>
                <w:b/>
                <w:bCs/>
                <w:noProof/>
                <w:vertAlign w:val="superscript"/>
                <w:lang w:eastAsia="bg-BG"/>
              </w:rPr>
              <w:t>28</w:t>
            </w:r>
            <w:r w:rsidR="0095721D" w:rsidRPr="007D063B">
              <w:rPr>
                <w:rStyle w:val="Hyperlink"/>
                <w:rFonts w:ascii="inherit" w:eastAsia="Times New Roman" w:hAnsi="inherit" w:cs="Times New Roman"/>
                <w:b/>
                <w:bCs/>
                <w:noProof/>
                <w:lang w:eastAsia="bg-BG"/>
              </w:rPr>
              <w:t>)</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_Toc481594298 \h </w:instrText>
            </w:r>
            <w:r w:rsidR="0095721D" w:rsidRPr="007D063B">
              <w:rPr>
                <w:noProof/>
                <w:webHidden/>
              </w:rPr>
            </w:r>
            <w:r w:rsidR="0095721D" w:rsidRPr="007D063B">
              <w:rPr>
                <w:noProof/>
                <w:webHidden/>
              </w:rPr>
              <w:fldChar w:fldCharType="separate"/>
            </w:r>
            <w:r w:rsidR="0095721D" w:rsidRPr="007D063B">
              <w:rPr>
                <w:noProof/>
                <w:webHidden/>
              </w:rPr>
              <w:t>87</w:t>
            </w:r>
            <w:r w:rsidR="0095721D" w:rsidRPr="007D063B">
              <w:rPr>
                <w:noProof/>
                <w:webHidden/>
              </w:rPr>
              <w:fldChar w:fldCharType="end"/>
            </w:r>
          </w:hyperlink>
        </w:p>
        <w:p w14:paraId="1EDB5F84" w14:textId="62D98072" w:rsidR="0095721D" w:rsidRPr="007D063B" w:rsidRDefault="00DC49EA">
          <w:pPr>
            <w:pStyle w:val="TOC1"/>
            <w:tabs>
              <w:tab w:val="right" w:leader="dot" w:pos="13994"/>
            </w:tabs>
            <w:rPr>
              <w:rFonts w:eastAsiaTheme="minorEastAsia"/>
              <w:noProof/>
              <w:lang w:eastAsia="bg-BG"/>
            </w:rPr>
          </w:pPr>
          <w:hyperlink w:anchor="_Toc481594299" w:history="1">
            <w:r w:rsidR="0095721D" w:rsidRPr="007D063B">
              <w:rPr>
                <w:rStyle w:val="Hyperlink"/>
                <w:rFonts w:ascii="Times New Roman" w:eastAsia="Times New Roman" w:hAnsi="Times New Roman" w:cs="Times New Roman"/>
                <w:b/>
                <w:bCs/>
                <w:noProof/>
                <w:lang w:eastAsia="bg-BG"/>
              </w:rPr>
              <w:t>7.   РЕЗЮМЕ ЗА ГРАЖДАНИТЕ (член 50, параграф 9 от Регламент (ЕС) № 1303/2013)</w:t>
            </w:r>
            <w:r w:rsidR="0095721D" w:rsidRPr="007D063B">
              <w:rPr>
                <w:rStyle w:val="Hyperlink"/>
                <w:rFonts w:ascii="inherit" w:eastAsia="Times New Roman" w:hAnsi="inherit" w:cs="Times New Roman"/>
                <w:b/>
                <w:bCs/>
                <w:noProof/>
                <w:lang w:eastAsia="bg-BG"/>
              </w:rPr>
              <w:t> (</w:t>
            </w:r>
            <w:r w:rsidR="0095721D" w:rsidRPr="007D063B">
              <w:rPr>
                <w:rStyle w:val="Hyperlink"/>
                <w:rFonts w:ascii="inherit" w:eastAsia="Times New Roman" w:hAnsi="inherit" w:cs="Times New Roman"/>
                <w:b/>
                <w:bCs/>
                <w:noProof/>
                <w:vertAlign w:val="superscript"/>
                <w:lang w:eastAsia="bg-BG"/>
              </w:rPr>
              <w:t>21</w:t>
            </w:r>
            <w:r w:rsidR="0095721D" w:rsidRPr="007D063B">
              <w:rPr>
                <w:rStyle w:val="Hyperlink"/>
                <w:rFonts w:ascii="inherit" w:eastAsia="Times New Roman" w:hAnsi="inherit" w:cs="Times New Roman"/>
                <w:b/>
                <w:bCs/>
                <w:noProof/>
                <w:lang w:eastAsia="bg-BG"/>
              </w:rPr>
              <w:t>)</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_Toc481594299 \h </w:instrText>
            </w:r>
            <w:r w:rsidR="0095721D" w:rsidRPr="007D063B">
              <w:rPr>
                <w:noProof/>
                <w:webHidden/>
              </w:rPr>
            </w:r>
            <w:r w:rsidR="0095721D" w:rsidRPr="007D063B">
              <w:rPr>
                <w:noProof/>
                <w:webHidden/>
              </w:rPr>
              <w:fldChar w:fldCharType="separate"/>
            </w:r>
            <w:r w:rsidR="0095721D" w:rsidRPr="007D063B">
              <w:rPr>
                <w:noProof/>
                <w:webHidden/>
              </w:rPr>
              <w:t>90</w:t>
            </w:r>
            <w:r w:rsidR="0095721D" w:rsidRPr="007D063B">
              <w:rPr>
                <w:noProof/>
                <w:webHidden/>
              </w:rPr>
              <w:fldChar w:fldCharType="end"/>
            </w:r>
          </w:hyperlink>
        </w:p>
        <w:p w14:paraId="60EC04A5" w14:textId="590C52FA" w:rsidR="0095721D" w:rsidRPr="007D063B" w:rsidRDefault="00DC49EA">
          <w:pPr>
            <w:pStyle w:val="TOC1"/>
            <w:tabs>
              <w:tab w:val="right" w:leader="dot" w:pos="13994"/>
            </w:tabs>
            <w:rPr>
              <w:rFonts w:eastAsiaTheme="minorEastAsia"/>
              <w:noProof/>
              <w:lang w:eastAsia="bg-BG"/>
            </w:rPr>
          </w:pPr>
          <w:hyperlink w:anchor="_Toc481594300" w:history="1">
            <w:r w:rsidR="0095721D" w:rsidRPr="007D063B">
              <w:rPr>
                <w:rStyle w:val="Hyperlink"/>
                <w:rFonts w:ascii="Times New Roman" w:eastAsia="Times New Roman" w:hAnsi="Times New Roman" w:cs="Times New Roman"/>
                <w:b/>
                <w:bCs/>
                <w:noProof/>
                <w:lang w:eastAsia="bg-BG"/>
              </w:rPr>
              <w:t>8.   ДОКЛАД ЗА ИЗПОЛЗВАНЕТО НА ФИНАНСОВИТЕ ИНСТРУМЕНТИ (член 46 от Регламент (ЕС) № 1303/2013)</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_Toc481594300 \h </w:instrText>
            </w:r>
            <w:r w:rsidR="0095721D" w:rsidRPr="007D063B">
              <w:rPr>
                <w:noProof/>
                <w:webHidden/>
              </w:rPr>
            </w:r>
            <w:r w:rsidR="0095721D" w:rsidRPr="007D063B">
              <w:rPr>
                <w:noProof/>
                <w:webHidden/>
              </w:rPr>
              <w:fldChar w:fldCharType="separate"/>
            </w:r>
            <w:r w:rsidR="0095721D" w:rsidRPr="007D063B">
              <w:rPr>
                <w:noProof/>
                <w:webHidden/>
              </w:rPr>
              <w:t>90</w:t>
            </w:r>
            <w:r w:rsidR="0095721D" w:rsidRPr="007D063B">
              <w:rPr>
                <w:noProof/>
                <w:webHidden/>
              </w:rPr>
              <w:fldChar w:fldCharType="end"/>
            </w:r>
          </w:hyperlink>
        </w:p>
        <w:p w14:paraId="597B28E6" w14:textId="2FDF7F1B" w:rsidR="0095721D" w:rsidRPr="007D063B" w:rsidRDefault="00DC49EA">
          <w:pPr>
            <w:pStyle w:val="TOC1"/>
            <w:tabs>
              <w:tab w:val="right" w:leader="dot" w:pos="13994"/>
            </w:tabs>
            <w:rPr>
              <w:rFonts w:eastAsiaTheme="minorEastAsia"/>
              <w:noProof/>
              <w:lang w:eastAsia="bg-BG"/>
            </w:rPr>
          </w:pPr>
          <w:hyperlink w:anchor="_Toc481594301" w:history="1">
            <w:r w:rsidR="0095721D" w:rsidRPr="007D063B">
              <w:rPr>
                <w:rStyle w:val="Hyperlink"/>
                <w:rFonts w:ascii="Times New Roman" w:hAnsi="Times New Roman" w:cs="Times New Roman"/>
                <w:b/>
                <w:noProof/>
              </w:rPr>
              <w:t>9.   Информация, нямаща задължителен характер, за евентуално включване в доклада, който трябва да бъде представен през 2016 г., която не се изисква за други мини доклади: ДЕЙСТВИЯ, ПРЕДПРИЕТИ ЗА ИЗПЪЛНЕНИЕТО НА ПРЕДВАРИТЕЛНИТЕ УСЛОВИЯ (член 50, параграф 2 от Регламент (ЕС) № 1303/2013), когато приложимите предварителни условия не са били изпълнени при приемането на ОП: (вж. точка 13 oт образеца)</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_Toc481594301 \h </w:instrText>
            </w:r>
            <w:r w:rsidR="0095721D" w:rsidRPr="007D063B">
              <w:rPr>
                <w:noProof/>
                <w:webHidden/>
              </w:rPr>
            </w:r>
            <w:r w:rsidR="0095721D" w:rsidRPr="007D063B">
              <w:rPr>
                <w:noProof/>
                <w:webHidden/>
              </w:rPr>
              <w:fldChar w:fldCharType="separate"/>
            </w:r>
            <w:r w:rsidR="0095721D" w:rsidRPr="007D063B">
              <w:rPr>
                <w:noProof/>
                <w:webHidden/>
              </w:rPr>
              <w:t>90</w:t>
            </w:r>
            <w:r w:rsidR="0095721D" w:rsidRPr="007D063B">
              <w:rPr>
                <w:noProof/>
                <w:webHidden/>
              </w:rPr>
              <w:fldChar w:fldCharType="end"/>
            </w:r>
          </w:hyperlink>
        </w:p>
        <w:p w14:paraId="64DCDC2A" w14:textId="3EA92EF7" w:rsidR="0095721D" w:rsidRPr="007D063B" w:rsidRDefault="00DC49EA">
          <w:pPr>
            <w:pStyle w:val="TOC1"/>
            <w:tabs>
              <w:tab w:val="right" w:leader="dot" w:pos="13994"/>
            </w:tabs>
            <w:rPr>
              <w:rFonts w:eastAsiaTheme="minorEastAsia"/>
              <w:noProof/>
              <w:lang w:eastAsia="bg-BG"/>
            </w:rPr>
          </w:pPr>
          <w:hyperlink w:anchor="_Toc481594302" w:history="1">
            <w:r w:rsidR="0095721D" w:rsidRPr="007D063B">
              <w:rPr>
                <w:rStyle w:val="Hyperlink"/>
                <w:rFonts w:ascii="Times New Roman" w:eastAsia="Times New Roman" w:hAnsi="Times New Roman" w:cs="Times New Roman"/>
                <w:b/>
                <w:bCs/>
                <w:noProof/>
                <w:lang w:eastAsia="bg-BG"/>
              </w:rPr>
              <w:t>10.   НАПРЕДЪК В ИЗГОТВЯНЕТО И ИЗПЪЛНЕНИЕТО НА ГОЛЕМИ ПРОЕКТИ И СЪВМЕСТНИ ПЛАНОВЕ ЗА ДЕЙСТВИЕ (член 101, буква з) и член 111, параграф 3 от Регламент (ЕС) № 1303/2013)</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_Toc481594302 \h </w:instrText>
            </w:r>
            <w:r w:rsidR="0095721D" w:rsidRPr="007D063B">
              <w:rPr>
                <w:noProof/>
                <w:webHidden/>
              </w:rPr>
            </w:r>
            <w:r w:rsidR="0095721D" w:rsidRPr="007D063B">
              <w:rPr>
                <w:noProof/>
                <w:webHidden/>
              </w:rPr>
              <w:fldChar w:fldCharType="separate"/>
            </w:r>
            <w:r w:rsidR="0095721D" w:rsidRPr="007D063B">
              <w:rPr>
                <w:noProof/>
                <w:webHidden/>
              </w:rPr>
              <w:t>90</w:t>
            </w:r>
            <w:r w:rsidR="0095721D" w:rsidRPr="007D063B">
              <w:rPr>
                <w:noProof/>
                <w:webHidden/>
              </w:rPr>
              <w:fldChar w:fldCharType="end"/>
            </w:r>
          </w:hyperlink>
        </w:p>
        <w:p w14:paraId="07F72495" w14:textId="264CAC6F" w:rsidR="0095721D" w:rsidRPr="007D063B" w:rsidRDefault="00DC49EA">
          <w:pPr>
            <w:pStyle w:val="TOC1"/>
            <w:tabs>
              <w:tab w:val="right" w:leader="dot" w:pos="13994"/>
            </w:tabs>
            <w:rPr>
              <w:rFonts w:eastAsiaTheme="minorEastAsia"/>
              <w:noProof/>
              <w:lang w:eastAsia="bg-BG"/>
            </w:rPr>
          </w:pPr>
          <w:hyperlink w:anchor="_Toc481594303" w:history="1">
            <w:r w:rsidR="0095721D" w:rsidRPr="007D063B">
              <w:rPr>
                <w:rStyle w:val="Hyperlink"/>
                <w:rFonts w:ascii="Times New Roman" w:eastAsia="Times New Roman" w:hAnsi="Times New Roman" w:cs="Times New Roman"/>
                <w:b/>
                <w:bCs/>
                <w:noProof/>
                <w:lang w:eastAsia="bg-BG"/>
              </w:rPr>
              <w:t>11.   ОЦЕНКА НА ИЗПЪЛНЕНИЕТО НА ОПЕРАТИВНАТА ПРОГРАМА (член 50, параграф 4 и член 111, параграф 4 от Регламент (ЕС) № 1303/2013)</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_Toc481594303 \h </w:instrText>
            </w:r>
            <w:r w:rsidR="0095721D" w:rsidRPr="007D063B">
              <w:rPr>
                <w:noProof/>
                <w:webHidden/>
              </w:rPr>
            </w:r>
            <w:r w:rsidR="0095721D" w:rsidRPr="007D063B">
              <w:rPr>
                <w:noProof/>
                <w:webHidden/>
              </w:rPr>
              <w:fldChar w:fldCharType="separate"/>
            </w:r>
            <w:r w:rsidR="0095721D" w:rsidRPr="007D063B">
              <w:rPr>
                <w:noProof/>
                <w:webHidden/>
              </w:rPr>
              <w:t>92</w:t>
            </w:r>
            <w:r w:rsidR="0095721D" w:rsidRPr="007D063B">
              <w:rPr>
                <w:noProof/>
                <w:webHidden/>
              </w:rPr>
              <w:fldChar w:fldCharType="end"/>
            </w:r>
          </w:hyperlink>
        </w:p>
        <w:p w14:paraId="2F431C21" w14:textId="547077C3" w:rsidR="0095721D" w:rsidRPr="007D063B" w:rsidRDefault="00DC49EA" w:rsidP="00E354F5">
          <w:pPr>
            <w:pStyle w:val="TOC2"/>
            <w:rPr>
              <w:rFonts w:eastAsiaTheme="minorEastAsia"/>
              <w:noProof/>
              <w:lang w:eastAsia="bg-BG"/>
            </w:rPr>
          </w:pPr>
          <w:hyperlink w:anchor="_Toc481594304" w:history="1">
            <w:r w:rsidR="0095721D" w:rsidRPr="007D063B">
              <w:rPr>
                <w:rStyle w:val="Hyperlink"/>
                <w:rFonts w:ascii="Times New Roman" w:eastAsia="Times New Roman" w:hAnsi="Times New Roman" w:cs="Times New Roman"/>
                <w:b/>
                <w:bCs/>
                <w:noProof/>
                <w:lang w:eastAsia="bg-BG"/>
              </w:rPr>
              <w:t>11.1   </w:t>
            </w:r>
            <w:r w:rsidR="0095721D" w:rsidRPr="007D063B">
              <w:rPr>
                <w:rStyle w:val="Hyperlink"/>
                <w:rFonts w:ascii="inherit" w:eastAsia="Times New Roman" w:hAnsi="inherit" w:cs="Times New Roman"/>
                <w:b/>
                <w:bCs/>
                <w:noProof/>
                <w:bdr w:val="none" w:sz="0" w:space="0" w:color="auto" w:frame="1"/>
                <w:lang w:eastAsia="bg-BG"/>
              </w:rPr>
              <w:t>Информация в част А и постигане на целите на програмата (член 50, параграф 4 от Регламент (ЕС) № 1303/2013)</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_Toc481594304 \h </w:instrText>
            </w:r>
            <w:r w:rsidR="0095721D" w:rsidRPr="007D063B">
              <w:rPr>
                <w:noProof/>
                <w:webHidden/>
              </w:rPr>
            </w:r>
            <w:r w:rsidR="0095721D" w:rsidRPr="007D063B">
              <w:rPr>
                <w:noProof/>
                <w:webHidden/>
              </w:rPr>
              <w:fldChar w:fldCharType="separate"/>
            </w:r>
            <w:r w:rsidR="0095721D" w:rsidRPr="007D063B">
              <w:rPr>
                <w:noProof/>
                <w:webHidden/>
              </w:rPr>
              <w:t>92</w:t>
            </w:r>
            <w:r w:rsidR="0095721D" w:rsidRPr="007D063B">
              <w:rPr>
                <w:noProof/>
                <w:webHidden/>
              </w:rPr>
              <w:fldChar w:fldCharType="end"/>
            </w:r>
          </w:hyperlink>
        </w:p>
        <w:p w14:paraId="3C9AFA13" w14:textId="0E1B7B7F" w:rsidR="0095721D" w:rsidRPr="007D063B" w:rsidRDefault="00DC49EA" w:rsidP="00E354F5">
          <w:pPr>
            <w:pStyle w:val="TOC2"/>
            <w:rPr>
              <w:rFonts w:eastAsiaTheme="minorEastAsia"/>
              <w:noProof/>
              <w:lang w:eastAsia="bg-BG"/>
            </w:rPr>
          </w:pPr>
          <w:hyperlink w:anchor="_Toc481594305" w:history="1">
            <w:r w:rsidR="0095721D" w:rsidRPr="007D063B">
              <w:rPr>
                <w:rStyle w:val="Hyperlink"/>
                <w:rFonts w:ascii="Times New Roman" w:eastAsia="Times New Roman" w:hAnsi="Times New Roman" w:cs="Times New Roman"/>
                <w:b/>
                <w:bCs/>
                <w:noProof/>
                <w:lang w:eastAsia="bg-BG"/>
              </w:rPr>
              <w:t>11.2.   </w:t>
            </w:r>
            <w:r w:rsidR="0095721D" w:rsidRPr="007D063B">
              <w:rPr>
                <w:rStyle w:val="Hyperlink"/>
                <w:rFonts w:ascii="inherit" w:eastAsia="Times New Roman" w:hAnsi="inherit" w:cs="Times New Roman"/>
                <w:b/>
                <w:bCs/>
                <w:noProof/>
                <w:bdr w:val="none" w:sz="0" w:space="0" w:color="auto" w:frame="1"/>
                <w:lang w:eastAsia="bg-BG"/>
              </w:rPr>
              <w:t>Специфичните действия, предприети за насърчаване на равенството между мъжете и жените и за предотвратяване на дискриминацията, по-специално насърчаване на достъпността за хората с увреждания, и разпоредбите, въведени, за да се гарантира интегрирането на аспекта за равенството между половете в оперативната програма и в операциите (член 50, параграф 4 и член 111, параграф 4, втора алннея, буква д) от Регламент (ЕС) № 1303/2013)</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_Toc481594305 \h </w:instrText>
            </w:r>
            <w:r w:rsidR="0095721D" w:rsidRPr="007D063B">
              <w:rPr>
                <w:noProof/>
                <w:webHidden/>
              </w:rPr>
            </w:r>
            <w:r w:rsidR="0095721D" w:rsidRPr="007D063B">
              <w:rPr>
                <w:noProof/>
                <w:webHidden/>
              </w:rPr>
              <w:fldChar w:fldCharType="separate"/>
            </w:r>
            <w:r w:rsidR="0095721D" w:rsidRPr="007D063B">
              <w:rPr>
                <w:noProof/>
                <w:webHidden/>
              </w:rPr>
              <w:t>96</w:t>
            </w:r>
            <w:r w:rsidR="0095721D" w:rsidRPr="007D063B">
              <w:rPr>
                <w:noProof/>
                <w:webHidden/>
              </w:rPr>
              <w:fldChar w:fldCharType="end"/>
            </w:r>
          </w:hyperlink>
        </w:p>
        <w:p w14:paraId="20788DCF" w14:textId="28360183" w:rsidR="0095721D" w:rsidRPr="007D063B" w:rsidRDefault="00DC49EA" w:rsidP="00E354F5">
          <w:pPr>
            <w:pStyle w:val="TOC2"/>
            <w:rPr>
              <w:rFonts w:eastAsiaTheme="minorEastAsia"/>
              <w:noProof/>
              <w:lang w:eastAsia="bg-BG"/>
            </w:rPr>
          </w:pPr>
          <w:hyperlink w:anchor="_Toc481594306" w:history="1">
            <w:r w:rsidR="0095721D" w:rsidRPr="007D063B">
              <w:rPr>
                <w:rStyle w:val="Hyperlink"/>
                <w:rFonts w:ascii="Times New Roman" w:eastAsia="Times New Roman" w:hAnsi="Times New Roman" w:cs="Times New Roman"/>
                <w:b/>
                <w:bCs/>
                <w:noProof/>
                <w:lang w:eastAsia="bg-BG"/>
              </w:rPr>
              <w:t>11.3.   </w:t>
            </w:r>
            <w:r w:rsidR="0095721D" w:rsidRPr="007D063B">
              <w:rPr>
                <w:rStyle w:val="Hyperlink"/>
                <w:rFonts w:ascii="inherit" w:eastAsia="Times New Roman" w:hAnsi="inherit" w:cs="Times New Roman"/>
                <w:b/>
                <w:bCs/>
                <w:noProof/>
                <w:bdr w:val="none" w:sz="0" w:space="0" w:color="auto" w:frame="1"/>
                <w:lang w:eastAsia="bg-BG"/>
              </w:rPr>
              <w:t>Устойчиво развитие (член 50, параграф 4 и член 111, параграф 4, втора алинея, буква е) от Регламент (ЕС) № 1303/2013)</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_Toc481594306 \h </w:instrText>
            </w:r>
            <w:r w:rsidR="0095721D" w:rsidRPr="007D063B">
              <w:rPr>
                <w:noProof/>
                <w:webHidden/>
              </w:rPr>
            </w:r>
            <w:r w:rsidR="0095721D" w:rsidRPr="007D063B">
              <w:rPr>
                <w:noProof/>
                <w:webHidden/>
              </w:rPr>
              <w:fldChar w:fldCharType="separate"/>
            </w:r>
            <w:r w:rsidR="0095721D" w:rsidRPr="007D063B">
              <w:rPr>
                <w:noProof/>
                <w:webHidden/>
              </w:rPr>
              <w:t>96</w:t>
            </w:r>
            <w:r w:rsidR="0095721D" w:rsidRPr="007D063B">
              <w:rPr>
                <w:noProof/>
                <w:webHidden/>
              </w:rPr>
              <w:fldChar w:fldCharType="end"/>
            </w:r>
          </w:hyperlink>
        </w:p>
        <w:p w14:paraId="4BE50F0C" w14:textId="00B158DA" w:rsidR="0095721D" w:rsidRPr="007D063B" w:rsidRDefault="00DC49EA" w:rsidP="00E354F5">
          <w:pPr>
            <w:pStyle w:val="TOC2"/>
            <w:rPr>
              <w:rFonts w:eastAsiaTheme="minorEastAsia"/>
              <w:noProof/>
              <w:lang w:eastAsia="bg-BG"/>
            </w:rPr>
          </w:pPr>
          <w:hyperlink w:anchor="_Toc481594307" w:history="1">
            <w:r w:rsidR="0095721D" w:rsidRPr="007D063B">
              <w:rPr>
                <w:rStyle w:val="Hyperlink"/>
                <w:rFonts w:ascii="Times New Roman" w:eastAsia="Times New Roman" w:hAnsi="Times New Roman" w:cs="Times New Roman"/>
                <w:b/>
                <w:bCs/>
                <w:noProof/>
                <w:lang w:eastAsia="bg-BG"/>
              </w:rPr>
              <w:t>11.4.   </w:t>
            </w:r>
            <w:r w:rsidR="0095721D" w:rsidRPr="007D063B">
              <w:rPr>
                <w:rStyle w:val="Hyperlink"/>
                <w:rFonts w:ascii="inherit" w:eastAsia="Times New Roman" w:hAnsi="inherit" w:cs="Times New Roman"/>
                <w:b/>
                <w:bCs/>
                <w:noProof/>
                <w:bdr w:val="none" w:sz="0" w:space="0" w:color="auto" w:frame="1"/>
                <w:lang w:eastAsia="bg-BG"/>
              </w:rPr>
              <w:t>Докладване относно подкрепата, използвана за целите във връзка с изменението на климата (член 50, параграф 4 от Регламент (ЕС) № 1303/2013)</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_Toc481594307 \h </w:instrText>
            </w:r>
            <w:r w:rsidR="0095721D" w:rsidRPr="007D063B">
              <w:rPr>
                <w:noProof/>
                <w:webHidden/>
              </w:rPr>
            </w:r>
            <w:r w:rsidR="0095721D" w:rsidRPr="007D063B">
              <w:rPr>
                <w:noProof/>
                <w:webHidden/>
              </w:rPr>
              <w:fldChar w:fldCharType="separate"/>
            </w:r>
            <w:r w:rsidR="0095721D" w:rsidRPr="007D063B">
              <w:rPr>
                <w:noProof/>
                <w:webHidden/>
              </w:rPr>
              <w:t>96</w:t>
            </w:r>
            <w:r w:rsidR="0095721D" w:rsidRPr="007D063B">
              <w:rPr>
                <w:noProof/>
                <w:webHidden/>
              </w:rPr>
              <w:fldChar w:fldCharType="end"/>
            </w:r>
          </w:hyperlink>
        </w:p>
        <w:p w14:paraId="2D7F18D3" w14:textId="04579042" w:rsidR="0095721D" w:rsidRPr="007D063B" w:rsidRDefault="00DC49EA" w:rsidP="00E354F5">
          <w:pPr>
            <w:pStyle w:val="TOC2"/>
            <w:rPr>
              <w:rFonts w:eastAsiaTheme="minorEastAsia"/>
              <w:noProof/>
              <w:lang w:eastAsia="bg-BG"/>
            </w:rPr>
          </w:pPr>
          <w:hyperlink w:anchor="_Toc481594308" w:history="1">
            <w:r w:rsidR="0095721D" w:rsidRPr="007D063B">
              <w:rPr>
                <w:rStyle w:val="Hyperlink"/>
                <w:rFonts w:ascii="Times New Roman" w:eastAsia="Times New Roman" w:hAnsi="Times New Roman" w:cs="Times New Roman"/>
                <w:b/>
                <w:bCs/>
                <w:noProof/>
                <w:lang w:eastAsia="bg-BG"/>
              </w:rPr>
              <w:t>11.5   </w:t>
            </w:r>
            <w:r w:rsidR="0095721D" w:rsidRPr="007D063B">
              <w:rPr>
                <w:rStyle w:val="Hyperlink"/>
                <w:rFonts w:ascii="inherit" w:eastAsia="Times New Roman" w:hAnsi="inherit" w:cs="Times New Roman"/>
                <w:b/>
                <w:bCs/>
                <w:noProof/>
                <w:bdr w:val="none" w:sz="0" w:space="0" w:color="auto" w:frame="1"/>
                <w:lang w:eastAsia="bg-BG"/>
              </w:rPr>
              <w:t>Роля на партньорите в изпълнението на програмата (член 50, параграф 4 и член 111, параграф 4, първа алинея, буква в) от Регламент (ЕС) № 1303/2013)</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_Toc481594308 \h </w:instrText>
            </w:r>
            <w:r w:rsidR="0095721D" w:rsidRPr="007D063B">
              <w:rPr>
                <w:noProof/>
                <w:webHidden/>
              </w:rPr>
            </w:r>
            <w:r w:rsidR="0095721D" w:rsidRPr="007D063B">
              <w:rPr>
                <w:noProof/>
                <w:webHidden/>
              </w:rPr>
              <w:fldChar w:fldCharType="separate"/>
            </w:r>
            <w:r w:rsidR="0095721D" w:rsidRPr="007D063B">
              <w:rPr>
                <w:noProof/>
                <w:webHidden/>
              </w:rPr>
              <w:t>98</w:t>
            </w:r>
            <w:r w:rsidR="0095721D" w:rsidRPr="007D063B">
              <w:rPr>
                <w:noProof/>
                <w:webHidden/>
              </w:rPr>
              <w:fldChar w:fldCharType="end"/>
            </w:r>
          </w:hyperlink>
        </w:p>
        <w:p w14:paraId="7FE82BD8" w14:textId="09D5E470" w:rsidR="0095721D" w:rsidRPr="007D063B" w:rsidRDefault="00DC49EA">
          <w:pPr>
            <w:pStyle w:val="TOC1"/>
            <w:tabs>
              <w:tab w:val="right" w:leader="dot" w:pos="13994"/>
            </w:tabs>
            <w:rPr>
              <w:rFonts w:eastAsiaTheme="minorEastAsia"/>
              <w:noProof/>
              <w:lang w:eastAsia="bg-BG"/>
            </w:rPr>
          </w:pPr>
          <w:hyperlink w:anchor="_Toc481594309" w:history="1">
            <w:r w:rsidR="0095721D" w:rsidRPr="007D063B">
              <w:rPr>
                <w:rStyle w:val="Hyperlink"/>
                <w:rFonts w:ascii="Times New Roman" w:eastAsia="Times New Roman" w:hAnsi="Times New Roman" w:cs="Times New Roman"/>
                <w:b/>
                <w:bCs/>
                <w:noProof/>
                <w:lang w:eastAsia="bg-BG"/>
              </w:rPr>
              <w:t>12.   ЗАДЪЛЖИТЕЛНА ИНФОРМАЦИЯ И ОЦЕНКА СЪГЛАСНО ЧЛЕН 111, ПАРАГРАФ 4, ПЪРВА АЛИНЕЯ, БУКВИ а) и б) ОТ РЕГЛАМЕНТ (ЕС) № 1303/2013</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_Toc481594309 \h </w:instrText>
            </w:r>
            <w:r w:rsidR="0095721D" w:rsidRPr="007D063B">
              <w:rPr>
                <w:noProof/>
                <w:webHidden/>
              </w:rPr>
            </w:r>
            <w:r w:rsidR="0095721D" w:rsidRPr="007D063B">
              <w:rPr>
                <w:noProof/>
                <w:webHidden/>
              </w:rPr>
              <w:fldChar w:fldCharType="separate"/>
            </w:r>
            <w:r w:rsidR="0095721D" w:rsidRPr="007D063B">
              <w:rPr>
                <w:noProof/>
                <w:webHidden/>
              </w:rPr>
              <w:t>100</w:t>
            </w:r>
            <w:r w:rsidR="0095721D" w:rsidRPr="007D063B">
              <w:rPr>
                <w:noProof/>
                <w:webHidden/>
              </w:rPr>
              <w:fldChar w:fldCharType="end"/>
            </w:r>
          </w:hyperlink>
        </w:p>
        <w:p w14:paraId="08E6EB78" w14:textId="7D269331" w:rsidR="0095721D" w:rsidRPr="007D063B" w:rsidRDefault="00DC49EA" w:rsidP="00E354F5">
          <w:pPr>
            <w:pStyle w:val="TOC2"/>
            <w:rPr>
              <w:rFonts w:eastAsiaTheme="minorEastAsia"/>
              <w:noProof/>
              <w:lang w:eastAsia="bg-BG"/>
            </w:rPr>
          </w:pPr>
          <w:hyperlink w:anchor="_Toc481594310" w:history="1">
            <w:r w:rsidR="0095721D" w:rsidRPr="007D063B">
              <w:rPr>
                <w:rStyle w:val="Hyperlink"/>
                <w:rFonts w:ascii="Times New Roman" w:eastAsia="Times New Roman" w:hAnsi="Times New Roman" w:cs="Times New Roman"/>
                <w:b/>
                <w:bCs/>
                <w:noProof/>
                <w:lang w:eastAsia="bg-BG"/>
              </w:rPr>
              <w:t>12.1   </w:t>
            </w:r>
            <w:r w:rsidR="0095721D" w:rsidRPr="007D063B">
              <w:rPr>
                <w:rStyle w:val="Hyperlink"/>
                <w:rFonts w:ascii="inherit" w:eastAsia="Times New Roman" w:hAnsi="inherit" w:cs="Times New Roman"/>
                <w:b/>
                <w:bCs/>
                <w:noProof/>
                <w:bdr w:val="none" w:sz="0" w:space="0" w:color="auto" w:frame="1"/>
                <w:lang w:eastAsia="bg-BG"/>
              </w:rPr>
              <w:t>Напредък по изпълнението на плана за оценка и предприетите действия във връзка с констатациите от извършените оценки</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_Toc481594310 \h </w:instrText>
            </w:r>
            <w:r w:rsidR="0095721D" w:rsidRPr="007D063B">
              <w:rPr>
                <w:noProof/>
                <w:webHidden/>
              </w:rPr>
            </w:r>
            <w:r w:rsidR="0095721D" w:rsidRPr="007D063B">
              <w:rPr>
                <w:noProof/>
                <w:webHidden/>
              </w:rPr>
              <w:fldChar w:fldCharType="separate"/>
            </w:r>
            <w:r w:rsidR="0095721D" w:rsidRPr="007D063B">
              <w:rPr>
                <w:noProof/>
                <w:webHidden/>
              </w:rPr>
              <w:t>100</w:t>
            </w:r>
            <w:r w:rsidR="0095721D" w:rsidRPr="007D063B">
              <w:rPr>
                <w:noProof/>
                <w:webHidden/>
              </w:rPr>
              <w:fldChar w:fldCharType="end"/>
            </w:r>
          </w:hyperlink>
        </w:p>
        <w:p w14:paraId="1DE40096" w14:textId="7B0B8061" w:rsidR="0095721D" w:rsidRPr="007D063B" w:rsidRDefault="00DC49EA" w:rsidP="00E354F5">
          <w:pPr>
            <w:pStyle w:val="TOC2"/>
            <w:rPr>
              <w:rFonts w:eastAsiaTheme="minorEastAsia"/>
              <w:noProof/>
              <w:lang w:eastAsia="bg-BG"/>
            </w:rPr>
          </w:pPr>
          <w:hyperlink w:anchor="_Toc481594311" w:history="1">
            <w:r w:rsidR="0095721D" w:rsidRPr="007D063B">
              <w:rPr>
                <w:rStyle w:val="Hyperlink"/>
                <w:rFonts w:ascii="Times New Roman" w:eastAsia="Times New Roman" w:hAnsi="Times New Roman" w:cs="Times New Roman"/>
                <w:b/>
                <w:bCs/>
                <w:noProof/>
                <w:lang w:eastAsia="bg-BG"/>
              </w:rPr>
              <w:t>12.2   </w:t>
            </w:r>
            <w:r w:rsidR="0095721D" w:rsidRPr="007D063B">
              <w:rPr>
                <w:rStyle w:val="Hyperlink"/>
                <w:rFonts w:ascii="inherit" w:eastAsia="Times New Roman" w:hAnsi="inherit" w:cs="Times New Roman"/>
                <w:b/>
                <w:bCs/>
                <w:noProof/>
                <w:bdr w:val="none" w:sz="0" w:space="0" w:color="auto" w:frame="1"/>
                <w:lang w:eastAsia="bg-BG"/>
              </w:rPr>
              <w:t>Резултати от мерките за информиране и публичност относно фондовете, провеждани в рамките на комуникационната стратегия</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_Toc481594311 \h </w:instrText>
            </w:r>
            <w:r w:rsidR="0095721D" w:rsidRPr="007D063B">
              <w:rPr>
                <w:noProof/>
                <w:webHidden/>
              </w:rPr>
            </w:r>
            <w:r w:rsidR="0095721D" w:rsidRPr="007D063B">
              <w:rPr>
                <w:noProof/>
                <w:webHidden/>
              </w:rPr>
              <w:fldChar w:fldCharType="separate"/>
            </w:r>
            <w:r w:rsidR="0095721D" w:rsidRPr="007D063B">
              <w:rPr>
                <w:noProof/>
                <w:webHidden/>
              </w:rPr>
              <w:t>102</w:t>
            </w:r>
            <w:r w:rsidR="0095721D" w:rsidRPr="007D063B">
              <w:rPr>
                <w:noProof/>
                <w:webHidden/>
              </w:rPr>
              <w:fldChar w:fldCharType="end"/>
            </w:r>
          </w:hyperlink>
        </w:p>
        <w:p w14:paraId="4EF7317D" w14:textId="0AB44DDF" w:rsidR="0095721D" w:rsidRPr="007D063B" w:rsidRDefault="00DC49EA">
          <w:pPr>
            <w:pStyle w:val="TOC1"/>
            <w:tabs>
              <w:tab w:val="right" w:leader="dot" w:pos="13994"/>
            </w:tabs>
            <w:rPr>
              <w:rFonts w:eastAsiaTheme="minorEastAsia"/>
              <w:noProof/>
              <w:lang w:eastAsia="bg-BG"/>
            </w:rPr>
          </w:pPr>
          <w:hyperlink w:anchor="_Toc481594312" w:history="1">
            <w:r w:rsidR="0095721D" w:rsidRPr="007D063B">
              <w:rPr>
                <w:rStyle w:val="Hyperlink"/>
                <w:rFonts w:ascii="Times New Roman" w:eastAsia="Times New Roman" w:hAnsi="Times New Roman" w:cs="Times New Roman"/>
                <w:b/>
                <w:bCs/>
                <w:noProof/>
                <w:lang w:eastAsia="bg-BG"/>
              </w:rPr>
              <w:t>13.   ДЕЙСТВИЯ, ПРЕДПРИЕТИ ЗА ИЗПЪЛНЕНИЕТО НА ПРЕДВАРИТЕЛНИТЕ УСЛОВИЯ (член 50, параграф 4 от Регламент (ЕС) № 1303/2013) (информацията може да бъде включена в доклада, който трябва да бъде представен през 2016 г. (вж. точка 9 по-горе), но е задължително да се включи в доклада за 2017 г.) Вариант: доклад за напредъка</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_Toc481594312 \h </w:instrText>
            </w:r>
            <w:r w:rsidR="0095721D" w:rsidRPr="007D063B">
              <w:rPr>
                <w:noProof/>
                <w:webHidden/>
              </w:rPr>
            </w:r>
            <w:r w:rsidR="0095721D" w:rsidRPr="007D063B">
              <w:rPr>
                <w:noProof/>
                <w:webHidden/>
              </w:rPr>
              <w:fldChar w:fldCharType="separate"/>
            </w:r>
            <w:r w:rsidR="0095721D" w:rsidRPr="007D063B">
              <w:rPr>
                <w:noProof/>
                <w:webHidden/>
              </w:rPr>
              <w:t>102</w:t>
            </w:r>
            <w:r w:rsidR="0095721D" w:rsidRPr="007D063B">
              <w:rPr>
                <w:noProof/>
                <w:webHidden/>
              </w:rPr>
              <w:fldChar w:fldCharType="end"/>
            </w:r>
          </w:hyperlink>
        </w:p>
        <w:p w14:paraId="7C326EAF" w14:textId="3C32B1D1" w:rsidR="0095721D" w:rsidRPr="007D063B" w:rsidRDefault="00DC49EA">
          <w:pPr>
            <w:pStyle w:val="TOC1"/>
            <w:tabs>
              <w:tab w:val="right" w:leader="dot" w:pos="13994"/>
            </w:tabs>
            <w:rPr>
              <w:rFonts w:eastAsiaTheme="minorEastAsia"/>
              <w:noProof/>
              <w:lang w:eastAsia="bg-BG"/>
            </w:rPr>
          </w:pPr>
          <w:hyperlink w:anchor="_Toc481594313" w:history="1">
            <w:r w:rsidR="0095721D" w:rsidRPr="007D063B">
              <w:rPr>
                <w:rStyle w:val="Hyperlink"/>
                <w:rFonts w:ascii="Times New Roman" w:eastAsia="Times New Roman" w:hAnsi="Times New Roman" w:cs="Times New Roman"/>
                <w:b/>
                <w:bCs/>
                <w:noProof/>
                <w:lang w:eastAsia="bg-BG"/>
              </w:rPr>
              <w:t>14.   ДОПЪЛНИТЕЛНА ИНФОРМАЦИЯ, КОЯТО МОЖЕ ДА БЪДЕ ДОБАВЕНА В ЗАВИСИМОСТ ОТ СЪДЪРЖАНИЕТО И ЦЕЛИТЕ НА ОПЕРАТИВНАТА ПРОГРАМА (член 111, параграф 4, втора алинея, букви а), б), в), г), ж) и з) от РЕГЛАМЕНТ (ЕС) № 1303/2013)</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_Toc481594313 \h </w:instrText>
            </w:r>
            <w:r w:rsidR="0095721D" w:rsidRPr="007D063B">
              <w:rPr>
                <w:noProof/>
                <w:webHidden/>
              </w:rPr>
            </w:r>
            <w:r w:rsidR="0095721D" w:rsidRPr="007D063B">
              <w:rPr>
                <w:noProof/>
                <w:webHidden/>
              </w:rPr>
              <w:fldChar w:fldCharType="separate"/>
            </w:r>
            <w:r w:rsidR="0095721D" w:rsidRPr="007D063B">
              <w:rPr>
                <w:noProof/>
                <w:webHidden/>
              </w:rPr>
              <w:t>103</w:t>
            </w:r>
            <w:r w:rsidR="0095721D" w:rsidRPr="007D063B">
              <w:rPr>
                <w:noProof/>
                <w:webHidden/>
              </w:rPr>
              <w:fldChar w:fldCharType="end"/>
            </w:r>
          </w:hyperlink>
        </w:p>
        <w:p w14:paraId="35CD2D74" w14:textId="1B1A9E13" w:rsidR="0095721D" w:rsidRPr="007D063B" w:rsidRDefault="00DC49EA" w:rsidP="00E354F5">
          <w:pPr>
            <w:pStyle w:val="TOC2"/>
            <w:rPr>
              <w:rFonts w:eastAsiaTheme="minorEastAsia"/>
              <w:noProof/>
              <w:lang w:eastAsia="bg-BG"/>
            </w:rPr>
          </w:pPr>
          <w:hyperlink w:anchor="_Toc481594314" w:history="1">
            <w:r w:rsidR="0095721D" w:rsidRPr="007D063B">
              <w:rPr>
                <w:rStyle w:val="Hyperlink"/>
                <w:rFonts w:ascii="Times New Roman" w:eastAsia="Times New Roman" w:hAnsi="Times New Roman" w:cs="Times New Roman"/>
                <w:b/>
                <w:bCs/>
                <w:noProof/>
                <w:lang w:eastAsia="bg-BG"/>
              </w:rPr>
              <w:t>14.1   </w:t>
            </w:r>
            <w:r w:rsidR="0095721D" w:rsidRPr="007D063B">
              <w:rPr>
                <w:rStyle w:val="Hyperlink"/>
                <w:rFonts w:ascii="inherit" w:eastAsia="Times New Roman" w:hAnsi="inherit" w:cs="Times New Roman"/>
                <w:b/>
                <w:bCs/>
                <w:noProof/>
                <w:bdr w:val="none" w:sz="0" w:space="0" w:color="auto" w:frame="1"/>
                <w:lang w:eastAsia="bg-BG"/>
              </w:rPr>
              <w:t>Напредък в прилагането на интегрирания подход към териториалното развитие, включително развитието на регионите, засегнати от демографски предизвикателства и неблагоприятни постоянни условия или природни бедствия, устойчивото развитие на градските райони и воденото от общностите местно развитие в рамките на оперативната програма</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_Toc481594314 \h </w:instrText>
            </w:r>
            <w:r w:rsidR="0095721D" w:rsidRPr="007D063B">
              <w:rPr>
                <w:noProof/>
                <w:webHidden/>
              </w:rPr>
            </w:r>
            <w:r w:rsidR="0095721D" w:rsidRPr="007D063B">
              <w:rPr>
                <w:noProof/>
                <w:webHidden/>
              </w:rPr>
              <w:fldChar w:fldCharType="separate"/>
            </w:r>
            <w:r w:rsidR="0095721D" w:rsidRPr="007D063B">
              <w:rPr>
                <w:noProof/>
                <w:webHidden/>
              </w:rPr>
              <w:t>103</w:t>
            </w:r>
            <w:r w:rsidR="0095721D" w:rsidRPr="007D063B">
              <w:rPr>
                <w:noProof/>
                <w:webHidden/>
              </w:rPr>
              <w:fldChar w:fldCharType="end"/>
            </w:r>
          </w:hyperlink>
        </w:p>
        <w:p w14:paraId="1B559AFA" w14:textId="66714BD2" w:rsidR="0095721D" w:rsidRPr="007D063B" w:rsidRDefault="00DC49EA" w:rsidP="00E354F5">
          <w:pPr>
            <w:pStyle w:val="TOC2"/>
            <w:rPr>
              <w:rFonts w:eastAsiaTheme="minorEastAsia"/>
              <w:noProof/>
              <w:lang w:eastAsia="bg-BG"/>
            </w:rPr>
          </w:pPr>
          <w:hyperlink w:anchor="_Toc481594315" w:history="1">
            <w:r w:rsidR="0095721D" w:rsidRPr="007D063B">
              <w:rPr>
                <w:rStyle w:val="Hyperlink"/>
                <w:rFonts w:ascii="Times New Roman" w:eastAsia="Times New Roman" w:hAnsi="Times New Roman" w:cs="Times New Roman"/>
                <w:b/>
                <w:bCs/>
                <w:noProof/>
                <w:lang w:eastAsia="bg-BG"/>
              </w:rPr>
              <w:t>14.2   </w:t>
            </w:r>
            <w:r w:rsidR="0095721D" w:rsidRPr="007D063B">
              <w:rPr>
                <w:rStyle w:val="Hyperlink"/>
                <w:rFonts w:ascii="inherit" w:eastAsia="Times New Roman" w:hAnsi="inherit" w:cs="Times New Roman"/>
                <w:b/>
                <w:bCs/>
                <w:noProof/>
                <w:bdr w:val="none" w:sz="0" w:space="0" w:color="auto" w:frame="1"/>
                <w:lang w:eastAsia="bg-BG"/>
              </w:rPr>
              <w:t>Напредък в осъществяването на действия за засилване на капацитета на органите на държавите членки и на бенефициерите за администриране и използване на средствата от фондовете</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_Toc481594315 \h </w:instrText>
            </w:r>
            <w:r w:rsidR="0095721D" w:rsidRPr="007D063B">
              <w:rPr>
                <w:noProof/>
                <w:webHidden/>
              </w:rPr>
            </w:r>
            <w:r w:rsidR="0095721D" w:rsidRPr="007D063B">
              <w:rPr>
                <w:noProof/>
                <w:webHidden/>
              </w:rPr>
              <w:fldChar w:fldCharType="separate"/>
            </w:r>
            <w:r w:rsidR="0095721D" w:rsidRPr="007D063B">
              <w:rPr>
                <w:noProof/>
                <w:webHidden/>
              </w:rPr>
              <w:t>103</w:t>
            </w:r>
            <w:r w:rsidR="0095721D" w:rsidRPr="007D063B">
              <w:rPr>
                <w:noProof/>
                <w:webHidden/>
              </w:rPr>
              <w:fldChar w:fldCharType="end"/>
            </w:r>
          </w:hyperlink>
        </w:p>
        <w:p w14:paraId="3E272883" w14:textId="39ABACAE" w:rsidR="0095721D" w:rsidRPr="007D063B" w:rsidRDefault="00DC49EA" w:rsidP="00E354F5">
          <w:pPr>
            <w:pStyle w:val="TOC2"/>
            <w:rPr>
              <w:rFonts w:eastAsiaTheme="minorEastAsia"/>
              <w:noProof/>
              <w:lang w:eastAsia="bg-BG"/>
            </w:rPr>
          </w:pPr>
          <w:hyperlink w:anchor="_Toc481594316" w:history="1">
            <w:r w:rsidR="0095721D" w:rsidRPr="007D063B">
              <w:rPr>
                <w:rStyle w:val="Hyperlink"/>
                <w:rFonts w:ascii="Times New Roman" w:eastAsia="Times New Roman" w:hAnsi="Times New Roman" w:cs="Times New Roman"/>
                <w:b/>
                <w:bCs/>
                <w:noProof/>
                <w:lang w:eastAsia="bg-BG"/>
              </w:rPr>
              <w:t>14.3   </w:t>
            </w:r>
            <w:r w:rsidR="0095721D" w:rsidRPr="007D063B">
              <w:rPr>
                <w:rStyle w:val="Hyperlink"/>
                <w:rFonts w:ascii="inherit" w:eastAsia="Times New Roman" w:hAnsi="inherit" w:cs="Times New Roman"/>
                <w:b/>
                <w:bCs/>
                <w:noProof/>
                <w:bdr w:val="none" w:sz="0" w:space="0" w:color="auto" w:frame="1"/>
                <w:lang w:eastAsia="bg-BG"/>
              </w:rPr>
              <w:t>Напредък в изпълнението на междурегионални и транснационални действия</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_Toc481594316 \h </w:instrText>
            </w:r>
            <w:r w:rsidR="0095721D" w:rsidRPr="007D063B">
              <w:rPr>
                <w:noProof/>
                <w:webHidden/>
              </w:rPr>
            </w:r>
            <w:r w:rsidR="0095721D" w:rsidRPr="007D063B">
              <w:rPr>
                <w:noProof/>
                <w:webHidden/>
              </w:rPr>
              <w:fldChar w:fldCharType="separate"/>
            </w:r>
            <w:r w:rsidR="0095721D" w:rsidRPr="007D063B">
              <w:rPr>
                <w:noProof/>
                <w:webHidden/>
              </w:rPr>
              <w:t>103</w:t>
            </w:r>
            <w:r w:rsidR="0095721D" w:rsidRPr="007D063B">
              <w:rPr>
                <w:noProof/>
                <w:webHidden/>
              </w:rPr>
              <w:fldChar w:fldCharType="end"/>
            </w:r>
          </w:hyperlink>
        </w:p>
        <w:p w14:paraId="7F49EC33" w14:textId="3CB995DB" w:rsidR="0095721D" w:rsidRPr="007D063B" w:rsidRDefault="00DC49EA" w:rsidP="00E354F5">
          <w:pPr>
            <w:pStyle w:val="TOC2"/>
            <w:rPr>
              <w:rFonts w:eastAsiaTheme="minorEastAsia"/>
              <w:noProof/>
              <w:lang w:eastAsia="bg-BG"/>
            </w:rPr>
          </w:pPr>
          <w:hyperlink w:anchor="_Toc481594317" w:history="1">
            <w:r w:rsidR="0095721D" w:rsidRPr="007D063B">
              <w:rPr>
                <w:rStyle w:val="Hyperlink"/>
                <w:rFonts w:ascii="Times New Roman" w:eastAsia="Times New Roman" w:hAnsi="Times New Roman" w:cs="Times New Roman"/>
                <w:b/>
                <w:bCs/>
                <w:noProof/>
                <w:lang w:eastAsia="bg-BG"/>
              </w:rPr>
              <w:t>14.4   </w:t>
            </w:r>
            <w:r w:rsidR="0095721D" w:rsidRPr="007D063B">
              <w:rPr>
                <w:rStyle w:val="Hyperlink"/>
                <w:rFonts w:ascii="inherit" w:eastAsia="Times New Roman" w:hAnsi="inherit" w:cs="Times New Roman"/>
                <w:b/>
                <w:bCs/>
                <w:noProof/>
                <w:bdr w:val="none" w:sz="0" w:space="0" w:color="auto" w:frame="1"/>
                <w:lang w:eastAsia="bg-BG"/>
              </w:rPr>
              <w:t>По целесъобразност, приноса към макрорегионалните стратегии и стратегиите за морските басейни</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_Toc481594317 \h </w:instrText>
            </w:r>
            <w:r w:rsidR="0095721D" w:rsidRPr="007D063B">
              <w:rPr>
                <w:noProof/>
                <w:webHidden/>
              </w:rPr>
            </w:r>
            <w:r w:rsidR="0095721D" w:rsidRPr="007D063B">
              <w:rPr>
                <w:noProof/>
                <w:webHidden/>
              </w:rPr>
              <w:fldChar w:fldCharType="separate"/>
            </w:r>
            <w:r w:rsidR="0095721D" w:rsidRPr="007D063B">
              <w:rPr>
                <w:noProof/>
                <w:webHidden/>
              </w:rPr>
              <w:t>104</w:t>
            </w:r>
            <w:r w:rsidR="0095721D" w:rsidRPr="007D063B">
              <w:rPr>
                <w:noProof/>
                <w:webHidden/>
              </w:rPr>
              <w:fldChar w:fldCharType="end"/>
            </w:r>
          </w:hyperlink>
        </w:p>
        <w:p w14:paraId="51F74CB9" w14:textId="45C0D206" w:rsidR="0095721D" w:rsidRPr="007D063B" w:rsidRDefault="00DC49EA" w:rsidP="00E354F5">
          <w:pPr>
            <w:pStyle w:val="TOC2"/>
            <w:rPr>
              <w:rFonts w:eastAsiaTheme="minorEastAsia"/>
              <w:noProof/>
              <w:lang w:eastAsia="bg-BG"/>
            </w:rPr>
          </w:pPr>
          <w:hyperlink w:anchor="_Toc481594318" w:history="1">
            <w:r w:rsidR="0095721D" w:rsidRPr="007D063B">
              <w:rPr>
                <w:rStyle w:val="Hyperlink"/>
                <w:rFonts w:ascii="Times New Roman" w:eastAsia="Times New Roman" w:hAnsi="Times New Roman" w:cs="Times New Roman"/>
                <w:b/>
                <w:bCs/>
                <w:noProof/>
                <w:lang w:eastAsia="bg-BG"/>
              </w:rPr>
              <w:t>14.5   </w:t>
            </w:r>
            <w:r w:rsidR="0095721D" w:rsidRPr="007D063B">
              <w:rPr>
                <w:rStyle w:val="Hyperlink"/>
                <w:rFonts w:ascii="inherit" w:eastAsia="Times New Roman" w:hAnsi="inherit" w:cs="Times New Roman"/>
                <w:b/>
                <w:bCs/>
                <w:noProof/>
                <w:bdr w:val="none" w:sz="0" w:space="0" w:color="auto" w:frame="1"/>
                <w:lang w:eastAsia="bg-BG"/>
              </w:rPr>
              <w:t>Напредък в изпълнението на действията в областта на социалните иновации, когато е целесъобразно</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_Toc481594318 \h </w:instrText>
            </w:r>
            <w:r w:rsidR="0095721D" w:rsidRPr="007D063B">
              <w:rPr>
                <w:noProof/>
                <w:webHidden/>
              </w:rPr>
            </w:r>
            <w:r w:rsidR="0095721D" w:rsidRPr="007D063B">
              <w:rPr>
                <w:noProof/>
                <w:webHidden/>
              </w:rPr>
              <w:fldChar w:fldCharType="separate"/>
            </w:r>
            <w:r w:rsidR="0095721D" w:rsidRPr="007D063B">
              <w:rPr>
                <w:noProof/>
                <w:webHidden/>
              </w:rPr>
              <w:t>104</w:t>
            </w:r>
            <w:r w:rsidR="0095721D" w:rsidRPr="007D063B">
              <w:rPr>
                <w:noProof/>
                <w:webHidden/>
              </w:rPr>
              <w:fldChar w:fldCharType="end"/>
            </w:r>
          </w:hyperlink>
        </w:p>
        <w:p w14:paraId="17473A23" w14:textId="56A136BE" w:rsidR="0095721D" w:rsidRPr="007D063B" w:rsidRDefault="00DC49EA" w:rsidP="00E354F5">
          <w:pPr>
            <w:pStyle w:val="TOC2"/>
            <w:rPr>
              <w:rFonts w:eastAsiaTheme="minorEastAsia"/>
              <w:noProof/>
              <w:lang w:eastAsia="bg-BG"/>
            </w:rPr>
          </w:pPr>
          <w:hyperlink w:anchor="_Toc481594319" w:history="1">
            <w:r w:rsidR="0095721D" w:rsidRPr="007D063B">
              <w:rPr>
                <w:rStyle w:val="Hyperlink"/>
                <w:rFonts w:ascii="Times New Roman" w:eastAsia="Times New Roman" w:hAnsi="Times New Roman" w:cs="Times New Roman"/>
                <w:b/>
                <w:bCs/>
                <w:noProof/>
                <w:lang w:eastAsia="bg-BG"/>
              </w:rPr>
              <w:t>14.6   </w:t>
            </w:r>
            <w:r w:rsidR="0095721D" w:rsidRPr="007D063B">
              <w:rPr>
                <w:rStyle w:val="Hyperlink"/>
                <w:rFonts w:ascii="inherit" w:eastAsia="Times New Roman" w:hAnsi="inherit" w:cs="Times New Roman"/>
                <w:b/>
                <w:bCs/>
                <w:noProof/>
                <w:bdr w:val="none" w:sz="0" w:space="0" w:color="auto" w:frame="1"/>
                <w:lang w:eastAsia="bg-BG"/>
              </w:rPr>
              <w:t>Напредък в изпълнението на мерките, насочени към специфичните нужди на най-силно засегнатите от бедност географски райони или на целевите групи, изложени на най-висок риск от бедност, дискриминация или социално изключване, като се обръща специално внимание на маргинализираните общности, хората с увреждания, дълготрайно безработните и младежите, които не участват в никаква форма на заетост, включително, ако е целесъобразно, използваните финансови ресурси</w:t>
            </w:r>
            <w:r w:rsidR="0095721D" w:rsidRPr="007D063B">
              <w:rPr>
                <w:noProof/>
                <w:webHidden/>
              </w:rPr>
              <w:tab/>
            </w:r>
            <w:r w:rsidR="0095721D" w:rsidRPr="007D063B">
              <w:rPr>
                <w:noProof/>
                <w:webHidden/>
              </w:rPr>
              <w:fldChar w:fldCharType="begin"/>
            </w:r>
            <w:r w:rsidR="0095721D" w:rsidRPr="007D063B">
              <w:rPr>
                <w:noProof/>
                <w:webHidden/>
              </w:rPr>
              <w:instrText xml:space="preserve"> PAGEREF _Toc481594319 \h </w:instrText>
            </w:r>
            <w:r w:rsidR="0095721D" w:rsidRPr="007D063B">
              <w:rPr>
                <w:noProof/>
                <w:webHidden/>
              </w:rPr>
            </w:r>
            <w:r w:rsidR="0095721D" w:rsidRPr="007D063B">
              <w:rPr>
                <w:noProof/>
                <w:webHidden/>
              </w:rPr>
              <w:fldChar w:fldCharType="separate"/>
            </w:r>
            <w:r w:rsidR="0095721D" w:rsidRPr="007D063B">
              <w:rPr>
                <w:noProof/>
                <w:webHidden/>
              </w:rPr>
              <w:t>105</w:t>
            </w:r>
            <w:r w:rsidR="0095721D" w:rsidRPr="007D063B">
              <w:rPr>
                <w:noProof/>
                <w:webHidden/>
              </w:rPr>
              <w:fldChar w:fldCharType="end"/>
            </w:r>
          </w:hyperlink>
        </w:p>
        <w:p w14:paraId="7D4C5517" w14:textId="045D6854" w:rsidR="005548A5" w:rsidRPr="007D063B" w:rsidRDefault="0095721D">
          <w:r w:rsidRPr="007D063B">
            <w:fldChar w:fldCharType="end"/>
          </w:r>
        </w:p>
      </w:sdtContent>
    </w:sdt>
    <w:p w14:paraId="6F97A43F" w14:textId="2784F056" w:rsidR="00444454" w:rsidRPr="007D063B" w:rsidRDefault="00444454">
      <w:pPr>
        <w:rPr>
          <w:rFonts w:ascii="Times New Roman" w:eastAsia="Times New Roman" w:hAnsi="Times New Roman" w:cs="Times New Roman"/>
          <w:b/>
          <w:bCs/>
          <w:color w:val="000000"/>
          <w:sz w:val="24"/>
          <w:szCs w:val="24"/>
          <w:lang w:eastAsia="bg-BG"/>
        </w:rPr>
      </w:pPr>
      <w:r w:rsidRPr="007D063B">
        <w:rPr>
          <w:rFonts w:ascii="Times New Roman" w:eastAsia="Times New Roman" w:hAnsi="Times New Roman" w:cs="Times New Roman"/>
          <w:b/>
          <w:bCs/>
          <w:color w:val="000000"/>
          <w:sz w:val="24"/>
          <w:szCs w:val="24"/>
          <w:lang w:eastAsia="bg-BG"/>
        </w:rPr>
        <w:br w:type="page"/>
      </w:r>
    </w:p>
    <w:p w14:paraId="3204D900" w14:textId="7F05B2F5" w:rsidR="00444454" w:rsidRPr="007D063B" w:rsidRDefault="00444454" w:rsidP="009C6F83">
      <w:pPr>
        <w:shd w:val="clear" w:color="auto" w:fill="FFFFFF"/>
        <w:spacing w:before="240" w:after="120" w:line="240" w:lineRule="auto"/>
        <w:jc w:val="both"/>
        <w:rPr>
          <w:rFonts w:ascii="Times New Roman" w:eastAsia="Times New Roman" w:hAnsi="Times New Roman" w:cs="Times New Roman"/>
          <w:b/>
          <w:bCs/>
          <w:color w:val="000000"/>
          <w:sz w:val="24"/>
          <w:szCs w:val="24"/>
          <w:lang w:eastAsia="bg-BG"/>
        </w:rPr>
      </w:pPr>
    </w:p>
    <w:p w14:paraId="30A2A533" w14:textId="6FA92CBA" w:rsidR="009C6F83" w:rsidRPr="007D063B" w:rsidRDefault="009C6F83" w:rsidP="009C6F83">
      <w:pPr>
        <w:shd w:val="clear" w:color="auto" w:fill="FFFFFF"/>
        <w:spacing w:before="240" w:after="120" w:line="240" w:lineRule="auto"/>
        <w:jc w:val="both"/>
        <w:rPr>
          <w:rFonts w:ascii="Times New Roman" w:eastAsia="Times New Roman" w:hAnsi="Times New Roman" w:cs="Times New Roman"/>
          <w:b/>
          <w:bCs/>
          <w:color w:val="000000"/>
          <w:sz w:val="24"/>
          <w:szCs w:val="24"/>
          <w:lang w:eastAsia="bg-BG"/>
        </w:rPr>
      </w:pPr>
      <w:r w:rsidRPr="007D063B">
        <w:rPr>
          <w:rFonts w:ascii="Times New Roman" w:eastAsia="Times New Roman" w:hAnsi="Times New Roman" w:cs="Times New Roman"/>
          <w:b/>
          <w:bCs/>
          <w:color w:val="000000"/>
          <w:sz w:val="24"/>
          <w:szCs w:val="24"/>
          <w:lang w:eastAsia="bg-BG"/>
        </w:rPr>
        <w:t>ЧАСТ А</w:t>
      </w:r>
    </w:p>
    <w:p w14:paraId="6AA86194" w14:textId="0AE0DDC9" w:rsidR="009C6F83" w:rsidRPr="007D063B" w:rsidRDefault="009C6F83" w:rsidP="009C6F83">
      <w:pPr>
        <w:shd w:val="clear" w:color="auto" w:fill="FFFFFF"/>
        <w:spacing w:before="240" w:after="120" w:line="240" w:lineRule="auto"/>
        <w:jc w:val="both"/>
        <w:rPr>
          <w:rFonts w:ascii="Times New Roman" w:eastAsia="Times New Roman" w:hAnsi="Times New Roman" w:cs="Times New Roman"/>
          <w:b/>
          <w:bCs/>
          <w:color w:val="000000"/>
          <w:sz w:val="24"/>
          <w:szCs w:val="24"/>
          <w:lang w:eastAsia="bg-BG"/>
        </w:rPr>
      </w:pPr>
      <w:r w:rsidRPr="007D063B">
        <w:rPr>
          <w:rFonts w:ascii="inherit" w:eastAsia="Times New Roman" w:hAnsi="inherit" w:cs="Times New Roman"/>
          <w:b/>
          <w:bCs/>
          <w:color w:val="000000"/>
          <w:sz w:val="24"/>
          <w:szCs w:val="24"/>
          <w:lang w:eastAsia="bg-BG"/>
        </w:rPr>
        <w:t>ДАННИ, КОИТО ТРЯБВА ДА СЕ ПОДАВАТ ЕЖЕГОДНО („МИНИ ДОКЛАДИ“) (член 50, параграф 2 от Регламент (ЕС) № 1303/2013)</w:t>
      </w:r>
    </w:p>
    <w:p w14:paraId="58B4529D" w14:textId="77777777" w:rsidR="009C6F83" w:rsidRPr="007D063B" w:rsidRDefault="009C6F83" w:rsidP="00134FF9">
      <w:pPr>
        <w:pStyle w:val="Heading1"/>
        <w:rPr>
          <w:rFonts w:ascii="Times New Roman" w:eastAsia="Times New Roman" w:hAnsi="Times New Roman" w:cs="Times New Roman"/>
          <w:b/>
          <w:bCs/>
          <w:color w:val="000000"/>
          <w:sz w:val="24"/>
          <w:szCs w:val="24"/>
          <w:lang w:eastAsia="bg-BG"/>
        </w:rPr>
      </w:pPr>
      <w:bookmarkStart w:id="0" w:name="_Toc481594261"/>
      <w:r w:rsidRPr="007D063B">
        <w:rPr>
          <w:rFonts w:ascii="Times New Roman" w:eastAsia="Times New Roman" w:hAnsi="Times New Roman" w:cs="Times New Roman"/>
          <w:b/>
          <w:bCs/>
          <w:color w:val="000000"/>
          <w:sz w:val="24"/>
          <w:szCs w:val="24"/>
          <w:lang w:eastAsia="bg-BG"/>
        </w:rPr>
        <w:t>1.   ИДЕНТИФИКАЦИЯ НА ГОДИШНИЯ/ОКОНЧАТЕЛНИЯ ДОКЛАД ЗА ИЗПЪЛНЕНИЕТО</w:t>
      </w:r>
      <w:bookmarkEnd w:id="0"/>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8065"/>
        <w:gridCol w:w="5969"/>
      </w:tblGrid>
      <w:tr w:rsidR="009C6F83" w:rsidRPr="007D063B" w14:paraId="1FCB408C" w14:textId="77777777" w:rsidTr="009C6F83">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8D247CD" w14:textId="77777777" w:rsidR="009C6F83" w:rsidRPr="007D063B" w:rsidRDefault="009C6F83" w:rsidP="009C6F83">
            <w:pPr>
              <w:spacing w:before="60" w:after="60" w:line="240" w:lineRule="auto"/>
              <w:rPr>
                <w:rFonts w:ascii="Times New Roman" w:eastAsia="Times New Roman" w:hAnsi="Times New Roman" w:cs="Times New Roman"/>
                <w:color w:val="000000"/>
                <w:lang w:eastAsia="bg-BG"/>
              </w:rPr>
            </w:pPr>
            <w:r w:rsidRPr="007D063B">
              <w:rPr>
                <w:rFonts w:ascii="Times New Roman" w:eastAsia="Times New Roman" w:hAnsi="Times New Roman" w:cs="Times New Roman"/>
                <w:color w:val="000000"/>
                <w:lang w:eastAsia="bg-BG"/>
              </w:rPr>
              <w:t>Номер по CCI</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6193320" w14:textId="47C589D6" w:rsidR="009C6F83" w:rsidRPr="007D063B" w:rsidRDefault="00BC7D34" w:rsidP="009C6F83">
            <w:pPr>
              <w:spacing w:before="60" w:after="60" w:line="240" w:lineRule="auto"/>
              <w:rPr>
                <w:rFonts w:ascii="Times New Roman" w:eastAsia="Times New Roman" w:hAnsi="Times New Roman" w:cs="Times New Roman"/>
                <w:color w:val="000000"/>
                <w:lang w:eastAsia="bg-BG"/>
              </w:rPr>
            </w:pPr>
            <w:r w:rsidRPr="007D063B">
              <w:rPr>
                <w:rFonts w:ascii="Times New Roman" w:hAnsi="Times New Roman" w:cs="Times New Roman"/>
              </w:rPr>
              <w:t xml:space="preserve"> 2014BG05SFOP001</w:t>
            </w:r>
          </w:p>
        </w:tc>
      </w:tr>
      <w:tr w:rsidR="009C6F83" w:rsidRPr="007D063B" w14:paraId="5DDB0844" w14:textId="77777777" w:rsidTr="009C6F83">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378003E" w14:textId="77777777" w:rsidR="009C6F83" w:rsidRPr="007D063B" w:rsidRDefault="009C6F83" w:rsidP="009C6F83">
            <w:pPr>
              <w:spacing w:before="60" w:after="60" w:line="240" w:lineRule="auto"/>
              <w:rPr>
                <w:rFonts w:ascii="Times New Roman" w:eastAsia="Times New Roman" w:hAnsi="Times New Roman" w:cs="Times New Roman"/>
                <w:color w:val="000000"/>
                <w:lang w:eastAsia="bg-BG"/>
              </w:rPr>
            </w:pPr>
            <w:r w:rsidRPr="007D063B">
              <w:rPr>
                <w:rFonts w:ascii="Times New Roman" w:eastAsia="Times New Roman" w:hAnsi="Times New Roman" w:cs="Times New Roman"/>
                <w:color w:val="000000"/>
                <w:lang w:eastAsia="bg-BG"/>
              </w:rPr>
              <w:t>Наименование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DAE2C01" w14:textId="0045BCB9" w:rsidR="009C6F83" w:rsidRPr="007D063B" w:rsidRDefault="00BC7D34" w:rsidP="009C6F83">
            <w:pPr>
              <w:spacing w:before="60" w:after="60" w:line="240" w:lineRule="auto"/>
              <w:rPr>
                <w:rFonts w:ascii="Times New Roman" w:eastAsia="Times New Roman" w:hAnsi="Times New Roman" w:cs="Times New Roman"/>
                <w:color w:val="000000"/>
                <w:lang w:eastAsia="bg-BG"/>
              </w:rPr>
            </w:pPr>
            <w:r w:rsidRPr="007D063B">
              <w:rPr>
                <w:rFonts w:ascii="Times New Roman" w:hAnsi="Times New Roman" w:cs="Times New Roman"/>
              </w:rPr>
              <w:t xml:space="preserve"> Оперативна програма „Добро управление“</w:t>
            </w:r>
          </w:p>
        </w:tc>
      </w:tr>
      <w:tr w:rsidR="009C6F83" w:rsidRPr="007D063B" w14:paraId="22573943" w14:textId="77777777" w:rsidTr="009C6F83">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6D8F3BE" w14:textId="77777777" w:rsidR="009C6F83" w:rsidRPr="007D063B" w:rsidRDefault="009C6F83" w:rsidP="009C6F83">
            <w:pPr>
              <w:spacing w:before="60" w:after="60" w:line="240" w:lineRule="auto"/>
              <w:rPr>
                <w:rFonts w:ascii="Times New Roman" w:eastAsia="Times New Roman" w:hAnsi="Times New Roman" w:cs="Times New Roman"/>
                <w:color w:val="000000"/>
                <w:lang w:eastAsia="bg-BG"/>
              </w:rPr>
            </w:pPr>
            <w:r w:rsidRPr="007D063B">
              <w:rPr>
                <w:rFonts w:ascii="Times New Roman" w:eastAsia="Times New Roman" w:hAnsi="Times New Roman" w:cs="Times New Roman"/>
                <w:color w:val="000000"/>
                <w:lang w:eastAsia="bg-BG"/>
              </w:rPr>
              <w:t>Версия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C0B8E19" w14:textId="0E65C0DA" w:rsidR="009C6F83" w:rsidRPr="007D063B" w:rsidRDefault="00BC7D34" w:rsidP="009C6F83">
            <w:pPr>
              <w:spacing w:before="60" w:after="60" w:line="240" w:lineRule="auto"/>
              <w:rPr>
                <w:rFonts w:ascii="Times New Roman" w:eastAsia="Times New Roman" w:hAnsi="Times New Roman" w:cs="Times New Roman"/>
                <w:color w:val="000000"/>
                <w:lang w:eastAsia="bg-BG"/>
              </w:rPr>
            </w:pPr>
            <w:r w:rsidRPr="007D063B">
              <w:rPr>
                <w:rFonts w:ascii="Times New Roman" w:hAnsi="Times New Roman" w:cs="Times New Roman"/>
              </w:rPr>
              <w:t xml:space="preserve"> 1.2</w:t>
            </w:r>
          </w:p>
        </w:tc>
      </w:tr>
      <w:tr w:rsidR="009C6F83" w:rsidRPr="007D063B" w14:paraId="2230C232" w14:textId="77777777" w:rsidTr="009C6F83">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73C9390" w14:textId="77777777" w:rsidR="009C6F83" w:rsidRPr="007D063B" w:rsidRDefault="009C6F83" w:rsidP="009C6F83">
            <w:pPr>
              <w:spacing w:before="60" w:after="60" w:line="240" w:lineRule="auto"/>
              <w:rPr>
                <w:rFonts w:ascii="Times New Roman" w:eastAsia="Times New Roman" w:hAnsi="Times New Roman" w:cs="Times New Roman"/>
                <w:color w:val="000000"/>
                <w:lang w:eastAsia="bg-BG"/>
              </w:rPr>
            </w:pPr>
            <w:r w:rsidRPr="007D063B">
              <w:rPr>
                <w:rFonts w:ascii="Times New Roman" w:eastAsia="Times New Roman" w:hAnsi="Times New Roman" w:cs="Times New Roman"/>
                <w:color w:val="000000"/>
                <w:lang w:eastAsia="bg-BG"/>
              </w:rPr>
              <w:t>Отчетна година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9F5B515" w14:textId="339CCBD3" w:rsidR="009C6F83" w:rsidRPr="007D063B" w:rsidRDefault="00BC7D34" w:rsidP="004D7E1E">
            <w:pPr>
              <w:spacing w:before="60" w:after="60" w:line="240" w:lineRule="auto"/>
              <w:rPr>
                <w:rFonts w:ascii="Times New Roman" w:eastAsia="Times New Roman" w:hAnsi="Times New Roman" w:cs="Times New Roman"/>
                <w:color w:val="000000"/>
                <w:lang w:eastAsia="bg-BG"/>
              </w:rPr>
            </w:pPr>
            <w:r w:rsidRPr="007D063B">
              <w:rPr>
                <w:rFonts w:ascii="Times New Roman" w:eastAsia="Times New Roman" w:hAnsi="Times New Roman" w:cs="Times New Roman"/>
                <w:i/>
                <w:iCs/>
                <w:color w:val="000000"/>
                <w:lang w:eastAsia="bg-BG"/>
              </w:rPr>
              <w:t xml:space="preserve"> 201</w:t>
            </w:r>
            <w:r w:rsidR="004D7E1E" w:rsidRPr="007D063B">
              <w:rPr>
                <w:rFonts w:ascii="Times New Roman" w:eastAsia="Times New Roman" w:hAnsi="Times New Roman" w:cs="Times New Roman"/>
                <w:i/>
                <w:iCs/>
                <w:color w:val="000000"/>
                <w:lang w:eastAsia="bg-BG"/>
              </w:rPr>
              <w:t>6</w:t>
            </w:r>
          </w:p>
        </w:tc>
      </w:tr>
      <w:tr w:rsidR="009C6F83" w:rsidRPr="007D063B" w14:paraId="2641F29C" w14:textId="77777777" w:rsidTr="009C6F83">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396AA4B" w14:textId="77777777" w:rsidR="009C6F83" w:rsidRPr="007D063B" w:rsidRDefault="009C6F83" w:rsidP="009C6F83">
            <w:pPr>
              <w:spacing w:before="60" w:after="60" w:line="240" w:lineRule="auto"/>
              <w:rPr>
                <w:rFonts w:ascii="Times New Roman" w:eastAsia="Times New Roman" w:hAnsi="Times New Roman" w:cs="Times New Roman"/>
                <w:color w:val="000000"/>
                <w:lang w:eastAsia="bg-BG"/>
              </w:rPr>
            </w:pPr>
            <w:r w:rsidRPr="007D063B">
              <w:rPr>
                <w:rFonts w:ascii="Times New Roman" w:eastAsia="Times New Roman" w:hAnsi="Times New Roman" w:cs="Times New Roman"/>
                <w:color w:val="000000"/>
                <w:lang w:eastAsia="bg-BG"/>
              </w:rPr>
              <w:t>Дата на одобрение на доклада от мониторинговия комитет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60FC695" w14:textId="6457CDF5" w:rsidR="009C6F83" w:rsidRPr="007D063B" w:rsidRDefault="009C6F83" w:rsidP="00BC7D34">
            <w:pPr>
              <w:spacing w:before="60" w:after="60" w:line="240" w:lineRule="auto"/>
              <w:rPr>
                <w:rFonts w:ascii="Times New Roman" w:eastAsia="Times New Roman" w:hAnsi="Times New Roman" w:cs="Times New Roman"/>
                <w:color w:val="000000"/>
                <w:lang w:eastAsia="bg-BG"/>
              </w:rPr>
            </w:pPr>
          </w:p>
        </w:tc>
      </w:tr>
    </w:tbl>
    <w:p w14:paraId="0FFDBB88" w14:textId="77777777" w:rsidR="00CA2A1D" w:rsidRPr="007D063B" w:rsidRDefault="00CA2A1D" w:rsidP="009C6F83">
      <w:pPr>
        <w:shd w:val="clear" w:color="auto" w:fill="FFFFFF"/>
        <w:spacing w:before="240" w:after="120" w:line="240" w:lineRule="auto"/>
        <w:jc w:val="both"/>
        <w:rPr>
          <w:rFonts w:ascii="Times New Roman" w:eastAsia="Times New Roman" w:hAnsi="Times New Roman" w:cs="Times New Roman"/>
          <w:b/>
          <w:bCs/>
          <w:color w:val="000000"/>
          <w:sz w:val="24"/>
          <w:szCs w:val="24"/>
          <w:lang w:eastAsia="bg-BG"/>
        </w:rPr>
      </w:pPr>
    </w:p>
    <w:p w14:paraId="4B051227" w14:textId="77777777" w:rsidR="009C6F83" w:rsidRPr="007D063B" w:rsidRDefault="009C6F83" w:rsidP="00134FF9">
      <w:pPr>
        <w:pStyle w:val="Heading1"/>
        <w:rPr>
          <w:rFonts w:ascii="Times New Roman" w:eastAsia="Times New Roman" w:hAnsi="Times New Roman" w:cs="Times New Roman"/>
          <w:b/>
          <w:bCs/>
          <w:color w:val="000000"/>
          <w:sz w:val="24"/>
          <w:szCs w:val="24"/>
          <w:lang w:eastAsia="bg-BG"/>
        </w:rPr>
      </w:pPr>
      <w:bookmarkStart w:id="1" w:name="_Toc481594262"/>
      <w:r w:rsidRPr="007D063B">
        <w:rPr>
          <w:rFonts w:ascii="Times New Roman" w:eastAsia="Times New Roman" w:hAnsi="Times New Roman" w:cs="Times New Roman"/>
          <w:b/>
          <w:bCs/>
          <w:color w:val="000000"/>
          <w:sz w:val="24"/>
          <w:szCs w:val="24"/>
          <w:lang w:eastAsia="bg-BG"/>
        </w:rPr>
        <w:t>2.   ПРЕГЛЕД НА ИЗПЪЛНЕНИЕТО НА ОПЕРАТИВНАТА ПРОГРАМА (ЧЛЕН 50, ПАРАГРАФ 2 И ЧЛЕН 111, ПАРАГРАФ 3, БУКВА а) от Регламент (ЕС) № 1303/2013)</w:t>
      </w:r>
      <w:bookmarkEnd w:id="1"/>
    </w:p>
    <w:p w14:paraId="1C9646F3" w14:textId="77777777" w:rsidR="009C6F83" w:rsidRPr="007D063B" w:rsidRDefault="009C6F83" w:rsidP="009C6F83">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Ключова информация относно изпълнението на оперативната програма за съответната година, включително и относно финансовите инструменти във връзка с финансовите данни и данните за показателите.</w:t>
      </w:r>
    </w:p>
    <w:p w14:paraId="4C2C9784" w14:textId="73739923" w:rsidR="009C6F83" w:rsidRPr="007D063B" w:rsidRDefault="009C6F83" w:rsidP="009C6F83">
      <w:pPr>
        <w:shd w:val="clear" w:color="auto" w:fill="FFFFFF"/>
        <w:spacing w:after="0" w:line="240" w:lineRule="auto"/>
        <w:rPr>
          <w:rFonts w:eastAsia="Times New Roman" w:cs="Times New Roman"/>
          <w:i/>
          <w:iCs/>
          <w:color w:val="000000"/>
          <w:sz w:val="24"/>
          <w:szCs w:val="24"/>
          <w:lang w:eastAsia="bg-BG"/>
        </w:rPr>
      </w:pPr>
      <w:r w:rsidRPr="007D063B">
        <w:rPr>
          <w:rFonts w:ascii="inherit" w:eastAsia="Times New Roman" w:hAnsi="inherit" w:cs="Times New Roman"/>
          <w:i/>
          <w:iCs/>
          <w:color w:val="000000"/>
          <w:sz w:val="24"/>
          <w:szCs w:val="24"/>
          <w:lang w:eastAsia="bg-BG"/>
        </w:rPr>
        <w:t>&lt;type='S' maxlength=7000 input='M'&gt;</w:t>
      </w:r>
    </w:p>
    <w:p w14:paraId="744E7274" w14:textId="565D0782" w:rsidR="00855A33" w:rsidRPr="007D063B" w:rsidRDefault="00B75FBB" w:rsidP="009B276B">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ИГРП на ОПДУ за 201</w:t>
      </w:r>
      <w:r w:rsidR="00F92145" w:rsidRPr="007D063B">
        <w:rPr>
          <w:rFonts w:ascii="Times New Roman" w:eastAsia="Times New Roman" w:hAnsi="Times New Roman" w:cs="Times New Roman"/>
          <w:color w:val="000000"/>
          <w:sz w:val="24"/>
          <w:szCs w:val="24"/>
          <w:lang w:val="ru-RU" w:eastAsia="bg-BG"/>
        </w:rPr>
        <w:t>6</w:t>
      </w:r>
      <w:r w:rsidRPr="007D063B">
        <w:rPr>
          <w:rFonts w:ascii="Times New Roman" w:eastAsia="Times New Roman" w:hAnsi="Times New Roman" w:cs="Times New Roman"/>
          <w:color w:val="000000"/>
          <w:sz w:val="24"/>
          <w:szCs w:val="24"/>
          <w:lang w:eastAsia="bg-BG"/>
        </w:rPr>
        <w:t xml:space="preserve"> г.</w:t>
      </w:r>
      <w:r w:rsidR="00AC769F" w:rsidRPr="007D063B">
        <w:rPr>
          <w:rFonts w:ascii="Times New Roman" w:eastAsia="Times New Roman" w:hAnsi="Times New Roman" w:cs="Times New Roman"/>
          <w:color w:val="000000"/>
          <w:sz w:val="24"/>
          <w:szCs w:val="24"/>
          <w:lang w:eastAsia="bg-BG"/>
        </w:rPr>
        <w:t xml:space="preserve"> </w:t>
      </w:r>
      <w:r w:rsidR="00F94725" w:rsidRPr="007D063B">
        <w:rPr>
          <w:rFonts w:ascii="Times New Roman" w:eastAsia="Times New Roman" w:hAnsi="Times New Roman" w:cs="Times New Roman"/>
          <w:color w:val="000000"/>
          <w:sz w:val="24"/>
          <w:szCs w:val="24"/>
          <w:lang w:eastAsia="bg-BG"/>
        </w:rPr>
        <w:t xml:space="preserve">е одобрена от Комитета за наблюдение (КН) на ОПДУ на </w:t>
      </w:r>
      <w:r w:rsidR="00F92145" w:rsidRPr="007D063B">
        <w:rPr>
          <w:rFonts w:ascii="Times New Roman" w:eastAsia="Times New Roman" w:hAnsi="Times New Roman" w:cs="Times New Roman"/>
          <w:color w:val="000000"/>
          <w:sz w:val="24"/>
          <w:szCs w:val="24"/>
          <w:lang w:eastAsia="bg-BG"/>
        </w:rPr>
        <w:t xml:space="preserve">второто </w:t>
      </w:r>
      <w:r w:rsidR="00F94725" w:rsidRPr="007D063B">
        <w:rPr>
          <w:rFonts w:ascii="Times New Roman" w:eastAsia="Times New Roman" w:hAnsi="Times New Roman" w:cs="Times New Roman"/>
          <w:color w:val="000000"/>
          <w:sz w:val="24"/>
          <w:szCs w:val="24"/>
          <w:lang w:eastAsia="bg-BG"/>
        </w:rPr>
        <w:t xml:space="preserve">му заседание на </w:t>
      </w:r>
      <w:r w:rsidR="00595FEC" w:rsidRPr="007D063B">
        <w:rPr>
          <w:rFonts w:ascii="Times New Roman" w:eastAsia="Times New Roman" w:hAnsi="Times New Roman" w:cs="Times New Roman"/>
          <w:color w:val="000000"/>
          <w:sz w:val="24"/>
          <w:szCs w:val="24"/>
          <w:lang w:eastAsia="bg-BG"/>
        </w:rPr>
        <w:t>2</w:t>
      </w:r>
      <w:r w:rsidR="00F92145" w:rsidRPr="007D063B">
        <w:rPr>
          <w:rFonts w:ascii="Times New Roman" w:eastAsia="Times New Roman" w:hAnsi="Times New Roman" w:cs="Times New Roman"/>
          <w:color w:val="000000"/>
          <w:sz w:val="24"/>
          <w:szCs w:val="24"/>
          <w:lang w:eastAsia="bg-BG"/>
        </w:rPr>
        <w:t>0</w:t>
      </w:r>
      <w:r w:rsidR="00595FEC" w:rsidRPr="007D063B">
        <w:rPr>
          <w:rFonts w:ascii="Times New Roman" w:eastAsia="Times New Roman" w:hAnsi="Times New Roman" w:cs="Times New Roman"/>
          <w:color w:val="000000"/>
          <w:sz w:val="24"/>
          <w:szCs w:val="24"/>
          <w:lang w:eastAsia="bg-BG"/>
        </w:rPr>
        <w:t>.</w:t>
      </w:r>
      <w:r w:rsidR="00F92145" w:rsidRPr="007D063B">
        <w:rPr>
          <w:rFonts w:ascii="Times New Roman" w:eastAsia="Times New Roman" w:hAnsi="Times New Roman" w:cs="Times New Roman"/>
          <w:color w:val="000000"/>
          <w:sz w:val="24"/>
          <w:szCs w:val="24"/>
          <w:lang w:eastAsia="bg-BG"/>
        </w:rPr>
        <w:t>11</w:t>
      </w:r>
      <w:r w:rsidR="00595FEC" w:rsidRPr="007D063B">
        <w:rPr>
          <w:rFonts w:ascii="Times New Roman" w:eastAsia="Times New Roman" w:hAnsi="Times New Roman" w:cs="Times New Roman"/>
          <w:color w:val="000000"/>
          <w:sz w:val="24"/>
          <w:szCs w:val="24"/>
          <w:lang w:eastAsia="bg-BG"/>
        </w:rPr>
        <w:t xml:space="preserve">.2015 г. </w:t>
      </w:r>
    </w:p>
    <w:p w14:paraId="41517F10" w14:textId="23CBE8F7" w:rsidR="00855A33" w:rsidRPr="007D063B" w:rsidRDefault="003A3141" w:rsidP="007F7AD4">
      <w:pPr>
        <w:shd w:val="clear" w:color="auto" w:fill="FFFFFF"/>
        <w:spacing w:before="120" w:after="0" w:line="240" w:lineRule="auto"/>
        <w:jc w:val="both"/>
        <w:rPr>
          <w:rFonts w:ascii="Times New Roman" w:eastAsia="Times New Roman" w:hAnsi="Times New Roman" w:cs="Times New Roman"/>
          <w:b/>
          <w:color w:val="000000"/>
          <w:sz w:val="24"/>
          <w:szCs w:val="24"/>
          <w:lang w:eastAsia="bg-BG"/>
        </w:rPr>
      </w:pPr>
      <w:r w:rsidRPr="007D063B">
        <w:rPr>
          <w:rFonts w:ascii="Times New Roman" w:eastAsia="Times New Roman" w:hAnsi="Times New Roman" w:cs="Times New Roman"/>
          <w:b/>
          <w:color w:val="000000"/>
          <w:sz w:val="24"/>
          <w:szCs w:val="24"/>
          <w:lang w:eastAsia="bg-BG"/>
        </w:rPr>
        <w:t>ИГРП за 201</w:t>
      </w:r>
      <w:r w:rsidR="00F92145" w:rsidRPr="007D063B">
        <w:rPr>
          <w:rFonts w:ascii="Times New Roman" w:eastAsia="Times New Roman" w:hAnsi="Times New Roman" w:cs="Times New Roman"/>
          <w:b/>
          <w:color w:val="000000"/>
          <w:sz w:val="24"/>
          <w:szCs w:val="24"/>
          <w:lang w:eastAsia="bg-BG"/>
        </w:rPr>
        <w:t>6</w:t>
      </w:r>
      <w:r w:rsidRPr="007D063B">
        <w:rPr>
          <w:rFonts w:ascii="Times New Roman" w:eastAsia="Times New Roman" w:hAnsi="Times New Roman" w:cs="Times New Roman"/>
          <w:b/>
          <w:color w:val="000000"/>
          <w:sz w:val="24"/>
          <w:szCs w:val="24"/>
          <w:lang w:eastAsia="bg-BG"/>
        </w:rPr>
        <w:t xml:space="preserve"> г. </w:t>
      </w:r>
    </w:p>
    <w:p w14:paraId="7F774C63" w14:textId="5710F4B5" w:rsidR="00F92145" w:rsidRPr="007D063B" w:rsidRDefault="00F92145" w:rsidP="007F7AD4">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xml:space="preserve">В ИГРП </w:t>
      </w:r>
      <w:r w:rsidR="00036B81" w:rsidRPr="007D063B">
        <w:rPr>
          <w:rFonts w:ascii="Times New Roman" w:eastAsia="Times New Roman" w:hAnsi="Times New Roman" w:cs="Times New Roman"/>
          <w:color w:val="000000"/>
          <w:sz w:val="24"/>
          <w:szCs w:val="24"/>
          <w:lang w:eastAsia="bg-BG"/>
        </w:rPr>
        <w:t xml:space="preserve">първоначално </w:t>
      </w:r>
      <w:r w:rsidRPr="007D063B">
        <w:rPr>
          <w:rFonts w:ascii="Times New Roman" w:eastAsia="Times New Roman" w:hAnsi="Times New Roman" w:cs="Times New Roman"/>
          <w:color w:val="000000"/>
          <w:sz w:val="24"/>
          <w:szCs w:val="24"/>
          <w:lang w:eastAsia="bg-BG"/>
        </w:rPr>
        <w:t>са заложени шест процедури по приоритетни оси 1, 2</w:t>
      </w:r>
      <w:r w:rsidR="00134FF9" w:rsidRPr="007D063B">
        <w:rPr>
          <w:rFonts w:ascii="Times New Roman" w:eastAsia="Times New Roman" w:hAnsi="Times New Roman" w:cs="Times New Roman"/>
          <w:color w:val="000000"/>
          <w:sz w:val="24"/>
          <w:szCs w:val="24"/>
          <w:lang w:eastAsia="bg-BG"/>
        </w:rPr>
        <w:t>,</w:t>
      </w:r>
      <w:r w:rsidRPr="007D063B">
        <w:rPr>
          <w:rFonts w:ascii="Times New Roman" w:eastAsia="Times New Roman" w:hAnsi="Times New Roman" w:cs="Times New Roman"/>
          <w:color w:val="000000"/>
          <w:sz w:val="24"/>
          <w:szCs w:val="24"/>
          <w:lang w:eastAsia="bg-BG"/>
        </w:rPr>
        <w:t xml:space="preserve"> 3 и 4 на обща стойност 79</w:t>
      </w:r>
      <w:r w:rsidR="00A07B5F" w:rsidRPr="007D063B">
        <w:rPr>
          <w:rFonts w:ascii="Times New Roman" w:eastAsia="Times New Roman" w:hAnsi="Times New Roman" w:cs="Times New Roman"/>
          <w:color w:val="000000"/>
          <w:sz w:val="24"/>
          <w:szCs w:val="24"/>
          <w:lang w:eastAsia="bg-BG"/>
        </w:rPr>
        <w:t>,</w:t>
      </w:r>
      <w:r w:rsidRPr="007D063B">
        <w:rPr>
          <w:rFonts w:ascii="Times New Roman" w:eastAsia="Times New Roman" w:hAnsi="Times New Roman" w:cs="Times New Roman"/>
          <w:color w:val="000000"/>
          <w:sz w:val="24"/>
          <w:szCs w:val="24"/>
          <w:lang w:eastAsia="bg-BG"/>
        </w:rPr>
        <w:t xml:space="preserve">7 млн. лв. </w:t>
      </w:r>
      <w:r w:rsidR="00036B81" w:rsidRPr="007D063B">
        <w:rPr>
          <w:rFonts w:ascii="Times New Roman" w:eastAsia="Times New Roman" w:hAnsi="Times New Roman" w:cs="Times New Roman"/>
          <w:color w:val="000000"/>
          <w:sz w:val="24"/>
          <w:szCs w:val="24"/>
          <w:lang w:eastAsia="bg-BG"/>
        </w:rPr>
        <w:t>През 2016 г. в ИГРП са направени 3 актуализации, както следва:</w:t>
      </w:r>
    </w:p>
    <w:p w14:paraId="72750D96" w14:textId="565ECBB6" w:rsidR="00F92145" w:rsidRPr="007D063B" w:rsidRDefault="00036B81" w:rsidP="007F7AD4">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xml:space="preserve">1. На </w:t>
      </w:r>
      <w:r w:rsidR="00F92145" w:rsidRPr="007D063B">
        <w:rPr>
          <w:rFonts w:ascii="Times New Roman" w:eastAsia="Times New Roman" w:hAnsi="Times New Roman" w:cs="Times New Roman"/>
          <w:color w:val="000000"/>
          <w:sz w:val="24"/>
          <w:szCs w:val="24"/>
          <w:lang w:eastAsia="bg-BG"/>
        </w:rPr>
        <w:t>14.04.2016 г. след провеждане на процедура по неприсъствено приемане на решение от КН на ОПДУ</w:t>
      </w:r>
      <w:r w:rsidRPr="007D063B">
        <w:rPr>
          <w:rFonts w:ascii="Times New Roman" w:eastAsia="Times New Roman" w:hAnsi="Times New Roman" w:cs="Times New Roman"/>
          <w:color w:val="000000"/>
          <w:sz w:val="24"/>
          <w:szCs w:val="24"/>
          <w:lang w:eastAsia="bg-BG"/>
        </w:rPr>
        <w:t xml:space="preserve"> в ИГРП са включени три нови процедури (№ 1, 3 и </w:t>
      </w:r>
      <w:r w:rsidR="005D2299" w:rsidRPr="007D063B">
        <w:rPr>
          <w:rFonts w:ascii="Times New Roman" w:eastAsia="Times New Roman" w:hAnsi="Times New Roman" w:cs="Times New Roman"/>
          <w:color w:val="000000"/>
          <w:sz w:val="24"/>
          <w:szCs w:val="24"/>
          <w:lang w:eastAsia="bg-BG"/>
        </w:rPr>
        <w:t>7</w:t>
      </w:r>
      <w:r w:rsidRPr="007D063B">
        <w:rPr>
          <w:rFonts w:ascii="Times New Roman" w:eastAsia="Times New Roman" w:hAnsi="Times New Roman" w:cs="Times New Roman"/>
          <w:color w:val="000000"/>
          <w:sz w:val="24"/>
          <w:szCs w:val="24"/>
          <w:lang w:eastAsia="bg-BG"/>
        </w:rPr>
        <w:t>)</w:t>
      </w:r>
      <w:r w:rsidR="002036BB" w:rsidRPr="007D063B">
        <w:rPr>
          <w:rFonts w:ascii="Times New Roman" w:eastAsia="Times New Roman" w:hAnsi="Times New Roman" w:cs="Times New Roman"/>
          <w:color w:val="000000"/>
          <w:sz w:val="24"/>
          <w:szCs w:val="24"/>
          <w:lang w:eastAsia="bg-BG"/>
        </w:rPr>
        <w:t xml:space="preserve">, </w:t>
      </w:r>
      <w:r w:rsidRPr="007D063B">
        <w:rPr>
          <w:rFonts w:ascii="Times New Roman" w:eastAsia="Times New Roman" w:hAnsi="Times New Roman" w:cs="Times New Roman"/>
          <w:color w:val="000000"/>
          <w:sz w:val="24"/>
          <w:szCs w:val="24"/>
          <w:lang w:eastAsia="bg-BG"/>
        </w:rPr>
        <w:t>намален е бюджета по Процедура 4</w:t>
      </w:r>
      <w:r w:rsidR="00713639" w:rsidRPr="007D063B">
        <w:rPr>
          <w:rFonts w:ascii="Times New Roman" w:eastAsia="Times New Roman" w:hAnsi="Times New Roman" w:cs="Times New Roman"/>
          <w:color w:val="000000"/>
          <w:sz w:val="24"/>
          <w:szCs w:val="24"/>
          <w:lang w:eastAsia="bg-BG"/>
        </w:rPr>
        <w:t xml:space="preserve"> с 8 млн. лева след съгласуване с конкретните бенефициенти и е увеличен този по Процедура 6 с 230 000 лева</w:t>
      </w:r>
      <w:r w:rsidR="005D2299" w:rsidRPr="007D063B">
        <w:rPr>
          <w:rFonts w:ascii="Times New Roman" w:eastAsia="Times New Roman" w:hAnsi="Times New Roman" w:cs="Times New Roman"/>
          <w:color w:val="000000"/>
          <w:sz w:val="24"/>
          <w:szCs w:val="24"/>
          <w:lang w:eastAsia="bg-BG"/>
        </w:rPr>
        <w:t xml:space="preserve"> за общо обучение по CAF с цел развитие на познанията за ползите и прилагането на </w:t>
      </w:r>
      <w:r w:rsidR="005D2299" w:rsidRPr="007D063B">
        <w:rPr>
          <w:rFonts w:ascii="Times New Roman" w:eastAsia="Times New Roman" w:hAnsi="Times New Roman" w:cs="Times New Roman"/>
          <w:color w:val="000000"/>
          <w:sz w:val="24"/>
          <w:szCs w:val="24"/>
          <w:lang w:eastAsia="bg-BG"/>
        </w:rPr>
        <w:lastRenderedPageBreak/>
        <w:t>модела в администрацията</w:t>
      </w:r>
      <w:r w:rsidR="00713639" w:rsidRPr="007D063B">
        <w:rPr>
          <w:rFonts w:ascii="Times New Roman" w:eastAsia="Times New Roman" w:hAnsi="Times New Roman" w:cs="Times New Roman"/>
          <w:color w:val="000000"/>
          <w:sz w:val="24"/>
          <w:szCs w:val="24"/>
          <w:lang w:eastAsia="bg-BG"/>
        </w:rPr>
        <w:t>.</w:t>
      </w:r>
      <w:r w:rsidR="00134FF9" w:rsidRPr="007D063B">
        <w:rPr>
          <w:rFonts w:ascii="Times New Roman" w:eastAsia="Times New Roman" w:hAnsi="Times New Roman" w:cs="Times New Roman"/>
          <w:color w:val="000000"/>
          <w:sz w:val="24"/>
          <w:szCs w:val="24"/>
          <w:lang w:eastAsia="bg-BG"/>
        </w:rPr>
        <w:t xml:space="preserve"> По Процедури 1 и 3 е предвидено финансиране на ключови приоритетни проекти по двете пътни карти: Пътната карта за изпълнение на Стратегията за развитие на електронното управление в България</w:t>
      </w:r>
      <w:r w:rsidR="00F76C93" w:rsidRPr="007D063B">
        <w:t xml:space="preserve"> (</w:t>
      </w:r>
      <w:r w:rsidR="00F76C93" w:rsidRPr="007D063B">
        <w:rPr>
          <w:rFonts w:ascii="Times New Roman" w:eastAsia="Times New Roman" w:hAnsi="Times New Roman" w:cs="Times New Roman"/>
          <w:color w:val="000000"/>
          <w:sz w:val="24"/>
          <w:szCs w:val="24"/>
          <w:lang w:eastAsia="bg-BG"/>
        </w:rPr>
        <w:t>ПК СРЕУ)</w:t>
      </w:r>
      <w:r w:rsidR="00134FF9" w:rsidRPr="007D063B">
        <w:rPr>
          <w:rFonts w:ascii="Times New Roman" w:eastAsia="Times New Roman" w:hAnsi="Times New Roman" w:cs="Times New Roman"/>
          <w:color w:val="000000"/>
          <w:sz w:val="24"/>
          <w:szCs w:val="24"/>
          <w:lang w:eastAsia="bg-BG"/>
        </w:rPr>
        <w:t xml:space="preserve"> и Пътната карта за изпълнение на Стратегията за развитие на държавната администрация</w:t>
      </w:r>
      <w:r w:rsidR="00F76C93" w:rsidRPr="007D063B">
        <w:rPr>
          <w:rFonts w:ascii="Times New Roman" w:eastAsia="Times New Roman" w:hAnsi="Times New Roman" w:cs="Times New Roman"/>
          <w:color w:val="000000"/>
          <w:sz w:val="24"/>
          <w:szCs w:val="24"/>
          <w:lang w:eastAsia="bg-BG"/>
        </w:rPr>
        <w:t xml:space="preserve"> (ПК СРДА)</w:t>
      </w:r>
      <w:r w:rsidR="00134FF9" w:rsidRPr="007D063B">
        <w:rPr>
          <w:rFonts w:ascii="Times New Roman" w:eastAsia="Times New Roman" w:hAnsi="Times New Roman" w:cs="Times New Roman"/>
          <w:color w:val="000000"/>
          <w:sz w:val="24"/>
          <w:szCs w:val="24"/>
          <w:lang w:eastAsia="bg-BG"/>
        </w:rPr>
        <w:t xml:space="preserve">. Процедура </w:t>
      </w:r>
      <w:r w:rsidR="005D2299" w:rsidRPr="007D063B">
        <w:rPr>
          <w:rFonts w:ascii="Times New Roman" w:eastAsia="Times New Roman" w:hAnsi="Times New Roman" w:cs="Times New Roman"/>
          <w:color w:val="000000"/>
          <w:sz w:val="24"/>
          <w:szCs w:val="24"/>
          <w:lang w:eastAsia="bg-BG"/>
        </w:rPr>
        <w:t xml:space="preserve">7 „Ефективно прилагане на правилата на ЕС за държавните помощи при предоставяне на услуги от общ икономически интерес“ </w:t>
      </w:r>
      <w:r w:rsidR="00992F3C" w:rsidRPr="007D063B">
        <w:rPr>
          <w:rFonts w:ascii="Times New Roman" w:eastAsia="Times New Roman" w:hAnsi="Times New Roman" w:cs="Times New Roman"/>
          <w:color w:val="000000"/>
          <w:sz w:val="24"/>
          <w:szCs w:val="24"/>
          <w:lang w:eastAsia="bg-BG"/>
        </w:rPr>
        <w:t xml:space="preserve">е включена в ИГРП </w:t>
      </w:r>
      <w:r w:rsidR="005D2299" w:rsidRPr="007D063B">
        <w:rPr>
          <w:rFonts w:ascii="Times New Roman" w:eastAsia="Times New Roman" w:hAnsi="Times New Roman" w:cs="Times New Roman"/>
          <w:color w:val="000000"/>
          <w:sz w:val="24"/>
          <w:szCs w:val="24"/>
          <w:lang w:eastAsia="bg-BG"/>
        </w:rPr>
        <w:t>след проведени работни срещи с дирекция „Държавни помощи и реален сектор“ на Министерството на финансите</w:t>
      </w:r>
      <w:r w:rsidR="00992F3C" w:rsidRPr="007D063B">
        <w:rPr>
          <w:rFonts w:ascii="Times New Roman" w:eastAsia="Times New Roman" w:hAnsi="Times New Roman" w:cs="Times New Roman"/>
          <w:color w:val="000000"/>
          <w:sz w:val="24"/>
          <w:szCs w:val="24"/>
          <w:lang w:eastAsia="bg-BG"/>
        </w:rPr>
        <w:t xml:space="preserve"> и идентифицирана необходимост от повишаване на капацитета в областта на УОИИ</w:t>
      </w:r>
      <w:r w:rsidR="00134FF9" w:rsidRPr="007D063B">
        <w:rPr>
          <w:rFonts w:ascii="Times New Roman" w:eastAsia="Times New Roman" w:hAnsi="Times New Roman" w:cs="Times New Roman"/>
          <w:color w:val="000000"/>
          <w:sz w:val="24"/>
          <w:szCs w:val="24"/>
          <w:lang w:eastAsia="bg-BG"/>
        </w:rPr>
        <w:t>.</w:t>
      </w:r>
    </w:p>
    <w:p w14:paraId="3E88FD83" w14:textId="1D0BD834" w:rsidR="003407F4" w:rsidRPr="007D063B" w:rsidRDefault="004D26CD" w:rsidP="007F7AD4">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xml:space="preserve">2. </w:t>
      </w:r>
      <w:r w:rsidR="003407F4" w:rsidRPr="007D063B">
        <w:rPr>
          <w:rFonts w:ascii="Times New Roman" w:eastAsia="Times New Roman" w:hAnsi="Times New Roman" w:cs="Times New Roman"/>
          <w:color w:val="000000"/>
          <w:sz w:val="24"/>
          <w:szCs w:val="24"/>
          <w:lang w:eastAsia="bg-BG"/>
        </w:rPr>
        <w:t>На Четвър</w:t>
      </w:r>
      <w:r w:rsidR="000628CD" w:rsidRPr="007D063B">
        <w:rPr>
          <w:rFonts w:ascii="Times New Roman" w:eastAsia="Times New Roman" w:hAnsi="Times New Roman" w:cs="Times New Roman"/>
          <w:color w:val="000000"/>
          <w:sz w:val="24"/>
          <w:szCs w:val="24"/>
          <w:lang w:eastAsia="bg-BG"/>
        </w:rPr>
        <w:t>т</w:t>
      </w:r>
      <w:r w:rsidR="003407F4" w:rsidRPr="007D063B">
        <w:rPr>
          <w:rFonts w:ascii="Times New Roman" w:eastAsia="Times New Roman" w:hAnsi="Times New Roman" w:cs="Times New Roman"/>
          <w:color w:val="000000"/>
          <w:sz w:val="24"/>
          <w:szCs w:val="24"/>
          <w:lang w:eastAsia="bg-BG"/>
        </w:rPr>
        <w:t>ото заседание на КН на ОПДУ, проведено на 12.09.2016 г. бяха одобрени следните промени</w:t>
      </w:r>
      <w:r w:rsidR="000628CD" w:rsidRPr="007D063B">
        <w:rPr>
          <w:rFonts w:ascii="Times New Roman" w:eastAsia="Times New Roman" w:hAnsi="Times New Roman" w:cs="Times New Roman"/>
          <w:color w:val="000000"/>
          <w:sz w:val="24"/>
          <w:szCs w:val="24"/>
          <w:lang w:eastAsia="bg-BG"/>
        </w:rPr>
        <w:t xml:space="preserve"> в ИГРП 2016</w:t>
      </w:r>
      <w:r w:rsidR="003407F4" w:rsidRPr="007D063B">
        <w:rPr>
          <w:rFonts w:ascii="Times New Roman" w:eastAsia="Times New Roman" w:hAnsi="Times New Roman" w:cs="Times New Roman"/>
          <w:color w:val="000000"/>
          <w:sz w:val="24"/>
          <w:szCs w:val="24"/>
          <w:lang w:eastAsia="bg-BG"/>
        </w:rPr>
        <w:t>:</w:t>
      </w:r>
    </w:p>
    <w:p w14:paraId="5C26FFB8" w14:textId="755072B5" w:rsidR="003407F4" w:rsidRPr="007D063B" w:rsidRDefault="003407F4" w:rsidP="00DB169C">
      <w:pPr>
        <w:pStyle w:val="ListParagraph"/>
        <w:numPr>
          <w:ilvl w:val="0"/>
          <w:numId w:val="5"/>
        </w:numPr>
        <w:shd w:val="clear" w:color="auto" w:fill="FFFFFF"/>
        <w:spacing w:before="120" w:after="0" w:line="240" w:lineRule="auto"/>
        <w:rPr>
          <w:rFonts w:ascii="Times New Roman" w:hAnsi="Times New Roman"/>
          <w:color w:val="000000"/>
          <w:szCs w:val="24"/>
          <w:lang w:eastAsia="bg-BG"/>
        </w:rPr>
      </w:pPr>
      <w:r w:rsidRPr="007D063B">
        <w:rPr>
          <w:rFonts w:ascii="Times New Roman" w:hAnsi="Times New Roman"/>
          <w:color w:val="000000"/>
          <w:szCs w:val="24"/>
          <w:lang w:eastAsia="bg-BG"/>
        </w:rPr>
        <w:t xml:space="preserve">Отпадане </w:t>
      </w:r>
      <w:r w:rsidR="0045572B" w:rsidRPr="007D063B">
        <w:rPr>
          <w:rFonts w:ascii="Times New Roman" w:hAnsi="Times New Roman"/>
          <w:color w:val="000000"/>
          <w:szCs w:val="24"/>
          <w:lang w:eastAsia="bg-BG"/>
        </w:rPr>
        <w:t xml:space="preserve">от ИГРП 2016 </w:t>
      </w:r>
      <w:r w:rsidRPr="007D063B">
        <w:rPr>
          <w:rFonts w:ascii="Times New Roman" w:hAnsi="Times New Roman"/>
          <w:color w:val="000000"/>
          <w:szCs w:val="24"/>
          <w:lang w:eastAsia="bg-BG"/>
        </w:rPr>
        <w:t xml:space="preserve">на процедура </w:t>
      </w:r>
      <w:r w:rsidR="00134FF9" w:rsidRPr="007D063B">
        <w:rPr>
          <w:rFonts w:ascii="Times New Roman" w:hAnsi="Times New Roman"/>
          <w:color w:val="000000"/>
          <w:szCs w:val="24"/>
          <w:lang w:eastAsia="bg-BG"/>
        </w:rPr>
        <w:t xml:space="preserve">2 </w:t>
      </w:r>
      <w:r w:rsidRPr="007D063B">
        <w:rPr>
          <w:rFonts w:ascii="Times New Roman" w:hAnsi="Times New Roman"/>
          <w:color w:val="000000"/>
          <w:szCs w:val="24"/>
          <w:lang w:eastAsia="bg-BG"/>
        </w:rPr>
        <w:t>„</w:t>
      </w:r>
      <w:r w:rsidR="0045572B" w:rsidRPr="007D063B">
        <w:rPr>
          <w:rFonts w:ascii="Times New Roman" w:hAnsi="Times New Roman"/>
          <w:i/>
          <w:color w:val="000000"/>
          <w:szCs w:val="24"/>
          <w:lang w:eastAsia="bg-BG"/>
        </w:rPr>
        <w:t>Подобряване на дейността на контролните, регулаторни и приходни органи</w:t>
      </w:r>
      <w:r w:rsidRPr="007D063B">
        <w:rPr>
          <w:rFonts w:ascii="Times New Roman" w:hAnsi="Times New Roman"/>
          <w:color w:val="000000"/>
          <w:szCs w:val="24"/>
          <w:lang w:eastAsia="bg-BG"/>
        </w:rPr>
        <w:t>“</w:t>
      </w:r>
      <w:r w:rsidR="0045572B" w:rsidRPr="007D063B">
        <w:rPr>
          <w:rFonts w:ascii="Times New Roman" w:hAnsi="Times New Roman"/>
          <w:color w:val="000000"/>
          <w:szCs w:val="24"/>
          <w:lang w:eastAsia="bg-BG"/>
        </w:rPr>
        <w:t xml:space="preserve"> </w:t>
      </w:r>
      <w:r w:rsidR="00CB02E2" w:rsidRPr="007D063B">
        <w:rPr>
          <w:rFonts w:ascii="Times New Roman" w:hAnsi="Times New Roman"/>
          <w:color w:val="000000"/>
          <w:szCs w:val="24"/>
          <w:lang w:eastAsia="bg-BG"/>
        </w:rPr>
        <w:t>предвид идентифицирана необходимост от прецизиране на предвидените за КПРО мерки в ПК СРДА</w:t>
      </w:r>
      <w:r w:rsidR="00DB169C" w:rsidRPr="007D063B">
        <w:rPr>
          <w:rFonts w:ascii="Times New Roman" w:hAnsi="Times New Roman"/>
          <w:color w:val="000000"/>
          <w:szCs w:val="24"/>
          <w:lang w:eastAsia="bg-BG"/>
        </w:rPr>
        <w:t>, които да доведат до реално подобряване на бизнес средата и намаляване на административната тежест.</w:t>
      </w:r>
      <w:r w:rsidR="00DB169C" w:rsidRPr="007D063B" w:rsidDel="00CB02E2">
        <w:rPr>
          <w:rFonts w:ascii="Times New Roman" w:hAnsi="Times New Roman"/>
          <w:color w:val="000000"/>
          <w:szCs w:val="24"/>
          <w:lang w:eastAsia="bg-BG"/>
        </w:rPr>
        <w:t xml:space="preserve"> </w:t>
      </w:r>
    </w:p>
    <w:p w14:paraId="3D96B103" w14:textId="539F95C3" w:rsidR="0045572B" w:rsidRPr="007D063B" w:rsidRDefault="0045572B" w:rsidP="0045572B">
      <w:pPr>
        <w:pStyle w:val="ListParagraph"/>
        <w:numPr>
          <w:ilvl w:val="0"/>
          <w:numId w:val="5"/>
        </w:numPr>
        <w:shd w:val="clear" w:color="auto" w:fill="FFFFFF"/>
        <w:spacing w:before="120" w:after="0" w:line="240" w:lineRule="auto"/>
        <w:rPr>
          <w:rFonts w:ascii="Times New Roman" w:hAnsi="Times New Roman"/>
          <w:color w:val="000000"/>
          <w:szCs w:val="24"/>
          <w:lang w:eastAsia="bg-BG"/>
        </w:rPr>
      </w:pPr>
      <w:r w:rsidRPr="007D063B">
        <w:rPr>
          <w:rFonts w:ascii="Times New Roman" w:hAnsi="Times New Roman"/>
          <w:color w:val="000000"/>
          <w:szCs w:val="24"/>
          <w:lang w:eastAsia="bg-BG"/>
        </w:rPr>
        <w:t xml:space="preserve"> Включване в ИГРП 2016 на нова процедура </w:t>
      </w:r>
      <w:r w:rsidR="006B4EFB" w:rsidRPr="007D063B">
        <w:rPr>
          <w:rFonts w:ascii="Times New Roman" w:hAnsi="Times New Roman"/>
          <w:color w:val="000000"/>
          <w:szCs w:val="24"/>
          <w:lang w:eastAsia="bg-BG"/>
        </w:rPr>
        <w:t>BG05SFOP001-1.003</w:t>
      </w:r>
      <w:r w:rsidRPr="007D063B">
        <w:rPr>
          <w:rFonts w:ascii="Times New Roman" w:hAnsi="Times New Roman"/>
          <w:color w:val="000000"/>
          <w:szCs w:val="24"/>
          <w:lang w:eastAsia="bg-BG"/>
        </w:rPr>
        <w:t>.</w:t>
      </w:r>
    </w:p>
    <w:p w14:paraId="199B52B1" w14:textId="4C3E94A0" w:rsidR="0045572B" w:rsidRPr="007D063B" w:rsidRDefault="0045572B" w:rsidP="000628CD">
      <w:pPr>
        <w:pStyle w:val="ListParagraph"/>
        <w:numPr>
          <w:ilvl w:val="0"/>
          <w:numId w:val="5"/>
        </w:numPr>
        <w:shd w:val="clear" w:color="auto" w:fill="FFFFFF"/>
        <w:spacing w:before="120" w:after="0" w:line="240" w:lineRule="auto"/>
        <w:rPr>
          <w:rFonts w:ascii="Times New Roman" w:hAnsi="Times New Roman"/>
          <w:color w:val="000000"/>
          <w:szCs w:val="24"/>
          <w:lang w:eastAsia="bg-BG"/>
        </w:rPr>
      </w:pPr>
      <w:r w:rsidRPr="007D063B">
        <w:rPr>
          <w:rFonts w:ascii="Times New Roman" w:hAnsi="Times New Roman"/>
          <w:color w:val="000000"/>
          <w:szCs w:val="24"/>
          <w:lang w:eastAsia="bg-BG"/>
        </w:rPr>
        <w:t>Уточняване на допустими</w:t>
      </w:r>
      <w:r w:rsidR="000628CD" w:rsidRPr="007D063B">
        <w:rPr>
          <w:rFonts w:ascii="Times New Roman" w:hAnsi="Times New Roman"/>
          <w:color w:val="000000"/>
          <w:szCs w:val="24"/>
          <w:lang w:eastAsia="bg-BG"/>
        </w:rPr>
        <w:t xml:space="preserve">те кандидати по процедура </w:t>
      </w:r>
      <w:r w:rsidR="006B4EFB" w:rsidRPr="007D063B">
        <w:rPr>
          <w:rFonts w:ascii="Times New Roman" w:hAnsi="Times New Roman"/>
          <w:color w:val="000000"/>
          <w:szCs w:val="24"/>
          <w:lang w:eastAsia="bg-BG"/>
        </w:rPr>
        <w:t>BG05SFOP001-3.003</w:t>
      </w:r>
      <w:r w:rsidRPr="007D063B">
        <w:rPr>
          <w:rFonts w:ascii="Times New Roman" w:hAnsi="Times New Roman"/>
          <w:color w:val="000000"/>
          <w:szCs w:val="24"/>
          <w:lang w:eastAsia="bg-BG"/>
        </w:rPr>
        <w:t>.</w:t>
      </w:r>
    </w:p>
    <w:p w14:paraId="63966335" w14:textId="76EA1D55" w:rsidR="000628CD" w:rsidRPr="007D063B" w:rsidRDefault="004D26CD" w:rsidP="001B4A6C">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3.</w:t>
      </w:r>
      <w:r w:rsidR="00F76C93" w:rsidRPr="007D063B">
        <w:rPr>
          <w:rFonts w:ascii="Times New Roman" w:eastAsia="Times New Roman" w:hAnsi="Times New Roman" w:cs="Times New Roman"/>
          <w:color w:val="000000"/>
          <w:sz w:val="24"/>
          <w:szCs w:val="24"/>
          <w:lang w:eastAsia="bg-BG"/>
        </w:rPr>
        <w:t xml:space="preserve"> </w:t>
      </w:r>
      <w:r w:rsidR="000628CD" w:rsidRPr="007D063B">
        <w:rPr>
          <w:rFonts w:ascii="Times New Roman" w:eastAsia="Times New Roman" w:hAnsi="Times New Roman" w:cs="Times New Roman"/>
          <w:color w:val="000000"/>
          <w:sz w:val="24"/>
          <w:szCs w:val="24"/>
          <w:lang w:eastAsia="bg-BG"/>
        </w:rPr>
        <w:t xml:space="preserve">ИГРП 2016 беше </w:t>
      </w:r>
      <w:r w:rsidR="00036B81" w:rsidRPr="007D063B">
        <w:rPr>
          <w:rFonts w:ascii="Times New Roman" w:eastAsia="Times New Roman" w:hAnsi="Times New Roman" w:cs="Times New Roman"/>
          <w:color w:val="000000"/>
          <w:sz w:val="24"/>
          <w:szCs w:val="24"/>
          <w:lang w:eastAsia="bg-BG"/>
        </w:rPr>
        <w:t xml:space="preserve">актуализирана още веднъж </w:t>
      </w:r>
      <w:r w:rsidR="000628CD" w:rsidRPr="007D063B">
        <w:rPr>
          <w:rFonts w:ascii="Times New Roman" w:eastAsia="Times New Roman" w:hAnsi="Times New Roman" w:cs="Times New Roman"/>
          <w:color w:val="000000"/>
          <w:sz w:val="24"/>
          <w:szCs w:val="24"/>
          <w:lang w:eastAsia="bg-BG"/>
        </w:rPr>
        <w:t xml:space="preserve">на 29.11.2016 г. след провеждане на процедура по неприсъствено приемане на решение от КН на ОПДУ, като общият размер на БФП по процедура </w:t>
      </w:r>
      <w:r w:rsidR="001D6F88" w:rsidRPr="007D063B">
        <w:rPr>
          <w:rFonts w:ascii="Times New Roman" w:eastAsia="Times New Roman" w:hAnsi="Times New Roman" w:cs="Times New Roman"/>
          <w:color w:val="000000"/>
          <w:sz w:val="24"/>
          <w:szCs w:val="24"/>
          <w:lang w:eastAsia="bg-BG"/>
        </w:rPr>
        <w:t>1</w:t>
      </w:r>
      <w:r w:rsidR="000628CD" w:rsidRPr="007D063B">
        <w:rPr>
          <w:rFonts w:ascii="Times New Roman" w:eastAsia="Times New Roman" w:hAnsi="Times New Roman" w:cs="Times New Roman"/>
          <w:color w:val="000000"/>
          <w:sz w:val="24"/>
          <w:szCs w:val="24"/>
          <w:lang w:eastAsia="bg-BG"/>
        </w:rPr>
        <w:t xml:space="preserve"> беше увеличен </w:t>
      </w:r>
      <w:r w:rsidR="001D6F88" w:rsidRPr="007D063B">
        <w:rPr>
          <w:rFonts w:ascii="Times New Roman" w:eastAsia="Times New Roman" w:hAnsi="Times New Roman" w:cs="Times New Roman"/>
          <w:color w:val="000000"/>
          <w:sz w:val="24"/>
          <w:szCs w:val="24"/>
          <w:lang w:eastAsia="bg-BG"/>
        </w:rPr>
        <w:t xml:space="preserve">със </w:t>
      </w:r>
      <w:r w:rsidR="000628CD" w:rsidRPr="007D063B">
        <w:rPr>
          <w:rFonts w:ascii="Times New Roman" w:eastAsia="Times New Roman" w:hAnsi="Times New Roman" w:cs="Times New Roman"/>
          <w:color w:val="000000"/>
          <w:sz w:val="24"/>
          <w:szCs w:val="24"/>
          <w:lang w:eastAsia="bg-BG"/>
        </w:rPr>
        <w:t>7 млн. лв. във връзка с Решение № 983 на Министерския съвет от 15.11.2016 г.</w:t>
      </w:r>
      <w:r w:rsidR="00713639" w:rsidRPr="007D063B">
        <w:rPr>
          <w:rFonts w:ascii="Times New Roman" w:eastAsia="Times New Roman" w:hAnsi="Times New Roman" w:cs="Times New Roman"/>
          <w:color w:val="000000"/>
          <w:sz w:val="24"/>
          <w:szCs w:val="24"/>
          <w:lang w:eastAsia="bg-BG"/>
        </w:rPr>
        <w:t xml:space="preserve"> </w:t>
      </w:r>
      <w:r w:rsidR="001D6F88" w:rsidRPr="007D063B">
        <w:rPr>
          <w:rFonts w:ascii="Times New Roman" w:eastAsia="Times New Roman" w:hAnsi="Times New Roman" w:cs="Times New Roman"/>
          <w:color w:val="000000"/>
          <w:sz w:val="24"/>
          <w:szCs w:val="24"/>
          <w:lang w:eastAsia="bg-BG"/>
        </w:rPr>
        <w:t xml:space="preserve"> </w:t>
      </w:r>
      <w:r w:rsidR="00713639" w:rsidRPr="007D063B">
        <w:rPr>
          <w:rFonts w:ascii="Times New Roman" w:eastAsia="Times New Roman" w:hAnsi="Times New Roman" w:cs="Times New Roman"/>
          <w:color w:val="000000"/>
          <w:sz w:val="24"/>
          <w:szCs w:val="24"/>
          <w:lang w:eastAsia="bg-BG"/>
        </w:rPr>
        <w:t xml:space="preserve">за изменение на ПК </w:t>
      </w:r>
      <w:r w:rsidR="001D6F88" w:rsidRPr="007D063B">
        <w:rPr>
          <w:rFonts w:ascii="Times New Roman" w:eastAsia="Times New Roman" w:hAnsi="Times New Roman" w:cs="Times New Roman"/>
          <w:color w:val="000000"/>
          <w:sz w:val="24"/>
          <w:szCs w:val="24"/>
          <w:lang w:eastAsia="bg-BG"/>
        </w:rPr>
        <w:t>СРЕУ.</w:t>
      </w:r>
    </w:p>
    <w:p w14:paraId="53482EB3" w14:textId="292E0889" w:rsidR="001B4A6C" w:rsidRPr="007D063B" w:rsidRDefault="001B4A6C" w:rsidP="001B4A6C">
      <w:pPr>
        <w:shd w:val="clear" w:color="auto" w:fill="FFFFFF"/>
        <w:spacing w:before="120" w:after="0" w:line="240" w:lineRule="auto"/>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xml:space="preserve">В окончателен вид, ИГРП 2016 </w:t>
      </w:r>
      <w:r w:rsidR="00A07B5F" w:rsidRPr="007D063B">
        <w:rPr>
          <w:rFonts w:ascii="Times New Roman" w:eastAsia="Times New Roman" w:hAnsi="Times New Roman" w:cs="Times New Roman"/>
          <w:color w:val="000000"/>
          <w:sz w:val="24"/>
          <w:szCs w:val="24"/>
          <w:lang w:eastAsia="bg-BG"/>
        </w:rPr>
        <w:t xml:space="preserve">е на обща стойност 190 030 000 лева и </w:t>
      </w:r>
      <w:r w:rsidRPr="007D063B">
        <w:rPr>
          <w:rFonts w:ascii="Times New Roman" w:eastAsia="Times New Roman" w:hAnsi="Times New Roman" w:cs="Times New Roman"/>
          <w:color w:val="000000"/>
          <w:sz w:val="24"/>
          <w:szCs w:val="24"/>
          <w:lang w:eastAsia="bg-BG"/>
        </w:rPr>
        <w:t>включва следните процедури:</w:t>
      </w:r>
    </w:p>
    <w:p w14:paraId="21C51253" w14:textId="35CBA6EB" w:rsidR="001B4A6C" w:rsidRPr="007D063B" w:rsidRDefault="001B4A6C" w:rsidP="003747FE">
      <w:pPr>
        <w:pStyle w:val="ListParagraph"/>
        <w:numPr>
          <w:ilvl w:val="0"/>
          <w:numId w:val="2"/>
        </w:numPr>
        <w:shd w:val="clear" w:color="auto" w:fill="FFFFFF"/>
        <w:spacing w:before="120" w:after="0" w:line="240" w:lineRule="auto"/>
        <w:rPr>
          <w:rFonts w:ascii="Times New Roman" w:hAnsi="Times New Roman"/>
          <w:color w:val="000000"/>
          <w:szCs w:val="24"/>
          <w:lang w:eastAsia="bg-BG"/>
        </w:rPr>
      </w:pPr>
      <w:r w:rsidRPr="007D063B">
        <w:rPr>
          <w:rFonts w:ascii="Times New Roman" w:hAnsi="Times New Roman"/>
          <w:color w:val="000000"/>
          <w:szCs w:val="24"/>
          <w:lang w:eastAsia="bg-BG"/>
        </w:rPr>
        <w:t xml:space="preserve">Процедура 1 </w:t>
      </w:r>
      <w:r w:rsidR="003747FE" w:rsidRPr="007D063B">
        <w:rPr>
          <w:rFonts w:ascii="Times New Roman" w:hAnsi="Times New Roman"/>
          <w:color w:val="000000"/>
          <w:szCs w:val="24"/>
          <w:lang w:eastAsia="bg-BG"/>
        </w:rPr>
        <w:t xml:space="preserve">BG05SFOP001-1.002 </w:t>
      </w:r>
      <w:r w:rsidRPr="007D063B">
        <w:rPr>
          <w:rFonts w:ascii="Times New Roman" w:hAnsi="Times New Roman"/>
          <w:color w:val="000000"/>
          <w:szCs w:val="24"/>
          <w:lang w:eastAsia="bg-BG"/>
        </w:rPr>
        <w:t>„</w:t>
      </w:r>
      <w:r w:rsidRPr="007D063B">
        <w:rPr>
          <w:rFonts w:ascii="Times New Roman" w:hAnsi="Times New Roman"/>
          <w:i/>
          <w:color w:val="000000"/>
          <w:szCs w:val="24"/>
          <w:lang w:eastAsia="bg-BG"/>
        </w:rPr>
        <w:t>Приоритетни проекти в изпълнение на Пътната карта за изпълнение на Стратегията за развитие на електронното управление в Република България за периода 2016-2020</w:t>
      </w:r>
      <w:r w:rsidRPr="007D063B">
        <w:rPr>
          <w:rFonts w:ascii="Times New Roman" w:hAnsi="Times New Roman"/>
          <w:color w:val="000000"/>
          <w:szCs w:val="24"/>
          <w:lang w:eastAsia="bg-BG"/>
        </w:rPr>
        <w:t>“ с общ бюджет от 107 млн. лв. и бенефициенти А</w:t>
      </w:r>
      <w:r w:rsidR="00B441D3" w:rsidRPr="007D063B">
        <w:rPr>
          <w:rFonts w:ascii="Times New Roman" w:hAnsi="Times New Roman"/>
          <w:color w:val="000000"/>
          <w:szCs w:val="24"/>
          <w:lang w:eastAsia="bg-BG"/>
        </w:rPr>
        <w:t>МС</w:t>
      </w:r>
      <w:r w:rsidRPr="007D063B">
        <w:rPr>
          <w:rFonts w:ascii="Times New Roman" w:hAnsi="Times New Roman"/>
          <w:color w:val="000000"/>
          <w:szCs w:val="24"/>
          <w:lang w:eastAsia="bg-BG"/>
        </w:rPr>
        <w:t>, МТИТС, ДАЕУ, НСИ, МП, МРРБ, ИА „Автомобилна администрация“, МВР, АГКК, МЗ, АВ, Агенция „Митници“, НАП, МК, ЦИК – отворена за кандидатстване на 31.05.2016 г.</w:t>
      </w:r>
      <w:r w:rsidR="00F425CC" w:rsidRPr="007D063B">
        <w:rPr>
          <w:rFonts w:ascii="Times New Roman" w:hAnsi="Times New Roman"/>
          <w:color w:val="000000"/>
          <w:szCs w:val="24"/>
          <w:lang w:eastAsia="bg-BG"/>
        </w:rPr>
        <w:t xml:space="preserve"> (ПО1)</w:t>
      </w:r>
    </w:p>
    <w:p w14:paraId="205CBC8B" w14:textId="476201B5" w:rsidR="001B4A6C" w:rsidRPr="007D063B" w:rsidRDefault="001B4A6C" w:rsidP="003747FE">
      <w:pPr>
        <w:pStyle w:val="ListParagraph"/>
        <w:numPr>
          <w:ilvl w:val="0"/>
          <w:numId w:val="2"/>
        </w:numPr>
        <w:shd w:val="clear" w:color="auto" w:fill="FFFFFF"/>
        <w:spacing w:before="120" w:after="0" w:line="240" w:lineRule="auto"/>
        <w:rPr>
          <w:rFonts w:ascii="Times New Roman" w:hAnsi="Times New Roman"/>
          <w:color w:val="000000"/>
          <w:szCs w:val="24"/>
          <w:lang w:eastAsia="bg-BG"/>
        </w:rPr>
      </w:pPr>
      <w:r w:rsidRPr="007D063B">
        <w:rPr>
          <w:rFonts w:ascii="Times New Roman" w:hAnsi="Times New Roman"/>
          <w:color w:val="000000"/>
          <w:szCs w:val="24"/>
          <w:lang w:eastAsia="bg-BG"/>
        </w:rPr>
        <w:t>Процедура 2</w:t>
      </w:r>
      <w:r w:rsidR="003747FE" w:rsidRPr="007D063B">
        <w:t xml:space="preserve"> </w:t>
      </w:r>
      <w:r w:rsidR="003747FE" w:rsidRPr="007D063B">
        <w:rPr>
          <w:rFonts w:ascii="Times New Roman" w:hAnsi="Times New Roman"/>
          <w:color w:val="000000"/>
          <w:szCs w:val="24"/>
          <w:lang w:eastAsia="bg-BG"/>
        </w:rPr>
        <w:t>BG05SFOP001-1.003</w:t>
      </w:r>
      <w:r w:rsidRPr="007D063B">
        <w:rPr>
          <w:rFonts w:ascii="Times New Roman" w:hAnsi="Times New Roman"/>
          <w:color w:val="000000"/>
          <w:szCs w:val="24"/>
          <w:lang w:eastAsia="bg-BG"/>
        </w:rPr>
        <w:t xml:space="preserve"> „</w:t>
      </w:r>
      <w:r w:rsidRPr="007D063B">
        <w:rPr>
          <w:rFonts w:ascii="Times New Roman" w:hAnsi="Times New Roman"/>
          <w:i/>
          <w:color w:val="000000"/>
          <w:szCs w:val="24"/>
          <w:lang w:eastAsia="bg-BG"/>
        </w:rPr>
        <w:t>Подобряване на ефективността, ефикасността и прозрачността на системата за обществените поръчки</w:t>
      </w:r>
      <w:r w:rsidRPr="007D063B">
        <w:rPr>
          <w:rFonts w:ascii="Times New Roman" w:hAnsi="Times New Roman"/>
          <w:color w:val="000000"/>
          <w:szCs w:val="24"/>
          <w:lang w:eastAsia="bg-BG"/>
        </w:rPr>
        <w:t>“ с общ бюджет от 8 100 000 лв. и бенефициент АОП – отворена за кандидатстване на 23.11.2016 г.</w:t>
      </w:r>
      <w:r w:rsidR="00F425CC" w:rsidRPr="007D063B">
        <w:rPr>
          <w:rFonts w:ascii="Times New Roman" w:hAnsi="Times New Roman"/>
          <w:color w:val="000000"/>
          <w:szCs w:val="24"/>
          <w:lang w:eastAsia="bg-BG"/>
        </w:rPr>
        <w:t xml:space="preserve"> (ПО1)</w:t>
      </w:r>
    </w:p>
    <w:p w14:paraId="20B9D16D" w14:textId="5094FAC7" w:rsidR="001B4A6C" w:rsidRPr="007D063B" w:rsidRDefault="001B4A6C" w:rsidP="003747FE">
      <w:pPr>
        <w:pStyle w:val="ListParagraph"/>
        <w:numPr>
          <w:ilvl w:val="0"/>
          <w:numId w:val="2"/>
        </w:numPr>
        <w:shd w:val="clear" w:color="auto" w:fill="FFFFFF"/>
        <w:spacing w:before="120" w:after="0" w:line="240" w:lineRule="auto"/>
        <w:rPr>
          <w:rFonts w:ascii="Times New Roman" w:hAnsi="Times New Roman"/>
          <w:color w:val="000000"/>
          <w:szCs w:val="24"/>
          <w:lang w:eastAsia="bg-BG"/>
        </w:rPr>
      </w:pPr>
      <w:r w:rsidRPr="007D063B">
        <w:rPr>
          <w:rFonts w:ascii="Times New Roman" w:hAnsi="Times New Roman"/>
          <w:color w:val="000000"/>
          <w:szCs w:val="24"/>
          <w:lang w:eastAsia="bg-BG"/>
        </w:rPr>
        <w:t xml:space="preserve">Процедура 3 </w:t>
      </w:r>
      <w:r w:rsidR="003747FE" w:rsidRPr="007D063B">
        <w:rPr>
          <w:rFonts w:ascii="Times New Roman" w:hAnsi="Times New Roman"/>
          <w:color w:val="000000"/>
          <w:szCs w:val="24"/>
          <w:lang w:eastAsia="bg-BG"/>
        </w:rPr>
        <w:t xml:space="preserve">BG05SFOP001-2.001 </w:t>
      </w:r>
      <w:r w:rsidRPr="007D063B">
        <w:rPr>
          <w:rFonts w:ascii="Times New Roman" w:hAnsi="Times New Roman"/>
          <w:color w:val="000000"/>
          <w:szCs w:val="24"/>
          <w:lang w:eastAsia="bg-BG"/>
        </w:rPr>
        <w:t>„</w:t>
      </w:r>
      <w:r w:rsidRPr="007D063B">
        <w:rPr>
          <w:rFonts w:ascii="Times New Roman" w:hAnsi="Times New Roman"/>
          <w:i/>
          <w:color w:val="000000"/>
          <w:szCs w:val="24"/>
          <w:lang w:eastAsia="bg-BG"/>
        </w:rPr>
        <w:t>Стратегически проекти в изпълнение на Стратегията за развитие на държавната администрация 2014-2020 г., ПОС, ПИК и НАТУРА 2000</w:t>
      </w:r>
      <w:r w:rsidRPr="007D063B">
        <w:rPr>
          <w:rFonts w:ascii="Times New Roman" w:hAnsi="Times New Roman"/>
          <w:color w:val="000000"/>
          <w:szCs w:val="24"/>
          <w:lang w:eastAsia="bg-BG"/>
        </w:rPr>
        <w:t xml:space="preserve">“ с общ бюджет от 32 600 000 лв. и бенефициенти АМС, МФ, Администрация на Омбудсмана на Република България, МРРБ, ЦППКОП, МОСВ, Националната структура за координация и контрол по изпълнение на мерки от </w:t>
      </w:r>
      <w:r w:rsidR="00D82929" w:rsidRPr="007D063B">
        <w:rPr>
          <w:rFonts w:ascii="Times New Roman" w:hAnsi="Times New Roman"/>
          <w:color w:val="000000"/>
          <w:szCs w:val="24"/>
          <w:lang w:eastAsia="bg-BG"/>
        </w:rPr>
        <w:t>НПРД</w:t>
      </w:r>
      <w:r w:rsidRPr="007D063B">
        <w:rPr>
          <w:rFonts w:ascii="Times New Roman" w:hAnsi="Times New Roman"/>
          <w:color w:val="000000"/>
          <w:szCs w:val="24"/>
          <w:lang w:eastAsia="bg-BG"/>
        </w:rPr>
        <w:t xml:space="preserve"> за НАТУРА 2000, НСОРБ – отворена за кандидатстване на 13.05.2016 г.</w:t>
      </w:r>
      <w:r w:rsidR="00F425CC" w:rsidRPr="007D063B">
        <w:rPr>
          <w:rFonts w:ascii="Times New Roman" w:hAnsi="Times New Roman"/>
          <w:color w:val="000000"/>
          <w:szCs w:val="24"/>
          <w:lang w:eastAsia="bg-BG"/>
        </w:rPr>
        <w:t xml:space="preserve"> (ПО1 и ПО2)</w:t>
      </w:r>
    </w:p>
    <w:p w14:paraId="13A40D87" w14:textId="4BC2CC8B" w:rsidR="001B4A6C" w:rsidRPr="007D063B" w:rsidRDefault="001B4A6C" w:rsidP="003747FE">
      <w:pPr>
        <w:pStyle w:val="ListParagraph"/>
        <w:numPr>
          <w:ilvl w:val="0"/>
          <w:numId w:val="2"/>
        </w:numPr>
        <w:shd w:val="clear" w:color="auto" w:fill="FFFFFF"/>
        <w:spacing w:before="120" w:after="0" w:line="240" w:lineRule="auto"/>
        <w:rPr>
          <w:rFonts w:ascii="Times New Roman" w:hAnsi="Times New Roman"/>
          <w:color w:val="000000"/>
          <w:szCs w:val="24"/>
          <w:lang w:eastAsia="bg-BG"/>
        </w:rPr>
      </w:pPr>
      <w:r w:rsidRPr="007D063B">
        <w:rPr>
          <w:rFonts w:ascii="Times New Roman" w:hAnsi="Times New Roman"/>
          <w:color w:val="000000"/>
          <w:szCs w:val="24"/>
          <w:lang w:eastAsia="bg-BG"/>
        </w:rPr>
        <w:lastRenderedPageBreak/>
        <w:t xml:space="preserve">Процедура 4 </w:t>
      </w:r>
      <w:r w:rsidR="003747FE" w:rsidRPr="007D063B">
        <w:rPr>
          <w:rFonts w:ascii="Times New Roman" w:hAnsi="Times New Roman"/>
          <w:color w:val="000000"/>
          <w:szCs w:val="24"/>
          <w:lang w:eastAsia="bg-BG"/>
        </w:rPr>
        <w:t xml:space="preserve">BG05SFOP001-2.004 </w:t>
      </w:r>
      <w:r w:rsidRPr="007D063B">
        <w:rPr>
          <w:rFonts w:ascii="Times New Roman" w:hAnsi="Times New Roman"/>
          <w:color w:val="000000"/>
          <w:szCs w:val="24"/>
          <w:lang w:eastAsia="bg-BG"/>
        </w:rPr>
        <w:t>„</w:t>
      </w:r>
      <w:r w:rsidRPr="007D063B">
        <w:rPr>
          <w:rFonts w:ascii="Times New Roman" w:hAnsi="Times New Roman"/>
          <w:i/>
          <w:color w:val="000000"/>
          <w:szCs w:val="24"/>
          <w:lang w:eastAsia="bg-BG"/>
        </w:rPr>
        <w:t>Повишаване на експертния капацитет на служителите в администрацията</w:t>
      </w:r>
      <w:r w:rsidRPr="007D063B">
        <w:rPr>
          <w:rFonts w:ascii="Times New Roman" w:hAnsi="Times New Roman"/>
          <w:color w:val="000000"/>
          <w:szCs w:val="24"/>
          <w:lang w:eastAsia="bg-BG"/>
        </w:rPr>
        <w:t>“ с общ бюджет от 28 млн. лв. и бенефициенти ИПА, Академия на МВР и Институт по психология-МВР, Дипломатически институт към Министъра на външните работи, НСОРБ – отворена за кандидатстване на 05.05.2016 г.</w:t>
      </w:r>
      <w:r w:rsidR="00F425CC" w:rsidRPr="007D063B">
        <w:rPr>
          <w:rFonts w:ascii="Times New Roman" w:hAnsi="Times New Roman"/>
          <w:color w:val="000000"/>
          <w:szCs w:val="24"/>
          <w:lang w:eastAsia="bg-BG"/>
        </w:rPr>
        <w:t xml:space="preserve"> (ПО2)</w:t>
      </w:r>
    </w:p>
    <w:p w14:paraId="5B9F31DF" w14:textId="198FE85D" w:rsidR="001B4A6C" w:rsidRPr="007D063B" w:rsidRDefault="001B4A6C" w:rsidP="003747FE">
      <w:pPr>
        <w:pStyle w:val="ListParagraph"/>
        <w:numPr>
          <w:ilvl w:val="0"/>
          <w:numId w:val="2"/>
        </w:numPr>
        <w:shd w:val="clear" w:color="auto" w:fill="FFFFFF"/>
        <w:spacing w:before="120" w:after="0" w:line="240" w:lineRule="auto"/>
        <w:rPr>
          <w:rFonts w:ascii="Times New Roman" w:hAnsi="Times New Roman"/>
          <w:color w:val="000000"/>
          <w:szCs w:val="24"/>
          <w:lang w:eastAsia="bg-BG"/>
        </w:rPr>
      </w:pPr>
      <w:r w:rsidRPr="007D063B">
        <w:rPr>
          <w:rFonts w:ascii="Times New Roman" w:hAnsi="Times New Roman"/>
          <w:color w:val="000000"/>
          <w:szCs w:val="24"/>
          <w:lang w:eastAsia="bg-BG"/>
        </w:rPr>
        <w:t xml:space="preserve">Процедура 5 </w:t>
      </w:r>
      <w:r w:rsidR="003747FE" w:rsidRPr="007D063B">
        <w:rPr>
          <w:rFonts w:ascii="Times New Roman" w:hAnsi="Times New Roman"/>
          <w:color w:val="000000"/>
          <w:szCs w:val="24"/>
          <w:lang w:eastAsia="bg-BG"/>
        </w:rPr>
        <w:t xml:space="preserve">BG05SFOP001-2.002 </w:t>
      </w:r>
      <w:r w:rsidRPr="007D063B">
        <w:rPr>
          <w:rFonts w:ascii="Times New Roman" w:hAnsi="Times New Roman"/>
          <w:color w:val="000000"/>
          <w:szCs w:val="24"/>
          <w:lang w:eastAsia="bg-BG"/>
        </w:rPr>
        <w:t>„</w:t>
      </w:r>
      <w:r w:rsidR="006F6BA9" w:rsidRPr="007D063B">
        <w:rPr>
          <w:rFonts w:ascii="Times New Roman" w:hAnsi="Times New Roman"/>
          <w:i/>
          <w:color w:val="000000"/>
          <w:szCs w:val="24"/>
          <w:lang w:eastAsia="bg-BG"/>
        </w:rPr>
        <w:t>Въвеждане на</w:t>
      </w:r>
      <w:r w:rsidRPr="007D063B">
        <w:rPr>
          <w:rFonts w:ascii="Times New Roman" w:hAnsi="Times New Roman"/>
          <w:i/>
          <w:color w:val="000000"/>
          <w:szCs w:val="24"/>
          <w:lang w:eastAsia="bg-BG"/>
        </w:rPr>
        <w:t xml:space="preserve"> Общата рамка за оценка  CAF в администрациите</w:t>
      </w:r>
      <w:r w:rsidRPr="007D063B">
        <w:rPr>
          <w:rFonts w:ascii="Times New Roman" w:hAnsi="Times New Roman"/>
          <w:color w:val="000000"/>
          <w:szCs w:val="24"/>
          <w:lang w:eastAsia="bg-BG"/>
        </w:rPr>
        <w:t>“ с общ бюджет 1 030 000 лв. и бенефициент ИПА – отворена за кандидатстване на 28.04.2016 г.</w:t>
      </w:r>
      <w:r w:rsidR="00F425CC" w:rsidRPr="007D063B">
        <w:rPr>
          <w:rFonts w:ascii="Times New Roman" w:hAnsi="Times New Roman"/>
          <w:color w:val="000000"/>
          <w:szCs w:val="24"/>
          <w:lang w:eastAsia="bg-BG"/>
        </w:rPr>
        <w:t xml:space="preserve"> (ПО2)</w:t>
      </w:r>
    </w:p>
    <w:p w14:paraId="3F78106F" w14:textId="50B3F594" w:rsidR="001B4A6C" w:rsidRPr="007D063B" w:rsidRDefault="001B4A6C" w:rsidP="003747FE">
      <w:pPr>
        <w:pStyle w:val="ListParagraph"/>
        <w:numPr>
          <w:ilvl w:val="0"/>
          <w:numId w:val="2"/>
        </w:numPr>
        <w:shd w:val="clear" w:color="auto" w:fill="FFFFFF"/>
        <w:spacing w:before="120" w:after="0" w:line="240" w:lineRule="auto"/>
        <w:rPr>
          <w:rFonts w:ascii="Times New Roman" w:hAnsi="Times New Roman"/>
          <w:color w:val="000000"/>
          <w:szCs w:val="24"/>
          <w:lang w:eastAsia="bg-BG"/>
        </w:rPr>
      </w:pPr>
      <w:r w:rsidRPr="007D063B">
        <w:rPr>
          <w:rFonts w:ascii="Times New Roman" w:hAnsi="Times New Roman"/>
          <w:color w:val="000000"/>
          <w:szCs w:val="24"/>
          <w:lang w:eastAsia="bg-BG"/>
        </w:rPr>
        <w:t xml:space="preserve">Процедура 6 </w:t>
      </w:r>
      <w:r w:rsidR="003747FE" w:rsidRPr="007D063B">
        <w:rPr>
          <w:rFonts w:ascii="Times New Roman" w:hAnsi="Times New Roman"/>
          <w:color w:val="000000"/>
          <w:szCs w:val="24"/>
          <w:lang w:eastAsia="bg-BG"/>
        </w:rPr>
        <w:t>BG05SFOP001-2.003</w:t>
      </w:r>
      <w:r w:rsidRPr="007D063B">
        <w:rPr>
          <w:rFonts w:ascii="Times New Roman" w:hAnsi="Times New Roman"/>
          <w:color w:val="000000"/>
          <w:szCs w:val="24"/>
          <w:lang w:eastAsia="bg-BG"/>
        </w:rPr>
        <w:t>„</w:t>
      </w:r>
      <w:r w:rsidRPr="007D063B">
        <w:rPr>
          <w:rFonts w:ascii="Times New Roman" w:hAnsi="Times New Roman"/>
          <w:i/>
          <w:color w:val="000000"/>
          <w:szCs w:val="24"/>
          <w:lang w:eastAsia="bg-BG"/>
        </w:rPr>
        <w:t>Ефективно прилагане на правилата на ЕС за държавните помощи при предоставяне на услуги от общ икономически интерес (УОИИ</w:t>
      </w:r>
      <w:r w:rsidRPr="007D063B">
        <w:rPr>
          <w:rFonts w:ascii="Times New Roman" w:hAnsi="Times New Roman"/>
          <w:color w:val="000000"/>
          <w:szCs w:val="24"/>
          <w:lang w:eastAsia="bg-BG"/>
        </w:rPr>
        <w:t>)“ с общ бюджет 1 300 000 лв. и бенефициент Дирекция „Държавни помощи и реален сектор“ на Министерството на финансите – отворена за кандидатстване на 28.04.2016 г.</w:t>
      </w:r>
      <w:r w:rsidR="00F425CC" w:rsidRPr="007D063B">
        <w:rPr>
          <w:rFonts w:ascii="Times New Roman" w:hAnsi="Times New Roman"/>
          <w:color w:val="000000"/>
          <w:szCs w:val="24"/>
          <w:lang w:eastAsia="bg-BG"/>
        </w:rPr>
        <w:t xml:space="preserve"> (ПО2)</w:t>
      </w:r>
    </w:p>
    <w:p w14:paraId="1D167DA2" w14:textId="3E0157BA" w:rsidR="006F6BA9" w:rsidRPr="007D063B" w:rsidRDefault="006F6BA9" w:rsidP="003747FE">
      <w:pPr>
        <w:pStyle w:val="ListParagraph"/>
        <w:numPr>
          <w:ilvl w:val="0"/>
          <w:numId w:val="2"/>
        </w:numPr>
        <w:shd w:val="clear" w:color="auto" w:fill="FFFFFF"/>
        <w:spacing w:before="120" w:after="0" w:line="240" w:lineRule="auto"/>
        <w:rPr>
          <w:rFonts w:ascii="Times New Roman" w:hAnsi="Times New Roman"/>
          <w:color w:val="000000"/>
          <w:szCs w:val="24"/>
          <w:lang w:eastAsia="bg-BG"/>
        </w:rPr>
      </w:pPr>
      <w:r w:rsidRPr="007D063B">
        <w:rPr>
          <w:rFonts w:ascii="Times New Roman" w:hAnsi="Times New Roman"/>
          <w:color w:val="000000"/>
          <w:szCs w:val="24"/>
          <w:lang w:eastAsia="bg-BG"/>
        </w:rPr>
        <w:t xml:space="preserve">Процедура 7 </w:t>
      </w:r>
      <w:r w:rsidR="003747FE" w:rsidRPr="007D063B">
        <w:rPr>
          <w:rFonts w:ascii="Times New Roman" w:hAnsi="Times New Roman"/>
          <w:color w:val="000000"/>
          <w:szCs w:val="24"/>
          <w:lang w:eastAsia="bg-BG"/>
        </w:rPr>
        <w:t xml:space="preserve">BG05SFOP001-3.003 </w:t>
      </w:r>
      <w:r w:rsidRPr="007D063B">
        <w:rPr>
          <w:rFonts w:ascii="Times New Roman" w:hAnsi="Times New Roman"/>
          <w:color w:val="000000"/>
          <w:szCs w:val="24"/>
          <w:lang w:eastAsia="bg-BG"/>
        </w:rPr>
        <w:t>„</w:t>
      </w:r>
      <w:r w:rsidRPr="007D063B">
        <w:rPr>
          <w:rFonts w:ascii="Times New Roman" w:hAnsi="Times New Roman"/>
          <w:i/>
          <w:color w:val="000000"/>
          <w:szCs w:val="24"/>
          <w:lang w:eastAsia="bg-BG"/>
        </w:rPr>
        <w:t>Граждански контрол върху реформата в съдебната система</w:t>
      </w:r>
      <w:r w:rsidRPr="007D063B">
        <w:rPr>
          <w:rFonts w:ascii="Times New Roman" w:hAnsi="Times New Roman"/>
          <w:color w:val="000000"/>
          <w:szCs w:val="24"/>
          <w:lang w:eastAsia="bg-BG"/>
        </w:rPr>
        <w:t xml:space="preserve">“ с общ бюджет 5 000 000 лв. и бенефициенти Юридически лица с нестопанска цел за общественополезна дейност, които имат поне една приключена финансова година към датата на кандидатстване; Професионални организации, регистрирани по </w:t>
      </w:r>
      <w:r w:rsidR="00F425CC" w:rsidRPr="007D063B">
        <w:rPr>
          <w:rFonts w:ascii="Times New Roman" w:hAnsi="Times New Roman"/>
          <w:color w:val="000000"/>
          <w:szCs w:val="24"/>
          <w:lang w:eastAsia="bg-BG"/>
        </w:rPr>
        <w:t>ЗЮЛНЦ</w:t>
      </w:r>
      <w:r w:rsidRPr="007D063B">
        <w:rPr>
          <w:rFonts w:ascii="Times New Roman" w:hAnsi="Times New Roman"/>
          <w:color w:val="000000"/>
          <w:szCs w:val="24"/>
          <w:lang w:eastAsia="bg-BG"/>
        </w:rPr>
        <w:t xml:space="preserve"> или регистрирани по/създадени със специален закон, на лица, работещи в системата на съдебната власт (съдии, прокурори, следователи, съдии по вписванията, съдебни заседатели, съдебни служители, вещи лица и др.), на адвокати, нотариуси и други юристи, на медиатори и арбитри, както и на други лица, работещи в сектор „Правосъдие“, които имат поне една приключена финансова година към датата на кандидатстване</w:t>
      </w:r>
      <w:r w:rsidR="00292B27" w:rsidRPr="007D063B">
        <w:rPr>
          <w:rFonts w:ascii="Times New Roman" w:hAnsi="Times New Roman"/>
          <w:color w:val="000000"/>
          <w:szCs w:val="24"/>
          <w:lang w:eastAsia="bg-BG"/>
        </w:rPr>
        <w:t>.</w:t>
      </w:r>
      <w:r w:rsidR="00F425CC" w:rsidRPr="007D063B">
        <w:rPr>
          <w:rFonts w:ascii="Times New Roman" w:hAnsi="Times New Roman"/>
          <w:color w:val="000000"/>
          <w:szCs w:val="24"/>
          <w:lang w:eastAsia="bg-BG"/>
        </w:rPr>
        <w:t xml:space="preserve"> (ПО3)</w:t>
      </w:r>
    </w:p>
    <w:p w14:paraId="02B412A7" w14:textId="6C8BC163" w:rsidR="00292B27" w:rsidRPr="007D063B" w:rsidRDefault="00292B27" w:rsidP="00292B27">
      <w:pPr>
        <w:pStyle w:val="ListParagraph"/>
        <w:numPr>
          <w:ilvl w:val="0"/>
          <w:numId w:val="2"/>
        </w:numPr>
        <w:shd w:val="clear" w:color="auto" w:fill="FFFFFF"/>
        <w:spacing w:before="120" w:after="0" w:line="240" w:lineRule="auto"/>
        <w:rPr>
          <w:rFonts w:ascii="Times New Roman" w:hAnsi="Times New Roman"/>
          <w:color w:val="000000"/>
          <w:szCs w:val="24"/>
          <w:lang w:eastAsia="bg-BG"/>
        </w:rPr>
      </w:pPr>
      <w:r w:rsidRPr="007D063B">
        <w:rPr>
          <w:rFonts w:ascii="Times New Roman" w:hAnsi="Times New Roman"/>
          <w:color w:val="000000"/>
          <w:szCs w:val="24"/>
          <w:lang w:eastAsia="bg-BG"/>
        </w:rPr>
        <w:t>Процедура 8 „</w:t>
      </w:r>
      <w:r w:rsidRPr="007D063B">
        <w:rPr>
          <w:rFonts w:ascii="Times New Roman" w:hAnsi="Times New Roman"/>
          <w:i/>
          <w:color w:val="000000"/>
          <w:szCs w:val="24"/>
          <w:lang w:eastAsia="bg-BG"/>
        </w:rPr>
        <w:t>Укрепване капацитета на НСОРБ за подкрепа на разработването и изпълнението на проекти, финансирани от ЕСИФ</w:t>
      </w:r>
      <w:r w:rsidRPr="007D063B">
        <w:rPr>
          <w:rFonts w:ascii="Times New Roman" w:hAnsi="Times New Roman"/>
          <w:color w:val="000000"/>
          <w:szCs w:val="24"/>
          <w:lang w:eastAsia="bg-BG"/>
        </w:rPr>
        <w:t xml:space="preserve">“ с общ бюджет 7 000 000 лв. и бенефициент НСОРБ. </w:t>
      </w:r>
      <w:r w:rsidR="00F425CC" w:rsidRPr="007D063B">
        <w:rPr>
          <w:rFonts w:ascii="Times New Roman" w:hAnsi="Times New Roman"/>
          <w:color w:val="000000"/>
          <w:szCs w:val="24"/>
          <w:lang w:eastAsia="bg-BG"/>
        </w:rPr>
        <w:t>(ПО4)</w:t>
      </w:r>
    </w:p>
    <w:p w14:paraId="3E529D9C" w14:textId="3931BD9E" w:rsidR="001B4A6C" w:rsidRPr="007D063B" w:rsidRDefault="001B4A6C" w:rsidP="00F37887">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xml:space="preserve">По отношение на административната реформа ИГРП 2016 е насочена към изпълнение на Стратегията за развитие на държавната администрация и Стратегията за развитие на електронното управление. </w:t>
      </w:r>
    </w:p>
    <w:p w14:paraId="41308D00" w14:textId="64CE1FF9" w:rsidR="00F37887" w:rsidRPr="007D063B" w:rsidRDefault="00F37887" w:rsidP="0057780B">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xml:space="preserve">Процедура 7 и 8 не са отворени за кандидатстване </w:t>
      </w:r>
      <w:r w:rsidR="00B441D3" w:rsidRPr="007D063B">
        <w:rPr>
          <w:rFonts w:ascii="Times New Roman" w:eastAsia="Times New Roman" w:hAnsi="Times New Roman" w:cs="Times New Roman"/>
          <w:color w:val="000000"/>
          <w:sz w:val="24"/>
          <w:szCs w:val="24"/>
          <w:lang w:eastAsia="bg-BG"/>
        </w:rPr>
        <w:t>през</w:t>
      </w:r>
      <w:r w:rsidRPr="007D063B">
        <w:rPr>
          <w:rFonts w:ascii="Times New Roman" w:eastAsia="Times New Roman" w:hAnsi="Times New Roman" w:cs="Times New Roman"/>
          <w:color w:val="000000"/>
          <w:sz w:val="24"/>
          <w:szCs w:val="24"/>
          <w:lang w:eastAsia="bg-BG"/>
        </w:rPr>
        <w:t xml:space="preserve"> 2016 г. Процедура 7 е първата процедура чрез подбор на проектни предложения по ОПДУ, както и първата процедура по ОПДУ, в която се използва опростено отчитане на разходите</w:t>
      </w:r>
      <w:r w:rsidR="00EB1450" w:rsidRPr="007D063B">
        <w:rPr>
          <w:rFonts w:ascii="Times New Roman" w:eastAsia="Times New Roman" w:hAnsi="Times New Roman" w:cs="Times New Roman"/>
          <w:color w:val="000000"/>
          <w:sz w:val="24"/>
          <w:szCs w:val="24"/>
          <w:lang w:eastAsia="bg-BG"/>
        </w:rPr>
        <w:t xml:space="preserve"> по чл. 14.2. от Регламент 1304</w:t>
      </w:r>
      <w:r w:rsidRPr="007D063B">
        <w:rPr>
          <w:rFonts w:ascii="Times New Roman" w:eastAsia="Times New Roman" w:hAnsi="Times New Roman" w:cs="Times New Roman"/>
          <w:color w:val="000000"/>
          <w:sz w:val="24"/>
          <w:szCs w:val="24"/>
          <w:lang w:eastAsia="bg-BG"/>
        </w:rPr>
        <w:t xml:space="preserve">. </w:t>
      </w:r>
      <w:r w:rsidR="00EB1450" w:rsidRPr="007D063B">
        <w:rPr>
          <w:rFonts w:ascii="Times New Roman" w:eastAsia="Times New Roman" w:hAnsi="Times New Roman" w:cs="Times New Roman"/>
          <w:color w:val="000000"/>
          <w:sz w:val="24"/>
          <w:szCs w:val="24"/>
          <w:lang w:eastAsia="bg-BG"/>
        </w:rPr>
        <w:t>Предвид факта, че в</w:t>
      </w:r>
      <w:r w:rsidR="00992F3C" w:rsidRPr="007D063B">
        <w:rPr>
          <w:rFonts w:ascii="Times New Roman" w:eastAsia="Times New Roman" w:hAnsi="Times New Roman" w:cs="Times New Roman"/>
          <w:color w:val="000000"/>
          <w:sz w:val="24"/>
          <w:szCs w:val="24"/>
          <w:lang w:eastAsia="bg-BG"/>
        </w:rPr>
        <w:t xml:space="preserve"> </w:t>
      </w:r>
      <w:r w:rsidR="00EB1450" w:rsidRPr="007D063B">
        <w:rPr>
          <w:rFonts w:ascii="Times New Roman" w:eastAsia="Times New Roman" w:hAnsi="Times New Roman" w:cs="Times New Roman"/>
          <w:color w:val="000000"/>
          <w:sz w:val="24"/>
          <w:szCs w:val="24"/>
          <w:lang w:eastAsia="bg-BG"/>
        </w:rPr>
        <w:t xml:space="preserve">процеса на разработване на Насоките за кандидатстване възникнаха казуси и въпроси, които следваше да се решат и обсъдят на национално ниво, вкл. и с ЦКЗ, </w:t>
      </w:r>
      <w:r w:rsidR="00303699" w:rsidRPr="007D063B">
        <w:rPr>
          <w:rFonts w:ascii="Times New Roman" w:eastAsia="Times New Roman" w:hAnsi="Times New Roman" w:cs="Times New Roman"/>
          <w:color w:val="000000"/>
          <w:sz w:val="24"/>
          <w:szCs w:val="24"/>
          <w:lang w:eastAsia="bg-BG"/>
        </w:rPr>
        <w:t xml:space="preserve">УО на оперативните </w:t>
      </w:r>
      <w:r w:rsidR="00EB1450" w:rsidRPr="007D063B">
        <w:rPr>
          <w:rFonts w:ascii="Times New Roman" w:eastAsia="Times New Roman" w:hAnsi="Times New Roman" w:cs="Times New Roman"/>
          <w:color w:val="000000"/>
          <w:sz w:val="24"/>
          <w:szCs w:val="24"/>
          <w:lang w:eastAsia="bg-BG"/>
        </w:rPr>
        <w:t>програми, финансирани от ЕСФ и ОСЕС</w:t>
      </w:r>
      <w:r w:rsidR="00303699" w:rsidRPr="007D063B">
        <w:rPr>
          <w:rFonts w:ascii="Times New Roman" w:eastAsia="Times New Roman" w:hAnsi="Times New Roman" w:cs="Times New Roman"/>
          <w:color w:val="000000"/>
          <w:sz w:val="24"/>
          <w:szCs w:val="24"/>
          <w:lang w:eastAsia="bg-BG"/>
        </w:rPr>
        <w:t xml:space="preserve"> преди обявяване на процедурата</w:t>
      </w:r>
      <w:r w:rsidR="00EB1450" w:rsidRPr="007D063B">
        <w:rPr>
          <w:rFonts w:ascii="Times New Roman" w:eastAsia="Times New Roman" w:hAnsi="Times New Roman" w:cs="Times New Roman"/>
          <w:color w:val="000000"/>
          <w:sz w:val="24"/>
          <w:szCs w:val="24"/>
          <w:lang w:eastAsia="bg-BG"/>
        </w:rPr>
        <w:t xml:space="preserve">, обявяването на процедурата се </w:t>
      </w:r>
      <w:r w:rsidR="0046240D" w:rsidRPr="007D063B">
        <w:rPr>
          <w:rFonts w:ascii="Times New Roman" w:eastAsia="Times New Roman" w:hAnsi="Times New Roman" w:cs="Times New Roman"/>
          <w:color w:val="000000"/>
          <w:sz w:val="24"/>
          <w:szCs w:val="24"/>
          <w:lang w:eastAsia="bg-BG"/>
        </w:rPr>
        <w:t>отложи за началото на 2017</w:t>
      </w:r>
      <w:r w:rsidR="00EB1450" w:rsidRPr="007D063B">
        <w:rPr>
          <w:rFonts w:ascii="Times New Roman" w:eastAsia="Times New Roman" w:hAnsi="Times New Roman" w:cs="Times New Roman"/>
          <w:color w:val="000000"/>
          <w:sz w:val="24"/>
          <w:szCs w:val="24"/>
          <w:lang w:eastAsia="bg-BG"/>
        </w:rPr>
        <w:t xml:space="preserve">. </w:t>
      </w:r>
      <w:r w:rsidRPr="007D063B">
        <w:rPr>
          <w:rFonts w:ascii="Times New Roman" w:eastAsia="Times New Roman" w:hAnsi="Times New Roman" w:cs="Times New Roman"/>
          <w:color w:val="000000"/>
          <w:sz w:val="24"/>
          <w:szCs w:val="24"/>
          <w:lang w:eastAsia="bg-BG"/>
        </w:rPr>
        <w:t xml:space="preserve"> </w:t>
      </w:r>
      <w:r w:rsidR="00B441D3" w:rsidRPr="007D063B">
        <w:rPr>
          <w:rFonts w:ascii="Times New Roman" w:eastAsia="Times New Roman" w:hAnsi="Times New Roman" w:cs="Times New Roman"/>
          <w:color w:val="000000"/>
          <w:sz w:val="24"/>
          <w:szCs w:val="24"/>
          <w:lang w:eastAsia="bg-BG"/>
        </w:rPr>
        <w:t>От 11.01. д</w:t>
      </w:r>
      <w:r w:rsidR="0057780B" w:rsidRPr="007D063B">
        <w:rPr>
          <w:rFonts w:ascii="Times New Roman" w:eastAsia="Times New Roman" w:hAnsi="Times New Roman" w:cs="Times New Roman"/>
          <w:color w:val="000000"/>
          <w:sz w:val="24"/>
          <w:szCs w:val="24"/>
          <w:lang w:eastAsia="bg-BG"/>
        </w:rPr>
        <w:t xml:space="preserve">о 31.01.2017 г. беше проведено и обществено обсъждане на Насоките за кандидатстване по процедурата. </w:t>
      </w:r>
      <w:r w:rsidR="00F76C93" w:rsidRPr="007D063B">
        <w:rPr>
          <w:rFonts w:ascii="Times New Roman" w:eastAsia="Times New Roman" w:hAnsi="Times New Roman" w:cs="Times New Roman"/>
          <w:color w:val="000000"/>
          <w:sz w:val="24"/>
          <w:szCs w:val="24"/>
          <w:lang w:eastAsia="bg-BG"/>
        </w:rPr>
        <w:t>П</w:t>
      </w:r>
      <w:r w:rsidR="0057780B" w:rsidRPr="007D063B">
        <w:rPr>
          <w:rFonts w:ascii="Times New Roman" w:eastAsia="Times New Roman" w:hAnsi="Times New Roman" w:cs="Times New Roman"/>
          <w:color w:val="000000"/>
          <w:sz w:val="24"/>
          <w:szCs w:val="24"/>
          <w:lang w:eastAsia="bg-BG"/>
        </w:rPr>
        <w:t>роцедурата беше отворена за кандидатстване на 27.02.2017 г.</w:t>
      </w:r>
    </w:p>
    <w:p w14:paraId="11BB6E7A" w14:textId="7F1F4304" w:rsidR="00F37887" w:rsidRPr="007D063B" w:rsidRDefault="0057780B" w:rsidP="003E0556">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xml:space="preserve">Процедура 8 не беше отворена за кандидатстване в рамките на 2016 г., </w:t>
      </w:r>
      <w:r w:rsidR="0046240D" w:rsidRPr="007D063B">
        <w:rPr>
          <w:rFonts w:ascii="Times New Roman" w:eastAsia="Times New Roman" w:hAnsi="Times New Roman" w:cs="Times New Roman"/>
          <w:color w:val="000000"/>
          <w:sz w:val="24"/>
          <w:szCs w:val="24"/>
          <w:lang w:eastAsia="bg-BG"/>
        </w:rPr>
        <w:t xml:space="preserve"> тъй като след задължителното съгласуване на Насоките с Министерство на финансите в края на 2016 г. се наложи да се извършат корекции и допълнения </w:t>
      </w:r>
      <w:r w:rsidR="000F1FDC" w:rsidRPr="007D063B">
        <w:rPr>
          <w:rFonts w:ascii="Times New Roman" w:eastAsia="Times New Roman" w:hAnsi="Times New Roman" w:cs="Times New Roman"/>
          <w:color w:val="000000"/>
          <w:sz w:val="24"/>
          <w:szCs w:val="24"/>
          <w:lang w:eastAsia="bg-BG"/>
        </w:rPr>
        <w:t>в</w:t>
      </w:r>
      <w:r w:rsidR="0046240D" w:rsidRPr="007D063B">
        <w:rPr>
          <w:rFonts w:ascii="Times New Roman" w:eastAsia="Times New Roman" w:hAnsi="Times New Roman" w:cs="Times New Roman"/>
          <w:color w:val="000000"/>
          <w:sz w:val="24"/>
          <w:szCs w:val="24"/>
          <w:lang w:eastAsia="bg-BG"/>
        </w:rPr>
        <w:t xml:space="preserve"> Насоките за кандидатстване по отношение на правилата за държавни помощи и повторното им съгласуване с конкретния бенефициент – НСОРБ.</w:t>
      </w:r>
      <w:r w:rsidR="000F1FDC" w:rsidRPr="007D063B">
        <w:rPr>
          <w:rFonts w:ascii="Times New Roman" w:eastAsia="Times New Roman" w:hAnsi="Times New Roman" w:cs="Times New Roman"/>
          <w:color w:val="000000"/>
          <w:sz w:val="24"/>
          <w:szCs w:val="24"/>
          <w:lang w:eastAsia="bg-BG"/>
        </w:rPr>
        <w:t xml:space="preserve"> Процедурата </w:t>
      </w:r>
      <w:r w:rsidR="00303699" w:rsidRPr="007D063B">
        <w:rPr>
          <w:rFonts w:ascii="Times New Roman" w:eastAsia="Times New Roman" w:hAnsi="Times New Roman" w:cs="Times New Roman"/>
          <w:color w:val="000000"/>
          <w:sz w:val="24"/>
          <w:szCs w:val="24"/>
          <w:lang w:eastAsia="bg-BG"/>
        </w:rPr>
        <w:t xml:space="preserve">предстои да се </w:t>
      </w:r>
      <w:r w:rsidR="003D3300" w:rsidRPr="007D063B">
        <w:rPr>
          <w:rFonts w:ascii="Times New Roman" w:eastAsia="Times New Roman" w:hAnsi="Times New Roman" w:cs="Times New Roman"/>
          <w:color w:val="000000"/>
          <w:sz w:val="24"/>
          <w:szCs w:val="24"/>
          <w:lang w:eastAsia="bg-BG"/>
        </w:rPr>
        <w:t>отвор</w:t>
      </w:r>
      <w:r w:rsidR="00303699" w:rsidRPr="007D063B">
        <w:rPr>
          <w:rFonts w:ascii="Times New Roman" w:eastAsia="Times New Roman" w:hAnsi="Times New Roman" w:cs="Times New Roman"/>
          <w:color w:val="000000"/>
          <w:sz w:val="24"/>
          <w:szCs w:val="24"/>
          <w:lang w:eastAsia="bg-BG"/>
        </w:rPr>
        <w:t>и</w:t>
      </w:r>
      <w:r w:rsidR="003D3300" w:rsidRPr="007D063B">
        <w:rPr>
          <w:rFonts w:ascii="Times New Roman" w:eastAsia="Times New Roman" w:hAnsi="Times New Roman" w:cs="Times New Roman"/>
          <w:color w:val="000000"/>
          <w:sz w:val="24"/>
          <w:szCs w:val="24"/>
          <w:lang w:eastAsia="bg-BG"/>
        </w:rPr>
        <w:t xml:space="preserve"> през 2017.</w:t>
      </w:r>
    </w:p>
    <w:p w14:paraId="476BAC96" w14:textId="52AD783C" w:rsidR="003747FE" w:rsidRPr="007D063B" w:rsidRDefault="003747FE" w:rsidP="0057780B">
      <w:pPr>
        <w:shd w:val="clear" w:color="auto" w:fill="FFFFFF"/>
        <w:spacing w:before="120" w:after="0" w:line="240" w:lineRule="auto"/>
        <w:rPr>
          <w:rFonts w:ascii="Times New Roman" w:hAnsi="Times New Roman"/>
          <w:color w:val="000000"/>
          <w:szCs w:val="24"/>
          <w:lang w:eastAsia="bg-BG"/>
        </w:rPr>
      </w:pPr>
      <w:r w:rsidRPr="007D063B">
        <w:rPr>
          <w:rFonts w:ascii="Times New Roman" w:eastAsia="Times New Roman" w:hAnsi="Times New Roman" w:cs="Times New Roman"/>
          <w:color w:val="000000"/>
          <w:sz w:val="24"/>
          <w:szCs w:val="24"/>
          <w:lang w:eastAsia="bg-BG"/>
        </w:rPr>
        <w:lastRenderedPageBreak/>
        <w:t>В изпълнение на ИГРП 2015 и ИГРП 2016 г. през 2016 г. са сключени 57 договора</w:t>
      </w:r>
      <w:r w:rsidR="00B441D3" w:rsidRPr="007D063B">
        <w:rPr>
          <w:rFonts w:ascii="Times New Roman" w:eastAsia="Times New Roman" w:hAnsi="Times New Roman" w:cs="Times New Roman"/>
          <w:color w:val="000000"/>
          <w:sz w:val="24"/>
          <w:szCs w:val="24"/>
          <w:lang w:eastAsia="bg-BG"/>
        </w:rPr>
        <w:t>/заповеди</w:t>
      </w:r>
      <w:r w:rsidRPr="007D063B">
        <w:rPr>
          <w:rFonts w:ascii="Times New Roman" w:eastAsia="Times New Roman" w:hAnsi="Times New Roman" w:cs="Times New Roman"/>
          <w:color w:val="000000"/>
          <w:sz w:val="24"/>
          <w:szCs w:val="24"/>
          <w:lang w:eastAsia="bg-BG"/>
        </w:rPr>
        <w:t xml:space="preserve"> за БФП на обща стойност 112 </w:t>
      </w:r>
      <w:r w:rsidR="00997FAA" w:rsidRPr="007D063B">
        <w:rPr>
          <w:rFonts w:ascii="Times New Roman" w:eastAsia="Times New Roman" w:hAnsi="Times New Roman" w:cs="Times New Roman"/>
          <w:color w:val="000000"/>
          <w:sz w:val="24"/>
          <w:szCs w:val="24"/>
          <w:lang w:val="ru-RU" w:eastAsia="bg-BG"/>
        </w:rPr>
        <w:t>046</w:t>
      </w:r>
      <w:r w:rsidRPr="007D063B">
        <w:rPr>
          <w:rFonts w:ascii="Times New Roman" w:eastAsia="Times New Roman" w:hAnsi="Times New Roman" w:cs="Times New Roman"/>
          <w:color w:val="000000"/>
          <w:sz w:val="24"/>
          <w:szCs w:val="24"/>
          <w:lang w:eastAsia="bg-BG"/>
        </w:rPr>
        <w:t> </w:t>
      </w:r>
      <w:r w:rsidR="00997FAA" w:rsidRPr="007D063B">
        <w:rPr>
          <w:rFonts w:ascii="Times New Roman" w:eastAsia="Times New Roman" w:hAnsi="Times New Roman" w:cs="Times New Roman"/>
          <w:color w:val="000000"/>
          <w:sz w:val="24"/>
          <w:szCs w:val="24"/>
          <w:lang w:eastAsia="bg-BG"/>
        </w:rPr>
        <w:t>938</w:t>
      </w:r>
      <w:r w:rsidRPr="007D063B">
        <w:rPr>
          <w:rFonts w:ascii="Times New Roman" w:eastAsia="Times New Roman" w:hAnsi="Times New Roman" w:cs="Times New Roman"/>
          <w:color w:val="000000"/>
          <w:sz w:val="24"/>
          <w:szCs w:val="24"/>
          <w:lang w:eastAsia="bg-BG"/>
        </w:rPr>
        <w:t xml:space="preserve">,01 лв. </w:t>
      </w:r>
    </w:p>
    <w:p w14:paraId="55E09D62" w14:textId="084DD56D" w:rsidR="00A62A62" w:rsidRPr="007D063B" w:rsidRDefault="009B276B" w:rsidP="009B276B">
      <w:pPr>
        <w:shd w:val="clear" w:color="auto" w:fill="FFFFFF"/>
        <w:spacing w:before="120" w:after="0" w:line="240" w:lineRule="auto"/>
        <w:jc w:val="both"/>
        <w:rPr>
          <w:rFonts w:ascii="Times New Roman" w:eastAsia="Times New Roman" w:hAnsi="Times New Roman" w:cs="Times New Roman"/>
          <w:color w:val="000000"/>
          <w:sz w:val="24"/>
          <w:szCs w:val="24"/>
          <w:lang w:val="ru-RU" w:eastAsia="bg-BG"/>
        </w:rPr>
      </w:pPr>
      <w:r w:rsidRPr="007D063B">
        <w:rPr>
          <w:rFonts w:ascii="Times New Roman" w:eastAsia="Times New Roman" w:hAnsi="Times New Roman" w:cs="Times New Roman"/>
          <w:color w:val="000000"/>
          <w:sz w:val="24"/>
          <w:szCs w:val="24"/>
          <w:lang w:eastAsia="bg-BG"/>
        </w:rPr>
        <w:t>И</w:t>
      </w:r>
      <w:r w:rsidR="00566DC6" w:rsidRPr="007D063B">
        <w:rPr>
          <w:rFonts w:ascii="Times New Roman" w:eastAsia="Times New Roman" w:hAnsi="Times New Roman" w:cs="Times New Roman"/>
          <w:color w:val="000000"/>
          <w:sz w:val="24"/>
          <w:szCs w:val="24"/>
          <w:lang w:eastAsia="bg-BG"/>
        </w:rPr>
        <w:t xml:space="preserve">ндикаторите </w:t>
      </w:r>
      <w:r w:rsidRPr="007D063B">
        <w:rPr>
          <w:rFonts w:ascii="Times New Roman" w:eastAsia="Times New Roman" w:hAnsi="Times New Roman" w:cs="Times New Roman"/>
          <w:color w:val="000000"/>
          <w:sz w:val="24"/>
          <w:szCs w:val="24"/>
          <w:lang w:eastAsia="bg-BG"/>
        </w:rPr>
        <w:t xml:space="preserve">са отчетени </w:t>
      </w:r>
      <w:r w:rsidR="00566DC6" w:rsidRPr="007D063B">
        <w:rPr>
          <w:rFonts w:ascii="Times New Roman" w:eastAsia="Times New Roman" w:hAnsi="Times New Roman" w:cs="Times New Roman"/>
          <w:color w:val="000000"/>
          <w:sz w:val="24"/>
          <w:szCs w:val="24"/>
          <w:lang w:eastAsia="bg-BG"/>
        </w:rPr>
        <w:t xml:space="preserve">въз основа на </w:t>
      </w:r>
      <w:r w:rsidRPr="007D063B">
        <w:rPr>
          <w:rFonts w:ascii="Times New Roman" w:eastAsia="Times New Roman" w:hAnsi="Times New Roman" w:cs="Times New Roman"/>
          <w:color w:val="000000"/>
          <w:sz w:val="24"/>
          <w:szCs w:val="24"/>
          <w:lang w:eastAsia="bg-BG"/>
        </w:rPr>
        <w:t>частично изпълнени операции</w:t>
      </w:r>
      <w:r w:rsidR="00566DC6" w:rsidRPr="007D063B">
        <w:rPr>
          <w:rFonts w:ascii="Times New Roman" w:eastAsia="Times New Roman" w:hAnsi="Times New Roman" w:cs="Times New Roman"/>
          <w:color w:val="000000"/>
          <w:sz w:val="24"/>
          <w:szCs w:val="24"/>
          <w:lang w:eastAsia="bg-BG"/>
        </w:rPr>
        <w:t>.</w:t>
      </w:r>
      <w:r w:rsidR="00997FAA" w:rsidRPr="007D063B">
        <w:rPr>
          <w:rFonts w:ascii="Times New Roman" w:eastAsia="Times New Roman" w:hAnsi="Times New Roman" w:cs="Times New Roman"/>
          <w:color w:val="000000"/>
          <w:sz w:val="24"/>
          <w:szCs w:val="24"/>
          <w:lang w:val="ru-RU" w:eastAsia="bg-BG"/>
        </w:rPr>
        <w:t xml:space="preserve"> При отчитането на индикаторите за резултат са спазени дефинициите и методът на изчисление съгласно разработените в съответствие със структурата за справочни метаданни на Евростат (</w:t>
      </w:r>
      <w:r w:rsidR="00997FAA" w:rsidRPr="007D063B">
        <w:rPr>
          <w:rFonts w:ascii="Times New Roman" w:eastAsia="Times New Roman" w:hAnsi="Times New Roman" w:cs="Times New Roman"/>
          <w:color w:val="000000"/>
          <w:sz w:val="24"/>
          <w:szCs w:val="24"/>
          <w:lang w:val="en-US" w:eastAsia="bg-BG"/>
        </w:rPr>
        <w:t>ESMS</w:t>
      </w:r>
      <w:r w:rsidR="00997FAA" w:rsidRPr="007D063B">
        <w:rPr>
          <w:rFonts w:ascii="Times New Roman" w:eastAsia="Times New Roman" w:hAnsi="Times New Roman" w:cs="Times New Roman"/>
          <w:color w:val="000000"/>
          <w:sz w:val="24"/>
          <w:szCs w:val="24"/>
          <w:lang w:val="ru-RU" w:eastAsia="bg-BG"/>
        </w:rPr>
        <w:t>) метаданни по индикаторите. Последното е писмено потвърдено от НСИ.</w:t>
      </w:r>
    </w:p>
    <w:p w14:paraId="17C8DE1D" w14:textId="77777777" w:rsidR="00CA2A1D" w:rsidRPr="007D063B" w:rsidRDefault="00CA2A1D">
      <w:pPr>
        <w:rPr>
          <w:rFonts w:ascii="Times New Roman" w:eastAsia="Times New Roman" w:hAnsi="Times New Roman" w:cs="Times New Roman"/>
          <w:b/>
          <w:bCs/>
          <w:color w:val="000000"/>
          <w:sz w:val="24"/>
          <w:szCs w:val="24"/>
          <w:lang w:eastAsia="bg-BG"/>
        </w:rPr>
      </w:pPr>
      <w:r w:rsidRPr="007D063B">
        <w:rPr>
          <w:rFonts w:ascii="Times New Roman" w:eastAsia="Times New Roman" w:hAnsi="Times New Roman" w:cs="Times New Roman"/>
          <w:b/>
          <w:bCs/>
          <w:color w:val="000000"/>
          <w:sz w:val="24"/>
          <w:szCs w:val="24"/>
          <w:lang w:eastAsia="bg-BG"/>
        </w:rPr>
        <w:br w:type="page"/>
      </w:r>
    </w:p>
    <w:p w14:paraId="65BD887B" w14:textId="39EEC358" w:rsidR="009C6F83" w:rsidRPr="007D063B" w:rsidRDefault="009C6F83" w:rsidP="0003529E">
      <w:pPr>
        <w:pStyle w:val="Heading1"/>
        <w:rPr>
          <w:rFonts w:ascii="Times New Roman" w:eastAsia="Times New Roman" w:hAnsi="Times New Roman" w:cs="Times New Roman"/>
          <w:b/>
          <w:bCs/>
          <w:color w:val="000000"/>
          <w:sz w:val="24"/>
          <w:szCs w:val="24"/>
          <w:lang w:eastAsia="bg-BG"/>
        </w:rPr>
      </w:pPr>
      <w:bookmarkStart w:id="2" w:name="_Toc481594263"/>
      <w:r w:rsidRPr="007D063B">
        <w:rPr>
          <w:rFonts w:ascii="Times New Roman" w:eastAsia="Times New Roman" w:hAnsi="Times New Roman" w:cs="Times New Roman"/>
          <w:b/>
          <w:bCs/>
          <w:color w:val="000000"/>
          <w:sz w:val="24"/>
          <w:szCs w:val="24"/>
          <w:lang w:eastAsia="bg-BG"/>
        </w:rPr>
        <w:lastRenderedPageBreak/>
        <w:t>3.   ИЗПЪЛНЕНИЕ НА ПРИОРИТЕТНАТА ОС (член 50, параграф 2 от Регламент (ЕС) № 1303/2013)</w:t>
      </w:r>
      <w:bookmarkEnd w:id="2"/>
    </w:p>
    <w:p w14:paraId="3329B53F" w14:textId="5C6AE0BA" w:rsidR="009C6F83" w:rsidRPr="007D063B" w:rsidRDefault="009C6F83" w:rsidP="0003529E">
      <w:pPr>
        <w:pStyle w:val="Heading2"/>
        <w:rPr>
          <w:rFonts w:ascii="inherit" w:eastAsia="Times New Roman" w:hAnsi="inherit" w:cs="Times New Roman"/>
          <w:b/>
          <w:bCs/>
          <w:color w:val="000000"/>
          <w:sz w:val="24"/>
          <w:szCs w:val="24"/>
          <w:lang w:eastAsia="bg-BG"/>
        </w:rPr>
      </w:pPr>
      <w:bookmarkStart w:id="3" w:name="_Toc481594264"/>
      <w:r w:rsidRPr="007D063B">
        <w:rPr>
          <w:rFonts w:ascii="Times New Roman" w:eastAsia="Times New Roman" w:hAnsi="Times New Roman" w:cs="Times New Roman"/>
          <w:b/>
          <w:bCs/>
          <w:color w:val="000000"/>
          <w:sz w:val="24"/>
          <w:szCs w:val="24"/>
          <w:lang w:eastAsia="bg-BG"/>
        </w:rPr>
        <w:t>3.1   </w:t>
      </w:r>
      <w:r w:rsidRPr="007D063B">
        <w:rPr>
          <w:rFonts w:ascii="inherit" w:eastAsia="Times New Roman" w:hAnsi="inherit" w:cs="Times New Roman"/>
          <w:b/>
          <w:bCs/>
          <w:color w:val="000000"/>
          <w:sz w:val="24"/>
          <w:szCs w:val="24"/>
          <w:lang w:eastAsia="bg-BG"/>
        </w:rPr>
        <w:t xml:space="preserve">Преглед на </w:t>
      </w:r>
      <w:r w:rsidR="00D50BC4" w:rsidRPr="007D063B">
        <w:rPr>
          <w:rFonts w:ascii="inherit" w:eastAsia="Times New Roman" w:hAnsi="inherit" w:cs="Times New Roman"/>
          <w:b/>
          <w:bCs/>
          <w:color w:val="000000"/>
          <w:sz w:val="24"/>
          <w:szCs w:val="24"/>
          <w:lang w:eastAsia="bg-BG"/>
        </w:rPr>
        <w:t>изпълнението – приоритетна ос 1</w:t>
      </w:r>
      <w:bookmarkEnd w:id="3"/>
    </w:p>
    <w:p w14:paraId="339A505A" w14:textId="77777777" w:rsidR="00D279B7" w:rsidRPr="007D063B" w:rsidRDefault="00D279B7" w:rsidP="0003529E">
      <w:pPr>
        <w:rPr>
          <w:rFonts w:ascii="Times New Roman" w:hAnsi="Times New Roman" w:cs="Times New Roman"/>
          <w:lang w:eastAsia="bg-BG"/>
        </w:rPr>
      </w:pP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883"/>
        <w:gridCol w:w="1670"/>
        <w:gridCol w:w="10481"/>
      </w:tblGrid>
      <w:tr w:rsidR="00A4579C" w:rsidRPr="007D063B" w14:paraId="30B85658" w14:textId="77777777" w:rsidTr="009C6F83">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21AEE34"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lang w:eastAsia="bg-BG"/>
              </w:rPr>
            </w:pPr>
            <w:r w:rsidRPr="007D063B">
              <w:rPr>
                <w:rFonts w:ascii="Times New Roman" w:eastAsia="Times New Roman" w:hAnsi="Times New Roman" w:cs="Times New Roman"/>
                <w:b/>
                <w:bCs/>
                <w:color w:val="000000"/>
                <w:lang w:eastAsia="bg-BG"/>
              </w:rPr>
              <w:t>Идентификация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E312332"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lang w:eastAsia="bg-BG"/>
              </w:rPr>
            </w:pPr>
            <w:r w:rsidRPr="007D063B">
              <w:rPr>
                <w:rFonts w:ascii="Times New Roman" w:eastAsia="Times New Roman" w:hAnsi="Times New Roman" w:cs="Times New Roman"/>
                <w:b/>
                <w:bCs/>
                <w:color w:val="000000"/>
                <w:lang w:eastAsia="bg-BG"/>
              </w:rPr>
              <w:t>Приоритетна ос</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E201AFD"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lang w:eastAsia="bg-BG"/>
              </w:rPr>
            </w:pPr>
            <w:r w:rsidRPr="007D063B">
              <w:rPr>
                <w:rFonts w:ascii="Times New Roman" w:eastAsia="Times New Roman" w:hAnsi="Times New Roman" w:cs="Times New Roman"/>
                <w:b/>
                <w:bCs/>
                <w:color w:val="000000"/>
                <w:lang w:eastAsia="bg-BG"/>
              </w:rPr>
              <w:t>Ключова информация относно изпълнението на приоритетната ос с позоваване на ключови събития, значителни проблеми и стъпките, предприети за преодоляване на тези проблеми</w:t>
            </w:r>
          </w:p>
        </w:tc>
      </w:tr>
      <w:tr w:rsidR="00A4579C" w:rsidRPr="007D063B" w14:paraId="663F065D" w14:textId="77777777" w:rsidTr="009C6F83">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AD54051" w14:textId="77777777" w:rsidR="009C6F83" w:rsidRPr="007D063B" w:rsidRDefault="009C6F83" w:rsidP="009C6F83">
            <w:pPr>
              <w:spacing w:before="60" w:after="60" w:line="240" w:lineRule="auto"/>
              <w:rPr>
                <w:rFonts w:ascii="Times New Roman" w:eastAsia="Times New Roman" w:hAnsi="Times New Roman" w:cs="Times New Roman"/>
                <w:color w:val="000000"/>
                <w:lang w:eastAsia="bg-BG"/>
              </w:rPr>
            </w:pPr>
            <w:r w:rsidRPr="007D063B">
              <w:rPr>
                <w:rFonts w:ascii="Times New Roman" w:eastAsia="Times New Roman" w:hAnsi="Times New Roman" w:cs="Times New Roman"/>
                <w:i/>
                <w:iCs/>
                <w:color w:val="000000"/>
                <w:lang w:eastAsia="bg-BG"/>
              </w:rPr>
              <w:t>&lt;type='S'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2112ECE" w14:textId="77777777" w:rsidR="009C6F83" w:rsidRPr="007D063B" w:rsidRDefault="009C6F83" w:rsidP="009C6F83">
            <w:pPr>
              <w:spacing w:before="60" w:after="60" w:line="240" w:lineRule="auto"/>
              <w:rPr>
                <w:rFonts w:ascii="Times New Roman" w:eastAsia="Times New Roman" w:hAnsi="Times New Roman" w:cs="Times New Roman"/>
                <w:color w:val="000000"/>
                <w:lang w:eastAsia="bg-BG"/>
              </w:rPr>
            </w:pPr>
            <w:r w:rsidRPr="007D063B">
              <w:rPr>
                <w:rFonts w:ascii="Times New Roman" w:eastAsia="Times New Roman" w:hAnsi="Times New Roman" w:cs="Times New Roman"/>
                <w:i/>
                <w:iCs/>
                <w:color w:val="000000"/>
                <w:lang w:eastAsia="bg-BG"/>
              </w:rPr>
              <w:t>&lt;type='S'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83D6455" w14:textId="77777777" w:rsidR="009C6F83" w:rsidRPr="007D063B" w:rsidRDefault="009C6F83" w:rsidP="009C6F83">
            <w:pPr>
              <w:spacing w:before="60" w:after="60" w:line="240" w:lineRule="auto"/>
              <w:rPr>
                <w:rFonts w:ascii="Times New Roman" w:eastAsia="Times New Roman" w:hAnsi="Times New Roman" w:cs="Times New Roman"/>
                <w:color w:val="000000"/>
                <w:lang w:eastAsia="bg-BG"/>
              </w:rPr>
            </w:pPr>
            <w:r w:rsidRPr="007D063B">
              <w:rPr>
                <w:rFonts w:ascii="Times New Roman" w:eastAsia="Times New Roman" w:hAnsi="Times New Roman" w:cs="Times New Roman"/>
                <w:i/>
                <w:iCs/>
                <w:color w:val="000000"/>
                <w:lang w:eastAsia="bg-BG"/>
              </w:rPr>
              <w:t>&lt;type='S' maxlength=1750 input='M'&gt;</w:t>
            </w:r>
          </w:p>
        </w:tc>
      </w:tr>
      <w:tr w:rsidR="00A4579C" w:rsidRPr="007D063B" w14:paraId="1A929A4D" w14:textId="77777777" w:rsidTr="009C6F83">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2CC2335A" w14:textId="77777777" w:rsidR="001A2FAB" w:rsidRPr="007D063B" w:rsidRDefault="001A2FAB" w:rsidP="009C6F83">
            <w:pPr>
              <w:spacing w:before="60" w:after="60" w:line="240" w:lineRule="auto"/>
              <w:rPr>
                <w:rFonts w:ascii="Times New Roman" w:eastAsia="Times New Roman" w:hAnsi="Times New Roman" w:cs="Times New Roman"/>
                <w:i/>
                <w:iCs/>
                <w:color w:val="000000"/>
                <w:lang w:eastAsia="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3138DC43" w14:textId="67E003A7" w:rsidR="001A2FAB" w:rsidRPr="007D063B" w:rsidRDefault="001A2FAB" w:rsidP="001A2FAB">
            <w:pPr>
              <w:spacing w:before="60" w:after="60" w:line="240" w:lineRule="auto"/>
              <w:ind w:right="195"/>
              <w:jc w:val="center"/>
              <w:rPr>
                <w:rFonts w:ascii="Times New Roman" w:eastAsia="Times New Roman" w:hAnsi="Times New Roman" w:cs="Times New Roman"/>
                <w:b/>
                <w:bCs/>
                <w:color w:val="000000"/>
                <w:lang w:eastAsia="bg-BG"/>
              </w:rPr>
            </w:pPr>
            <w:r w:rsidRPr="007D063B">
              <w:rPr>
                <w:rFonts w:ascii="Times New Roman" w:eastAsia="Times New Roman" w:hAnsi="Times New Roman" w:cs="Times New Roman"/>
                <w:b/>
                <w:bCs/>
                <w:color w:val="000000"/>
                <w:lang w:eastAsia="bg-BG"/>
              </w:rPr>
              <w:t>ПО 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4D5290D9" w14:textId="7502C274" w:rsidR="003B73DC" w:rsidRPr="007D063B" w:rsidRDefault="003B73DC" w:rsidP="003B73DC">
            <w:pPr>
              <w:rPr>
                <w:rFonts w:ascii="Times New Roman" w:hAnsi="Times New Roman" w:cs="Times New Roman"/>
                <w:sz w:val="24"/>
                <w:szCs w:val="24"/>
              </w:rPr>
            </w:pPr>
            <w:r w:rsidRPr="007D063B">
              <w:rPr>
                <w:rFonts w:ascii="Times New Roman" w:hAnsi="Times New Roman" w:cs="Times New Roman"/>
                <w:sz w:val="24"/>
                <w:szCs w:val="24"/>
              </w:rPr>
              <w:t>По ПО 1 през 2016 г. са обявени 2 процедури. Получени са 24 проектни предложения, като 1 от тях се финансира съвместно по ПО1 и ПО2.</w:t>
            </w:r>
            <w:r w:rsidR="00127857" w:rsidRPr="007D063B">
              <w:rPr>
                <w:rFonts w:ascii="Times New Roman" w:hAnsi="Times New Roman" w:cs="Times New Roman"/>
                <w:sz w:val="24"/>
                <w:szCs w:val="24"/>
              </w:rPr>
              <w:t xml:space="preserve"> </w:t>
            </w:r>
            <w:r w:rsidRPr="007D063B">
              <w:rPr>
                <w:rFonts w:ascii="Times New Roman" w:hAnsi="Times New Roman" w:cs="Times New Roman"/>
                <w:sz w:val="24"/>
                <w:szCs w:val="24"/>
              </w:rPr>
              <w:t>До края на 2016 г. са сключени 2 договора за БФП. Всички останали проектни предложения са в оценка.</w:t>
            </w:r>
            <w:r w:rsidR="00127857" w:rsidRPr="007D063B">
              <w:rPr>
                <w:rFonts w:ascii="Times New Roman" w:hAnsi="Times New Roman" w:cs="Times New Roman"/>
                <w:sz w:val="24"/>
                <w:szCs w:val="24"/>
              </w:rPr>
              <w:t xml:space="preserve"> </w:t>
            </w:r>
            <w:r w:rsidRPr="007D063B">
              <w:rPr>
                <w:rFonts w:ascii="Times New Roman" w:hAnsi="Times New Roman" w:cs="Times New Roman"/>
                <w:sz w:val="24"/>
                <w:szCs w:val="24"/>
              </w:rPr>
              <w:t xml:space="preserve">Не беше подаден ключов проект от Етап 1 на ПК СРЕУ  - за изграждане на ДХЧО, а по-голямата част от проектните предложения бяха подадени в края на срока за кандидатстване – през декември 2016 г. Това води до късно стартиране изпълнението на проектите и риск от изпълнението им в срок - 31.12.2018 г.). Основните причини са свързани с  неколкократното изменение на ПК СРЕУ, значителните промени в Закона за електронно управление от юли 2016 г., както и късното структуриране на Държавна агенция „Електронно управление“ (ДАЕУ). </w:t>
            </w:r>
          </w:p>
          <w:p w14:paraId="738BA8E6" w14:textId="77777777" w:rsidR="003B73DC" w:rsidRPr="007D063B" w:rsidRDefault="003B73DC" w:rsidP="003B73DC">
            <w:pPr>
              <w:rPr>
                <w:rFonts w:ascii="Times New Roman" w:hAnsi="Times New Roman" w:cs="Times New Roman"/>
                <w:sz w:val="24"/>
                <w:szCs w:val="24"/>
              </w:rPr>
            </w:pPr>
            <w:r w:rsidRPr="007D063B">
              <w:rPr>
                <w:rFonts w:ascii="Times New Roman" w:hAnsi="Times New Roman" w:cs="Times New Roman"/>
                <w:sz w:val="24"/>
                <w:szCs w:val="24"/>
              </w:rPr>
              <w:t>По процедура BG05SFOP001-1.001 от ИГРП 2015 от 2016 г. по ПО1 се изпълняват следните проекти:</w:t>
            </w:r>
          </w:p>
          <w:p w14:paraId="4FDB781D" w14:textId="77777777" w:rsidR="003B73DC" w:rsidRPr="007D063B" w:rsidRDefault="003B73DC" w:rsidP="003B73DC">
            <w:pPr>
              <w:rPr>
                <w:rFonts w:ascii="Times New Roman" w:hAnsi="Times New Roman" w:cs="Times New Roman"/>
                <w:sz w:val="24"/>
                <w:szCs w:val="24"/>
              </w:rPr>
            </w:pPr>
            <w:r w:rsidRPr="007D063B">
              <w:rPr>
                <w:rFonts w:ascii="Times New Roman" w:hAnsi="Times New Roman" w:cs="Times New Roman"/>
                <w:sz w:val="24"/>
                <w:szCs w:val="24"/>
              </w:rPr>
              <w:t xml:space="preserve">-„Инвентаризация на информационно-комуникационната инфраструктура за нуждите на електронното управление“ с бенефициент Изпълнителна агенция „Електронни съобщителни мрежи и информационни системи“ (ЕСМИС) . Към 31.12.2016 г. по проекта няма отчетен напредък и постигнати резултати тъй като агенцията ЕСМИС бе закрита и проектът беше прехвърлен  за изпълнение към новосформираната ДАЕУ. </w:t>
            </w:r>
          </w:p>
          <w:p w14:paraId="6D66C4A3" w14:textId="4230C538" w:rsidR="005C64CA" w:rsidRPr="007D063B" w:rsidRDefault="003B73DC" w:rsidP="003B73DC">
            <w:pPr>
              <w:rPr>
                <w:rFonts w:ascii="Times New Roman" w:eastAsia="Times New Roman" w:hAnsi="Times New Roman" w:cs="Times New Roman"/>
                <w:iCs/>
                <w:color w:val="000000"/>
                <w:lang w:eastAsia="bg-BG"/>
              </w:rPr>
            </w:pPr>
            <w:r w:rsidRPr="007D063B">
              <w:rPr>
                <w:rFonts w:ascii="Times New Roman" w:hAnsi="Times New Roman" w:cs="Times New Roman"/>
                <w:sz w:val="24"/>
                <w:szCs w:val="24"/>
              </w:rPr>
              <w:t>-„Трансформация на модела на административно обслужване“ с бенефициент Администрацията на министерския съвет - към 31.12.2016 от Съвета за административна реформа са одобрени 20 общински услуги за стандартизиране и унифициране, като е започнало поетапното разработване на унификацията на самите услуги. По другите дейности от проекта протичат процедурите за избор на изпълнител.</w:t>
            </w:r>
            <w:r w:rsidR="005C64CA" w:rsidRPr="007D063B">
              <w:rPr>
                <w:rFonts w:ascii="Times New Roman" w:hAnsi="Times New Roman"/>
                <w:color w:val="000000"/>
                <w:szCs w:val="24"/>
                <w:lang w:eastAsia="bg-BG"/>
              </w:rPr>
              <w:t xml:space="preserve"> </w:t>
            </w:r>
          </w:p>
        </w:tc>
      </w:tr>
    </w:tbl>
    <w:p w14:paraId="1AE416CC" w14:textId="797EC3D7" w:rsidR="009C6F83" w:rsidRPr="007D063B" w:rsidRDefault="009C6F83" w:rsidP="0003529E">
      <w:pPr>
        <w:pStyle w:val="Heading2"/>
        <w:rPr>
          <w:rFonts w:ascii="inherit" w:eastAsia="Times New Roman" w:hAnsi="inherit" w:cs="Times New Roman"/>
          <w:b/>
          <w:bCs/>
          <w:color w:val="000000"/>
          <w:sz w:val="24"/>
          <w:szCs w:val="24"/>
          <w:lang w:eastAsia="bg-BG"/>
        </w:rPr>
      </w:pPr>
      <w:bookmarkStart w:id="4" w:name="_Toc481594265"/>
      <w:r w:rsidRPr="007D063B">
        <w:rPr>
          <w:rFonts w:ascii="Times New Roman" w:eastAsia="Times New Roman" w:hAnsi="Times New Roman" w:cs="Times New Roman"/>
          <w:b/>
          <w:bCs/>
          <w:color w:val="000000"/>
          <w:sz w:val="24"/>
          <w:szCs w:val="24"/>
          <w:lang w:eastAsia="bg-BG"/>
        </w:rPr>
        <w:lastRenderedPageBreak/>
        <w:t>3.2   </w:t>
      </w:r>
      <w:r w:rsidRPr="007D063B">
        <w:rPr>
          <w:rFonts w:ascii="inherit" w:eastAsia="Times New Roman" w:hAnsi="inherit" w:cs="Times New Roman"/>
          <w:b/>
          <w:bCs/>
          <w:color w:val="000000"/>
          <w:sz w:val="24"/>
          <w:szCs w:val="24"/>
          <w:lang w:eastAsia="bg-BG"/>
        </w:rPr>
        <w:t>Общи и специфични за програмата показатели (член 50, параграф 2 от Регламент (ЕС) № 1303/2013</w:t>
      </w:r>
      <w:r w:rsidR="00D50BC4" w:rsidRPr="007D063B">
        <w:rPr>
          <w:rFonts w:ascii="inherit" w:eastAsia="Times New Roman" w:hAnsi="inherit" w:cs="Times New Roman"/>
          <w:b/>
          <w:bCs/>
          <w:color w:val="000000"/>
          <w:sz w:val="24"/>
          <w:szCs w:val="24"/>
          <w:lang w:eastAsia="bg-BG"/>
        </w:rPr>
        <w:t>) – приоритетна ос 1</w:t>
      </w:r>
      <w:bookmarkEnd w:id="4"/>
    </w:p>
    <w:p w14:paraId="3B4B50FF" w14:textId="77777777" w:rsidR="009C6F83" w:rsidRPr="007D063B" w:rsidRDefault="009C6F83" w:rsidP="009C6F83">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Данните за общите и специфичните за програмата показатели по инвестиционен приоритет, предавани в таблици 1—4 по-долу.</w:t>
      </w:r>
    </w:p>
    <w:p w14:paraId="0897237B" w14:textId="77777777" w:rsidR="002E01E8" w:rsidRPr="007D063B" w:rsidRDefault="002E01E8" w:rsidP="009C6F83">
      <w:pPr>
        <w:shd w:val="clear" w:color="auto" w:fill="FFFFFF"/>
        <w:spacing w:before="120" w:after="120" w:line="240" w:lineRule="auto"/>
        <w:jc w:val="center"/>
        <w:rPr>
          <w:rFonts w:eastAsia="Times New Roman" w:cs="Times New Roman"/>
          <w:i/>
          <w:iCs/>
          <w:color w:val="000000"/>
          <w:sz w:val="24"/>
          <w:szCs w:val="24"/>
          <w:lang w:eastAsia="bg-BG"/>
        </w:rPr>
      </w:pPr>
    </w:p>
    <w:p w14:paraId="737104E9" w14:textId="77777777" w:rsidR="00CA2A1D" w:rsidRPr="007D063B" w:rsidRDefault="00CA2A1D">
      <w:pPr>
        <w:rPr>
          <w:rFonts w:ascii="inherit" w:eastAsia="Times New Roman" w:hAnsi="inherit" w:cs="Times New Roman"/>
          <w:i/>
          <w:iCs/>
          <w:color w:val="000000"/>
          <w:sz w:val="24"/>
          <w:szCs w:val="24"/>
          <w:lang w:eastAsia="bg-BG"/>
        </w:rPr>
      </w:pPr>
      <w:r w:rsidRPr="007D063B">
        <w:rPr>
          <w:rFonts w:ascii="inherit" w:eastAsia="Times New Roman" w:hAnsi="inherit" w:cs="Times New Roman"/>
          <w:i/>
          <w:iCs/>
          <w:color w:val="000000"/>
          <w:sz w:val="24"/>
          <w:szCs w:val="24"/>
          <w:lang w:eastAsia="bg-BG"/>
        </w:rPr>
        <w:br w:type="page"/>
      </w:r>
    </w:p>
    <w:p w14:paraId="2E171DA3" w14:textId="361C36D9" w:rsidR="009C6F83" w:rsidRPr="007D063B" w:rsidRDefault="009C6F83" w:rsidP="003021AB">
      <w:pPr>
        <w:pStyle w:val="Heading3"/>
        <w:jc w:val="center"/>
        <w:rPr>
          <w:rFonts w:ascii="Times New Roman" w:eastAsia="Times New Roman" w:hAnsi="Times New Roman" w:cs="Times New Roman"/>
          <w:color w:val="000000"/>
          <w:lang w:eastAsia="bg-BG"/>
        </w:rPr>
      </w:pPr>
      <w:bookmarkStart w:id="5" w:name="_Toc481594266"/>
      <w:r w:rsidRPr="007D063B">
        <w:rPr>
          <w:rFonts w:ascii="inherit" w:eastAsia="Times New Roman" w:hAnsi="inherit" w:cs="Times New Roman"/>
          <w:i/>
          <w:iCs/>
          <w:color w:val="000000"/>
          <w:lang w:eastAsia="bg-BG"/>
        </w:rPr>
        <w:lastRenderedPageBreak/>
        <w:t>Таблица 2А</w:t>
      </w:r>
      <w:bookmarkEnd w:id="5"/>
    </w:p>
    <w:p w14:paraId="47D8CA36" w14:textId="77777777" w:rsidR="009C6F83" w:rsidRPr="007D063B" w:rsidRDefault="009C6F83" w:rsidP="009C6F83">
      <w:pPr>
        <w:shd w:val="clear" w:color="auto" w:fill="FFFFFF"/>
        <w:spacing w:before="120" w:after="120" w:line="240" w:lineRule="auto"/>
        <w:jc w:val="center"/>
        <w:rPr>
          <w:rFonts w:ascii="Times New Roman" w:eastAsia="Times New Roman" w:hAnsi="Times New Roman" w:cs="Times New Roman"/>
          <w:color w:val="000000"/>
          <w:sz w:val="24"/>
          <w:szCs w:val="24"/>
          <w:lang w:eastAsia="bg-BG"/>
        </w:rPr>
      </w:pPr>
      <w:r w:rsidRPr="007D063B">
        <w:rPr>
          <w:rFonts w:ascii="inherit" w:eastAsia="Times New Roman" w:hAnsi="inherit" w:cs="Times New Roman"/>
          <w:b/>
          <w:bCs/>
          <w:color w:val="000000"/>
          <w:sz w:val="24"/>
          <w:szCs w:val="24"/>
          <w:lang w:eastAsia="bg-BG"/>
        </w:rPr>
        <w:t>Общи показатели за резултатите за ЕСФ (по приоритетна ос, инвестиционен приоритет и по категория регион). Данните за всички общи показатели за резултатите по ЕСФ (със и без целева стойност) се отчитат с разпределение по пол. По приоритетната ос за техническа помощ се отчитат само тези общи показатели, за които е определена целева стойност</w:t>
      </w:r>
      <w:r w:rsidRPr="007D063B">
        <w:rPr>
          <w:rFonts w:ascii="Times New Roman" w:eastAsia="Times New Roman" w:hAnsi="Times New Roman" w:cs="Times New Roman"/>
          <w:color w:val="000000"/>
          <w:sz w:val="24"/>
          <w:szCs w:val="24"/>
          <w:lang w:eastAsia="bg-BG"/>
        </w:rPr>
        <w:t> </w:t>
      </w:r>
      <w:hyperlink r:id="rId8" w:anchor="ntr4-L_2015038BG.01007201-E0004" w:history="1">
        <w:r w:rsidRPr="007D063B">
          <w:rPr>
            <w:rFonts w:ascii="inherit" w:eastAsia="Times New Roman" w:hAnsi="inherit" w:cs="Times New Roman"/>
            <w:color w:val="0000FF"/>
            <w:sz w:val="24"/>
            <w:szCs w:val="24"/>
            <w:u w:val="single"/>
            <w:lang w:eastAsia="bg-BG"/>
          </w:rPr>
          <w:t> (</w:t>
        </w:r>
        <w:r w:rsidRPr="007D063B">
          <w:rPr>
            <w:rFonts w:ascii="inherit" w:eastAsia="Times New Roman" w:hAnsi="inherit" w:cs="Times New Roman"/>
            <w:color w:val="0000FF"/>
            <w:sz w:val="17"/>
            <w:szCs w:val="17"/>
            <w:u w:val="single"/>
            <w:vertAlign w:val="superscript"/>
            <w:lang w:eastAsia="bg-BG"/>
          </w:rPr>
          <w:t>4</w:t>
        </w:r>
        <w:r w:rsidRPr="007D063B">
          <w:rPr>
            <w:rFonts w:ascii="inherit" w:eastAsia="Times New Roman" w:hAnsi="inherit" w:cs="Times New Roman"/>
            <w:color w:val="0000FF"/>
            <w:sz w:val="24"/>
            <w:szCs w:val="24"/>
            <w:u w:val="single"/>
            <w:lang w:eastAsia="bg-BG"/>
          </w:rPr>
          <w:t>)</w:t>
        </w:r>
      </w:hyperlink>
      <w:r w:rsidRPr="007D063B">
        <w:rPr>
          <w:rFonts w:ascii="Times New Roman" w:eastAsia="Times New Roman" w:hAnsi="Times New Roman" w:cs="Times New Roman"/>
          <w:color w:val="000000"/>
          <w:sz w:val="24"/>
          <w:szCs w:val="24"/>
          <w:lang w:eastAsia="bg-BG"/>
        </w:rPr>
        <w:t> </w:t>
      </w:r>
      <w:hyperlink r:id="rId9" w:anchor="ntr5-L_2015038BG.01007201-E0005" w:history="1">
        <w:r w:rsidRPr="007D063B">
          <w:rPr>
            <w:rFonts w:ascii="inherit" w:eastAsia="Times New Roman" w:hAnsi="inherit" w:cs="Times New Roman"/>
            <w:color w:val="0000FF"/>
            <w:sz w:val="24"/>
            <w:szCs w:val="24"/>
            <w:u w:val="single"/>
            <w:lang w:eastAsia="bg-BG"/>
          </w:rPr>
          <w:t> (</w:t>
        </w:r>
        <w:r w:rsidRPr="007D063B">
          <w:rPr>
            <w:rFonts w:ascii="inherit" w:eastAsia="Times New Roman" w:hAnsi="inherit" w:cs="Times New Roman"/>
            <w:color w:val="0000FF"/>
            <w:sz w:val="17"/>
            <w:szCs w:val="17"/>
            <w:u w:val="single"/>
            <w:vertAlign w:val="superscript"/>
            <w:lang w:eastAsia="bg-BG"/>
          </w:rPr>
          <w:t>5</w:t>
        </w:r>
        <w:r w:rsidRPr="007D063B">
          <w:rPr>
            <w:rFonts w:ascii="inherit" w:eastAsia="Times New Roman" w:hAnsi="inherit" w:cs="Times New Roman"/>
            <w:color w:val="0000FF"/>
            <w:sz w:val="24"/>
            <w:szCs w:val="24"/>
            <w:u w:val="single"/>
            <w:lang w:eastAsia="bg-BG"/>
          </w:rPr>
          <w:t>)</w:t>
        </w:r>
      </w:hyperlink>
    </w:p>
    <w:p w14:paraId="62D244D8" w14:textId="77777777" w:rsidR="009C6F83" w:rsidRPr="007D063B" w:rsidRDefault="009C6F83" w:rsidP="009C6F83">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Инвестиционен приоритет:</w:t>
      </w:r>
    </w:p>
    <w:p w14:paraId="37A7FA65" w14:textId="762380C5" w:rsidR="009C6F83" w:rsidRPr="007D063B" w:rsidRDefault="007E41CE" w:rsidP="009C6F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xml:space="preserve">Инвестиционен приоритет № 11 </w:t>
      </w:r>
      <w:r w:rsidRPr="007D063B">
        <w:rPr>
          <w:rFonts w:ascii="Times New Roman" w:eastAsia="Times New Roman" w:hAnsi="Times New Roman" w:cs="Times New Roman"/>
          <w:color w:val="000000"/>
          <w:sz w:val="24"/>
          <w:szCs w:val="24"/>
          <w:lang w:val="en-US" w:eastAsia="bg-BG"/>
        </w:rPr>
        <w:t>i</w:t>
      </w:r>
      <w:r w:rsidRPr="007D063B">
        <w:rPr>
          <w:rFonts w:ascii="Times New Roman" w:eastAsia="Times New Roman" w:hAnsi="Times New Roman" w:cs="Times New Roman"/>
          <w:color w:val="000000"/>
          <w:sz w:val="24"/>
          <w:szCs w:val="24"/>
          <w:lang w:eastAsia="bg-BG"/>
        </w:rPr>
        <w:t>: Инвестиции в институционален капацитет и в ефикасността на публичните администрации и публичните услуги на национално, регионално и местно равнище с цел осъществяването на реформи и постигането на по-добро регулиране и добро управление</w:t>
      </w:r>
    </w:p>
    <w:p w14:paraId="4B0FEBB1" w14:textId="16E1E917" w:rsidR="00771BB0" w:rsidRPr="007D063B" w:rsidRDefault="00771BB0" w:rsidP="009C6F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Категория регион: По-слабо развити региони</w:t>
      </w:r>
    </w:p>
    <w:tbl>
      <w:tblPr>
        <w:tblW w:w="5018" w:type="pct"/>
        <w:jc w:val="center"/>
        <w:tblCellSpacing w:w="0"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left w:w="0" w:type="dxa"/>
          <w:right w:w="0" w:type="dxa"/>
        </w:tblCellMar>
        <w:tblLook w:val="04A0" w:firstRow="1" w:lastRow="0" w:firstColumn="1" w:lastColumn="0" w:noHBand="0" w:noVBand="1"/>
      </w:tblPr>
      <w:tblGrid>
        <w:gridCol w:w="704"/>
        <w:gridCol w:w="1281"/>
        <w:gridCol w:w="427"/>
        <w:gridCol w:w="996"/>
        <w:gridCol w:w="712"/>
        <w:gridCol w:w="992"/>
        <w:gridCol w:w="286"/>
        <w:gridCol w:w="426"/>
        <w:gridCol w:w="12"/>
        <w:gridCol w:w="275"/>
        <w:gridCol w:w="377"/>
        <w:gridCol w:w="51"/>
        <w:gridCol w:w="142"/>
        <w:gridCol w:w="284"/>
        <w:gridCol w:w="129"/>
        <w:gridCol w:w="13"/>
        <w:gridCol w:w="32"/>
        <w:gridCol w:w="277"/>
        <w:gridCol w:w="375"/>
        <w:gridCol w:w="27"/>
        <w:gridCol w:w="250"/>
        <w:gridCol w:w="319"/>
        <w:gridCol w:w="56"/>
        <w:gridCol w:w="277"/>
        <w:gridCol w:w="377"/>
        <w:gridCol w:w="277"/>
        <w:gridCol w:w="375"/>
        <w:gridCol w:w="59"/>
        <w:gridCol w:w="218"/>
        <w:gridCol w:w="351"/>
        <w:gridCol w:w="24"/>
        <w:gridCol w:w="277"/>
        <w:gridCol w:w="375"/>
        <w:gridCol w:w="35"/>
        <w:gridCol w:w="284"/>
        <w:gridCol w:w="142"/>
        <w:gridCol w:w="285"/>
        <w:gridCol w:w="426"/>
        <w:gridCol w:w="426"/>
        <w:gridCol w:w="426"/>
        <w:gridCol w:w="263"/>
        <w:gridCol w:w="353"/>
        <w:gridCol w:w="341"/>
        <w:gridCol w:w="51"/>
      </w:tblGrid>
      <w:tr w:rsidR="002E01E8" w:rsidRPr="007D063B" w14:paraId="37C9F14D" w14:textId="77777777" w:rsidTr="00CA2A1D">
        <w:trPr>
          <w:gridAfter w:val="1"/>
          <w:wAfter w:w="51" w:type="dxa"/>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423DCC0F"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Идентификация</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57CA2D58"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Показател</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023A7744"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Категория региони</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17FE2D91"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Общ показател за изпълнението, използван като основа за определяне на целеви стойности</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0D26E08F"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Мерна единица за базовата и целевата стойност</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27818001"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Целева стойност (2023 г.)</w:t>
            </w:r>
          </w:p>
          <w:p w14:paraId="2E1866BA"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(Разпределението по пол е незадължително за целевата стойност)</w:t>
            </w:r>
          </w:p>
        </w:tc>
        <w:tc>
          <w:tcPr>
            <w:tcW w:w="7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929C888"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2014</w:t>
            </w:r>
          </w:p>
        </w:tc>
        <w:tc>
          <w:tcPr>
            <w:tcW w:w="65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2FEF6E0"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2015</w:t>
            </w:r>
          </w:p>
        </w:tc>
        <w:tc>
          <w:tcPr>
            <w:tcW w:w="650" w:type="dxa"/>
            <w:gridSpan w:val="6"/>
            <w:tcBorders>
              <w:top w:val="single" w:sz="6" w:space="0" w:color="000000"/>
              <w:left w:val="single" w:sz="6" w:space="0" w:color="000000"/>
              <w:bottom w:val="single" w:sz="6" w:space="0" w:color="000000"/>
              <w:right w:val="single" w:sz="6" w:space="0" w:color="000000"/>
            </w:tcBorders>
            <w:shd w:val="clear" w:color="auto" w:fill="FFFFFF"/>
            <w:hideMark/>
          </w:tcPr>
          <w:p w14:paraId="1A51D7C1"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2016</w:t>
            </w:r>
          </w:p>
        </w:tc>
        <w:tc>
          <w:tcPr>
            <w:tcW w:w="65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0CEBB90"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2017</w:t>
            </w:r>
          </w:p>
        </w:tc>
        <w:tc>
          <w:tcPr>
            <w:tcW w:w="650"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25FE62D9"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2018</w:t>
            </w:r>
          </w:p>
        </w:tc>
        <w:tc>
          <w:tcPr>
            <w:tcW w:w="65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B22E903"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2019</w:t>
            </w:r>
          </w:p>
        </w:tc>
        <w:tc>
          <w:tcPr>
            <w:tcW w:w="65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551EB2F"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2020</w:t>
            </w:r>
          </w:p>
        </w:tc>
        <w:tc>
          <w:tcPr>
            <w:tcW w:w="650"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62B854C5"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2021</w:t>
            </w:r>
          </w:p>
        </w:tc>
        <w:tc>
          <w:tcPr>
            <w:tcW w:w="65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498FC95"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2022</w:t>
            </w:r>
          </w:p>
        </w:tc>
        <w:tc>
          <w:tcPr>
            <w:tcW w:w="744"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0C1EB301"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2023</w:t>
            </w:r>
          </w:p>
        </w:tc>
        <w:tc>
          <w:tcPr>
            <w:tcW w:w="1275"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0C5DCCC"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Кумулативна стойност</w:t>
            </w:r>
          </w:p>
          <w:p w14:paraId="11B430C4"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(автоматично изчислена)</w:t>
            </w:r>
          </w:p>
        </w:tc>
        <w:tc>
          <w:tcPr>
            <w:tcW w:w="9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8BF7A96"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Съотношение на постиженията</w:t>
            </w:r>
          </w:p>
          <w:p w14:paraId="74CEACD9"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Разпределение по пол (незадължително)</w:t>
            </w:r>
          </w:p>
        </w:tc>
      </w:tr>
      <w:tr w:rsidR="009C6F83" w:rsidRPr="007D063B" w14:paraId="39171332" w14:textId="77777777" w:rsidTr="00F0187D">
        <w:trPr>
          <w:gridAfter w:val="1"/>
          <w:wAfter w:w="51" w:type="dxa"/>
          <w:tblCellSpacing w:w="0" w:type="dxa"/>
          <w:jc w:val="center"/>
        </w:trPr>
        <w:tc>
          <w:tcPr>
            <w:tcW w:w="5091" w:type="dxa"/>
            <w:gridSpan w:val="6"/>
            <w:tcBorders>
              <w:top w:val="single" w:sz="6" w:space="0" w:color="000000"/>
              <w:left w:val="single" w:sz="6" w:space="0" w:color="000000"/>
              <w:bottom w:val="single" w:sz="6" w:space="0" w:color="000000"/>
              <w:right w:val="single" w:sz="6" w:space="0" w:color="000000"/>
            </w:tcBorders>
            <w:shd w:val="clear" w:color="auto" w:fill="FFFFFF"/>
            <w:hideMark/>
          </w:tcPr>
          <w:p w14:paraId="78BA49A3" w14:textId="77777777" w:rsidR="009C6F83" w:rsidRPr="007D063B" w:rsidRDefault="009C6F83" w:rsidP="009C6F83">
            <w:pPr>
              <w:spacing w:before="120" w:after="0" w:line="240" w:lineRule="auto"/>
              <w:jc w:val="both"/>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color w:val="000000"/>
                <w:sz w:val="16"/>
                <w:szCs w:val="16"/>
                <w:lang w:eastAsia="bg-BG"/>
              </w:rPr>
              <w:t> </w:t>
            </w:r>
          </w:p>
        </w:tc>
        <w:tc>
          <w:tcPr>
            <w:tcW w:w="6667" w:type="dxa"/>
            <w:gridSpan w:val="31"/>
            <w:tcBorders>
              <w:top w:val="single" w:sz="6" w:space="0" w:color="000000"/>
              <w:left w:val="single" w:sz="6" w:space="0" w:color="000000"/>
              <w:bottom w:val="single" w:sz="6" w:space="0" w:color="000000"/>
              <w:right w:val="single" w:sz="6" w:space="0" w:color="000000"/>
            </w:tcBorders>
            <w:shd w:val="clear" w:color="auto" w:fill="FFFFFF"/>
            <w:hideMark/>
          </w:tcPr>
          <w:p w14:paraId="1DA7DAAB"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lang w:eastAsia="bg-BG"/>
              </w:rPr>
            </w:pPr>
            <w:r w:rsidRPr="007D063B">
              <w:rPr>
                <w:rFonts w:ascii="Times New Roman" w:eastAsia="Times New Roman" w:hAnsi="Times New Roman" w:cs="Times New Roman"/>
                <w:b/>
                <w:bCs/>
                <w:color w:val="000000"/>
                <w:lang w:eastAsia="bg-BG"/>
              </w:rPr>
              <w:t>Годишна стойност</w:t>
            </w:r>
          </w:p>
        </w:tc>
        <w:tc>
          <w:tcPr>
            <w:tcW w:w="1275"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B7C8DB0" w14:textId="77777777" w:rsidR="009C6F83" w:rsidRPr="007D063B" w:rsidRDefault="009C6F83" w:rsidP="009C6F8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454824A" w14:textId="77777777" w:rsidR="009C6F83" w:rsidRPr="007D063B" w:rsidRDefault="009C6F83" w:rsidP="009C6F8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r>
      <w:tr w:rsidR="00E133C6" w:rsidRPr="007D063B" w14:paraId="1CB73055" w14:textId="77777777" w:rsidTr="00CA2A1D">
        <w:trPr>
          <w:trHeight w:val="380"/>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4548357D" w14:textId="77777777" w:rsidR="009C6F83" w:rsidRPr="007D063B" w:rsidRDefault="009C6F83" w:rsidP="009C6F83">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7E38CB75" w14:textId="77777777" w:rsidR="009C6F83" w:rsidRPr="007D063B" w:rsidRDefault="009C6F83" w:rsidP="009C6F83">
            <w:pPr>
              <w:spacing w:before="120" w:after="0" w:line="240" w:lineRule="auto"/>
              <w:jc w:val="both"/>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color w:val="000000"/>
                <w:sz w:val="16"/>
                <w:szCs w:val="16"/>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63E2398B" w14:textId="77777777" w:rsidR="009C6F83" w:rsidRPr="007D063B" w:rsidRDefault="009C6F83" w:rsidP="009C6F83">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78C67504" w14:textId="77777777" w:rsidR="009C6F83" w:rsidRPr="007D063B" w:rsidRDefault="009C6F83" w:rsidP="009C6F83">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70840D64" w14:textId="77777777" w:rsidR="009C6F83" w:rsidRPr="007D063B" w:rsidRDefault="009C6F83" w:rsidP="009C6F83">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1502A7BF"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Общо</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21EA0BF3"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2AD940A5"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B91CBD6"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345BF09"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35BEA47F"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6DB96903"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4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CFE7FDD"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30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A7C3127"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976865A"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730CF4B9"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531548BA"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293FA95"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32011F5D"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701D08BA"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4E4AE86"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74081455"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7500EFEB"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0011211"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41EEE38"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31A59E3B"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39B406A4"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4A6F86D0"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393AD1C"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Общо</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364D2F4"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0DFDB4EF"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262" w:type="dxa"/>
            <w:tcBorders>
              <w:top w:val="single" w:sz="6" w:space="0" w:color="000000"/>
              <w:left w:val="single" w:sz="6" w:space="0" w:color="000000"/>
              <w:bottom w:val="single" w:sz="6" w:space="0" w:color="000000"/>
              <w:right w:val="single" w:sz="6" w:space="0" w:color="000000"/>
            </w:tcBorders>
            <w:shd w:val="clear" w:color="auto" w:fill="FFFFFF"/>
            <w:hideMark/>
          </w:tcPr>
          <w:p w14:paraId="5912E394"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352" w:type="dxa"/>
            <w:tcBorders>
              <w:top w:val="single" w:sz="6" w:space="0" w:color="000000"/>
              <w:left w:val="single" w:sz="6" w:space="0" w:color="000000"/>
              <w:bottom w:val="single" w:sz="6" w:space="0" w:color="000000"/>
              <w:right w:val="single" w:sz="6" w:space="0" w:color="000000"/>
            </w:tcBorders>
            <w:shd w:val="clear" w:color="auto" w:fill="FFFFFF"/>
            <w:hideMark/>
          </w:tcPr>
          <w:p w14:paraId="44B18BCB"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A4CBB38"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r>
      <w:tr w:rsidR="00E133C6" w:rsidRPr="007D063B" w14:paraId="1250CF6A" w14:textId="77777777" w:rsidTr="00CA2A1D">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3AC5F05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56A1192F" w14:textId="77777777" w:rsidR="00450FF1" w:rsidRPr="007D063B" w:rsidRDefault="00450FF1"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Неактивни участници, които при напускане на операцията са започнали да търсят работа</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7D4FFE08"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00D1709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7DD847A9"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6D420831" w14:textId="77F02019"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19413777" w14:textId="6D8E081B" w:rsidR="00450FF1" w:rsidRPr="007D063B" w:rsidRDefault="00450FF1" w:rsidP="00450FF1">
            <w:pPr>
              <w:spacing w:before="120" w:after="0" w:line="240" w:lineRule="auto"/>
              <w:jc w:val="center"/>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75F986DA" w14:textId="7CD9E04D" w:rsidR="00450FF1" w:rsidRPr="007D063B" w:rsidRDefault="00450FF1" w:rsidP="00450FF1">
            <w:pPr>
              <w:spacing w:before="120" w:after="0" w:line="240" w:lineRule="auto"/>
              <w:jc w:val="center"/>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0B74300" w14:textId="4D7EEAC6" w:rsidR="00450FF1" w:rsidRPr="007D063B" w:rsidRDefault="00450FF1" w:rsidP="00450FF1">
            <w:pPr>
              <w:spacing w:before="120" w:after="0" w:line="240" w:lineRule="auto"/>
              <w:jc w:val="center"/>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val="en-US" w:eastAsia="bg-BG"/>
              </w:rPr>
              <w:t>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191F666" w14:textId="19019110" w:rsidR="00450FF1" w:rsidRPr="007D063B" w:rsidRDefault="00450FF1" w:rsidP="00450FF1">
            <w:pPr>
              <w:spacing w:before="120" w:after="0" w:line="240" w:lineRule="auto"/>
              <w:jc w:val="center"/>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val="en-US" w:eastAsia="bg-BG"/>
              </w:rPr>
              <w:t>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27A65EA8" w14:textId="478DC991"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348A0978" w14:textId="257A976B"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2E9A05C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5DCF9A0"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9614C25"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54B327DE"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780D5639"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2B1BC19"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6789DA6E"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2E8D9583"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8AD9D7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077F37D3"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368D5FB6"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89D9C96"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18D0DAC"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1B523789"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3C293127"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134F74D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6A42C2E2" w14:textId="520C5A7D"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1E3B4354" w14:textId="5A5FF28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62929E38" w14:textId="2DE7FCC9"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hideMark/>
          </w:tcPr>
          <w:p w14:paraId="2DCCA6BB" w14:textId="52D72A05"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352" w:type="dxa"/>
            <w:tcBorders>
              <w:top w:val="single" w:sz="6" w:space="0" w:color="000000"/>
              <w:left w:val="single" w:sz="6" w:space="0" w:color="000000"/>
              <w:bottom w:val="single" w:sz="6" w:space="0" w:color="000000"/>
              <w:right w:val="single" w:sz="6" w:space="0" w:color="000000"/>
            </w:tcBorders>
            <w:shd w:val="clear" w:color="auto" w:fill="FFFFFF"/>
            <w:hideMark/>
          </w:tcPr>
          <w:p w14:paraId="1F252C5A" w14:textId="2373DDAE"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023390E" w14:textId="2F0C2A36"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6961D86B" w14:textId="77777777" w:rsidTr="00CA2A1D">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4131DCC4"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lastRenderedPageBreak/>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30EF1B14" w14:textId="77777777" w:rsidR="00450FF1" w:rsidRPr="007D063B" w:rsidRDefault="00450FF1"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които при напускане на операцията са ангажирани с образование/обучение</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FEE99DE"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5F91BE0D"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7534E1D8"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08C9159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254E91C9" w14:textId="388632B2"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23B8184" w14:textId="19732D5B"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FE49951" w14:textId="67B0CB72"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FDA95A4" w14:textId="0479C1BD"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4FAB668E" w14:textId="6B0FB23E"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7D8A3557" w14:textId="5435F493"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3A2D500E"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764EFE4"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653F09E"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0D42C1B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550EDECD"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6863D55"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56EBBE1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2CE78A5D"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9B3D2BF"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12A8D5BC"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721C59CC"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4ADD268"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B6DBDD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1C17D33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590DD797"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03149F1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926EF2C" w14:textId="729FBD65"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75B233F7" w14:textId="7234AD93"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080786D" w14:textId="69F3DE21"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hideMark/>
          </w:tcPr>
          <w:p w14:paraId="6B98C470" w14:textId="00BC36D5"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352" w:type="dxa"/>
            <w:tcBorders>
              <w:top w:val="single" w:sz="6" w:space="0" w:color="000000"/>
              <w:left w:val="single" w:sz="6" w:space="0" w:color="000000"/>
              <w:bottom w:val="single" w:sz="6" w:space="0" w:color="000000"/>
              <w:right w:val="single" w:sz="6" w:space="0" w:color="000000"/>
            </w:tcBorders>
            <w:shd w:val="clear" w:color="auto" w:fill="FFFFFF"/>
            <w:hideMark/>
          </w:tcPr>
          <w:p w14:paraId="5EB4EA88" w14:textId="4F903B5B"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D964855" w14:textId="6B41F1D1"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605AC7D7" w14:textId="77777777" w:rsidTr="00CA2A1D">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69B85E28"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610103D7" w14:textId="77777777" w:rsidR="00450FF1" w:rsidRPr="007D063B" w:rsidRDefault="00450FF1"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които при напускане на операцията получават квалификация</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7EFD2ABD"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515D9A7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0EFC4A69"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7FBF5CEE"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6B5D1EE7" w14:textId="39D1C39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6E777B47" w14:textId="7C5C997C"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8C13A44" w14:textId="272BE600"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7E53D10" w14:textId="5A235AA6"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20645A1E" w14:textId="34F49594"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44E1F96E" w14:textId="261B1101"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2C2AC435"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FB5F786"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2E5BA75"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422EC7D6"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17B53277"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D5DC1E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30E5212D"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613675CA"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151BA4D"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3764CF60"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31746095"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8A9F6BD"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B6B9CDC"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3A6D627D"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11682297"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6303B1C7"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1FC7FE9B" w14:textId="0779308C"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67F3595" w14:textId="4B9D9066"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69377496" w14:textId="76B96EEB"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hideMark/>
          </w:tcPr>
          <w:p w14:paraId="0F808812" w14:textId="5BE6C979"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352" w:type="dxa"/>
            <w:tcBorders>
              <w:top w:val="single" w:sz="6" w:space="0" w:color="000000"/>
              <w:left w:val="single" w:sz="6" w:space="0" w:color="000000"/>
              <w:bottom w:val="single" w:sz="6" w:space="0" w:color="000000"/>
              <w:right w:val="single" w:sz="6" w:space="0" w:color="000000"/>
            </w:tcBorders>
            <w:shd w:val="clear" w:color="auto" w:fill="FFFFFF"/>
            <w:hideMark/>
          </w:tcPr>
          <w:p w14:paraId="50F0CB64" w14:textId="3FCC0C2F"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0B7A5A7" w14:textId="11FC5020"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5B9E07C1" w14:textId="77777777" w:rsidTr="00CA2A1D">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15B16A96"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5252AA0C" w14:textId="77777777" w:rsidR="00450FF1" w:rsidRPr="007D063B" w:rsidRDefault="00450FF1"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които при напускане на операцията имат работа, включително като самостоятелно заети лица</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85278F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1EF8213C"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301FAB6D"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4A004A04"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082457FE" w14:textId="127C9AF3"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75506B42" w14:textId="515114D9"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92FC7D3" w14:textId="19598B8B"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911C571" w14:textId="1B4B02EE"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29D04716" w14:textId="77681CB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3643D1F6" w14:textId="70229203"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62DAA255"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8927A28"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6654439"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15F7039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4050A8BE"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1665D68"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7F1A5D8E"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31841DAD"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47350E3"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46F2E28A"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6EE9AC4F"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5844D49"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F95A34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7AA6297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5390D2E7"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75F7D5AF"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FCD9EC0" w14:textId="660C6BF4"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E4FEF1C" w14:textId="42E133B8"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6B94EA53" w14:textId="5489E78B"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hideMark/>
          </w:tcPr>
          <w:p w14:paraId="4AEE543C" w14:textId="179AA86E"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352" w:type="dxa"/>
            <w:tcBorders>
              <w:top w:val="single" w:sz="6" w:space="0" w:color="000000"/>
              <w:left w:val="single" w:sz="6" w:space="0" w:color="000000"/>
              <w:bottom w:val="single" w:sz="6" w:space="0" w:color="000000"/>
              <w:right w:val="single" w:sz="6" w:space="0" w:color="000000"/>
            </w:tcBorders>
            <w:shd w:val="clear" w:color="auto" w:fill="FFFFFF"/>
            <w:hideMark/>
          </w:tcPr>
          <w:p w14:paraId="342252CC" w14:textId="233C3E68"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3CF1D26" w14:textId="5932E955"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544BF0AD" w14:textId="77777777" w:rsidTr="00CA2A1D">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589C65D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02FC6E3C" w14:textId="77777777" w:rsidR="00450FF1" w:rsidRPr="007D063B" w:rsidRDefault="00450FF1"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в неравностойно положение, които при напускане на операцията са започнали да търсят работа, са ангажирани с образование/обучение, са получили квалификация, имат работа, включително като самостоятелно заети лица</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291DA7F3"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71C0D8F0"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0E4F60D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16437A2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35B27779" w14:textId="2E99A7FE"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1A9E2B1C" w14:textId="57CE88F9"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0E895F5" w14:textId="7E3E9B25"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5CDA81A" w14:textId="2F8AAD23"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2DB6CDF4" w14:textId="79486EE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5907E1AE" w14:textId="6AD390D2"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1E69BA76"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9230A1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0464023"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12175243"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23BB9C20"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F612B8C"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7DD09556"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45FE11A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EF74466"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2F07E103"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5C4FEF67"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1A02EE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934A17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73227578"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0C0166EC"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2CD6159F"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2C083CD8" w14:textId="2B7CA6BE"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312FA44" w14:textId="4984A732"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1A17EDB4" w14:textId="010F11FE"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hideMark/>
          </w:tcPr>
          <w:p w14:paraId="2306D48E" w14:textId="112E3BA5"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352" w:type="dxa"/>
            <w:tcBorders>
              <w:top w:val="single" w:sz="6" w:space="0" w:color="000000"/>
              <w:left w:val="single" w:sz="6" w:space="0" w:color="000000"/>
              <w:bottom w:val="single" w:sz="6" w:space="0" w:color="000000"/>
              <w:right w:val="single" w:sz="6" w:space="0" w:color="000000"/>
            </w:tcBorders>
            <w:shd w:val="clear" w:color="auto" w:fill="FFFFFF"/>
            <w:hideMark/>
          </w:tcPr>
          <w:p w14:paraId="58150DF9" w14:textId="35B2F3A5"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AC5E0C0" w14:textId="2D39DE74"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0BC63B79" w14:textId="77777777" w:rsidTr="00CA2A1D">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005D0F44"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0D1F6532" w14:textId="77777777" w:rsidR="00450FF1" w:rsidRPr="007D063B" w:rsidRDefault="00450FF1"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 xml:space="preserve">Участници, които в рамките на шест месеца след напускане на операцията </w:t>
            </w:r>
            <w:r w:rsidRPr="007D063B">
              <w:rPr>
                <w:rFonts w:ascii="Times New Roman" w:eastAsia="Times New Roman" w:hAnsi="Times New Roman" w:cs="Times New Roman"/>
                <w:b/>
                <w:i/>
                <w:iCs/>
                <w:color w:val="000000"/>
                <w:sz w:val="16"/>
                <w:szCs w:val="16"/>
                <w:lang w:eastAsia="bg-BG"/>
              </w:rPr>
              <w:lastRenderedPageBreak/>
              <w:t>имат работа, включително като самостоятелно заети лица</w:t>
            </w:r>
            <w:r w:rsidRPr="007D063B">
              <w:rPr>
                <w:rFonts w:ascii="Times New Roman" w:eastAsia="Times New Roman" w:hAnsi="Times New Roman" w:cs="Times New Roman"/>
                <w:b/>
                <w:color w:val="000000"/>
                <w:sz w:val="16"/>
                <w:szCs w:val="16"/>
                <w:lang w:eastAsia="bg-BG"/>
              </w:rPr>
              <w:t> </w:t>
            </w:r>
            <w:hyperlink r:id="rId10" w:anchor="ntr6-L_2015038BG.01007201-E0006" w:history="1">
              <w:r w:rsidRPr="007D063B">
                <w:rPr>
                  <w:rFonts w:ascii="Times New Roman" w:eastAsia="Times New Roman" w:hAnsi="Times New Roman" w:cs="Times New Roman"/>
                  <w:b/>
                  <w:color w:val="0000FF"/>
                  <w:sz w:val="16"/>
                  <w:szCs w:val="16"/>
                  <w:u w:val="single"/>
                  <w:lang w:eastAsia="bg-BG"/>
                </w:rPr>
                <w:t> (</w:t>
              </w:r>
              <w:r w:rsidRPr="007D063B">
                <w:rPr>
                  <w:rFonts w:ascii="Times New Roman" w:eastAsia="Times New Roman" w:hAnsi="Times New Roman" w:cs="Times New Roman"/>
                  <w:b/>
                  <w:color w:val="0000FF"/>
                  <w:sz w:val="16"/>
                  <w:szCs w:val="16"/>
                  <w:u w:val="single"/>
                  <w:vertAlign w:val="superscript"/>
                  <w:lang w:eastAsia="bg-BG"/>
                </w:rPr>
                <w:t>6</w:t>
              </w:r>
              <w:r w:rsidRPr="007D063B">
                <w:rPr>
                  <w:rFonts w:ascii="Times New Roman" w:eastAsia="Times New Roman" w:hAnsi="Times New Roman" w:cs="Times New Roman"/>
                  <w:b/>
                  <w:color w:val="0000FF"/>
                  <w:sz w:val="16"/>
                  <w:szCs w:val="16"/>
                  <w:u w:val="single"/>
                  <w:lang w:eastAsia="bg-BG"/>
                </w:rPr>
                <w:t>)</w:t>
              </w:r>
            </w:hyperlink>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0879D934"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lastRenderedPageBreak/>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458E5DEC"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01B6009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3E41ED09"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022F4AFE" w14:textId="2969A029"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6B5C98C9" w14:textId="5432075B"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A5E3ECC" w14:textId="5BA1E89B"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C9BF88A" w14:textId="683EA4ED"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369ABD92" w14:textId="5167C0B3"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69675231" w14:textId="145868F9"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3BC91EEE"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DB47757"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F530723"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2F45D54F"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2514FA76"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0D954A3"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1C90CDE7"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7A37E4D7"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D5308B6"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05820AA8"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68DF8F05"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37E914D"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99912B0"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506EAA00"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407CA774"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0930E4BC"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3C3C0BC" w14:textId="1E510C52"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77C5CE3A" w14:textId="3A31F52C"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7A85706B" w14:textId="29975FCB"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hideMark/>
          </w:tcPr>
          <w:p w14:paraId="6C36A1B2" w14:textId="2017D5FE"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352" w:type="dxa"/>
            <w:tcBorders>
              <w:top w:val="single" w:sz="6" w:space="0" w:color="000000"/>
              <w:left w:val="single" w:sz="6" w:space="0" w:color="000000"/>
              <w:bottom w:val="single" w:sz="6" w:space="0" w:color="000000"/>
              <w:right w:val="single" w:sz="6" w:space="0" w:color="000000"/>
            </w:tcBorders>
            <w:shd w:val="clear" w:color="auto" w:fill="FFFFFF"/>
            <w:hideMark/>
          </w:tcPr>
          <w:p w14:paraId="06E60801" w14:textId="4D79408C"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1CDB5DA" w14:textId="3FAE1B71"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1BBC97F2" w14:textId="77777777" w:rsidTr="00CA2A1D">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4EE44B2D"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2724DC5C" w14:textId="77777777" w:rsidR="00450FF1" w:rsidRPr="007D063B" w:rsidRDefault="00450FF1"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чието положение на пазара на труда в рамките на шест месеца след напускане на операцията е по-добро</w:t>
            </w:r>
            <w:r w:rsidRPr="007D063B">
              <w:rPr>
                <w:rFonts w:ascii="Times New Roman" w:eastAsia="Times New Roman" w:hAnsi="Times New Roman" w:cs="Times New Roman"/>
                <w:b/>
                <w:color w:val="000000"/>
                <w:sz w:val="16"/>
                <w:szCs w:val="16"/>
                <w:lang w:eastAsia="bg-BG"/>
              </w:rPr>
              <w:t> </w:t>
            </w:r>
            <w:hyperlink r:id="rId11" w:anchor="ntr6-L_2015038BG.01007201-E0006" w:history="1">
              <w:r w:rsidRPr="007D063B">
                <w:rPr>
                  <w:rFonts w:ascii="Times New Roman" w:eastAsia="Times New Roman" w:hAnsi="Times New Roman" w:cs="Times New Roman"/>
                  <w:b/>
                  <w:color w:val="0000FF"/>
                  <w:sz w:val="16"/>
                  <w:szCs w:val="16"/>
                  <w:u w:val="single"/>
                  <w:lang w:eastAsia="bg-BG"/>
                </w:rPr>
                <w:t> (</w:t>
              </w:r>
              <w:r w:rsidRPr="007D063B">
                <w:rPr>
                  <w:rFonts w:ascii="Times New Roman" w:eastAsia="Times New Roman" w:hAnsi="Times New Roman" w:cs="Times New Roman"/>
                  <w:b/>
                  <w:color w:val="0000FF"/>
                  <w:sz w:val="16"/>
                  <w:szCs w:val="16"/>
                  <w:u w:val="single"/>
                  <w:vertAlign w:val="superscript"/>
                  <w:lang w:eastAsia="bg-BG"/>
                </w:rPr>
                <w:t>6</w:t>
              </w:r>
              <w:r w:rsidRPr="007D063B">
                <w:rPr>
                  <w:rFonts w:ascii="Times New Roman" w:eastAsia="Times New Roman" w:hAnsi="Times New Roman" w:cs="Times New Roman"/>
                  <w:b/>
                  <w:color w:val="0000FF"/>
                  <w:sz w:val="16"/>
                  <w:szCs w:val="16"/>
                  <w:u w:val="single"/>
                  <w:lang w:eastAsia="bg-BG"/>
                </w:rPr>
                <w:t>)</w:t>
              </w:r>
            </w:hyperlink>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C26752F"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7A6A7C04"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62248D87"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2F56596C"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1EB154DC" w14:textId="431CF602"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1411407C" w14:textId="49168F0E"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4E3903D" w14:textId="218DAAED"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9216108" w14:textId="6A6A789B"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709446E5" w14:textId="1EBFD90C"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0370BAFA" w14:textId="40F66ADD"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16C1BEFF"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1C8FCA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690649C"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5C70906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655FE607"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B087FFF"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0023313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612464DF"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C3EA0F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19B1354A"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3E561566"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77FC8C5"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C45D175"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2D814F9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54D65440"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3D6B0EA4"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F1D78ED" w14:textId="48212DCB"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8B503A6" w14:textId="2F42C6A3"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1359D232" w14:textId="2FCB378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hideMark/>
          </w:tcPr>
          <w:p w14:paraId="77E1884D" w14:textId="155F9D10"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352" w:type="dxa"/>
            <w:tcBorders>
              <w:top w:val="single" w:sz="6" w:space="0" w:color="000000"/>
              <w:left w:val="single" w:sz="6" w:space="0" w:color="000000"/>
              <w:bottom w:val="single" w:sz="6" w:space="0" w:color="000000"/>
              <w:right w:val="single" w:sz="6" w:space="0" w:color="000000"/>
            </w:tcBorders>
            <w:shd w:val="clear" w:color="auto" w:fill="FFFFFF"/>
            <w:hideMark/>
          </w:tcPr>
          <w:p w14:paraId="2236DE65" w14:textId="10192E94"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DFE9C3D" w14:textId="311CAD59"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67452E1A" w14:textId="77777777" w:rsidTr="00CA2A1D">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2D1DD2D7"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6C2E5739" w14:textId="77777777" w:rsidR="00450FF1" w:rsidRPr="007D063B" w:rsidRDefault="00450FF1"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на възраст над 54 години, които в рамките на шест месеца след напускане на операцията имат работа, включително като самостоятелно заети лица</w:t>
            </w:r>
            <w:r w:rsidRPr="007D063B">
              <w:rPr>
                <w:rFonts w:ascii="Times New Roman" w:eastAsia="Times New Roman" w:hAnsi="Times New Roman" w:cs="Times New Roman"/>
                <w:b/>
                <w:color w:val="000000"/>
                <w:sz w:val="16"/>
                <w:szCs w:val="16"/>
                <w:lang w:eastAsia="bg-BG"/>
              </w:rPr>
              <w:t> </w:t>
            </w:r>
            <w:hyperlink r:id="rId12" w:anchor="ntr6-L_2015038BG.01007201-E0006" w:history="1">
              <w:r w:rsidRPr="007D063B">
                <w:rPr>
                  <w:rFonts w:ascii="Times New Roman" w:eastAsia="Times New Roman" w:hAnsi="Times New Roman" w:cs="Times New Roman"/>
                  <w:b/>
                  <w:color w:val="0000FF"/>
                  <w:sz w:val="16"/>
                  <w:szCs w:val="16"/>
                  <w:u w:val="single"/>
                  <w:lang w:eastAsia="bg-BG"/>
                </w:rPr>
                <w:t> (</w:t>
              </w:r>
              <w:r w:rsidRPr="007D063B">
                <w:rPr>
                  <w:rFonts w:ascii="Times New Roman" w:eastAsia="Times New Roman" w:hAnsi="Times New Roman" w:cs="Times New Roman"/>
                  <w:b/>
                  <w:color w:val="0000FF"/>
                  <w:sz w:val="16"/>
                  <w:szCs w:val="16"/>
                  <w:u w:val="single"/>
                  <w:vertAlign w:val="superscript"/>
                  <w:lang w:eastAsia="bg-BG"/>
                </w:rPr>
                <w:t>6</w:t>
              </w:r>
              <w:r w:rsidRPr="007D063B">
                <w:rPr>
                  <w:rFonts w:ascii="Times New Roman" w:eastAsia="Times New Roman" w:hAnsi="Times New Roman" w:cs="Times New Roman"/>
                  <w:b/>
                  <w:color w:val="0000FF"/>
                  <w:sz w:val="16"/>
                  <w:szCs w:val="16"/>
                  <w:u w:val="single"/>
                  <w:lang w:eastAsia="bg-BG"/>
                </w:rPr>
                <w:t>)</w:t>
              </w:r>
            </w:hyperlink>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8D50CBC"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305658D9"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7B9B3A6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0D1D26EA"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326AA537" w14:textId="017AEE3F"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0511063" w14:textId="6412986A"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0EE84E7" w14:textId="033BF522"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96D4AB6" w14:textId="2FFE5891"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50D81C2E" w14:textId="486E8164"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0DBE03E1" w14:textId="5266C2C0"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4DA7892F"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F469DA0"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319DCE4"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523BE188"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5E47FBEA"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A98343A"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0C183DFC"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190EA6C5"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2208C36"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15AFD9BF"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16413DF8"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FF314CE"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B720824"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30AF16BC"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4807F2FA"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74014200"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6F4DEA64" w14:textId="2A1AD0B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1B25E9DA" w14:textId="221E077E"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18891CDA" w14:textId="75123141"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hideMark/>
          </w:tcPr>
          <w:p w14:paraId="5F2483B3" w14:textId="3432F10C"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352" w:type="dxa"/>
            <w:tcBorders>
              <w:top w:val="single" w:sz="6" w:space="0" w:color="000000"/>
              <w:left w:val="single" w:sz="6" w:space="0" w:color="000000"/>
              <w:bottom w:val="single" w:sz="6" w:space="0" w:color="000000"/>
              <w:right w:val="single" w:sz="6" w:space="0" w:color="000000"/>
            </w:tcBorders>
            <w:shd w:val="clear" w:color="auto" w:fill="FFFFFF"/>
            <w:hideMark/>
          </w:tcPr>
          <w:p w14:paraId="16DD6630" w14:textId="2156184D"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6A5F217" w14:textId="7EEF0BA0"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41D8927E" w14:textId="77777777" w:rsidTr="00CA2A1D">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64067BCD"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67C857F0" w14:textId="77777777" w:rsidR="00450FF1" w:rsidRPr="007D063B" w:rsidRDefault="00450FF1"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в неравностойно положение, които в рамките на шест месеца след напускане на операцията имат работа, включително като самостоятелно заети лица</w:t>
            </w:r>
            <w:r w:rsidRPr="007D063B">
              <w:rPr>
                <w:rFonts w:ascii="Times New Roman" w:eastAsia="Times New Roman" w:hAnsi="Times New Roman" w:cs="Times New Roman"/>
                <w:b/>
                <w:color w:val="000000"/>
                <w:sz w:val="16"/>
                <w:szCs w:val="16"/>
                <w:lang w:eastAsia="bg-BG"/>
              </w:rPr>
              <w:t> </w:t>
            </w:r>
            <w:hyperlink r:id="rId13" w:anchor="ntr6-L_2015038BG.01007201-E0006" w:history="1">
              <w:r w:rsidRPr="007D063B">
                <w:rPr>
                  <w:rFonts w:ascii="Times New Roman" w:eastAsia="Times New Roman" w:hAnsi="Times New Roman" w:cs="Times New Roman"/>
                  <w:b/>
                  <w:color w:val="0000FF"/>
                  <w:sz w:val="16"/>
                  <w:szCs w:val="16"/>
                  <w:u w:val="single"/>
                  <w:lang w:eastAsia="bg-BG"/>
                </w:rPr>
                <w:t> (</w:t>
              </w:r>
              <w:r w:rsidRPr="007D063B">
                <w:rPr>
                  <w:rFonts w:ascii="Times New Roman" w:eastAsia="Times New Roman" w:hAnsi="Times New Roman" w:cs="Times New Roman"/>
                  <w:b/>
                  <w:color w:val="0000FF"/>
                  <w:sz w:val="16"/>
                  <w:szCs w:val="16"/>
                  <w:u w:val="single"/>
                  <w:vertAlign w:val="superscript"/>
                  <w:lang w:eastAsia="bg-BG"/>
                </w:rPr>
                <w:t>6</w:t>
              </w:r>
              <w:r w:rsidRPr="007D063B">
                <w:rPr>
                  <w:rFonts w:ascii="Times New Roman" w:eastAsia="Times New Roman" w:hAnsi="Times New Roman" w:cs="Times New Roman"/>
                  <w:b/>
                  <w:color w:val="0000FF"/>
                  <w:sz w:val="16"/>
                  <w:szCs w:val="16"/>
                  <w:u w:val="single"/>
                  <w:lang w:eastAsia="bg-BG"/>
                </w:rPr>
                <w:t>)</w:t>
              </w:r>
            </w:hyperlink>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0BE284AE"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0C08CFAC"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49139F66"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10D6E273"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1EBA19D1" w14:textId="386DF6D2"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647D17B4" w14:textId="6DA2B333"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E0337BF" w14:textId="35AF9CFF"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C7E6EAE" w14:textId="42BD3E9F"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2968F050" w14:textId="4B4A2F65"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39D80481" w14:textId="780901E4"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2F31A1B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E1646BF"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7A4CF9F"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68BDF67A"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5AA59FDA"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EF25FDD"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535469D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686C4A2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D664C4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7888446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1EB45D96"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877123F"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B03AAB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36B81DC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505BD840"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6E83F17A"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6D3DA8B" w14:textId="6811323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1873DED7" w14:textId="55F88B90"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0389780" w14:textId="3B0F0461"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hideMark/>
          </w:tcPr>
          <w:p w14:paraId="0618E896" w14:textId="339DE82B"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352" w:type="dxa"/>
            <w:tcBorders>
              <w:top w:val="single" w:sz="6" w:space="0" w:color="000000"/>
              <w:left w:val="single" w:sz="6" w:space="0" w:color="000000"/>
              <w:bottom w:val="single" w:sz="6" w:space="0" w:color="000000"/>
              <w:right w:val="single" w:sz="6" w:space="0" w:color="000000"/>
            </w:tcBorders>
            <w:shd w:val="clear" w:color="auto" w:fill="FFFFFF"/>
            <w:hideMark/>
          </w:tcPr>
          <w:p w14:paraId="049F893A" w14:textId="4BE09AF4"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7603B87" w14:textId="02A55A9C"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bl>
    <w:p w14:paraId="3549C5D8" w14:textId="77777777" w:rsidR="00CA2A1D" w:rsidRPr="007D063B" w:rsidRDefault="00CA2A1D" w:rsidP="009C6F83">
      <w:pPr>
        <w:shd w:val="clear" w:color="auto" w:fill="FFFFFF"/>
        <w:spacing w:before="120" w:after="120" w:line="240" w:lineRule="auto"/>
        <w:jc w:val="center"/>
        <w:rPr>
          <w:rFonts w:ascii="inherit" w:eastAsia="Times New Roman" w:hAnsi="inherit" w:cs="Times New Roman"/>
          <w:i/>
          <w:iCs/>
          <w:color w:val="000000"/>
          <w:sz w:val="24"/>
          <w:szCs w:val="24"/>
          <w:lang w:eastAsia="bg-BG"/>
        </w:rPr>
      </w:pPr>
    </w:p>
    <w:p w14:paraId="6FC21164" w14:textId="77777777" w:rsidR="009C6F83" w:rsidRPr="007D063B" w:rsidRDefault="009C6F83" w:rsidP="003021AB">
      <w:pPr>
        <w:pStyle w:val="Heading3"/>
        <w:jc w:val="center"/>
        <w:rPr>
          <w:rFonts w:ascii="Times New Roman" w:eastAsia="Times New Roman" w:hAnsi="Times New Roman" w:cs="Times New Roman"/>
          <w:color w:val="000000"/>
          <w:lang w:eastAsia="bg-BG"/>
        </w:rPr>
      </w:pPr>
      <w:bookmarkStart w:id="6" w:name="_Toc481594267"/>
      <w:r w:rsidRPr="007D063B">
        <w:rPr>
          <w:rFonts w:ascii="inherit" w:eastAsia="Times New Roman" w:hAnsi="inherit" w:cs="Times New Roman"/>
          <w:i/>
          <w:iCs/>
          <w:color w:val="000000"/>
          <w:lang w:eastAsia="bg-BG"/>
        </w:rPr>
        <w:t>Таблица 2В</w:t>
      </w:r>
      <w:bookmarkEnd w:id="6"/>
    </w:p>
    <w:p w14:paraId="03220F62" w14:textId="77777777" w:rsidR="009C6F83" w:rsidRPr="007D063B" w:rsidRDefault="009C6F83" w:rsidP="009C6F83">
      <w:pPr>
        <w:shd w:val="clear" w:color="auto" w:fill="FFFFFF"/>
        <w:spacing w:before="120" w:after="120" w:line="240" w:lineRule="auto"/>
        <w:jc w:val="center"/>
        <w:rPr>
          <w:rFonts w:ascii="Times New Roman" w:eastAsia="Times New Roman" w:hAnsi="Times New Roman" w:cs="Times New Roman"/>
          <w:color w:val="000000"/>
          <w:sz w:val="24"/>
          <w:szCs w:val="24"/>
          <w:lang w:eastAsia="bg-BG"/>
        </w:rPr>
      </w:pPr>
      <w:r w:rsidRPr="007D063B">
        <w:rPr>
          <w:rFonts w:ascii="inherit" w:eastAsia="Times New Roman" w:hAnsi="inherit" w:cs="Times New Roman"/>
          <w:b/>
          <w:bCs/>
          <w:color w:val="000000"/>
          <w:sz w:val="24"/>
          <w:szCs w:val="24"/>
          <w:lang w:eastAsia="bg-BG"/>
        </w:rPr>
        <w:t>Специфични за програмата показатели за резултатите за ЕСФ (по приоритетна ос, инвестиционен приоритет и по категория регион, когато е приложимо); прилага се също за приоритетната ос за техническа помощ</w:t>
      </w:r>
    </w:p>
    <w:p w14:paraId="4CB4E55D" w14:textId="77777777" w:rsidR="009C6F83" w:rsidRPr="007D063B" w:rsidRDefault="009C6F83" w:rsidP="009C6F83">
      <w:pPr>
        <w:shd w:val="clear" w:color="auto" w:fill="FFFFFF"/>
        <w:spacing w:before="120" w:after="120" w:line="240" w:lineRule="auto"/>
        <w:jc w:val="center"/>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lastRenderedPageBreak/>
        <w:t>(по отношение на ИМЗ и специфичните за програмата показатели за всяка приоритетна ос или част от нея, по която се предоставя подкрепа за ИМЗ, не се изисква разпределение по категория региони)</w:t>
      </w:r>
      <w:hyperlink r:id="rId14" w:anchor="ntr10-L_2015038BG.01007201-E0010" w:history="1">
        <w:r w:rsidRPr="007D063B">
          <w:rPr>
            <w:rFonts w:ascii="inherit" w:eastAsia="Times New Roman" w:hAnsi="inherit" w:cs="Times New Roman"/>
            <w:color w:val="0000FF"/>
            <w:sz w:val="24"/>
            <w:szCs w:val="24"/>
            <w:u w:val="single"/>
            <w:lang w:eastAsia="bg-BG"/>
          </w:rPr>
          <w:t> (</w:t>
        </w:r>
        <w:r w:rsidRPr="007D063B">
          <w:rPr>
            <w:rFonts w:ascii="inherit" w:eastAsia="Times New Roman" w:hAnsi="inherit" w:cs="Times New Roman"/>
            <w:color w:val="0000FF"/>
            <w:sz w:val="17"/>
            <w:szCs w:val="17"/>
            <w:u w:val="single"/>
            <w:vertAlign w:val="superscript"/>
            <w:lang w:eastAsia="bg-BG"/>
          </w:rPr>
          <w:t>10</w:t>
        </w:r>
        <w:r w:rsidRPr="007D063B">
          <w:rPr>
            <w:rFonts w:ascii="inherit" w:eastAsia="Times New Roman" w:hAnsi="inherit" w:cs="Times New Roman"/>
            <w:color w:val="0000FF"/>
            <w:sz w:val="24"/>
            <w:szCs w:val="24"/>
            <w:u w:val="single"/>
            <w:lang w:eastAsia="bg-BG"/>
          </w:rPr>
          <w:t>)</w:t>
        </w:r>
      </w:hyperlink>
    </w:p>
    <w:p w14:paraId="52CFF48E" w14:textId="510D9B5B" w:rsidR="009C6F83" w:rsidRPr="007D063B" w:rsidRDefault="009C6F83" w:rsidP="009C6F83">
      <w:pPr>
        <w:shd w:val="clear" w:color="auto" w:fill="FFFFFF"/>
        <w:spacing w:before="120" w:after="0" w:line="240" w:lineRule="auto"/>
        <w:jc w:val="both"/>
        <w:rPr>
          <w:rFonts w:ascii="Times New Roman" w:eastAsia="Times New Roman" w:hAnsi="Times New Roman" w:cs="Times New Roman"/>
          <w:color w:val="000000"/>
          <w:sz w:val="24"/>
          <w:szCs w:val="24"/>
          <w:lang w:val="ru-RU" w:eastAsia="bg-BG"/>
        </w:rPr>
      </w:pPr>
      <w:r w:rsidRPr="007D063B">
        <w:rPr>
          <w:rFonts w:ascii="Times New Roman" w:eastAsia="Times New Roman" w:hAnsi="Times New Roman" w:cs="Times New Roman"/>
          <w:color w:val="000000"/>
          <w:sz w:val="24"/>
          <w:szCs w:val="24"/>
          <w:lang w:eastAsia="bg-BG"/>
        </w:rPr>
        <w:t>Инвестиционен приоритет:</w:t>
      </w:r>
      <w:r w:rsidR="001D7656" w:rsidRPr="007D063B">
        <w:rPr>
          <w:rFonts w:ascii="Times New Roman" w:eastAsia="Times New Roman" w:hAnsi="Times New Roman" w:cs="Times New Roman"/>
          <w:color w:val="000000"/>
          <w:sz w:val="24"/>
          <w:szCs w:val="24"/>
          <w:lang w:val="ru-RU" w:eastAsia="bg-BG"/>
        </w:rPr>
        <w:t xml:space="preserve"> </w:t>
      </w:r>
    </w:p>
    <w:p w14:paraId="541DC629" w14:textId="77777777" w:rsidR="001D7656" w:rsidRPr="007D063B" w:rsidRDefault="001D7656" w:rsidP="001D765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xml:space="preserve">Инвестиционен приоритет № 11 </w:t>
      </w:r>
      <w:r w:rsidRPr="007D063B">
        <w:rPr>
          <w:rFonts w:ascii="Times New Roman" w:eastAsia="Times New Roman" w:hAnsi="Times New Roman" w:cs="Times New Roman"/>
          <w:color w:val="000000"/>
          <w:sz w:val="24"/>
          <w:szCs w:val="24"/>
          <w:lang w:val="en-US" w:eastAsia="bg-BG"/>
        </w:rPr>
        <w:t>i</w:t>
      </w:r>
      <w:r w:rsidRPr="007D063B">
        <w:rPr>
          <w:rFonts w:ascii="Times New Roman" w:eastAsia="Times New Roman" w:hAnsi="Times New Roman" w:cs="Times New Roman"/>
          <w:color w:val="000000"/>
          <w:sz w:val="24"/>
          <w:szCs w:val="24"/>
          <w:lang w:eastAsia="bg-BG"/>
        </w:rPr>
        <w:t>: Инвестиции в институционален капацитет и в ефикасността на публичните администрации и публичните услуги на национално, регионално и местно равнище с цел осъществяването на реформи и постигането на по-добро регулиране и добро управление</w:t>
      </w:r>
    </w:p>
    <w:p w14:paraId="0EE5DF47" w14:textId="16D165E0" w:rsidR="009C6F83" w:rsidRPr="007D063B" w:rsidRDefault="001D7656" w:rsidP="009C6F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Категория регион: По-слабо развити региони</w:t>
      </w: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left w:w="0" w:type="dxa"/>
          <w:right w:w="0" w:type="dxa"/>
        </w:tblCellMar>
        <w:tblLook w:val="04A0" w:firstRow="1" w:lastRow="0" w:firstColumn="1" w:lastColumn="0" w:noHBand="0" w:noVBand="1"/>
      </w:tblPr>
      <w:tblGrid>
        <w:gridCol w:w="561"/>
        <w:gridCol w:w="1704"/>
        <w:gridCol w:w="612"/>
        <w:gridCol w:w="834"/>
        <w:gridCol w:w="542"/>
        <w:gridCol w:w="570"/>
        <w:gridCol w:w="853"/>
        <w:gridCol w:w="152"/>
        <w:gridCol w:w="143"/>
        <w:gridCol w:w="427"/>
        <w:gridCol w:w="283"/>
        <w:gridCol w:w="283"/>
        <w:gridCol w:w="427"/>
        <w:gridCol w:w="286"/>
        <w:gridCol w:w="143"/>
        <w:gridCol w:w="306"/>
        <w:gridCol w:w="213"/>
        <w:gridCol w:w="233"/>
        <w:gridCol w:w="211"/>
        <w:gridCol w:w="213"/>
        <w:gridCol w:w="233"/>
        <w:gridCol w:w="211"/>
        <w:gridCol w:w="213"/>
        <w:gridCol w:w="233"/>
        <w:gridCol w:w="211"/>
        <w:gridCol w:w="213"/>
        <w:gridCol w:w="233"/>
        <w:gridCol w:w="211"/>
        <w:gridCol w:w="213"/>
        <w:gridCol w:w="233"/>
        <w:gridCol w:w="211"/>
        <w:gridCol w:w="213"/>
        <w:gridCol w:w="233"/>
        <w:gridCol w:w="211"/>
        <w:gridCol w:w="213"/>
        <w:gridCol w:w="233"/>
        <w:gridCol w:w="211"/>
        <w:gridCol w:w="213"/>
        <w:gridCol w:w="365"/>
        <w:gridCol w:w="53"/>
        <w:gridCol w:w="53"/>
        <w:gridCol w:w="56"/>
        <w:gridCol w:w="227"/>
        <w:gridCol w:w="247"/>
        <w:gridCol w:w="95"/>
      </w:tblGrid>
      <w:tr w:rsidR="00735549" w:rsidRPr="007D063B" w14:paraId="044AB869" w14:textId="77777777" w:rsidTr="00450FF1">
        <w:trPr>
          <w:tblCellSpacing w:w="0" w:type="dxa"/>
          <w:jc w:val="center"/>
        </w:trPr>
        <w:tc>
          <w:tcPr>
            <w:tcW w:w="200" w:type="pct"/>
            <w:tcBorders>
              <w:top w:val="single" w:sz="6" w:space="0" w:color="000000"/>
              <w:left w:val="single" w:sz="6" w:space="0" w:color="000000"/>
              <w:bottom w:val="single" w:sz="6" w:space="0" w:color="000000"/>
              <w:right w:val="single" w:sz="6" w:space="0" w:color="000000"/>
            </w:tcBorders>
            <w:shd w:val="clear" w:color="auto" w:fill="FFFFFF"/>
            <w:hideMark/>
          </w:tcPr>
          <w:p w14:paraId="23B36BA7" w14:textId="77777777" w:rsidR="009C6F83" w:rsidRPr="007D063B" w:rsidRDefault="009C6F83" w:rsidP="002E01E8">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Идентификация</w:t>
            </w:r>
          </w:p>
        </w:tc>
        <w:tc>
          <w:tcPr>
            <w:tcW w:w="607" w:type="pct"/>
            <w:tcBorders>
              <w:top w:val="single" w:sz="6" w:space="0" w:color="000000"/>
              <w:left w:val="single" w:sz="6" w:space="0" w:color="000000"/>
              <w:bottom w:val="single" w:sz="6" w:space="0" w:color="000000"/>
              <w:right w:val="single" w:sz="6" w:space="0" w:color="000000"/>
            </w:tcBorders>
            <w:shd w:val="clear" w:color="auto" w:fill="FFFFFF"/>
            <w:hideMark/>
          </w:tcPr>
          <w:p w14:paraId="3535BCBC" w14:textId="77777777"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Показател</w:t>
            </w:r>
          </w:p>
        </w:tc>
        <w:tc>
          <w:tcPr>
            <w:tcW w:w="218" w:type="pct"/>
            <w:tcBorders>
              <w:top w:val="single" w:sz="6" w:space="0" w:color="000000"/>
              <w:left w:val="single" w:sz="6" w:space="0" w:color="000000"/>
              <w:bottom w:val="single" w:sz="6" w:space="0" w:color="000000"/>
              <w:right w:val="single" w:sz="6" w:space="0" w:color="000000"/>
            </w:tcBorders>
            <w:shd w:val="clear" w:color="auto" w:fill="FFFFFF"/>
            <w:hideMark/>
          </w:tcPr>
          <w:p w14:paraId="699654AE" w14:textId="77777777"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ЕСФ/ИМЗ</w:t>
            </w:r>
          </w:p>
        </w:tc>
        <w:tc>
          <w:tcPr>
            <w:tcW w:w="297" w:type="pct"/>
            <w:tcBorders>
              <w:top w:val="single" w:sz="6" w:space="0" w:color="000000"/>
              <w:left w:val="single" w:sz="6" w:space="0" w:color="000000"/>
              <w:bottom w:val="single" w:sz="6" w:space="0" w:color="000000"/>
              <w:right w:val="single" w:sz="6" w:space="0" w:color="000000"/>
            </w:tcBorders>
            <w:shd w:val="clear" w:color="auto" w:fill="FFFFFF"/>
            <w:hideMark/>
          </w:tcPr>
          <w:p w14:paraId="473B95FD" w14:textId="77777777"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Категория региони (когато е уместно)</w:t>
            </w:r>
          </w:p>
        </w:tc>
        <w:tc>
          <w:tcPr>
            <w:tcW w:w="193" w:type="pct"/>
            <w:tcBorders>
              <w:top w:val="single" w:sz="6" w:space="0" w:color="000000"/>
              <w:left w:val="single" w:sz="6" w:space="0" w:color="000000"/>
              <w:bottom w:val="single" w:sz="6" w:space="0" w:color="000000"/>
              <w:right w:val="single" w:sz="6" w:space="0" w:color="000000"/>
            </w:tcBorders>
            <w:shd w:val="clear" w:color="auto" w:fill="FFFFFF"/>
            <w:hideMark/>
          </w:tcPr>
          <w:p w14:paraId="53F5F1A3" w14:textId="77777777"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Мерна единица за показател</w:t>
            </w:r>
          </w:p>
        </w:tc>
        <w:tc>
          <w:tcPr>
            <w:tcW w:w="203" w:type="pct"/>
            <w:tcBorders>
              <w:top w:val="single" w:sz="6" w:space="0" w:color="000000"/>
              <w:left w:val="single" w:sz="6" w:space="0" w:color="000000"/>
              <w:bottom w:val="single" w:sz="6" w:space="0" w:color="000000"/>
              <w:right w:val="single" w:sz="6" w:space="0" w:color="000000"/>
            </w:tcBorders>
            <w:shd w:val="clear" w:color="auto" w:fill="FFFFFF"/>
            <w:hideMark/>
          </w:tcPr>
          <w:p w14:paraId="1D43D52E" w14:textId="77777777"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Мерна единица за базовата и целевата стойност</w:t>
            </w:r>
          </w:p>
        </w:tc>
        <w:tc>
          <w:tcPr>
            <w:tcW w:w="409"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E560CD1" w14:textId="77777777"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Целева стойност (2023 г.)</w:t>
            </w:r>
          </w:p>
        </w:tc>
        <w:tc>
          <w:tcPr>
            <w:tcW w:w="35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636963A" w14:textId="77777777" w:rsidR="009C6F83" w:rsidRPr="007D063B" w:rsidRDefault="009C6F83" w:rsidP="002E01E8">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2014</w:t>
            </w:r>
          </w:p>
        </w:tc>
        <w:tc>
          <w:tcPr>
            <w:tcW w:w="305"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72E02EB" w14:textId="77777777"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2015</w:t>
            </w:r>
          </w:p>
        </w:tc>
        <w:tc>
          <w:tcPr>
            <w:tcW w:w="26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B32AEAA" w14:textId="77777777"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2016</w:t>
            </w: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2637990" w14:textId="77777777"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2017</w:t>
            </w: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D3B5FEE" w14:textId="77777777"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2018</w:t>
            </w: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9DC0666" w14:textId="77777777"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2019</w:t>
            </w: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8EE6832" w14:textId="77777777" w:rsidR="009C6F83" w:rsidRPr="007D063B" w:rsidRDefault="009C6F83" w:rsidP="00F0187D">
            <w:pPr>
              <w:spacing w:before="60" w:after="60" w:line="240" w:lineRule="auto"/>
              <w:ind w:right="195"/>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2020</w:t>
            </w: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D202AA5" w14:textId="77777777" w:rsidR="009C6F83" w:rsidRPr="007D063B" w:rsidRDefault="009C6F83" w:rsidP="00F0187D">
            <w:pPr>
              <w:spacing w:before="60" w:after="60" w:line="240" w:lineRule="auto"/>
              <w:ind w:right="195"/>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2021</w:t>
            </w: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610C5AB" w14:textId="77777777" w:rsidR="009C6F83" w:rsidRPr="007D063B" w:rsidRDefault="009C6F83" w:rsidP="00F0187D">
            <w:pPr>
              <w:spacing w:before="60" w:after="60" w:line="240" w:lineRule="auto"/>
              <w:ind w:right="195"/>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2022</w:t>
            </w:r>
          </w:p>
        </w:tc>
        <w:tc>
          <w:tcPr>
            <w:tcW w:w="279"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C7C2721" w14:textId="77777777" w:rsidR="009C6F83" w:rsidRPr="007D063B" w:rsidRDefault="009C6F83" w:rsidP="00F0187D">
            <w:pPr>
              <w:spacing w:before="60" w:after="60" w:line="240" w:lineRule="auto"/>
              <w:ind w:right="195"/>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2023</w:t>
            </w:r>
          </w:p>
        </w:tc>
        <w:tc>
          <w:tcPr>
            <w:tcW w:w="5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1F6207D" w14:textId="639D6B6F"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205"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A492CDC" w14:textId="77777777" w:rsidR="009C6F83" w:rsidRPr="007D063B" w:rsidRDefault="009C6F83" w:rsidP="00F0187D">
            <w:pPr>
              <w:spacing w:before="60" w:after="60" w:line="240" w:lineRule="auto"/>
              <w:ind w:right="195"/>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Съотношение на постиженията</w:t>
            </w:r>
          </w:p>
        </w:tc>
      </w:tr>
      <w:tr w:rsidR="00735549" w:rsidRPr="007D063B" w14:paraId="7CCF38F8" w14:textId="77777777" w:rsidTr="00450FF1">
        <w:trPr>
          <w:tblCellSpacing w:w="0" w:type="dxa"/>
          <w:jc w:val="center"/>
        </w:trPr>
        <w:tc>
          <w:tcPr>
            <w:tcW w:w="2125" w:type="pct"/>
            <w:gridSpan w:val="9"/>
            <w:tcBorders>
              <w:top w:val="single" w:sz="6" w:space="0" w:color="000000"/>
              <w:left w:val="single" w:sz="6" w:space="0" w:color="000000"/>
              <w:bottom w:val="single" w:sz="6" w:space="0" w:color="000000"/>
              <w:right w:val="single" w:sz="6" w:space="0" w:color="000000"/>
            </w:tcBorders>
            <w:shd w:val="clear" w:color="auto" w:fill="FFFFFF"/>
            <w:hideMark/>
          </w:tcPr>
          <w:p w14:paraId="11CE685F" w14:textId="28943C15"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2612" w:type="pct"/>
            <w:gridSpan w:val="30"/>
            <w:tcBorders>
              <w:top w:val="single" w:sz="6" w:space="0" w:color="000000"/>
              <w:left w:val="single" w:sz="6" w:space="0" w:color="000000"/>
              <w:bottom w:val="single" w:sz="6" w:space="0" w:color="000000"/>
              <w:right w:val="single" w:sz="6" w:space="0" w:color="000000"/>
            </w:tcBorders>
            <w:shd w:val="clear" w:color="auto" w:fill="FFFFFF"/>
            <w:hideMark/>
          </w:tcPr>
          <w:p w14:paraId="3686C421" w14:textId="77777777" w:rsidR="009C6F83" w:rsidRPr="007D063B" w:rsidRDefault="009C6F83" w:rsidP="00F0187D">
            <w:pPr>
              <w:spacing w:before="60" w:after="6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Годишна стойност</w:t>
            </w:r>
          </w:p>
        </w:tc>
        <w:tc>
          <w:tcPr>
            <w:tcW w:w="5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B1EF8A2" w14:textId="1677B0E7"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205"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E35461B" w14:textId="08CA4DC3"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r>
      <w:tr w:rsidR="00735549" w:rsidRPr="007D063B" w14:paraId="79101003" w14:textId="77777777" w:rsidTr="00450FF1">
        <w:trPr>
          <w:tblCellSpacing w:w="0" w:type="dxa"/>
          <w:jc w:val="center"/>
        </w:trPr>
        <w:tc>
          <w:tcPr>
            <w:tcW w:w="200" w:type="pct"/>
            <w:tcBorders>
              <w:top w:val="single" w:sz="6" w:space="0" w:color="000000"/>
              <w:left w:val="single" w:sz="6" w:space="0" w:color="000000"/>
              <w:bottom w:val="single" w:sz="6" w:space="0" w:color="000000"/>
              <w:right w:val="single" w:sz="6" w:space="0" w:color="000000"/>
            </w:tcBorders>
            <w:shd w:val="clear" w:color="auto" w:fill="FFFFFF"/>
            <w:hideMark/>
          </w:tcPr>
          <w:p w14:paraId="34C98704" w14:textId="5415DC06"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607" w:type="pct"/>
            <w:tcBorders>
              <w:top w:val="single" w:sz="6" w:space="0" w:color="000000"/>
              <w:left w:val="single" w:sz="6" w:space="0" w:color="000000"/>
              <w:bottom w:val="single" w:sz="6" w:space="0" w:color="000000"/>
              <w:right w:val="single" w:sz="6" w:space="0" w:color="000000"/>
            </w:tcBorders>
            <w:shd w:val="clear" w:color="auto" w:fill="FFFFFF"/>
            <w:hideMark/>
          </w:tcPr>
          <w:p w14:paraId="324D8749" w14:textId="59D1B703" w:rsidR="009C6F83" w:rsidRPr="007D063B" w:rsidRDefault="009C6F83" w:rsidP="002E01E8">
            <w:pPr>
              <w:spacing w:before="120" w:after="0" w:line="240" w:lineRule="auto"/>
              <w:jc w:val="center"/>
              <w:rPr>
                <w:rFonts w:ascii="Times New Roman" w:eastAsia="Times New Roman" w:hAnsi="Times New Roman" w:cs="Times New Roman"/>
                <w:color w:val="000000"/>
                <w:sz w:val="16"/>
                <w:szCs w:val="16"/>
                <w:lang w:eastAsia="bg-BG"/>
              </w:rPr>
            </w:pPr>
          </w:p>
        </w:tc>
        <w:tc>
          <w:tcPr>
            <w:tcW w:w="218" w:type="pct"/>
            <w:tcBorders>
              <w:top w:val="single" w:sz="6" w:space="0" w:color="000000"/>
              <w:left w:val="single" w:sz="6" w:space="0" w:color="000000"/>
              <w:bottom w:val="single" w:sz="6" w:space="0" w:color="000000"/>
              <w:right w:val="single" w:sz="6" w:space="0" w:color="000000"/>
            </w:tcBorders>
            <w:shd w:val="clear" w:color="auto" w:fill="FFFFFF"/>
            <w:hideMark/>
          </w:tcPr>
          <w:p w14:paraId="634BC566" w14:textId="65A6B622"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297" w:type="pct"/>
            <w:tcBorders>
              <w:top w:val="single" w:sz="6" w:space="0" w:color="000000"/>
              <w:left w:val="single" w:sz="6" w:space="0" w:color="000000"/>
              <w:bottom w:val="single" w:sz="6" w:space="0" w:color="000000"/>
              <w:right w:val="single" w:sz="6" w:space="0" w:color="000000"/>
            </w:tcBorders>
            <w:shd w:val="clear" w:color="auto" w:fill="FFFFFF"/>
            <w:hideMark/>
          </w:tcPr>
          <w:p w14:paraId="6CE0B7A3" w14:textId="64A47ADC" w:rsidR="009C6F83" w:rsidRPr="007D063B" w:rsidRDefault="009C6F83" w:rsidP="002E01E8">
            <w:pPr>
              <w:spacing w:before="120" w:after="0" w:line="240" w:lineRule="auto"/>
              <w:jc w:val="center"/>
              <w:rPr>
                <w:rFonts w:ascii="Times New Roman" w:eastAsia="Times New Roman" w:hAnsi="Times New Roman" w:cs="Times New Roman"/>
                <w:color w:val="000000"/>
                <w:sz w:val="16"/>
                <w:szCs w:val="16"/>
                <w:lang w:eastAsia="bg-BG"/>
              </w:rPr>
            </w:pPr>
          </w:p>
        </w:tc>
        <w:tc>
          <w:tcPr>
            <w:tcW w:w="193" w:type="pct"/>
            <w:tcBorders>
              <w:top w:val="single" w:sz="6" w:space="0" w:color="000000"/>
              <w:left w:val="single" w:sz="6" w:space="0" w:color="000000"/>
              <w:bottom w:val="single" w:sz="6" w:space="0" w:color="000000"/>
              <w:right w:val="single" w:sz="6" w:space="0" w:color="000000"/>
            </w:tcBorders>
            <w:shd w:val="clear" w:color="auto" w:fill="FFFFFF"/>
            <w:hideMark/>
          </w:tcPr>
          <w:p w14:paraId="03F1E367" w14:textId="5EA63609"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203" w:type="pct"/>
            <w:tcBorders>
              <w:top w:val="single" w:sz="6" w:space="0" w:color="000000"/>
              <w:left w:val="single" w:sz="6" w:space="0" w:color="000000"/>
              <w:bottom w:val="single" w:sz="6" w:space="0" w:color="000000"/>
              <w:right w:val="single" w:sz="6" w:space="0" w:color="000000"/>
            </w:tcBorders>
            <w:shd w:val="clear" w:color="auto" w:fill="FFFFFF"/>
            <w:hideMark/>
          </w:tcPr>
          <w:p w14:paraId="71AD8B34" w14:textId="292F7CE2"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409"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9C25136" w14:textId="47A61C07"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35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EB26042" w14:textId="4A8E250A"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305"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C237D13" w14:textId="4A2FCB12"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26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882051D" w14:textId="268E5499"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F0B00C0" w14:textId="3D502A01"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428B014" w14:textId="47683996"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7F79926" w14:textId="04760570"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0BB353F" w14:textId="3EBB5A47"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8F6A833" w14:textId="34831F4C"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99F7F2D" w14:textId="255487B8"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279"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6DEA23C" w14:textId="36E760E8"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5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602BD2C" w14:textId="657D6D8F"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205"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22037F9" w14:textId="17E0F984"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745BB4BD" w14:textId="77777777" w:rsidTr="00DC0CD3">
        <w:tblPrEx>
          <w:tblBorders>
            <w:top w:val="single" w:sz="2" w:space="0" w:color="000000"/>
            <w:left w:val="single" w:sz="2" w:space="0" w:color="000000"/>
            <w:bottom w:val="single" w:sz="2" w:space="0" w:color="000000"/>
            <w:right w:val="single" w:sz="2" w:space="0" w:color="000000"/>
          </w:tblBorders>
        </w:tblPrEx>
        <w:trPr>
          <w:tblCellSpacing w:w="0" w:type="dxa"/>
          <w:jc w:val="center"/>
        </w:trPr>
        <w:tc>
          <w:tcPr>
            <w:tcW w:w="200" w:type="pct"/>
            <w:tcBorders>
              <w:top w:val="single" w:sz="2" w:space="0" w:color="000000"/>
              <w:left w:val="single" w:sz="2" w:space="0" w:color="000000"/>
              <w:bottom w:val="single" w:sz="2" w:space="0" w:color="000000"/>
              <w:right w:val="single" w:sz="2" w:space="0" w:color="000000"/>
            </w:tcBorders>
            <w:shd w:val="clear" w:color="auto" w:fill="FFFFFF"/>
            <w:hideMark/>
          </w:tcPr>
          <w:p w14:paraId="5E6037B4" w14:textId="7DAE8297"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607" w:type="pct"/>
            <w:tcBorders>
              <w:top w:val="single" w:sz="2" w:space="0" w:color="000000"/>
              <w:left w:val="single" w:sz="2" w:space="0" w:color="000000"/>
              <w:bottom w:val="single" w:sz="2" w:space="0" w:color="000000"/>
              <w:right w:val="single" w:sz="2" w:space="0" w:color="000000"/>
            </w:tcBorders>
            <w:shd w:val="clear" w:color="auto" w:fill="FFFFFF"/>
            <w:hideMark/>
          </w:tcPr>
          <w:p w14:paraId="2C45E1CA" w14:textId="4C35F9F1" w:rsidR="009C6F83" w:rsidRPr="007D063B" w:rsidRDefault="009C6F83" w:rsidP="002E01E8">
            <w:pPr>
              <w:spacing w:before="120" w:after="0" w:line="240" w:lineRule="auto"/>
              <w:jc w:val="center"/>
              <w:rPr>
                <w:rFonts w:ascii="Times New Roman" w:eastAsia="Times New Roman" w:hAnsi="Times New Roman" w:cs="Times New Roman"/>
                <w:color w:val="000000"/>
                <w:sz w:val="16"/>
                <w:szCs w:val="16"/>
                <w:lang w:eastAsia="bg-BG"/>
              </w:rPr>
            </w:pPr>
          </w:p>
        </w:tc>
        <w:tc>
          <w:tcPr>
            <w:tcW w:w="218" w:type="pct"/>
            <w:tcBorders>
              <w:top w:val="single" w:sz="2" w:space="0" w:color="000000"/>
              <w:left w:val="single" w:sz="2" w:space="0" w:color="000000"/>
              <w:bottom w:val="single" w:sz="2" w:space="0" w:color="000000"/>
              <w:right w:val="single" w:sz="2" w:space="0" w:color="000000"/>
            </w:tcBorders>
            <w:shd w:val="clear" w:color="auto" w:fill="FFFFFF"/>
            <w:hideMark/>
          </w:tcPr>
          <w:p w14:paraId="0FF3BD5B" w14:textId="2AD4E6E6"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297" w:type="pct"/>
            <w:tcBorders>
              <w:top w:val="single" w:sz="2" w:space="0" w:color="000000"/>
              <w:left w:val="single" w:sz="2" w:space="0" w:color="000000"/>
              <w:bottom w:val="single" w:sz="2" w:space="0" w:color="000000"/>
              <w:right w:val="single" w:sz="2" w:space="0" w:color="000000"/>
            </w:tcBorders>
            <w:shd w:val="clear" w:color="auto" w:fill="FFFFFF"/>
            <w:hideMark/>
          </w:tcPr>
          <w:p w14:paraId="14B3FDAA" w14:textId="43CB01D4" w:rsidR="009C6F83" w:rsidRPr="007D063B" w:rsidRDefault="009C6F83" w:rsidP="002E01E8">
            <w:pPr>
              <w:spacing w:before="120" w:after="0" w:line="240" w:lineRule="auto"/>
              <w:jc w:val="center"/>
              <w:rPr>
                <w:rFonts w:ascii="Times New Roman" w:eastAsia="Times New Roman" w:hAnsi="Times New Roman" w:cs="Times New Roman"/>
                <w:color w:val="000000"/>
                <w:sz w:val="16"/>
                <w:szCs w:val="16"/>
                <w:lang w:eastAsia="bg-BG"/>
              </w:rPr>
            </w:pPr>
          </w:p>
        </w:tc>
        <w:tc>
          <w:tcPr>
            <w:tcW w:w="193" w:type="pct"/>
            <w:tcBorders>
              <w:top w:val="single" w:sz="2" w:space="0" w:color="000000"/>
              <w:left w:val="single" w:sz="2" w:space="0" w:color="000000"/>
              <w:bottom w:val="single" w:sz="2" w:space="0" w:color="000000"/>
              <w:right w:val="single" w:sz="2" w:space="0" w:color="000000"/>
            </w:tcBorders>
            <w:shd w:val="clear" w:color="auto" w:fill="FFFFFF"/>
            <w:hideMark/>
          </w:tcPr>
          <w:p w14:paraId="58171FAC" w14:textId="5AD0D4DA"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203" w:type="pct"/>
            <w:tcBorders>
              <w:top w:val="single" w:sz="2" w:space="0" w:color="000000"/>
              <w:left w:val="single" w:sz="2" w:space="0" w:color="000000"/>
              <w:bottom w:val="single" w:sz="2" w:space="0" w:color="000000"/>
              <w:right w:val="single" w:sz="2" w:space="0" w:color="000000"/>
            </w:tcBorders>
            <w:shd w:val="clear" w:color="auto" w:fill="FFFFFF"/>
            <w:hideMark/>
          </w:tcPr>
          <w:p w14:paraId="0A26FD2D" w14:textId="506D45A6"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304" w:type="pct"/>
            <w:tcBorders>
              <w:top w:val="single" w:sz="2" w:space="0" w:color="000000"/>
              <w:left w:val="single" w:sz="2" w:space="0" w:color="000000"/>
              <w:bottom w:val="single" w:sz="2" w:space="0" w:color="000000"/>
              <w:right w:val="single" w:sz="2" w:space="0" w:color="000000"/>
            </w:tcBorders>
            <w:shd w:val="clear" w:color="auto" w:fill="FFFFFF"/>
            <w:hideMark/>
          </w:tcPr>
          <w:p w14:paraId="14CB6C36"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54" w:type="pct"/>
            <w:tcBorders>
              <w:top w:val="single" w:sz="2" w:space="0" w:color="000000"/>
              <w:left w:val="single" w:sz="2" w:space="0" w:color="000000"/>
              <w:bottom w:val="single" w:sz="2" w:space="0" w:color="000000"/>
              <w:right w:val="single" w:sz="2" w:space="0" w:color="000000"/>
            </w:tcBorders>
            <w:shd w:val="clear" w:color="auto" w:fill="FFFFFF"/>
            <w:hideMark/>
          </w:tcPr>
          <w:p w14:paraId="5B030452"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51" w:type="pct"/>
            <w:tcBorders>
              <w:top w:val="single" w:sz="2" w:space="0" w:color="000000"/>
              <w:left w:val="single" w:sz="2" w:space="0" w:color="000000"/>
              <w:bottom w:val="single" w:sz="2" w:space="0" w:color="000000"/>
              <w:right w:val="single" w:sz="2" w:space="0" w:color="000000"/>
            </w:tcBorders>
            <w:shd w:val="clear" w:color="auto" w:fill="FFFFFF"/>
            <w:hideMark/>
          </w:tcPr>
          <w:p w14:paraId="1DC99A2E"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52" w:type="pct"/>
            <w:tcBorders>
              <w:top w:val="single" w:sz="2" w:space="0" w:color="000000"/>
              <w:left w:val="single" w:sz="2" w:space="0" w:color="000000"/>
              <w:bottom w:val="single" w:sz="2" w:space="0" w:color="000000"/>
              <w:right w:val="single" w:sz="2" w:space="0" w:color="000000"/>
            </w:tcBorders>
            <w:shd w:val="clear" w:color="auto" w:fill="FFFFFF"/>
            <w:hideMark/>
          </w:tcPr>
          <w:p w14:paraId="5A2C88C3" w14:textId="77777777" w:rsidR="009C6F83" w:rsidRPr="007D063B" w:rsidRDefault="009C6F83" w:rsidP="002E01E8">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101" w:type="pct"/>
            <w:tcBorders>
              <w:top w:val="single" w:sz="2" w:space="0" w:color="000000"/>
              <w:left w:val="single" w:sz="2" w:space="0" w:color="000000"/>
              <w:bottom w:val="single" w:sz="2" w:space="0" w:color="000000"/>
              <w:right w:val="single" w:sz="2" w:space="0" w:color="000000"/>
            </w:tcBorders>
            <w:shd w:val="clear" w:color="auto" w:fill="FFFFFF"/>
            <w:hideMark/>
          </w:tcPr>
          <w:p w14:paraId="79878790"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01" w:type="pct"/>
            <w:tcBorders>
              <w:top w:val="single" w:sz="2" w:space="0" w:color="000000"/>
              <w:left w:val="single" w:sz="2" w:space="0" w:color="000000"/>
              <w:bottom w:val="single" w:sz="2" w:space="0" w:color="000000"/>
              <w:right w:val="single" w:sz="2" w:space="0" w:color="000000"/>
            </w:tcBorders>
            <w:shd w:val="clear" w:color="auto" w:fill="FFFFFF"/>
            <w:hideMark/>
          </w:tcPr>
          <w:p w14:paraId="5F68A0A3"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52" w:type="pct"/>
            <w:tcBorders>
              <w:top w:val="single" w:sz="2" w:space="0" w:color="000000"/>
              <w:left w:val="single" w:sz="2" w:space="0" w:color="000000"/>
              <w:bottom w:val="single" w:sz="2" w:space="0" w:color="000000"/>
              <w:right w:val="single" w:sz="2" w:space="0" w:color="000000"/>
            </w:tcBorders>
            <w:shd w:val="clear" w:color="auto" w:fill="FFFFFF"/>
            <w:hideMark/>
          </w:tcPr>
          <w:p w14:paraId="4BE77AD6"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102" w:type="pct"/>
            <w:tcBorders>
              <w:top w:val="single" w:sz="2" w:space="0" w:color="000000"/>
              <w:left w:val="single" w:sz="2" w:space="0" w:color="000000"/>
              <w:bottom w:val="single" w:sz="2" w:space="0" w:color="000000"/>
              <w:right w:val="single" w:sz="2" w:space="0" w:color="000000"/>
            </w:tcBorders>
            <w:shd w:val="clear" w:color="auto" w:fill="FFFFFF"/>
            <w:hideMark/>
          </w:tcPr>
          <w:p w14:paraId="0A60339F"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51" w:type="pct"/>
            <w:tcBorders>
              <w:top w:val="single" w:sz="2" w:space="0" w:color="000000"/>
              <w:left w:val="single" w:sz="2" w:space="0" w:color="000000"/>
              <w:bottom w:val="single" w:sz="2" w:space="0" w:color="000000"/>
              <w:right w:val="single" w:sz="2" w:space="0" w:color="000000"/>
            </w:tcBorders>
            <w:shd w:val="clear" w:color="auto" w:fill="FFFFFF"/>
            <w:hideMark/>
          </w:tcPr>
          <w:p w14:paraId="27A90001"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09" w:type="pct"/>
            <w:tcBorders>
              <w:top w:val="single" w:sz="2" w:space="0" w:color="000000"/>
              <w:left w:val="single" w:sz="2" w:space="0" w:color="000000"/>
              <w:bottom w:val="single" w:sz="2" w:space="0" w:color="000000"/>
              <w:right w:val="single" w:sz="2" w:space="0" w:color="000000"/>
            </w:tcBorders>
            <w:shd w:val="clear" w:color="auto" w:fill="FFFFFF"/>
            <w:hideMark/>
          </w:tcPr>
          <w:p w14:paraId="1971E468"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76" w:type="pct"/>
            <w:tcBorders>
              <w:top w:val="single" w:sz="2" w:space="0" w:color="000000"/>
              <w:left w:val="single" w:sz="2" w:space="0" w:color="000000"/>
              <w:bottom w:val="single" w:sz="2" w:space="0" w:color="000000"/>
              <w:right w:val="single" w:sz="2" w:space="0" w:color="000000"/>
            </w:tcBorders>
            <w:shd w:val="clear" w:color="auto" w:fill="FFFFFF"/>
            <w:hideMark/>
          </w:tcPr>
          <w:p w14:paraId="41542C8B"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83" w:type="pct"/>
            <w:tcBorders>
              <w:top w:val="single" w:sz="2" w:space="0" w:color="000000"/>
              <w:left w:val="single" w:sz="2" w:space="0" w:color="000000"/>
              <w:bottom w:val="single" w:sz="2" w:space="0" w:color="000000"/>
              <w:right w:val="single" w:sz="2" w:space="0" w:color="000000"/>
            </w:tcBorders>
            <w:shd w:val="clear" w:color="auto" w:fill="FFFFFF"/>
            <w:hideMark/>
          </w:tcPr>
          <w:p w14:paraId="553DA444"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75" w:type="pct"/>
            <w:tcBorders>
              <w:top w:val="single" w:sz="2" w:space="0" w:color="000000"/>
              <w:left w:val="single" w:sz="2" w:space="0" w:color="000000"/>
              <w:bottom w:val="single" w:sz="2" w:space="0" w:color="000000"/>
              <w:right w:val="single" w:sz="2" w:space="0" w:color="000000"/>
            </w:tcBorders>
            <w:shd w:val="clear" w:color="auto" w:fill="FFFFFF"/>
            <w:hideMark/>
          </w:tcPr>
          <w:p w14:paraId="38D3A164"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76" w:type="pct"/>
            <w:tcBorders>
              <w:top w:val="single" w:sz="2" w:space="0" w:color="000000"/>
              <w:left w:val="single" w:sz="2" w:space="0" w:color="000000"/>
              <w:bottom w:val="single" w:sz="2" w:space="0" w:color="000000"/>
              <w:right w:val="single" w:sz="2" w:space="0" w:color="000000"/>
            </w:tcBorders>
            <w:shd w:val="clear" w:color="auto" w:fill="FFFFFF"/>
            <w:hideMark/>
          </w:tcPr>
          <w:p w14:paraId="29E34741"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83" w:type="pct"/>
            <w:tcBorders>
              <w:top w:val="single" w:sz="2" w:space="0" w:color="000000"/>
              <w:left w:val="single" w:sz="2" w:space="0" w:color="000000"/>
              <w:bottom w:val="single" w:sz="2" w:space="0" w:color="000000"/>
              <w:right w:val="single" w:sz="2" w:space="0" w:color="000000"/>
            </w:tcBorders>
            <w:shd w:val="clear" w:color="auto" w:fill="FFFFFF"/>
            <w:hideMark/>
          </w:tcPr>
          <w:p w14:paraId="0F315EDC"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75" w:type="pct"/>
            <w:tcBorders>
              <w:top w:val="single" w:sz="2" w:space="0" w:color="000000"/>
              <w:left w:val="single" w:sz="2" w:space="0" w:color="000000"/>
              <w:bottom w:val="single" w:sz="2" w:space="0" w:color="000000"/>
              <w:right w:val="single" w:sz="2" w:space="0" w:color="000000"/>
            </w:tcBorders>
            <w:shd w:val="clear" w:color="auto" w:fill="FFFFFF"/>
            <w:hideMark/>
          </w:tcPr>
          <w:p w14:paraId="7410D404"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76" w:type="pct"/>
            <w:tcBorders>
              <w:top w:val="single" w:sz="2" w:space="0" w:color="000000"/>
              <w:left w:val="single" w:sz="2" w:space="0" w:color="000000"/>
              <w:bottom w:val="single" w:sz="2" w:space="0" w:color="000000"/>
              <w:right w:val="single" w:sz="2" w:space="0" w:color="000000"/>
            </w:tcBorders>
            <w:shd w:val="clear" w:color="auto" w:fill="FFFFFF"/>
            <w:hideMark/>
          </w:tcPr>
          <w:p w14:paraId="44A2A333"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83" w:type="pct"/>
            <w:tcBorders>
              <w:top w:val="single" w:sz="2" w:space="0" w:color="000000"/>
              <w:left w:val="single" w:sz="2" w:space="0" w:color="000000"/>
              <w:bottom w:val="single" w:sz="2" w:space="0" w:color="000000"/>
              <w:right w:val="single" w:sz="2" w:space="0" w:color="000000"/>
            </w:tcBorders>
            <w:shd w:val="clear" w:color="auto" w:fill="FFFFFF"/>
            <w:hideMark/>
          </w:tcPr>
          <w:p w14:paraId="2E5BBE36"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75" w:type="pct"/>
            <w:tcBorders>
              <w:top w:val="single" w:sz="2" w:space="0" w:color="000000"/>
              <w:left w:val="single" w:sz="2" w:space="0" w:color="000000"/>
              <w:bottom w:val="single" w:sz="2" w:space="0" w:color="000000"/>
              <w:right w:val="single" w:sz="2" w:space="0" w:color="000000"/>
            </w:tcBorders>
            <w:shd w:val="clear" w:color="auto" w:fill="FFFFFF"/>
            <w:hideMark/>
          </w:tcPr>
          <w:p w14:paraId="109CD990"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76" w:type="pct"/>
            <w:tcBorders>
              <w:top w:val="single" w:sz="2" w:space="0" w:color="000000"/>
              <w:left w:val="single" w:sz="2" w:space="0" w:color="000000"/>
              <w:bottom w:val="single" w:sz="2" w:space="0" w:color="000000"/>
              <w:right w:val="single" w:sz="2" w:space="0" w:color="000000"/>
            </w:tcBorders>
            <w:shd w:val="clear" w:color="auto" w:fill="FFFFFF"/>
            <w:hideMark/>
          </w:tcPr>
          <w:p w14:paraId="6C5328C6"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83" w:type="pct"/>
            <w:tcBorders>
              <w:top w:val="single" w:sz="2" w:space="0" w:color="000000"/>
              <w:left w:val="single" w:sz="2" w:space="0" w:color="000000"/>
              <w:bottom w:val="single" w:sz="2" w:space="0" w:color="000000"/>
              <w:right w:val="single" w:sz="2" w:space="0" w:color="000000"/>
            </w:tcBorders>
            <w:shd w:val="clear" w:color="auto" w:fill="FFFFFF"/>
            <w:hideMark/>
          </w:tcPr>
          <w:p w14:paraId="4D502E5D"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75" w:type="pct"/>
            <w:tcBorders>
              <w:top w:val="single" w:sz="2" w:space="0" w:color="000000"/>
              <w:left w:val="single" w:sz="2" w:space="0" w:color="000000"/>
              <w:bottom w:val="single" w:sz="2" w:space="0" w:color="000000"/>
              <w:right w:val="single" w:sz="2" w:space="0" w:color="000000"/>
            </w:tcBorders>
            <w:shd w:val="clear" w:color="auto" w:fill="FFFFFF"/>
            <w:hideMark/>
          </w:tcPr>
          <w:p w14:paraId="180F7822"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76" w:type="pct"/>
            <w:tcBorders>
              <w:top w:val="single" w:sz="2" w:space="0" w:color="000000"/>
              <w:left w:val="single" w:sz="2" w:space="0" w:color="000000"/>
              <w:bottom w:val="single" w:sz="2" w:space="0" w:color="000000"/>
              <w:right w:val="single" w:sz="2" w:space="0" w:color="000000"/>
            </w:tcBorders>
            <w:shd w:val="clear" w:color="auto" w:fill="FFFFFF"/>
            <w:hideMark/>
          </w:tcPr>
          <w:p w14:paraId="24807BBB"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83" w:type="pct"/>
            <w:tcBorders>
              <w:top w:val="single" w:sz="2" w:space="0" w:color="000000"/>
              <w:left w:val="single" w:sz="2" w:space="0" w:color="000000"/>
              <w:bottom w:val="single" w:sz="2" w:space="0" w:color="000000"/>
              <w:right w:val="single" w:sz="2" w:space="0" w:color="000000"/>
            </w:tcBorders>
            <w:shd w:val="clear" w:color="auto" w:fill="FFFFFF"/>
            <w:hideMark/>
          </w:tcPr>
          <w:p w14:paraId="7017846E"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75" w:type="pct"/>
            <w:tcBorders>
              <w:top w:val="single" w:sz="2" w:space="0" w:color="000000"/>
              <w:left w:val="single" w:sz="2" w:space="0" w:color="000000"/>
              <w:bottom w:val="single" w:sz="2" w:space="0" w:color="000000"/>
              <w:right w:val="single" w:sz="2" w:space="0" w:color="000000"/>
            </w:tcBorders>
            <w:shd w:val="clear" w:color="auto" w:fill="FFFFFF"/>
            <w:hideMark/>
          </w:tcPr>
          <w:p w14:paraId="51406573"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76" w:type="pct"/>
            <w:tcBorders>
              <w:top w:val="single" w:sz="2" w:space="0" w:color="000000"/>
              <w:left w:val="single" w:sz="2" w:space="0" w:color="000000"/>
              <w:bottom w:val="single" w:sz="2" w:space="0" w:color="000000"/>
              <w:right w:val="single" w:sz="2" w:space="0" w:color="000000"/>
            </w:tcBorders>
            <w:shd w:val="clear" w:color="auto" w:fill="FFFFFF"/>
            <w:hideMark/>
          </w:tcPr>
          <w:p w14:paraId="2E80BF6D"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83" w:type="pct"/>
            <w:tcBorders>
              <w:top w:val="single" w:sz="2" w:space="0" w:color="000000"/>
              <w:left w:val="single" w:sz="2" w:space="0" w:color="000000"/>
              <w:bottom w:val="single" w:sz="2" w:space="0" w:color="000000"/>
              <w:right w:val="single" w:sz="2" w:space="0" w:color="000000"/>
            </w:tcBorders>
            <w:shd w:val="clear" w:color="auto" w:fill="FFFFFF"/>
            <w:hideMark/>
          </w:tcPr>
          <w:p w14:paraId="1C3C797D"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75" w:type="pct"/>
            <w:tcBorders>
              <w:top w:val="single" w:sz="2" w:space="0" w:color="000000"/>
              <w:left w:val="single" w:sz="2" w:space="0" w:color="000000"/>
              <w:bottom w:val="single" w:sz="2" w:space="0" w:color="000000"/>
              <w:right w:val="single" w:sz="2" w:space="0" w:color="000000"/>
            </w:tcBorders>
            <w:shd w:val="clear" w:color="auto" w:fill="FFFFFF"/>
            <w:hideMark/>
          </w:tcPr>
          <w:p w14:paraId="570D6F6C"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76" w:type="pct"/>
            <w:tcBorders>
              <w:top w:val="single" w:sz="2" w:space="0" w:color="000000"/>
              <w:left w:val="single" w:sz="2" w:space="0" w:color="000000"/>
              <w:bottom w:val="single" w:sz="2" w:space="0" w:color="000000"/>
              <w:right w:val="single" w:sz="2" w:space="0" w:color="000000"/>
            </w:tcBorders>
            <w:shd w:val="clear" w:color="auto" w:fill="FFFFFF"/>
            <w:hideMark/>
          </w:tcPr>
          <w:p w14:paraId="39787939"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83" w:type="pct"/>
            <w:tcBorders>
              <w:top w:val="single" w:sz="2" w:space="0" w:color="000000"/>
              <w:left w:val="single" w:sz="2" w:space="0" w:color="000000"/>
              <w:bottom w:val="single" w:sz="2" w:space="0" w:color="000000"/>
              <w:right w:val="single" w:sz="2" w:space="0" w:color="000000"/>
            </w:tcBorders>
            <w:shd w:val="clear" w:color="auto" w:fill="FFFFFF"/>
            <w:hideMark/>
          </w:tcPr>
          <w:p w14:paraId="5DCF4444"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75" w:type="pct"/>
            <w:tcBorders>
              <w:top w:val="single" w:sz="2" w:space="0" w:color="000000"/>
              <w:left w:val="single" w:sz="2" w:space="0" w:color="000000"/>
              <w:bottom w:val="single" w:sz="2" w:space="0" w:color="000000"/>
              <w:right w:val="single" w:sz="2" w:space="0" w:color="000000"/>
            </w:tcBorders>
            <w:shd w:val="clear" w:color="auto" w:fill="FFFFFF"/>
            <w:hideMark/>
          </w:tcPr>
          <w:p w14:paraId="737AC642"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76" w:type="pct"/>
            <w:tcBorders>
              <w:top w:val="single" w:sz="2" w:space="0" w:color="000000"/>
              <w:left w:val="single" w:sz="2" w:space="0" w:color="000000"/>
              <w:bottom w:val="single" w:sz="2" w:space="0" w:color="000000"/>
              <w:right w:val="single" w:sz="2" w:space="0" w:color="000000"/>
            </w:tcBorders>
            <w:shd w:val="clear" w:color="auto" w:fill="FFFFFF"/>
            <w:hideMark/>
          </w:tcPr>
          <w:p w14:paraId="4814BED9"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2" w:space="0" w:color="000000"/>
              <w:left w:val="single" w:sz="2" w:space="0" w:color="000000"/>
              <w:bottom w:val="single" w:sz="2" w:space="0" w:color="000000"/>
              <w:right w:val="single" w:sz="2" w:space="0" w:color="000000"/>
            </w:tcBorders>
            <w:shd w:val="clear" w:color="auto" w:fill="FFFFFF"/>
            <w:hideMark/>
          </w:tcPr>
          <w:p w14:paraId="5EEA61D2"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9" w:type="pct"/>
            <w:tcBorders>
              <w:top w:val="single" w:sz="2" w:space="0" w:color="000000"/>
              <w:left w:val="single" w:sz="2" w:space="0" w:color="000000"/>
              <w:bottom w:val="single" w:sz="2" w:space="0" w:color="000000"/>
              <w:right w:val="single" w:sz="2" w:space="0" w:color="000000"/>
            </w:tcBorders>
            <w:shd w:val="clear" w:color="auto" w:fill="FFFFFF"/>
            <w:hideMark/>
          </w:tcPr>
          <w:p w14:paraId="60B7B112" w14:textId="44AACBC3"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9" w:type="pct"/>
            <w:tcBorders>
              <w:top w:val="single" w:sz="2" w:space="0" w:color="000000"/>
              <w:left w:val="single" w:sz="2" w:space="0" w:color="000000"/>
              <w:bottom w:val="single" w:sz="2" w:space="0" w:color="000000"/>
              <w:right w:val="single" w:sz="2" w:space="0" w:color="000000"/>
            </w:tcBorders>
            <w:shd w:val="clear" w:color="auto" w:fill="FFFFFF"/>
            <w:hideMark/>
          </w:tcPr>
          <w:p w14:paraId="0210DC14" w14:textId="6757D93F"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20" w:type="pct"/>
            <w:tcBorders>
              <w:top w:val="single" w:sz="2" w:space="0" w:color="000000"/>
              <w:left w:val="single" w:sz="2" w:space="0" w:color="000000"/>
              <w:bottom w:val="single" w:sz="2" w:space="0" w:color="000000"/>
              <w:right w:val="single" w:sz="2" w:space="0" w:color="000000"/>
            </w:tcBorders>
            <w:shd w:val="clear" w:color="auto" w:fill="FFFFFF"/>
            <w:hideMark/>
          </w:tcPr>
          <w:p w14:paraId="5BD7AB41" w14:textId="303624D2"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1" w:type="pct"/>
            <w:tcBorders>
              <w:top w:val="single" w:sz="2" w:space="0" w:color="000000"/>
              <w:left w:val="single" w:sz="2" w:space="0" w:color="000000"/>
              <w:bottom w:val="single" w:sz="2" w:space="0" w:color="000000"/>
              <w:right w:val="single" w:sz="2" w:space="0" w:color="000000"/>
            </w:tcBorders>
            <w:shd w:val="clear" w:color="auto" w:fill="FFFFFF"/>
            <w:hideMark/>
          </w:tcPr>
          <w:p w14:paraId="7BD1BB19" w14:textId="77777777" w:rsidR="009C6F83" w:rsidRPr="007D063B" w:rsidRDefault="009C6F83" w:rsidP="002E01E8">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88" w:type="pct"/>
            <w:tcBorders>
              <w:top w:val="single" w:sz="2" w:space="0" w:color="000000"/>
              <w:left w:val="single" w:sz="2" w:space="0" w:color="000000"/>
              <w:bottom w:val="single" w:sz="2" w:space="0" w:color="000000"/>
              <w:right w:val="single" w:sz="2" w:space="0" w:color="000000"/>
            </w:tcBorders>
            <w:shd w:val="clear" w:color="auto" w:fill="FFFFFF"/>
            <w:hideMark/>
          </w:tcPr>
          <w:p w14:paraId="3803A0CC"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36" w:type="pct"/>
            <w:tcBorders>
              <w:top w:val="single" w:sz="2" w:space="0" w:color="000000"/>
              <w:left w:val="single" w:sz="2" w:space="0" w:color="000000"/>
              <w:bottom w:val="single" w:sz="2" w:space="0" w:color="000000"/>
              <w:right w:val="single" w:sz="2" w:space="0" w:color="000000"/>
            </w:tcBorders>
            <w:shd w:val="clear" w:color="auto" w:fill="FFFFFF"/>
            <w:hideMark/>
          </w:tcPr>
          <w:p w14:paraId="7E3C8F8B" w14:textId="77777777" w:rsidR="009C6F83" w:rsidRPr="007D063B" w:rsidRDefault="009C6F83" w:rsidP="00F0187D">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r>
      <w:tr w:rsidR="003B73DC" w:rsidRPr="007D063B" w14:paraId="0B800511" w14:textId="77777777" w:rsidTr="00DC0CD3">
        <w:trPr>
          <w:tblCellSpacing w:w="0" w:type="dxa"/>
          <w:jc w:val="center"/>
        </w:trPr>
        <w:tc>
          <w:tcPr>
            <w:tcW w:w="200" w:type="pct"/>
            <w:tcBorders>
              <w:top w:val="single" w:sz="6" w:space="0" w:color="000000"/>
              <w:left w:val="single" w:sz="6" w:space="0" w:color="000000"/>
              <w:bottom w:val="single" w:sz="6" w:space="0" w:color="000000"/>
              <w:right w:val="single" w:sz="6" w:space="0" w:color="000000"/>
            </w:tcBorders>
            <w:shd w:val="clear" w:color="auto" w:fill="FFFFFF"/>
            <w:hideMark/>
          </w:tcPr>
          <w:p w14:paraId="7D31B091" w14:textId="282F6B73" w:rsidR="009C6F83" w:rsidRPr="007D063B" w:rsidRDefault="009B615C"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R1-1</w:t>
            </w:r>
          </w:p>
        </w:tc>
        <w:tc>
          <w:tcPr>
            <w:tcW w:w="607" w:type="pct"/>
            <w:tcBorders>
              <w:top w:val="single" w:sz="6" w:space="0" w:color="000000"/>
              <w:left w:val="single" w:sz="6" w:space="0" w:color="000000"/>
              <w:bottom w:val="single" w:sz="6" w:space="0" w:color="000000"/>
              <w:right w:val="single" w:sz="6" w:space="0" w:color="000000"/>
            </w:tcBorders>
            <w:shd w:val="clear" w:color="auto" w:fill="FFFFFF"/>
            <w:hideMark/>
          </w:tcPr>
          <w:p w14:paraId="764F98E4" w14:textId="7F99F340" w:rsidR="009C6F83" w:rsidRPr="007D063B" w:rsidRDefault="009B615C" w:rsidP="002E01E8">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 внедрени услуги от типа „епизоди от живота“ и „бизнес събития“</w:t>
            </w:r>
          </w:p>
        </w:tc>
        <w:tc>
          <w:tcPr>
            <w:tcW w:w="218" w:type="pct"/>
            <w:tcBorders>
              <w:top w:val="single" w:sz="6" w:space="0" w:color="000000"/>
              <w:left w:val="single" w:sz="6" w:space="0" w:color="000000"/>
              <w:bottom w:val="single" w:sz="6" w:space="0" w:color="000000"/>
              <w:right w:val="single" w:sz="6" w:space="0" w:color="000000"/>
            </w:tcBorders>
            <w:shd w:val="clear" w:color="auto" w:fill="FFFFFF"/>
            <w:hideMark/>
          </w:tcPr>
          <w:p w14:paraId="66A96A85" w14:textId="3E39E87A" w:rsidR="009C6F83"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ЕСФ</w:t>
            </w:r>
          </w:p>
        </w:tc>
        <w:tc>
          <w:tcPr>
            <w:tcW w:w="297" w:type="pct"/>
            <w:tcBorders>
              <w:top w:val="single" w:sz="6" w:space="0" w:color="000000"/>
              <w:left w:val="single" w:sz="6" w:space="0" w:color="000000"/>
              <w:bottom w:val="single" w:sz="6" w:space="0" w:color="000000"/>
              <w:right w:val="single" w:sz="6" w:space="0" w:color="000000"/>
            </w:tcBorders>
            <w:shd w:val="clear" w:color="auto" w:fill="FFFFFF"/>
            <w:hideMark/>
          </w:tcPr>
          <w:p w14:paraId="0C686EB9" w14:textId="520BA660" w:rsidR="009C6F83" w:rsidRPr="007D063B" w:rsidRDefault="009B615C" w:rsidP="002E01E8">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По-слабо развити региони</w:t>
            </w:r>
          </w:p>
        </w:tc>
        <w:tc>
          <w:tcPr>
            <w:tcW w:w="193" w:type="pct"/>
            <w:tcBorders>
              <w:top w:val="single" w:sz="6" w:space="0" w:color="000000"/>
              <w:left w:val="single" w:sz="6" w:space="0" w:color="000000"/>
              <w:bottom w:val="single" w:sz="6" w:space="0" w:color="000000"/>
              <w:right w:val="single" w:sz="6" w:space="0" w:color="000000"/>
            </w:tcBorders>
            <w:shd w:val="clear" w:color="auto" w:fill="FFFFFF"/>
            <w:hideMark/>
          </w:tcPr>
          <w:p w14:paraId="1D6C7318" w14:textId="23FA9A00" w:rsidR="009C6F83" w:rsidRPr="007D063B" w:rsidRDefault="009B615C"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w:t>
            </w:r>
          </w:p>
        </w:tc>
        <w:tc>
          <w:tcPr>
            <w:tcW w:w="203" w:type="pct"/>
            <w:tcBorders>
              <w:top w:val="single" w:sz="6" w:space="0" w:color="000000"/>
              <w:left w:val="single" w:sz="6" w:space="0" w:color="000000"/>
              <w:bottom w:val="single" w:sz="6" w:space="0" w:color="000000"/>
              <w:right w:val="single" w:sz="6" w:space="0" w:color="000000"/>
            </w:tcBorders>
            <w:shd w:val="clear" w:color="auto" w:fill="FFFFFF"/>
            <w:hideMark/>
          </w:tcPr>
          <w:p w14:paraId="648828EC" w14:textId="5FF2C5C5" w:rsidR="009C6F83" w:rsidRPr="007D063B" w:rsidRDefault="009B615C"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w:t>
            </w:r>
          </w:p>
        </w:tc>
        <w:tc>
          <w:tcPr>
            <w:tcW w:w="304" w:type="pct"/>
            <w:tcBorders>
              <w:top w:val="single" w:sz="6" w:space="0" w:color="000000"/>
              <w:left w:val="single" w:sz="6" w:space="0" w:color="000000"/>
              <w:bottom w:val="single" w:sz="6" w:space="0" w:color="000000"/>
              <w:right w:val="single" w:sz="6" w:space="0" w:color="000000"/>
            </w:tcBorders>
            <w:shd w:val="clear" w:color="auto" w:fill="FFFFFF"/>
            <w:hideMark/>
          </w:tcPr>
          <w:p w14:paraId="5696D155" w14:textId="4E987805" w:rsidR="009C6F83" w:rsidRPr="007D063B" w:rsidRDefault="009B615C"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10,00</w:t>
            </w:r>
          </w:p>
        </w:tc>
        <w:tc>
          <w:tcPr>
            <w:tcW w:w="54" w:type="pct"/>
            <w:tcBorders>
              <w:top w:val="single" w:sz="6" w:space="0" w:color="000000"/>
              <w:left w:val="single" w:sz="6" w:space="0" w:color="000000"/>
              <w:bottom w:val="single" w:sz="6" w:space="0" w:color="000000"/>
              <w:right w:val="single" w:sz="6" w:space="0" w:color="000000"/>
            </w:tcBorders>
            <w:shd w:val="clear" w:color="auto" w:fill="FFFFFF"/>
            <w:hideMark/>
          </w:tcPr>
          <w:p w14:paraId="72E97D6C" w14:textId="4A4140A4"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51" w:type="pct"/>
            <w:tcBorders>
              <w:top w:val="single" w:sz="6" w:space="0" w:color="000000"/>
              <w:left w:val="single" w:sz="6" w:space="0" w:color="000000"/>
              <w:bottom w:val="single" w:sz="6" w:space="0" w:color="000000"/>
              <w:right w:val="single" w:sz="6" w:space="0" w:color="000000"/>
            </w:tcBorders>
            <w:shd w:val="clear" w:color="auto" w:fill="FFFFFF"/>
            <w:hideMark/>
          </w:tcPr>
          <w:p w14:paraId="027D8662" w14:textId="4459B1D7"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52" w:type="pct"/>
            <w:tcBorders>
              <w:top w:val="single" w:sz="6" w:space="0" w:color="000000"/>
              <w:left w:val="single" w:sz="6" w:space="0" w:color="000000"/>
              <w:bottom w:val="single" w:sz="6" w:space="0" w:color="000000"/>
              <w:right w:val="single" w:sz="6" w:space="0" w:color="000000"/>
            </w:tcBorders>
            <w:shd w:val="clear" w:color="auto" w:fill="FFFFFF"/>
            <w:hideMark/>
          </w:tcPr>
          <w:p w14:paraId="249911AE" w14:textId="40084BEA" w:rsidR="009C6F83" w:rsidRPr="007D063B" w:rsidRDefault="001D7656" w:rsidP="00F0187D">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101" w:type="pct"/>
            <w:tcBorders>
              <w:top w:val="single" w:sz="6" w:space="0" w:color="000000"/>
              <w:left w:val="single" w:sz="6" w:space="0" w:color="000000"/>
              <w:bottom w:val="single" w:sz="6" w:space="0" w:color="000000"/>
              <w:right w:val="single" w:sz="6" w:space="0" w:color="000000"/>
            </w:tcBorders>
            <w:shd w:val="clear" w:color="auto" w:fill="FFFFFF"/>
            <w:hideMark/>
          </w:tcPr>
          <w:p w14:paraId="1F47FCE8" w14:textId="19551C70"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01" w:type="pct"/>
            <w:tcBorders>
              <w:top w:val="single" w:sz="6" w:space="0" w:color="000000"/>
              <w:left w:val="single" w:sz="6" w:space="0" w:color="000000"/>
              <w:bottom w:val="single" w:sz="6" w:space="0" w:color="000000"/>
              <w:right w:val="single" w:sz="6" w:space="0" w:color="000000"/>
            </w:tcBorders>
            <w:shd w:val="clear" w:color="auto" w:fill="FFFFFF"/>
            <w:hideMark/>
          </w:tcPr>
          <w:p w14:paraId="27BE1FB5" w14:textId="7130B2A7"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52" w:type="pct"/>
            <w:tcBorders>
              <w:top w:val="single" w:sz="6" w:space="0" w:color="000000"/>
              <w:left w:val="single" w:sz="6" w:space="0" w:color="000000"/>
              <w:bottom w:val="single" w:sz="6" w:space="0" w:color="000000"/>
              <w:right w:val="single" w:sz="6" w:space="0" w:color="000000"/>
            </w:tcBorders>
            <w:shd w:val="clear" w:color="auto" w:fill="FFFFFF"/>
            <w:hideMark/>
          </w:tcPr>
          <w:p w14:paraId="43D32AE9" w14:textId="744292D2" w:rsidR="009C6F83" w:rsidRPr="007D063B" w:rsidRDefault="001D7656" w:rsidP="00F0187D">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102" w:type="pct"/>
            <w:tcBorders>
              <w:top w:val="single" w:sz="6" w:space="0" w:color="000000"/>
              <w:left w:val="single" w:sz="6" w:space="0" w:color="000000"/>
              <w:bottom w:val="single" w:sz="6" w:space="0" w:color="000000"/>
              <w:right w:val="single" w:sz="6" w:space="0" w:color="000000"/>
            </w:tcBorders>
            <w:shd w:val="clear" w:color="auto" w:fill="FFFFFF"/>
            <w:hideMark/>
          </w:tcPr>
          <w:p w14:paraId="1722036A" w14:textId="390780B2"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51" w:type="pct"/>
            <w:tcBorders>
              <w:top w:val="single" w:sz="6" w:space="0" w:color="000000"/>
              <w:left w:val="single" w:sz="6" w:space="0" w:color="000000"/>
              <w:bottom w:val="single" w:sz="6" w:space="0" w:color="000000"/>
              <w:right w:val="single" w:sz="6" w:space="0" w:color="000000"/>
            </w:tcBorders>
            <w:shd w:val="clear" w:color="auto" w:fill="FFFFFF"/>
            <w:hideMark/>
          </w:tcPr>
          <w:p w14:paraId="0EE9BA06" w14:textId="6FE0F09F"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09" w:type="pct"/>
            <w:tcBorders>
              <w:top w:val="single" w:sz="6" w:space="0" w:color="000000"/>
              <w:left w:val="single" w:sz="6" w:space="0" w:color="000000"/>
              <w:bottom w:val="single" w:sz="6" w:space="0" w:color="000000"/>
              <w:right w:val="single" w:sz="6" w:space="0" w:color="000000"/>
            </w:tcBorders>
            <w:shd w:val="clear" w:color="auto" w:fill="FFFFFF"/>
            <w:hideMark/>
          </w:tcPr>
          <w:p w14:paraId="37923AB8" w14:textId="6CE554C1" w:rsidR="009C6F83" w:rsidRPr="007D063B" w:rsidRDefault="00DC0CD3"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76" w:type="pct"/>
            <w:tcBorders>
              <w:top w:val="single" w:sz="6" w:space="0" w:color="000000"/>
              <w:left w:val="single" w:sz="6" w:space="0" w:color="000000"/>
              <w:bottom w:val="single" w:sz="6" w:space="0" w:color="000000"/>
              <w:right w:val="single" w:sz="6" w:space="0" w:color="000000"/>
            </w:tcBorders>
            <w:shd w:val="clear" w:color="auto" w:fill="FFFFFF"/>
            <w:hideMark/>
          </w:tcPr>
          <w:p w14:paraId="7FE363B4" w14:textId="663E1D3C"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hideMark/>
          </w:tcPr>
          <w:p w14:paraId="5174FFCD" w14:textId="77F468A6"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hideMark/>
          </w:tcPr>
          <w:p w14:paraId="10864ECA" w14:textId="765FB10C"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hideMark/>
          </w:tcPr>
          <w:p w14:paraId="0B8963C4" w14:textId="5018063B"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hideMark/>
          </w:tcPr>
          <w:p w14:paraId="30C51B83" w14:textId="44B3DC6D"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hideMark/>
          </w:tcPr>
          <w:p w14:paraId="14BD4B1B" w14:textId="431C1704"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hideMark/>
          </w:tcPr>
          <w:p w14:paraId="3CF70E78" w14:textId="27ABD0FE"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hideMark/>
          </w:tcPr>
          <w:p w14:paraId="6CF2EC41" w14:textId="057D6044"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hideMark/>
          </w:tcPr>
          <w:p w14:paraId="3E5E7193" w14:textId="35E2C8D3"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hideMark/>
          </w:tcPr>
          <w:p w14:paraId="4837E6E6" w14:textId="583F225D"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hideMark/>
          </w:tcPr>
          <w:p w14:paraId="23A1DEDF" w14:textId="09163037"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hideMark/>
          </w:tcPr>
          <w:p w14:paraId="13EFD846" w14:textId="33446D12"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hideMark/>
          </w:tcPr>
          <w:p w14:paraId="73489EF0" w14:textId="63192321"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hideMark/>
          </w:tcPr>
          <w:p w14:paraId="44064F27" w14:textId="56658FCA"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hideMark/>
          </w:tcPr>
          <w:p w14:paraId="41176FA6" w14:textId="114A1A51"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hideMark/>
          </w:tcPr>
          <w:p w14:paraId="3B22FD09" w14:textId="62E05869"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hideMark/>
          </w:tcPr>
          <w:p w14:paraId="485211EB" w14:textId="53AC9CD2"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hideMark/>
          </w:tcPr>
          <w:p w14:paraId="0F86416F" w14:textId="2008F49D"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hideMark/>
          </w:tcPr>
          <w:p w14:paraId="2C8909BB" w14:textId="129CFA16"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hideMark/>
          </w:tcPr>
          <w:p w14:paraId="20470C93" w14:textId="2B32E9AC"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hideMark/>
          </w:tcPr>
          <w:p w14:paraId="60BA1B5F" w14:textId="5B3B307E"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hideMark/>
          </w:tcPr>
          <w:p w14:paraId="5EB8FFA6" w14:textId="08C036C8"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7A3471F8" w14:textId="51024470"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9" w:type="pct"/>
            <w:tcBorders>
              <w:top w:val="single" w:sz="6" w:space="0" w:color="000000"/>
              <w:left w:val="single" w:sz="6" w:space="0" w:color="000000"/>
              <w:bottom w:val="single" w:sz="6" w:space="0" w:color="000000"/>
              <w:right w:val="single" w:sz="6" w:space="0" w:color="000000"/>
            </w:tcBorders>
            <w:shd w:val="clear" w:color="auto" w:fill="FFFFFF"/>
            <w:hideMark/>
          </w:tcPr>
          <w:p w14:paraId="49054229" w14:textId="5F0855DA"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9" w:type="pct"/>
            <w:tcBorders>
              <w:top w:val="single" w:sz="6" w:space="0" w:color="000000"/>
              <w:left w:val="single" w:sz="6" w:space="0" w:color="000000"/>
              <w:bottom w:val="single" w:sz="6" w:space="0" w:color="000000"/>
              <w:right w:val="single" w:sz="6" w:space="0" w:color="000000"/>
            </w:tcBorders>
            <w:shd w:val="clear" w:color="auto" w:fill="FFFFFF"/>
            <w:hideMark/>
          </w:tcPr>
          <w:p w14:paraId="69C7FD87" w14:textId="5DD26BE1"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20" w:type="pct"/>
            <w:tcBorders>
              <w:top w:val="single" w:sz="6" w:space="0" w:color="000000"/>
              <w:left w:val="single" w:sz="6" w:space="0" w:color="000000"/>
              <w:bottom w:val="single" w:sz="6" w:space="0" w:color="000000"/>
              <w:right w:val="single" w:sz="6" w:space="0" w:color="000000"/>
            </w:tcBorders>
            <w:shd w:val="clear" w:color="auto" w:fill="FFFFFF"/>
            <w:hideMark/>
          </w:tcPr>
          <w:p w14:paraId="38560DB1" w14:textId="6C816EDA"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1" w:type="pct"/>
            <w:tcBorders>
              <w:top w:val="single" w:sz="6" w:space="0" w:color="000000"/>
              <w:left w:val="single" w:sz="6" w:space="0" w:color="000000"/>
              <w:bottom w:val="single" w:sz="6" w:space="0" w:color="000000"/>
              <w:right w:val="single" w:sz="6" w:space="0" w:color="000000"/>
            </w:tcBorders>
            <w:shd w:val="clear" w:color="auto" w:fill="FFFFFF"/>
            <w:hideMark/>
          </w:tcPr>
          <w:p w14:paraId="58581D7C" w14:textId="3C86926A" w:rsidR="009C6F83" w:rsidRPr="007D063B" w:rsidRDefault="005D44DD"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88" w:type="pct"/>
            <w:tcBorders>
              <w:top w:val="single" w:sz="6" w:space="0" w:color="000000"/>
              <w:left w:val="single" w:sz="6" w:space="0" w:color="000000"/>
              <w:bottom w:val="single" w:sz="6" w:space="0" w:color="000000"/>
              <w:right w:val="single" w:sz="6" w:space="0" w:color="000000"/>
            </w:tcBorders>
            <w:shd w:val="clear" w:color="auto" w:fill="FFFFFF"/>
            <w:hideMark/>
          </w:tcPr>
          <w:p w14:paraId="47700440" w14:textId="11ABB1AB"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36" w:type="pct"/>
            <w:tcBorders>
              <w:top w:val="single" w:sz="6" w:space="0" w:color="000000"/>
              <w:left w:val="single" w:sz="6" w:space="0" w:color="000000"/>
              <w:bottom w:val="single" w:sz="6" w:space="0" w:color="000000"/>
              <w:right w:val="single" w:sz="6" w:space="0" w:color="000000"/>
            </w:tcBorders>
            <w:shd w:val="clear" w:color="auto" w:fill="FFFFFF"/>
            <w:hideMark/>
          </w:tcPr>
          <w:p w14:paraId="2F5FDBCD" w14:textId="02CBB9B4" w:rsidR="009C6F83" w:rsidRPr="007D063B" w:rsidRDefault="009C6F83" w:rsidP="00F0187D">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461C984D" w14:textId="77777777" w:rsidTr="00DC0CD3">
        <w:trPr>
          <w:tblCellSpacing w:w="0" w:type="dxa"/>
          <w:jc w:val="center"/>
        </w:trPr>
        <w:tc>
          <w:tcPr>
            <w:tcW w:w="200" w:type="pct"/>
            <w:tcBorders>
              <w:top w:val="single" w:sz="6" w:space="0" w:color="000000"/>
              <w:left w:val="single" w:sz="6" w:space="0" w:color="000000"/>
              <w:bottom w:val="single" w:sz="6" w:space="0" w:color="000000"/>
              <w:right w:val="single" w:sz="6" w:space="0" w:color="000000"/>
            </w:tcBorders>
            <w:shd w:val="clear" w:color="auto" w:fill="FFFFFF"/>
          </w:tcPr>
          <w:p w14:paraId="3E84F78F" w14:textId="4909217E"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R1-2</w:t>
            </w:r>
          </w:p>
        </w:tc>
        <w:tc>
          <w:tcPr>
            <w:tcW w:w="607" w:type="pct"/>
            <w:tcBorders>
              <w:top w:val="single" w:sz="6" w:space="0" w:color="000000"/>
              <w:left w:val="single" w:sz="6" w:space="0" w:color="000000"/>
              <w:bottom w:val="single" w:sz="6" w:space="0" w:color="000000"/>
              <w:right w:val="single" w:sz="6" w:space="0" w:color="000000"/>
            </w:tcBorders>
            <w:shd w:val="clear" w:color="auto" w:fill="FFFFFF"/>
          </w:tcPr>
          <w:p w14:paraId="0E19FD3F" w14:textId="7FC83F21" w:rsidR="001D7656" w:rsidRPr="007D063B" w:rsidRDefault="001D7656" w:rsidP="002E01E8">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 стандартизирани общински услуги, въведени във всички общински администрации</w:t>
            </w:r>
          </w:p>
        </w:tc>
        <w:tc>
          <w:tcPr>
            <w:tcW w:w="218" w:type="pct"/>
            <w:tcBorders>
              <w:top w:val="single" w:sz="6" w:space="0" w:color="000000"/>
              <w:left w:val="single" w:sz="6" w:space="0" w:color="000000"/>
              <w:bottom w:val="single" w:sz="6" w:space="0" w:color="000000"/>
              <w:right w:val="single" w:sz="6" w:space="0" w:color="000000"/>
            </w:tcBorders>
            <w:shd w:val="clear" w:color="auto" w:fill="FFFFFF"/>
          </w:tcPr>
          <w:p w14:paraId="16151AA1" w14:textId="19A8FA3C"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ЕСФ</w:t>
            </w:r>
          </w:p>
        </w:tc>
        <w:tc>
          <w:tcPr>
            <w:tcW w:w="297" w:type="pct"/>
            <w:tcBorders>
              <w:top w:val="single" w:sz="6" w:space="0" w:color="000000"/>
              <w:left w:val="single" w:sz="6" w:space="0" w:color="000000"/>
              <w:bottom w:val="single" w:sz="6" w:space="0" w:color="000000"/>
              <w:right w:val="single" w:sz="6" w:space="0" w:color="000000"/>
            </w:tcBorders>
            <w:shd w:val="clear" w:color="auto" w:fill="FFFFFF"/>
          </w:tcPr>
          <w:p w14:paraId="42AB4391" w14:textId="7A613CEA" w:rsidR="001D7656" w:rsidRPr="007D063B" w:rsidRDefault="001D7656" w:rsidP="002E01E8">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По-слабо развити региони</w:t>
            </w:r>
          </w:p>
        </w:tc>
        <w:tc>
          <w:tcPr>
            <w:tcW w:w="193" w:type="pct"/>
            <w:tcBorders>
              <w:top w:val="single" w:sz="6" w:space="0" w:color="000000"/>
              <w:left w:val="single" w:sz="6" w:space="0" w:color="000000"/>
              <w:bottom w:val="single" w:sz="6" w:space="0" w:color="000000"/>
              <w:right w:val="single" w:sz="6" w:space="0" w:color="000000"/>
            </w:tcBorders>
            <w:shd w:val="clear" w:color="auto" w:fill="FFFFFF"/>
          </w:tcPr>
          <w:p w14:paraId="3F4BEA8B" w14:textId="6286035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w:t>
            </w:r>
          </w:p>
        </w:tc>
        <w:tc>
          <w:tcPr>
            <w:tcW w:w="203" w:type="pct"/>
            <w:tcBorders>
              <w:top w:val="single" w:sz="6" w:space="0" w:color="000000"/>
              <w:left w:val="single" w:sz="6" w:space="0" w:color="000000"/>
              <w:bottom w:val="single" w:sz="6" w:space="0" w:color="000000"/>
              <w:right w:val="single" w:sz="6" w:space="0" w:color="000000"/>
            </w:tcBorders>
            <w:shd w:val="clear" w:color="auto" w:fill="FFFFFF"/>
          </w:tcPr>
          <w:p w14:paraId="5E719A4E" w14:textId="4A3B1B43"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w:t>
            </w:r>
          </w:p>
        </w:tc>
        <w:tc>
          <w:tcPr>
            <w:tcW w:w="304" w:type="pct"/>
            <w:tcBorders>
              <w:top w:val="single" w:sz="6" w:space="0" w:color="000000"/>
              <w:left w:val="single" w:sz="6" w:space="0" w:color="000000"/>
              <w:bottom w:val="single" w:sz="6" w:space="0" w:color="000000"/>
              <w:right w:val="single" w:sz="6" w:space="0" w:color="000000"/>
            </w:tcBorders>
            <w:shd w:val="clear" w:color="auto" w:fill="FFFFFF"/>
          </w:tcPr>
          <w:p w14:paraId="47398AF0" w14:textId="402AD51E"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47,00</w:t>
            </w:r>
          </w:p>
        </w:tc>
        <w:tc>
          <w:tcPr>
            <w:tcW w:w="54" w:type="pct"/>
            <w:tcBorders>
              <w:top w:val="single" w:sz="6" w:space="0" w:color="000000"/>
              <w:left w:val="single" w:sz="6" w:space="0" w:color="000000"/>
              <w:bottom w:val="single" w:sz="6" w:space="0" w:color="000000"/>
              <w:right w:val="single" w:sz="6" w:space="0" w:color="000000"/>
            </w:tcBorders>
            <w:shd w:val="clear" w:color="auto" w:fill="FFFFFF"/>
          </w:tcPr>
          <w:p w14:paraId="0593E28C"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51" w:type="pct"/>
            <w:tcBorders>
              <w:top w:val="single" w:sz="6" w:space="0" w:color="000000"/>
              <w:left w:val="single" w:sz="6" w:space="0" w:color="000000"/>
              <w:bottom w:val="single" w:sz="6" w:space="0" w:color="000000"/>
              <w:right w:val="single" w:sz="6" w:space="0" w:color="000000"/>
            </w:tcBorders>
            <w:shd w:val="clear" w:color="auto" w:fill="FFFFFF"/>
          </w:tcPr>
          <w:p w14:paraId="1566C1AB"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52" w:type="pct"/>
            <w:tcBorders>
              <w:top w:val="single" w:sz="6" w:space="0" w:color="000000"/>
              <w:left w:val="single" w:sz="6" w:space="0" w:color="000000"/>
              <w:bottom w:val="single" w:sz="6" w:space="0" w:color="000000"/>
              <w:right w:val="single" w:sz="6" w:space="0" w:color="000000"/>
            </w:tcBorders>
            <w:shd w:val="clear" w:color="auto" w:fill="FFFFFF"/>
          </w:tcPr>
          <w:p w14:paraId="2220886D" w14:textId="5C9FD3EE"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101" w:type="pct"/>
            <w:tcBorders>
              <w:top w:val="single" w:sz="6" w:space="0" w:color="000000"/>
              <w:left w:val="single" w:sz="6" w:space="0" w:color="000000"/>
              <w:bottom w:val="single" w:sz="6" w:space="0" w:color="000000"/>
              <w:right w:val="single" w:sz="6" w:space="0" w:color="000000"/>
            </w:tcBorders>
            <w:shd w:val="clear" w:color="auto" w:fill="FFFFFF"/>
          </w:tcPr>
          <w:p w14:paraId="551E8621" w14:textId="7A922B60"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01" w:type="pct"/>
            <w:tcBorders>
              <w:top w:val="single" w:sz="6" w:space="0" w:color="000000"/>
              <w:left w:val="single" w:sz="6" w:space="0" w:color="000000"/>
              <w:bottom w:val="single" w:sz="6" w:space="0" w:color="000000"/>
              <w:right w:val="single" w:sz="6" w:space="0" w:color="000000"/>
            </w:tcBorders>
            <w:shd w:val="clear" w:color="auto" w:fill="FFFFFF"/>
          </w:tcPr>
          <w:p w14:paraId="0F0C733D" w14:textId="5496F184"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52" w:type="pct"/>
            <w:tcBorders>
              <w:top w:val="single" w:sz="6" w:space="0" w:color="000000"/>
              <w:left w:val="single" w:sz="6" w:space="0" w:color="000000"/>
              <w:bottom w:val="single" w:sz="6" w:space="0" w:color="000000"/>
              <w:right w:val="single" w:sz="6" w:space="0" w:color="000000"/>
            </w:tcBorders>
            <w:shd w:val="clear" w:color="auto" w:fill="FFFFFF"/>
          </w:tcPr>
          <w:p w14:paraId="6BAD9711" w14:textId="3DBC47AB"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102" w:type="pct"/>
            <w:tcBorders>
              <w:top w:val="single" w:sz="6" w:space="0" w:color="000000"/>
              <w:left w:val="single" w:sz="6" w:space="0" w:color="000000"/>
              <w:bottom w:val="single" w:sz="6" w:space="0" w:color="000000"/>
              <w:right w:val="single" w:sz="6" w:space="0" w:color="000000"/>
            </w:tcBorders>
            <w:shd w:val="clear" w:color="auto" w:fill="FFFFFF"/>
          </w:tcPr>
          <w:p w14:paraId="7D8951F2"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51" w:type="pct"/>
            <w:tcBorders>
              <w:top w:val="single" w:sz="6" w:space="0" w:color="000000"/>
              <w:left w:val="single" w:sz="6" w:space="0" w:color="000000"/>
              <w:bottom w:val="single" w:sz="6" w:space="0" w:color="000000"/>
              <w:right w:val="single" w:sz="6" w:space="0" w:color="000000"/>
            </w:tcBorders>
            <w:shd w:val="clear" w:color="auto" w:fill="FFFFFF"/>
          </w:tcPr>
          <w:p w14:paraId="1819AAFA"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09" w:type="pct"/>
            <w:tcBorders>
              <w:top w:val="single" w:sz="6" w:space="0" w:color="000000"/>
              <w:left w:val="single" w:sz="6" w:space="0" w:color="000000"/>
              <w:bottom w:val="single" w:sz="6" w:space="0" w:color="000000"/>
              <w:right w:val="single" w:sz="6" w:space="0" w:color="000000"/>
            </w:tcBorders>
            <w:shd w:val="clear" w:color="auto" w:fill="FFFFFF"/>
          </w:tcPr>
          <w:p w14:paraId="2BC0E840" w14:textId="34F1738A" w:rsidR="001D7656" w:rsidRPr="007D063B" w:rsidRDefault="00DC0CD3"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229AB844"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249BDA74"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0A184E24"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617A5ED1"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2E946A6B"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0EC35355"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766089CA"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70930723"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5385B430"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4B5E739F"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018680F8"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200E5448"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60C40BBF"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5C038F91"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0FA7827F"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28460D4B"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2278B0D8"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0B250399"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2607AFBE"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0FEDD77B"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327039CA"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1665C564"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28" w:type="pct"/>
            <w:tcBorders>
              <w:top w:val="single" w:sz="6" w:space="0" w:color="000000"/>
              <w:left w:val="single" w:sz="6" w:space="0" w:color="000000"/>
              <w:bottom w:val="single" w:sz="6" w:space="0" w:color="000000"/>
              <w:right w:val="single" w:sz="6" w:space="0" w:color="000000"/>
            </w:tcBorders>
            <w:shd w:val="clear" w:color="auto" w:fill="FFFFFF"/>
          </w:tcPr>
          <w:p w14:paraId="595239FC"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9" w:type="pct"/>
            <w:tcBorders>
              <w:top w:val="single" w:sz="6" w:space="0" w:color="000000"/>
              <w:left w:val="single" w:sz="6" w:space="0" w:color="000000"/>
              <w:bottom w:val="single" w:sz="6" w:space="0" w:color="000000"/>
              <w:right w:val="single" w:sz="6" w:space="0" w:color="000000"/>
            </w:tcBorders>
            <w:shd w:val="clear" w:color="auto" w:fill="FFFFFF"/>
          </w:tcPr>
          <w:p w14:paraId="42875C47"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9" w:type="pct"/>
            <w:tcBorders>
              <w:top w:val="single" w:sz="6" w:space="0" w:color="000000"/>
              <w:left w:val="single" w:sz="6" w:space="0" w:color="000000"/>
              <w:bottom w:val="single" w:sz="6" w:space="0" w:color="000000"/>
              <w:right w:val="single" w:sz="6" w:space="0" w:color="000000"/>
            </w:tcBorders>
            <w:shd w:val="clear" w:color="auto" w:fill="FFFFFF"/>
          </w:tcPr>
          <w:p w14:paraId="5DEBE090"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20" w:type="pct"/>
            <w:tcBorders>
              <w:top w:val="single" w:sz="6" w:space="0" w:color="000000"/>
              <w:left w:val="single" w:sz="6" w:space="0" w:color="000000"/>
              <w:bottom w:val="single" w:sz="6" w:space="0" w:color="000000"/>
              <w:right w:val="single" w:sz="6" w:space="0" w:color="000000"/>
            </w:tcBorders>
            <w:shd w:val="clear" w:color="auto" w:fill="FFFFFF"/>
          </w:tcPr>
          <w:p w14:paraId="3D12ED2C"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1" w:type="pct"/>
            <w:tcBorders>
              <w:top w:val="single" w:sz="6" w:space="0" w:color="000000"/>
              <w:left w:val="single" w:sz="6" w:space="0" w:color="000000"/>
              <w:bottom w:val="single" w:sz="6" w:space="0" w:color="000000"/>
              <w:right w:val="single" w:sz="6" w:space="0" w:color="000000"/>
            </w:tcBorders>
            <w:shd w:val="clear" w:color="auto" w:fill="FFFFFF"/>
          </w:tcPr>
          <w:p w14:paraId="1A218A4D" w14:textId="644BCA59" w:rsidR="001D7656" w:rsidRPr="007D063B" w:rsidRDefault="005D44DD"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88" w:type="pct"/>
            <w:tcBorders>
              <w:top w:val="single" w:sz="6" w:space="0" w:color="000000"/>
              <w:left w:val="single" w:sz="6" w:space="0" w:color="000000"/>
              <w:bottom w:val="single" w:sz="6" w:space="0" w:color="000000"/>
              <w:right w:val="single" w:sz="6" w:space="0" w:color="000000"/>
            </w:tcBorders>
            <w:shd w:val="clear" w:color="auto" w:fill="FFFFFF"/>
          </w:tcPr>
          <w:p w14:paraId="13C3733C"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36" w:type="pct"/>
            <w:tcBorders>
              <w:top w:val="single" w:sz="6" w:space="0" w:color="000000"/>
              <w:left w:val="single" w:sz="6" w:space="0" w:color="000000"/>
              <w:bottom w:val="single" w:sz="6" w:space="0" w:color="000000"/>
              <w:right w:val="single" w:sz="6" w:space="0" w:color="000000"/>
            </w:tcBorders>
            <w:shd w:val="clear" w:color="auto" w:fill="FFFFFF"/>
          </w:tcPr>
          <w:p w14:paraId="4C286E4F"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178F1818" w14:textId="77777777" w:rsidTr="00DC0CD3">
        <w:trPr>
          <w:tblCellSpacing w:w="0" w:type="dxa"/>
          <w:jc w:val="center"/>
        </w:trPr>
        <w:tc>
          <w:tcPr>
            <w:tcW w:w="200" w:type="pct"/>
            <w:tcBorders>
              <w:top w:val="single" w:sz="6" w:space="0" w:color="000000"/>
              <w:left w:val="single" w:sz="6" w:space="0" w:color="000000"/>
              <w:bottom w:val="single" w:sz="6" w:space="0" w:color="000000"/>
              <w:right w:val="single" w:sz="6" w:space="0" w:color="000000"/>
            </w:tcBorders>
            <w:shd w:val="clear" w:color="auto" w:fill="FFFFFF"/>
          </w:tcPr>
          <w:p w14:paraId="6BAE5EB9" w14:textId="7523ED03"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R1-3</w:t>
            </w:r>
          </w:p>
        </w:tc>
        <w:tc>
          <w:tcPr>
            <w:tcW w:w="607" w:type="pct"/>
            <w:tcBorders>
              <w:top w:val="single" w:sz="6" w:space="0" w:color="000000"/>
              <w:left w:val="single" w:sz="6" w:space="0" w:color="000000"/>
              <w:bottom w:val="single" w:sz="6" w:space="0" w:color="000000"/>
              <w:right w:val="single" w:sz="6" w:space="0" w:color="000000"/>
            </w:tcBorders>
            <w:shd w:val="clear" w:color="auto" w:fill="FFFFFF"/>
          </w:tcPr>
          <w:p w14:paraId="1B74CC15" w14:textId="2CE5238F" w:rsidR="001D7656" w:rsidRPr="007D063B" w:rsidRDefault="001D7656" w:rsidP="002E01E8">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 xml:space="preserve">Брой на подкрепени приоритетни електронизирани услуги, включително вътрешноадминистратив ни, на ниво </w:t>
            </w:r>
            <w:r w:rsidRPr="007D063B">
              <w:rPr>
                <w:rFonts w:ascii="Times New Roman" w:hAnsi="Times New Roman" w:cs="Times New Roman"/>
                <w:sz w:val="16"/>
                <w:szCs w:val="16"/>
              </w:rPr>
              <w:lastRenderedPageBreak/>
              <w:t>транзакция и/или разплащане, базирани на държавния ХЧО, използвани над 5 000 пъти годишно</w:t>
            </w:r>
          </w:p>
        </w:tc>
        <w:tc>
          <w:tcPr>
            <w:tcW w:w="218" w:type="pct"/>
            <w:tcBorders>
              <w:top w:val="single" w:sz="6" w:space="0" w:color="000000"/>
              <w:left w:val="single" w:sz="6" w:space="0" w:color="000000"/>
              <w:bottom w:val="single" w:sz="6" w:space="0" w:color="000000"/>
              <w:right w:val="single" w:sz="6" w:space="0" w:color="000000"/>
            </w:tcBorders>
            <w:shd w:val="clear" w:color="auto" w:fill="FFFFFF"/>
          </w:tcPr>
          <w:p w14:paraId="6AC5F241" w14:textId="02949D20"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lastRenderedPageBreak/>
              <w:t>ЕСФ</w:t>
            </w:r>
          </w:p>
        </w:tc>
        <w:tc>
          <w:tcPr>
            <w:tcW w:w="297" w:type="pct"/>
            <w:tcBorders>
              <w:top w:val="single" w:sz="6" w:space="0" w:color="000000"/>
              <w:left w:val="single" w:sz="6" w:space="0" w:color="000000"/>
              <w:bottom w:val="single" w:sz="6" w:space="0" w:color="000000"/>
              <w:right w:val="single" w:sz="6" w:space="0" w:color="000000"/>
            </w:tcBorders>
            <w:shd w:val="clear" w:color="auto" w:fill="FFFFFF"/>
          </w:tcPr>
          <w:p w14:paraId="46EBA365" w14:textId="7F6ACF92" w:rsidR="001D7656" w:rsidRPr="007D063B" w:rsidRDefault="001D7656" w:rsidP="002E01E8">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По-слабо развити региони</w:t>
            </w:r>
          </w:p>
        </w:tc>
        <w:tc>
          <w:tcPr>
            <w:tcW w:w="193" w:type="pct"/>
            <w:tcBorders>
              <w:top w:val="single" w:sz="6" w:space="0" w:color="000000"/>
              <w:left w:val="single" w:sz="6" w:space="0" w:color="000000"/>
              <w:bottom w:val="single" w:sz="6" w:space="0" w:color="000000"/>
              <w:right w:val="single" w:sz="6" w:space="0" w:color="000000"/>
            </w:tcBorders>
            <w:shd w:val="clear" w:color="auto" w:fill="FFFFFF"/>
          </w:tcPr>
          <w:p w14:paraId="58E8363A" w14:textId="5891C071"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w:t>
            </w:r>
          </w:p>
        </w:tc>
        <w:tc>
          <w:tcPr>
            <w:tcW w:w="203" w:type="pct"/>
            <w:tcBorders>
              <w:top w:val="single" w:sz="6" w:space="0" w:color="000000"/>
              <w:left w:val="single" w:sz="6" w:space="0" w:color="000000"/>
              <w:bottom w:val="single" w:sz="6" w:space="0" w:color="000000"/>
              <w:right w:val="single" w:sz="6" w:space="0" w:color="000000"/>
            </w:tcBorders>
            <w:shd w:val="clear" w:color="auto" w:fill="FFFFFF"/>
          </w:tcPr>
          <w:p w14:paraId="5F75356C" w14:textId="6A90867D"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w:t>
            </w:r>
          </w:p>
        </w:tc>
        <w:tc>
          <w:tcPr>
            <w:tcW w:w="304" w:type="pct"/>
            <w:tcBorders>
              <w:top w:val="single" w:sz="6" w:space="0" w:color="000000"/>
              <w:left w:val="single" w:sz="6" w:space="0" w:color="000000"/>
              <w:bottom w:val="single" w:sz="6" w:space="0" w:color="000000"/>
              <w:right w:val="single" w:sz="6" w:space="0" w:color="000000"/>
            </w:tcBorders>
            <w:shd w:val="clear" w:color="auto" w:fill="FFFFFF"/>
          </w:tcPr>
          <w:p w14:paraId="2E8F4EB8" w14:textId="6D91E2B0"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418,00</w:t>
            </w:r>
          </w:p>
        </w:tc>
        <w:tc>
          <w:tcPr>
            <w:tcW w:w="54" w:type="pct"/>
            <w:tcBorders>
              <w:top w:val="single" w:sz="6" w:space="0" w:color="000000"/>
              <w:left w:val="single" w:sz="6" w:space="0" w:color="000000"/>
              <w:bottom w:val="single" w:sz="6" w:space="0" w:color="000000"/>
              <w:right w:val="single" w:sz="6" w:space="0" w:color="000000"/>
            </w:tcBorders>
            <w:shd w:val="clear" w:color="auto" w:fill="FFFFFF"/>
          </w:tcPr>
          <w:p w14:paraId="4ACBC48E"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51" w:type="pct"/>
            <w:tcBorders>
              <w:top w:val="single" w:sz="6" w:space="0" w:color="000000"/>
              <w:left w:val="single" w:sz="6" w:space="0" w:color="000000"/>
              <w:bottom w:val="single" w:sz="6" w:space="0" w:color="000000"/>
              <w:right w:val="single" w:sz="6" w:space="0" w:color="000000"/>
            </w:tcBorders>
            <w:shd w:val="clear" w:color="auto" w:fill="FFFFFF"/>
          </w:tcPr>
          <w:p w14:paraId="06406204"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52" w:type="pct"/>
            <w:tcBorders>
              <w:top w:val="single" w:sz="6" w:space="0" w:color="000000"/>
              <w:left w:val="single" w:sz="6" w:space="0" w:color="000000"/>
              <w:bottom w:val="single" w:sz="6" w:space="0" w:color="000000"/>
              <w:right w:val="single" w:sz="6" w:space="0" w:color="000000"/>
            </w:tcBorders>
            <w:shd w:val="clear" w:color="auto" w:fill="FFFFFF"/>
          </w:tcPr>
          <w:p w14:paraId="6EFCF28A" w14:textId="7B16487A"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101" w:type="pct"/>
            <w:tcBorders>
              <w:top w:val="single" w:sz="6" w:space="0" w:color="000000"/>
              <w:left w:val="single" w:sz="6" w:space="0" w:color="000000"/>
              <w:bottom w:val="single" w:sz="6" w:space="0" w:color="000000"/>
              <w:right w:val="single" w:sz="6" w:space="0" w:color="000000"/>
            </w:tcBorders>
            <w:shd w:val="clear" w:color="auto" w:fill="FFFFFF"/>
          </w:tcPr>
          <w:p w14:paraId="78F19616" w14:textId="20E77CF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01" w:type="pct"/>
            <w:tcBorders>
              <w:top w:val="single" w:sz="6" w:space="0" w:color="000000"/>
              <w:left w:val="single" w:sz="6" w:space="0" w:color="000000"/>
              <w:bottom w:val="single" w:sz="6" w:space="0" w:color="000000"/>
              <w:right w:val="single" w:sz="6" w:space="0" w:color="000000"/>
            </w:tcBorders>
            <w:shd w:val="clear" w:color="auto" w:fill="FFFFFF"/>
          </w:tcPr>
          <w:p w14:paraId="6717B0DE" w14:textId="6BB1C0F5"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52" w:type="pct"/>
            <w:tcBorders>
              <w:top w:val="single" w:sz="6" w:space="0" w:color="000000"/>
              <w:left w:val="single" w:sz="6" w:space="0" w:color="000000"/>
              <w:bottom w:val="single" w:sz="6" w:space="0" w:color="000000"/>
              <w:right w:val="single" w:sz="6" w:space="0" w:color="000000"/>
            </w:tcBorders>
            <w:shd w:val="clear" w:color="auto" w:fill="FFFFFF"/>
          </w:tcPr>
          <w:p w14:paraId="12E91DA0" w14:textId="1D445DCF"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102" w:type="pct"/>
            <w:tcBorders>
              <w:top w:val="single" w:sz="6" w:space="0" w:color="000000"/>
              <w:left w:val="single" w:sz="6" w:space="0" w:color="000000"/>
              <w:bottom w:val="single" w:sz="6" w:space="0" w:color="000000"/>
              <w:right w:val="single" w:sz="6" w:space="0" w:color="000000"/>
            </w:tcBorders>
            <w:shd w:val="clear" w:color="auto" w:fill="FFFFFF"/>
          </w:tcPr>
          <w:p w14:paraId="142248F6"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51" w:type="pct"/>
            <w:tcBorders>
              <w:top w:val="single" w:sz="6" w:space="0" w:color="000000"/>
              <w:left w:val="single" w:sz="6" w:space="0" w:color="000000"/>
              <w:bottom w:val="single" w:sz="6" w:space="0" w:color="000000"/>
              <w:right w:val="single" w:sz="6" w:space="0" w:color="000000"/>
            </w:tcBorders>
            <w:shd w:val="clear" w:color="auto" w:fill="FFFFFF"/>
          </w:tcPr>
          <w:p w14:paraId="0255C3F0"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09" w:type="pct"/>
            <w:tcBorders>
              <w:top w:val="single" w:sz="6" w:space="0" w:color="000000"/>
              <w:left w:val="single" w:sz="6" w:space="0" w:color="000000"/>
              <w:bottom w:val="single" w:sz="6" w:space="0" w:color="000000"/>
              <w:right w:val="single" w:sz="6" w:space="0" w:color="000000"/>
            </w:tcBorders>
            <w:shd w:val="clear" w:color="auto" w:fill="FFFFFF"/>
          </w:tcPr>
          <w:p w14:paraId="2F4A7500" w14:textId="2DEA3FB0" w:rsidR="001D7656" w:rsidRPr="007D063B" w:rsidRDefault="00DC0CD3"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56775E49"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3C690CD5"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251E19F4"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0ED65F90"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511CDA73"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5AF53E06"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0D595AA1"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37F67BED"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05FCF7BC"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54B8A975"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4B49D641"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6AAD52E7"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16525936"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703538AB"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44CBDFF9"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5C5C2401"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55DE1E51"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453DEF1A"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740AA4F0"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57668BFD"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14154C0B"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10130164"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28" w:type="pct"/>
            <w:tcBorders>
              <w:top w:val="single" w:sz="6" w:space="0" w:color="000000"/>
              <w:left w:val="single" w:sz="6" w:space="0" w:color="000000"/>
              <w:bottom w:val="single" w:sz="6" w:space="0" w:color="000000"/>
              <w:right w:val="single" w:sz="6" w:space="0" w:color="000000"/>
            </w:tcBorders>
            <w:shd w:val="clear" w:color="auto" w:fill="FFFFFF"/>
          </w:tcPr>
          <w:p w14:paraId="44290011"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9" w:type="pct"/>
            <w:tcBorders>
              <w:top w:val="single" w:sz="6" w:space="0" w:color="000000"/>
              <w:left w:val="single" w:sz="6" w:space="0" w:color="000000"/>
              <w:bottom w:val="single" w:sz="6" w:space="0" w:color="000000"/>
              <w:right w:val="single" w:sz="6" w:space="0" w:color="000000"/>
            </w:tcBorders>
            <w:shd w:val="clear" w:color="auto" w:fill="FFFFFF"/>
          </w:tcPr>
          <w:p w14:paraId="73F4627E"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9" w:type="pct"/>
            <w:tcBorders>
              <w:top w:val="single" w:sz="6" w:space="0" w:color="000000"/>
              <w:left w:val="single" w:sz="6" w:space="0" w:color="000000"/>
              <w:bottom w:val="single" w:sz="6" w:space="0" w:color="000000"/>
              <w:right w:val="single" w:sz="6" w:space="0" w:color="000000"/>
            </w:tcBorders>
            <w:shd w:val="clear" w:color="auto" w:fill="FFFFFF"/>
          </w:tcPr>
          <w:p w14:paraId="01735F35"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20" w:type="pct"/>
            <w:tcBorders>
              <w:top w:val="single" w:sz="6" w:space="0" w:color="000000"/>
              <w:left w:val="single" w:sz="6" w:space="0" w:color="000000"/>
              <w:bottom w:val="single" w:sz="6" w:space="0" w:color="000000"/>
              <w:right w:val="single" w:sz="6" w:space="0" w:color="000000"/>
            </w:tcBorders>
            <w:shd w:val="clear" w:color="auto" w:fill="FFFFFF"/>
          </w:tcPr>
          <w:p w14:paraId="4218293A"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1" w:type="pct"/>
            <w:tcBorders>
              <w:top w:val="single" w:sz="6" w:space="0" w:color="000000"/>
              <w:left w:val="single" w:sz="6" w:space="0" w:color="000000"/>
              <w:bottom w:val="single" w:sz="6" w:space="0" w:color="000000"/>
              <w:right w:val="single" w:sz="6" w:space="0" w:color="000000"/>
            </w:tcBorders>
            <w:shd w:val="clear" w:color="auto" w:fill="FFFFFF"/>
          </w:tcPr>
          <w:p w14:paraId="33F28005" w14:textId="4A9EA32E" w:rsidR="001D7656" w:rsidRPr="007D063B" w:rsidRDefault="005D44DD"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88" w:type="pct"/>
            <w:tcBorders>
              <w:top w:val="single" w:sz="6" w:space="0" w:color="000000"/>
              <w:left w:val="single" w:sz="6" w:space="0" w:color="000000"/>
              <w:bottom w:val="single" w:sz="6" w:space="0" w:color="000000"/>
              <w:right w:val="single" w:sz="6" w:space="0" w:color="000000"/>
            </w:tcBorders>
            <w:shd w:val="clear" w:color="auto" w:fill="FFFFFF"/>
          </w:tcPr>
          <w:p w14:paraId="79261EF9"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36" w:type="pct"/>
            <w:tcBorders>
              <w:top w:val="single" w:sz="6" w:space="0" w:color="000000"/>
              <w:left w:val="single" w:sz="6" w:space="0" w:color="000000"/>
              <w:bottom w:val="single" w:sz="6" w:space="0" w:color="000000"/>
              <w:right w:val="single" w:sz="6" w:space="0" w:color="000000"/>
            </w:tcBorders>
            <w:shd w:val="clear" w:color="auto" w:fill="FFFFFF"/>
          </w:tcPr>
          <w:p w14:paraId="467F2A85"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09A41734" w14:textId="77777777" w:rsidTr="00DC0CD3">
        <w:trPr>
          <w:tblCellSpacing w:w="0" w:type="dxa"/>
          <w:jc w:val="center"/>
        </w:trPr>
        <w:tc>
          <w:tcPr>
            <w:tcW w:w="200" w:type="pct"/>
            <w:tcBorders>
              <w:top w:val="single" w:sz="6" w:space="0" w:color="000000"/>
              <w:left w:val="single" w:sz="6" w:space="0" w:color="000000"/>
              <w:bottom w:val="single" w:sz="6" w:space="0" w:color="000000"/>
              <w:right w:val="single" w:sz="6" w:space="0" w:color="000000"/>
            </w:tcBorders>
            <w:shd w:val="clear" w:color="auto" w:fill="FFFFFF"/>
          </w:tcPr>
          <w:p w14:paraId="3875EAA2" w14:textId="77FA5ECA"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R1-4</w:t>
            </w:r>
          </w:p>
        </w:tc>
        <w:tc>
          <w:tcPr>
            <w:tcW w:w="607" w:type="pct"/>
            <w:tcBorders>
              <w:top w:val="single" w:sz="6" w:space="0" w:color="000000"/>
              <w:left w:val="single" w:sz="6" w:space="0" w:color="000000"/>
              <w:bottom w:val="single" w:sz="6" w:space="0" w:color="000000"/>
              <w:right w:val="single" w:sz="6" w:space="0" w:color="000000"/>
            </w:tcBorders>
            <w:shd w:val="clear" w:color="auto" w:fill="FFFFFF"/>
          </w:tcPr>
          <w:p w14:paraId="1EB70D90" w14:textId="5B363F9D" w:rsidR="001D7656" w:rsidRPr="007D063B" w:rsidRDefault="001D7656" w:rsidP="002E01E8">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Функционираща електронна тръжна система (e-procurement)</w:t>
            </w:r>
          </w:p>
        </w:tc>
        <w:tc>
          <w:tcPr>
            <w:tcW w:w="218" w:type="pct"/>
            <w:tcBorders>
              <w:top w:val="single" w:sz="6" w:space="0" w:color="000000"/>
              <w:left w:val="single" w:sz="6" w:space="0" w:color="000000"/>
              <w:bottom w:val="single" w:sz="6" w:space="0" w:color="000000"/>
              <w:right w:val="single" w:sz="6" w:space="0" w:color="000000"/>
            </w:tcBorders>
            <w:shd w:val="clear" w:color="auto" w:fill="FFFFFF"/>
          </w:tcPr>
          <w:p w14:paraId="6F901671" w14:textId="1A5C997D"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ЕСФ</w:t>
            </w:r>
          </w:p>
        </w:tc>
        <w:tc>
          <w:tcPr>
            <w:tcW w:w="297" w:type="pct"/>
            <w:tcBorders>
              <w:top w:val="single" w:sz="6" w:space="0" w:color="000000"/>
              <w:left w:val="single" w:sz="6" w:space="0" w:color="000000"/>
              <w:bottom w:val="single" w:sz="6" w:space="0" w:color="000000"/>
              <w:right w:val="single" w:sz="6" w:space="0" w:color="000000"/>
            </w:tcBorders>
            <w:shd w:val="clear" w:color="auto" w:fill="FFFFFF"/>
          </w:tcPr>
          <w:p w14:paraId="05B9D1AF" w14:textId="3FAA09E7" w:rsidR="001D7656" w:rsidRPr="007D063B" w:rsidRDefault="001D7656" w:rsidP="002E01E8">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По-слабо развити региони</w:t>
            </w:r>
          </w:p>
        </w:tc>
        <w:tc>
          <w:tcPr>
            <w:tcW w:w="193" w:type="pct"/>
            <w:tcBorders>
              <w:top w:val="single" w:sz="6" w:space="0" w:color="000000"/>
              <w:left w:val="single" w:sz="6" w:space="0" w:color="000000"/>
              <w:bottom w:val="single" w:sz="6" w:space="0" w:color="000000"/>
              <w:right w:val="single" w:sz="6" w:space="0" w:color="000000"/>
            </w:tcBorders>
            <w:shd w:val="clear" w:color="auto" w:fill="FFFFFF"/>
          </w:tcPr>
          <w:p w14:paraId="44ADD7F4" w14:textId="458468A3"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w:t>
            </w:r>
          </w:p>
        </w:tc>
        <w:tc>
          <w:tcPr>
            <w:tcW w:w="203" w:type="pct"/>
            <w:tcBorders>
              <w:top w:val="single" w:sz="6" w:space="0" w:color="000000"/>
              <w:left w:val="single" w:sz="6" w:space="0" w:color="000000"/>
              <w:bottom w:val="single" w:sz="6" w:space="0" w:color="000000"/>
              <w:right w:val="single" w:sz="6" w:space="0" w:color="000000"/>
            </w:tcBorders>
            <w:shd w:val="clear" w:color="auto" w:fill="FFFFFF"/>
          </w:tcPr>
          <w:p w14:paraId="5C427A04" w14:textId="03AF1F64"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w:t>
            </w:r>
          </w:p>
        </w:tc>
        <w:tc>
          <w:tcPr>
            <w:tcW w:w="304" w:type="pct"/>
            <w:tcBorders>
              <w:top w:val="single" w:sz="6" w:space="0" w:color="000000"/>
              <w:left w:val="single" w:sz="6" w:space="0" w:color="000000"/>
              <w:bottom w:val="single" w:sz="6" w:space="0" w:color="000000"/>
              <w:right w:val="single" w:sz="6" w:space="0" w:color="000000"/>
            </w:tcBorders>
            <w:shd w:val="clear" w:color="auto" w:fill="FFFFFF"/>
          </w:tcPr>
          <w:p w14:paraId="7D4FC524" w14:textId="4B335E19"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Да</w:t>
            </w:r>
          </w:p>
        </w:tc>
        <w:tc>
          <w:tcPr>
            <w:tcW w:w="54" w:type="pct"/>
            <w:tcBorders>
              <w:top w:val="single" w:sz="6" w:space="0" w:color="000000"/>
              <w:left w:val="single" w:sz="6" w:space="0" w:color="000000"/>
              <w:bottom w:val="single" w:sz="6" w:space="0" w:color="000000"/>
              <w:right w:val="single" w:sz="6" w:space="0" w:color="000000"/>
            </w:tcBorders>
            <w:shd w:val="clear" w:color="auto" w:fill="FFFFFF"/>
          </w:tcPr>
          <w:p w14:paraId="784AE02C"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51" w:type="pct"/>
            <w:tcBorders>
              <w:top w:val="single" w:sz="6" w:space="0" w:color="000000"/>
              <w:left w:val="single" w:sz="6" w:space="0" w:color="000000"/>
              <w:bottom w:val="single" w:sz="6" w:space="0" w:color="000000"/>
              <w:right w:val="single" w:sz="6" w:space="0" w:color="000000"/>
            </w:tcBorders>
            <w:shd w:val="clear" w:color="auto" w:fill="FFFFFF"/>
          </w:tcPr>
          <w:p w14:paraId="6B86FFFA"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52" w:type="pct"/>
            <w:tcBorders>
              <w:top w:val="single" w:sz="6" w:space="0" w:color="000000"/>
              <w:left w:val="single" w:sz="6" w:space="0" w:color="000000"/>
              <w:bottom w:val="single" w:sz="6" w:space="0" w:color="000000"/>
              <w:right w:val="single" w:sz="6" w:space="0" w:color="000000"/>
            </w:tcBorders>
            <w:shd w:val="clear" w:color="auto" w:fill="FFFFFF"/>
          </w:tcPr>
          <w:p w14:paraId="35170DBC" w14:textId="62CF89C4"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101" w:type="pct"/>
            <w:tcBorders>
              <w:top w:val="single" w:sz="6" w:space="0" w:color="000000"/>
              <w:left w:val="single" w:sz="6" w:space="0" w:color="000000"/>
              <w:bottom w:val="single" w:sz="6" w:space="0" w:color="000000"/>
              <w:right w:val="single" w:sz="6" w:space="0" w:color="000000"/>
            </w:tcBorders>
            <w:shd w:val="clear" w:color="auto" w:fill="FFFFFF"/>
          </w:tcPr>
          <w:p w14:paraId="5076BF23" w14:textId="4EE50D8D"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01" w:type="pct"/>
            <w:tcBorders>
              <w:top w:val="single" w:sz="6" w:space="0" w:color="000000"/>
              <w:left w:val="single" w:sz="6" w:space="0" w:color="000000"/>
              <w:bottom w:val="single" w:sz="6" w:space="0" w:color="000000"/>
              <w:right w:val="single" w:sz="6" w:space="0" w:color="000000"/>
            </w:tcBorders>
            <w:shd w:val="clear" w:color="auto" w:fill="FFFFFF"/>
          </w:tcPr>
          <w:p w14:paraId="768F7362" w14:textId="4445C2E6"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52" w:type="pct"/>
            <w:tcBorders>
              <w:top w:val="single" w:sz="6" w:space="0" w:color="000000"/>
              <w:left w:val="single" w:sz="6" w:space="0" w:color="000000"/>
              <w:bottom w:val="single" w:sz="6" w:space="0" w:color="000000"/>
              <w:right w:val="single" w:sz="6" w:space="0" w:color="000000"/>
            </w:tcBorders>
            <w:shd w:val="clear" w:color="auto" w:fill="FFFFFF"/>
          </w:tcPr>
          <w:p w14:paraId="784A765A" w14:textId="4352C1E1"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102" w:type="pct"/>
            <w:tcBorders>
              <w:top w:val="single" w:sz="6" w:space="0" w:color="000000"/>
              <w:left w:val="single" w:sz="6" w:space="0" w:color="000000"/>
              <w:bottom w:val="single" w:sz="6" w:space="0" w:color="000000"/>
              <w:right w:val="single" w:sz="6" w:space="0" w:color="000000"/>
            </w:tcBorders>
            <w:shd w:val="clear" w:color="auto" w:fill="FFFFFF"/>
          </w:tcPr>
          <w:p w14:paraId="5BAB4F5B"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51" w:type="pct"/>
            <w:tcBorders>
              <w:top w:val="single" w:sz="6" w:space="0" w:color="000000"/>
              <w:left w:val="single" w:sz="6" w:space="0" w:color="000000"/>
              <w:bottom w:val="single" w:sz="6" w:space="0" w:color="000000"/>
              <w:right w:val="single" w:sz="6" w:space="0" w:color="000000"/>
            </w:tcBorders>
            <w:shd w:val="clear" w:color="auto" w:fill="FFFFFF"/>
          </w:tcPr>
          <w:p w14:paraId="56104F37"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09" w:type="pct"/>
            <w:tcBorders>
              <w:top w:val="single" w:sz="6" w:space="0" w:color="000000"/>
              <w:left w:val="single" w:sz="6" w:space="0" w:color="000000"/>
              <w:bottom w:val="single" w:sz="6" w:space="0" w:color="000000"/>
              <w:right w:val="single" w:sz="6" w:space="0" w:color="000000"/>
            </w:tcBorders>
            <w:shd w:val="clear" w:color="auto" w:fill="FFFFFF"/>
          </w:tcPr>
          <w:p w14:paraId="4ABBE62B" w14:textId="0E9A1284" w:rsidR="001D7656" w:rsidRPr="007D063B" w:rsidRDefault="00DC0CD3"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2579DCC2"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4F16CFD9"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39309BB6"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18D273D4"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5CB25645"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40A46F21"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7F482B90"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0EBC26B5"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632596BD"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3414B836"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19EBCA82"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05C49D5E"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62D5E534"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42C6F5B9"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65CDA162"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1CB50B04"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687446D5"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4FCE43ED"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3710C02D"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18A95977"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33D9D8E9"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476342B4"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28" w:type="pct"/>
            <w:tcBorders>
              <w:top w:val="single" w:sz="6" w:space="0" w:color="000000"/>
              <w:left w:val="single" w:sz="6" w:space="0" w:color="000000"/>
              <w:bottom w:val="single" w:sz="6" w:space="0" w:color="000000"/>
              <w:right w:val="single" w:sz="6" w:space="0" w:color="000000"/>
            </w:tcBorders>
            <w:shd w:val="clear" w:color="auto" w:fill="FFFFFF"/>
          </w:tcPr>
          <w:p w14:paraId="4602C7FC"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9" w:type="pct"/>
            <w:tcBorders>
              <w:top w:val="single" w:sz="6" w:space="0" w:color="000000"/>
              <w:left w:val="single" w:sz="6" w:space="0" w:color="000000"/>
              <w:bottom w:val="single" w:sz="6" w:space="0" w:color="000000"/>
              <w:right w:val="single" w:sz="6" w:space="0" w:color="000000"/>
            </w:tcBorders>
            <w:shd w:val="clear" w:color="auto" w:fill="FFFFFF"/>
          </w:tcPr>
          <w:p w14:paraId="73BEEB28"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9" w:type="pct"/>
            <w:tcBorders>
              <w:top w:val="single" w:sz="6" w:space="0" w:color="000000"/>
              <w:left w:val="single" w:sz="6" w:space="0" w:color="000000"/>
              <w:bottom w:val="single" w:sz="6" w:space="0" w:color="000000"/>
              <w:right w:val="single" w:sz="6" w:space="0" w:color="000000"/>
            </w:tcBorders>
            <w:shd w:val="clear" w:color="auto" w:fill="FFFFFF"/>
          </w:tcPr>
          <w:p w14:paraId="7E504AD9"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20" w:type="pct"/>
            <w:tcBorders>
              <w:top w:val="single" w:sz="6" w:space="0" w:color="000000"/>
              <w:left w:val="single" w:sz="6" w:space="0" w:color="000000"/>
              <w:bottom w:val="single" w:sz="6" w:space="0" w:color="000000"/>
              <w:right w:val="single" w:sz="6" w:space="0" w:color="000000"/>
            </w:tcBorders>
            <w:shd w:val="clear" w:color="auto" w:fill="FFFFFF"/>
          </w:tcPr>
          <w:p w14:paraId="695467A2"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1" w:type="pct"/>
            <w:tcBorders>
              <w:top w:val="single" w:sz="6" w:space="0" w:color="000000"/>
              <w:left w:val="single" w:sz="6" w:space="0" w:color="000000"/>
              <w:bottom w:val="single" w:sz="6" w:space="0" w:color="000000"/>
              <w:right w:val="single" w:sz="6" w:space="0" w:color="000000"/>
            </w:tcBorders>
            <w:shd w:val="clear" w:color="auto" w:fill="FFFFFF"/>
          </w:tcPr>
          <w:p w14:paraId="661894FB" w14:textId="42E6F64D" w:rsidR="001D7656" w:rsidRPr="007D063B" w:rsidRDefault="005D44DD"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88" w:type="pct"/>
            <w:tcBorders>
              <w:top w:val="single" w:sz="6" w:space="0" w:color="000000"/>
              <w:left w:val="single" w:sz="6" w:space="0" w:color="000000"/>
              <w:bottom w:val="single" w:sz="6" w:space="0" w:color="000000"/>
              <w:right w:val="single" w:sz="6" w:space="0" w:color="000000"/>
            </w:tcBorders>
            <w:shd w:val="clear" w:color="auto" w:fill="FFFFFF"/>
          </w:tcPr>
          <w:p w14:paraId="581846EF"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36" w:type="pct"/>
            <w:tcBorders>
              <w:top w:val="single" w:sz="6" w:space="0" w:color="000000"/>
              <w:left w:val="single" w:sz="6" w:space="0" w:color="000000"/>
              <w:bottom w:val="single" w:sz="6" w:space="0" w:color="000000"/>
              <w:right w:val="single" w:sz="6" w:space="0" w:color="000000"/>
            </w:tcBorders>
            <w:shd w:val="clear" w:color="auto" w:fill="FFFFFF"/>
          </w:tcPr>
          <w:p w14:paraId="3666324A"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2638B5FD" w14:textId="77777777" w:rsidTr="00DC0CD3">
        <w:trPr>
          <w:tblCellSpacing w:w="0" w:type="dxa"/>
          <w:jc w:val="center"/>
        </w:trPr>
        <w:tc>
          <w:tcPr>
            <w:tcW w:w="200" w:type="pct"/>
            <w:tcBorders>
              <w:top w:val="single" w:sz="6" w:space="0" w:color="000000"/>
              <w:left w:val="single" w:sz="6" w:space="0" w:color="000000"/>
              <w:bottom w:val="single" w:sz="6" w:space="0" w:color="000000"/>
              <w:right w:val="single" w:sz="6" w:space="0" w:color="000000"/>
            </w:tcBorders>
            <w:shd w:val="clear" w:color="auto" w:fill="FFFFFF"/>
          </w:tcPr>
          <w:p w14:paraId="1CF40B68" w14:textId="04F6464E"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R1-5</w:t>
            </w:r>
          </w:p>
        </w:tc>
        <w:tc>
          <w:tcPr>
            <w:tcW w:w="607" w:type="pct"/>
            <w:tcBorders>
              <w:top w:val="single" w:sz="6" w:space="0" w:color="000000"/>
              <w:left w:val="single" w:sz="6" w:space="0" w:color="000000"/>
              <w:bottom w:val="single" w:sz="6" w:space="0" w:color="000000"/>
              <w:right w:val="single" w:sz="6" w:space="0" w:color="000000"/>
            </w:tcBorders>
            <w:shd w:val="clear" w:color="auto" w:fill="FFFFFF"/>
          </w:tcPr>
          <w:p w14:paraId="59666242" w14:textId="6F0D1530" w:rsidR="001D7656" w:rsidRPr="007D063B" w:rsidRDefault="001D7656" w:rsidP="002E01E8">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Функционираща НЗИС</w:t>
            </w:r>
          </w:p>
        </w:tc>
        <w:tc>
          <w:tcPr>
            <w:tcW w:w="218" w:type="pct"/>
            <w:tcBorders>
              <w:top w:val="single" w:sz="6" w:space="0" w:color="000000"/>
              <w:left w:val="single" w:sz="6" w:space="0" w:color="000000"/>
              <w:bottom w:val="single" w:sz="6" w:space="0" w:color="000000"/>
              <w:right w:val="single" w:sz="6" w:space="0" w:color="000000"/>
            </w:tcBorders>
            <w:shd w:val="clear" w:color="auto" w:fill="FFFFFF"/>
          </w:tcPr>
          <w:p w14:paraId="47D450C6" w14:textId="6D79011D"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ЕСФ</w:t>
            </w:r>
          </w:p>
        </w:tc>
        <w:tc>
          <w:tcPr>
            <w:tcW w:w="297" w:type="pct"/>
            <w:tcBorders>
              <w:top w:val="single" w:sz="6" w:space="0" w:color="000000"/>
              <w:left w:val="single" w:sz="6" w:space="0" w:color="000000"/>
              <w:bottom w:val="single" w:sz="6" w:space="0" w:color="000000"/>
              <w:right w:val="single" w:sz="6" w:space="0" w:color="000000"/>
            </w:tcBorders>
            <w:shd w:val="clear" w:color="auto" w:fill="FFFFFF"/>
          </w:tcPr>
          <w:p w14:paraId="372B8AC1" w14:textId="794AB21D" w:rsidR="001D7656" w:rsidRPr="007D063B" w:rsidRDefault="001D7656" w:rsidP="002E01E8">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По-слабо развити региони</w:t>
            </w:r>
          </w:p>
        </w:tc>
        <w:tc>
          <w:tcPr>
            <w:tcW w:w="193" w:type="pct"/>
            <w:tcBorders>
              <w:top w:val="single" w:sz="6" w:space="0" w:color="000000"/>
              <w:left w:val="single" w:sz="6" w:space="0" w:color="000000"/>
              <w:bottom w:val="single" w:sz="6" w:space="0" w:color="000000"/>
              <w:right w:val="single" w:sz="6" w:space="0" w:color="000000"/>
            </w:tcBorders>
            <w:shd w:val="clear" w:color="auto" w:fill="FFFFFF"/>
          </w:tcPr>
          <w:p w14:paraId="1C76EB40" w14:textId="70540190"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w:t>
            </w:r>
          </w:p>
        </w:tc>
        <w:tc>
          <w:tcPr>
            <w:tcW w:w="203" w:type="pct"/>
            <w:tcBorders>
              <w:top w:val="single" w:sz="6" w:space="0" w:color="000000"/>
              <w:left w:val="single" w:sz="6" w:space="0" w:color="000000"/>
              <w:bottom w:val="single" w:sz="6" w:space="0" w:color="000000"/>
              <w:right w:val="single" w:sz="6" w:space="0" w:color="000000"/>
            </w:tcBorders>
            <w:shd w:val="clear" w:color="auto" w:fill="FFFFFF"/>
          </w:tcPr>
          <w:p w14:paraId="192BC7A0" w14:textId="61CCE10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w:t>
            </w:r>
          </w:p>
        </w:tc>
        <w:tc>
          <w:tcPr>
            <w:tcW w:w="304" w:type="pct"/>
            <w:tcBorders>
              <w:top w:val="single" w:sz="6" w:space="0" w:color="000000"/>
              <w:left w:val="single" w:sz="6" w:space="0" w:color="000000"/>
              <w:bottom w:val="single" w:sz="6" w:space="0" w:color="000000"/>
              <w:right w:val="single" w:sz="6" w:space="0" w:color="000000"/>
            </w:tcBorders>
            <w:shd w:val="clear" w:color="auto" w:fill="FFFFFF"/>
          </w:tcPr>
          <w:p w14:paraId="3F9602A4" w14:textId="63F2C7B3"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Да</w:t>
            </w:r>
          </w:p>
        </w:tc>
        <w:tc>
          <w:tcPr>
            <w:tcW w:w="54" w:type="pct"/>
            <w:tcBorders>
              <w:top w:val="single" w:sz="6" w:space="0" w:color="000000"/>
              <w:left w:val="single" w:sz="6" w:space="0" w:color="000000"/>
              <w:bottom w:val="single" w:sz="6" w:space="0" w:color="000000"/>
              <w:right w:val="single" w:sz="6" w:space="0" w:color="000000"/>
            </w:tcBorders>
            <w:shd w:val="clear" w:color="auto" w:fill="FFFFFF"/>
          </w:tcPr>
          <w:p w14:paraId="78F02C49"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51" w:type="pct"/>
            <w:tcBorders>
              <w:top w:val="single" w:sz="6" w:space="0" w:color="000000"/>
              <w:left w:val="single" w:sz="6" w:space="0" w:color="000000"/>
              <w:bottom w:val="single" w:sz="6" w:space="0" w:color="000000"/>
              <w:right w:val="single" w:sz="6" w:space="0" w:color="000000"/>
            </w:tcBorders>
            <w:shd w:val="clear" w:color="auto" w:fill="FFFFFF"/>
          </w:tcPr>
          <w:p w14:paraId="30DFDD23"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52" w:type="pct"/>
            <w:tcBorders>
              <w:top w:val="single" w:sz="6" w:space="0" w:color="000000"/>
              <w:left w:val="single" w:sz="6" w:space="0" w:color="000000"/>
              <w:bottom w:val="single" w:sz="6" w:space="0" w:color="000000"/>
              <w:right w:val="single" w:sz="6" w:space="0" w:color="000000"/>
            </w:tcBorders>
            <w:shd w:val="clear" w:color="auto" w:fill="FFFFFF"/>
          </w:tcPr>
          <w:p w14:paraId="173361DB" w14:textId="58E4A3C9"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101" w:type="pct"/>
            <w:tcBorders>
              <w:top w:val="single" w:sz="6" w:space="0" w:color="000000"/>
              <w:left w:val="single" w:sz="6" w:space="0" w:color="000000"/>
              <w:bottom w:val="single" w:sz="6" w:space="0" w:color="000000"/>
              <w:right w:val="single" w:sz="6" w:space="0" w:color="000000"/>
            </w:tcBorders>
            <w:shd w:val="clear" w:color="auto" w:fill="FFFFFF"/>
          </w:tcPr>
          <w:p w14:paraId="293DD5BE" w14:textId="566C480F"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01" w:type="pct"/>
            <w:tcBorders>
              <w:top w:val="single" w:sz="6" w:space="0" w:color="000000"/>
              <w:left w:val="single" w:sz="6" w:space="0" w:color="000000"/>
              <w:bottom w:val="single" w:sz="6" w:space="0" w:color="000000"/>
              <w:right w:val="single" w:sz="6" w:space="0" w:color="000000"/>
            </w:tcBorders>
            <w:shd w:val="clear" w:color="auto" w:fill="FFFFFF"/>
          </w:tcPr>
          <w:p w14:paraId="443DA2EE" w14:textId="131552D3"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52" w:type="pct"/>
            <w:tcBorders>
              <w:top w:val="single" w:sz="6" w:space="0" w:color="000000"/>
              <w:left w:val="single" w:sz="6" w:space="0" w:color="000000"/>
              <w:bottom w:val="single" w:sz="6" w:space="0" w:color="000000"/>
              <w:right w:val="single" w:sz="6" w:space="0" w:color="000000"/>
            </w:tcBorders>
            <w:shd w:val="clear" w:color="auto" w:fill="FFFFFF"/>
          </w:tcPr>
          <w:p w14:paraId="0BA05430" w14:textId="3417274B"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102" w:type="pct"/>
            <w:tcBorders>
              <w:top w:val="single" w:sz="6" w:space="0" w:color="000000"/>
              <w:left w:val="single" w:sz="6" w:space="0" w:color="000000"/>
              <w:bottom w:val="single" w:sz="6" w:space="0" w:color="000000"/>
              <w:right w:val="single" w:sz="6" w:space="0" w:color="000000"/>
            </w:tcBorders>
            <w:shd w:val="clear" w:color="auto" w:fill="FFFFFF"/>
          </w:tcPr>
          <w:p w14:paraId="20CA731B"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51" w:type="pct"/>
            <w:tcBorders>
              <w:top w:val="single" w:sz="6" w:space="0" w:color="000000"/>
              <w:left w:val="single" w:sz="6" w:space="0" w:color="000000"/>
              <w:bottom w:val="single" w:sz="6" w:space="0" w:color="000000"/>
              <w:right w:val="single" w:sz="6" w:space="0" w:color="000000"/>
            </w:tcBorders>
            <w:shd w:val="clear" w:color="auto" w:fill="FFFFFF"/>
          </w:tcPr>
          <w:p w14:paraId="11AE9918"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09" w:type="pct"/>
            <w:tcBorders>
              <w:top w:val="single" w:sz="6" w:space="0" w:color="000000"/>
              <w:left w:val="single" w:sz="6" w:space="0" w:color="000000"/>
              <w:bottom w:val="single" w:sz="6" w:space="0" w:color="000000"/>
              <w:right w:val="single" w:sz="6" w:space="0" w:color="000000"/>
            </w:tcBorders>
            <w:shd w:val="clear" w:color="auto" w:fill="FFFFFF"/>
          </w:tcPr>
          <w:p w14:paraId="7233EFBA" w14:textId="47C501AF" w:rsidR="001D7656" w:rsidRPr="007D063B" w:rsidRDefault="00DC0CD3"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4D80B3BF"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5D7C85EB"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0D2A78EB"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316D7C1B"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503EDC24"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16904419"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37911F97"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5575B9A6"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205FEE52"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1B46918A"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7D4A1520"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1E195D18"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4E152DEC"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1D8F8629"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261A9B0D"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65BB187D"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55A75A49"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103F8B6C"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70D46D19"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206A4122"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2751824E"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7D00B2B7"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28" w:type="pct"/>
            <w:tcBorders>
              <w:top w:val="single" w:sz="6" w:space="0" w:color="000000"/>
              <w:left w:val="single" w:sz="6" w:space="0" w:color="000000"/>
              <w:bottom w:val="single" w:sz="6" w:space="0" w:color="000000"/>
              <w:right w:val="single" w:sz="6" w:space="0" w:color="000000"/>
            </w:tcBorders>
            <w:shd w:val="clear" w:color="auto" w:fill="FFFFFF"/>
          </w:tcPr>
          <w:p w14:paraId="1ED50228"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9" w:type="pct"/>
            <w:tcBorders>
              <w:top w:val="single" w:sz="6" w:space="0" w:color="000000"/>
              <w:left w:val="single" w:sz="6" w:space="0" w:color="000000"/>
              <w:bottom w:val="single" w:sz="6" w:space="0" w:color="000000"/>
              <w:right w:val="single" w:sz="6" w:space="0" w:color="000000"/>
            </w:tcBorders>
            <w:shd w:val="clear" w:color="auto" w:fill="FFFFFF"/>
          </w:tcPr>
          <w:p w14:paraId="6CC06CC1"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19" w:type="pct"/>
            <w:tcBorders>
              <w:top w:val="single" w:sz="6" w:space="0" w:color="000000"/>
              <w:left w:val="single" w:sz="6" w:space="0" w:color="000000"/>
              <w:bottom w:val="single" w:sz="6" w:space="0" w:color="000000"/>
              <w:right w:val="single" w:sz="6" w:space="0" w:color="000000"/>
            </w:tcBorders>
            <w:shd w:val="clear" w:color="auto" w:fill="FFFFFF"/>
          </w:tcPr>
          <w:p w14:paraId="2D19191B"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20" w:type="pct"/>
            <w:tcBorders>
              <w:top w:val="single" w:sz="6" w:space="0" w:color="000000"/>
              <w:left w:val="single" w:sz="6" w:space="0" w:color="000000"/>
              <w:bottom w:val="single" w:sz="6" w:space="0" w:color="000000"/>
              <w:right w:val="single" w:sz="6" w:space="0" w:color="000000"/>
            </w:tcBorders>
            <w:shd w:val="clear" w:color="auto" w:fill="FFFFFF"/>
          </w:tcPr>
          <w:p w14:paraId="36E4F75A"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81" w:type="pct"/>
            <w:tcBorders>
              <w:top w:val="single" w:sz="6" w:space="0" w:color="000000"/>
              <w:left w:val="single" w:sz="6" w:space="0" w:color="000000"/>
              <w:bottom w:val="single" w:sz="6" w:space="0" w:color="000000"/>
              <w:right w:val="single" w:sz="6" w:space="0" w:color="000000"/>
            </w:tcBorders>
            <w:shd w:val="clear" w:color="auto" w:fill="FFFFFF"/>
          </w:tcPr>
          <w:p w14:paraId="08F209AC" w14:textId="3183B29A" w:rsidR="001D7656" w:rsidRPr="007D063B" w:rsidRDefault="005D44DD" w:rsidP="00F0187D">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88" w:type="pct"/>
            <w:tcBorders>
              <w:top w:val="single" w:sz="6" w:space="0" w:color="000000"/>
              <w:left w:val="single" w:sz="6" w:space="0" w:color="000000"/>
              <w:bottom w:val="single" w:sz="6" w:space="0" w:color="000000"/>
              <w:right w:val="single" w:sz="6" w:space="0" w:color="000000"/>
            </w:tcBorders>
            <w:shd w:val="clear" w:color="auto" w:fill="FFFFFF"/>
          </w:tcPr>
          <w:p w14:paraId="4869B405"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c>
          <w:tcPr>
            <w:tcW w:w="36" w:type="pct"/>
            <w:tcBorders>
              <w:top w:val="single" w:sz="6" w:space="0" w:color="000000"/>
              <w:left w:val="single" w:sz="6" w:space="0" w:color="000000"/>
              <w:bottom w:val="single" w:sz="6" w:space="0" w:color="000000"/>
              <w:right w:val="single" w:sz="6" w:space="0" w:color="000000"/>
            </w:tcBorders>
            <w:shd w:val="clear" w:color="auto" w:fill="FFFFFF"/>
          </w:tcPr>
          <w:p w14:paraId="1A2C07EC" w14:textId="77777777" w:rsidR="001D7656" w:rsidRPr="007D063B" w:rsidRDefault="001D7656" w:rsidP="00F0187D">
            <w:pPr>
              <w:spacing w:before="120" w:after="0" w:line="240" w:lineRule="auto"/>
              <w:jc w:val="center"/>
              <w:rPr>
                <w:rFonts w:ascii="Times New Roman" w:eastAsia="Times New Roman" w:hAnsi="Times New Roman" w:cs="Times New Roman"/>
                <w:color w:val="000000"/>
                <w:sz w:val="16"/>
                <w:szCs w:val="16"/>
                <w:lang w:eastAsia="bg-BG"/>
              </w:rPr>
            </w:pPr>
          </w:p>
        </w:tc>
      </w:tr>
      <w:tr w:rsidR="001D7656" w:rsidRPr="007D063B" w14:paraId="234B829E" w14:textId="77777777" w:rsidTr="00F0187D">
        <w:trPr>
          <w:tblCellSpacing w:w="0" w:type="dxa"/>
          <w:jc w:val="center"/>
        </w:trPr>
        <w:tc>
          <w:tcPr>
            <w:tcW w:w="5000" w:type="pct"/>
            <w:gridSpan w:val="45"/>
            <w:shd w:val="clear" w:color="auto" w:fill="FFFFFF"/>
            <w:vAlign w:val="center"/>
            <w:hideMark/>
          </w:tcPr>
          <w:p w14:paraId="12DF8059" w14:textId="77777777" w:rsidR="001D7656" w:rsidRPr="007D063B" w:rsidRDefault="001D7656" w:rsidP="00F0187D">
            <w:pPr>
              <w:spacing w:after="0" w:line="240" w:lineRule="auto"/>
              <w:jc w:val="center"/>
              <w:rPr>
                <w:rFonts w:ascii="Times New Roman" w:eastAsia="Times New Roman" w:hAnsi="Times New Roman" w:cs="Times New Roman"/>
                <w:color w:val="000000"/>
                <w:sz w:val="16"/>
                <w:szCs w:val="16"/>
                <w:lang w:eastAsia="bg-BG"/>
              </w:rPr>
            </w:pPr>
          </w:p>
        </w:tc>
      </w:tr>
    </w:tbl>
    <w:p w14:paraId="52FE941B" w14:textId="77777777" w:rsidR="00CA2A1D" w:rsidRPr="007D063B" w:rsidRDefault="00CA2A1D" w:rsidP="009C6F83">
      <w:pPr>
        <w:shd w:val="clear" w:color="auto" w:fill="FFFFFF"/>
        <w:spacing w:before="120" w:after="120" w:line="240" w:lineRule="auto"/>
        <w:jc w:val="center"/>
        <w:rPr>
          <w:rFonts w:ascii="inherit" w:eastAsia="Times New Roman" w:hAnsi="inherit" w:cs="Times New Roman"/>
          <w:i/>
          <w:iCs/>
          <w:color w:val="000000"/>
          <w:sz w:val="24"/>
          <w:szCs w:val="24"/>
          <w:lang w:eastAsia="bg-BG"/>
        </w:rPr>
      </w:pPr>
    </w:p>
    <w:p w14:paraId="502C70DA" w14:textId="77777777" w:rsidR="009C6F83" w:rsidRPr="007D063B" w:rsidRDefault="009C6F83" w:rsidP="003021AB">
      <w:pPr>
        <w:pStyle w:val="Heading3"/>
        <w:jc w:val="center"/>
        <w:rPr>
          <w:rFonts w:ascii="Times New Roman" w:eastAsia="Times New Roman" w:hAnsi="Times New Roman" w:cs="Times New Roman"/>
          <w:color w:val="000000"/>
          <w:lang w:eastAsia="bg-BG"/>
        </w:rPr>
      </w:pPr>
      <w:bookmarkStart w:id="7" w:name="_Toc481594268"/>
      <w:r w:rsidRPr="007D063B">
        <w:rPr>
          <w:rFonts w:ascii="inherit" w:eastAsia="Times New Roman" w:hAnsi="inherit" w:cs="Times New Roman"/>
          <w:i/>
          <w:iCs/>
          <w:color w:val="000000"/>
          <w:lang w:eastAsia="bg-BG"/>
        </w:rPr>
        <w:t>Таблица 4А</w:t>
      </w:r>
      <w:bookmarkEnd w:id="7"/>
    </w:p>
    <w:p w14:paraId="53F23063" w14:textId="77777777" w:rsidR="009C6F83" w:rsidRPr="007D063B" w:rsidRDefault="009C6F83" w:rsidP="009C6F83">
      <w:pPr>
        <w:shd w:val="clear" w:color="auto" w:fill="FFFFFF"/>
        <w:spacing w:before="120" w:after="120" w:line="240" w:lineRule="auto"/>
        <w:jc w:val="center"/>
        <w:rPr>
          <w:rFonts w:ascii="Times New Roman" w:eastAsia="Times New Roman" w:hAnsi="Times New Roman" w:cs="Times New Roman"/>
          <w:color w:val="000000"/>
          <w:sz w:val="24"/>
          <w:szCs w:val="24"/>
          <w:lang w:eastAsia="bg-BG"/>
        </w:rPr>
      </w:pPr>
      <w:r w:rsidRPr="007D063B">
        <w:rPr>
          <w:rFonts w:ascii="inherit" w:eastAsia="Times New Roman" w:hAnsi="inherit" w:cs="Times New Roman"/>
          <w:b/>
          <w:bCs/>
          <w:color w:val="000000"/>
          <w:sz w:val="24"/>
          <w:szCs w:val="24"/>
          <w:lang w:eastAsia="bg-BG"/>
        </w:rPr>
        <w:t>Общи показатели за изпълнение за ЕСФ (по приоритетна ос, инвестиционен приоритет, категория регион). За инициативата за младежка заетост, за всяка приоритетна ос или част от нея не се изисква разпределение по категория региони</w:t>
      </w:r>
      <w:r w:rsidRPr="007D063B">
        <w:rPr>
          <w:rFonts w:ascii="Times New Roman" w:eastAsia="Times New Roman" w:hAnsi="Times New Roman" w:cs="Times New Roman"/>
          <w:color w:val="000000"/>
          <w:sz w:val="24"/>
          <w:szCs w:val="24"/>
          <w:lang w:eastAsia="bg-BG"/>
        </w:rPr>
        <w:t> </w:t>
      </w:r>
      <w:hyperlink r:id="rId15" w:anchor="ntr13-L_2015038BG.01007201-E0013" w:history="1">
        <w:r w:rsidRPr="007D063B">
          <w:rPr>
            <w:rFonts w:ascii="inherit" w:eastAsia="Times New Roman" w:hAnsi="inherit" w:cs="Times New Roman"/>
            <w:color w:val="0000FF"/>
            <w:sz w:val="24"/>
            <w:szCs w:val="24"/>
            <w:u w:val="single"/>
            <w:lang w:eastAsia="bg-BG"/>
          </w:rPr>
          <w:t> (</w:t>
        </w:r>
        <w:r w:rsidRPr="007D063B">
          <w:rPr>
            <w:rFonts w:ascii="inherit" w:eastAsia="Times New Roman" w:hAnsi="inherit" w:cs="Times New Roman"/>
            <w:color w:val="0000FF"/>
            <w:sz w:val="17"/>
            <w:szCs w:val="17"/>
            <w:u w:val="single"/>
            <w:vertAlign w:val="superscript"/>
            <w:lang w:eastAsia="bg-BG"/>
          </w:rPr>
          <w:t>13</w:t>
        </w:r>
        <w:r w:rsidRPr="007D063B">
          <w:rPr>
            <w:rFonts w:ascii="inherit" w:eastAsia="Times New Roman" w:hAnsi="inherit" w:cs="Times New Roman"/>
            <w:color w:val="0000FF"/>
            <w:sz w:val="24"/>
            <w:szCs w:val="24"/>
            <w:u w:val="single"/>
            <w:lang w:eastAsia="bg-BG"/>
          </w:rPr>
          <w:t>)</w:t>
        </w:r>
      </w:hyperlink>
    </w:p>
    <w:p w14:paraId="0D3733F7" w14:textId="3AB15BE1" w:rsidR="009C6F83" w:rsidRPr="007D063B" w:rsidRDefault="00D27BB4" w:rsidP="009C6F83">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И</w:t>
      </w:r>
      <w:r w:rsidR="009C6F83" w:rsidRPr="007D063B">
        <w:rPr>
          <w:rFonts w:ascii="Times New Roman" w:eastAsia="Times New Roman" w:hAnsi="Times New Roman" w:cs="Times New Roman"/>
          <w:color w:val="000000"/>
          <w:sz w:val="24"/>
          <w:szCs w:val="24"/>
          <w:lang w:eastAsia="bg-BG"/>
        </w:rPr>
        <w:t>нвестиционен приоритет:</w:t>
      </w:r>
    </w:p>
    <w:p w14:paraId="411E933E" w14:textId="77777777" w:rsidR="00D27BB4" w:rsidRPr="007D063B" w:rsidRDefault="00D27BB4" w:rsidP="00D27BB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xml:space="preserve">Инвестиционен приоритет № 11 </w:t>
      </w:r>
      <w:r w:rsidRPr="007D063B">
        <w:rPr>
          <w:rFonts w:ascii="Times New Roman" w:eastAsia="Times New Roman" w:hAnsi="Times New Roman" w:cs="Times New Roman"/>
          <w:color w:val="000000"/>
          <w:sz w:val="24"/>
          <w:szCs w:val="24"/>
          <w:lang w:val="en-US" w:eastAsia="bg-BG"/>
        </w:rPr>
        <w:t>i</w:t>
      </w:r>
      <w:r w:rsidRPr="007D063B">
        <w:rPr>
          <w:rFonts w:ascii="Times New Roman" w:eastAsia="Times New Roman" w:hAnsi="Times New Roman" w:cs="Times New Roman"/>
          <w:color w:val="000000"/>
          <w:sz w:val="24"/>
          <w:szCs w:val="24"/>
          <w:lang w:eastAsia="bg-BG"/>
        </w:rPr>
        <w:t>: Инвестиции в институционален капацитет и в ефикасността на публичните администрации и публичните услуги на национално, регионално и местно равнище с цел осъществяването на реформи и постигането на по-добро регулиране и добро управление</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left w:w="0" w:type="dxa"/>
          <w:right w:w="0" w:type="dxa"/>
        </w:tblCellMar>
        <w:tblLook w:val="04A0" w:firstRow="1" w:lastRow="0" w:firstColumn="1" w:lastColumn="0" w:noHBand="0" w:noVBand="1"/>
      </w:tblPr>
      <w:tblGrid>
        <w:gridCol w:w="1271"/>
        <w:gridCol w:w="1423"/>
        <w:gridCol w:w="713"/>
        <w:gridCol w:w="556"/>
        <w:gridCol w:w="306"/>
        <w:gridCol w:w="312"/>
        <w:gridCol w:w="351"/>
        <w:gridCol w:w="359"/>
        <w:gridCol w:w="351"/>
        <w:gridCol w:w="359"/>
        <w:gridCol w:w="351"/>
        <w:gridCol w:w="359"/>
        <w:gridCol w:w="351"/>
        <w:gridCol w:w="359"/>
        <w:gridCol w:w="351"/>
        <w:gridCol w:w="359"/>
        <w:gridCol w:w="351"/>
        <w:gridCol w:w="359"/>
        <w:gridCol w:w="351"/>
        <w:gridCol w:w="359"/>
        <w:gridCol w:w="351"/>
        <w:gridCol w:w="359"/>
        <w:gridCol w:w="351"/>
        <w:gridCol w:w="359"/>
        <w:gridCol w:w="351"/>
        <w:gridCol w:w="458"/>
        <w:gridCol w:w="533"/>
        <w:gridCol w:w="292"/>
        <w:gridCol w:w="300"/>
        <w:gridCol w:w="587"/>
        <w:gridCol w:w="320"/>
        <w:gridCol w:w="222"/>
      </w:tblGrid>
      <w:tr w:rsidR="00DC0CD3" w:rsidRPr="007D063B" w14:paraId="3827CC7A" w14:textId="77777777" w:rsidTr="00DC0CD3">
        <w:trPr>
          <w:tblCellSpacing w:w="0" w:type="dxa"/>
        </w:trPr>
        <w:tc>
          <w:tcPr>
            <w:tcW w:w="453" w:type="pct"/>
            <w:tcBorders>
              <w:top w:val="single" w:sz="6" w:space="0" w:color="000000"/>
              <w:left w:val="single" w:sz="6" w:space="0" w:color="000000"/>
              <w:bottom w:val="single" w:sz="6" w:space="0" w:color="000000"/>
              <w:right w:val="single" w:sz="6" w:space="0" w:color="000000"/>
            </w:tcBorders>
            <w:shd w:val="clear" w:color="auto" w:fill="FFFFFF"/>
            <w:hideMark/>
          </w:tcPr>
          <w:p w14:paraId="1A474583" w14:textId="77777777" w:rsidR="00F0187D" w:rsidRPr="007D063B" w:rsidRDefault="00D27BB4" w:rsidP="009C6F83">
            <w:pPr>
              <w:spacing w:before="60" w:after="60" w:line="240" w:lineRule="auto"/>
              <w:ind w:right="195"/>
              <w:jc w:val="center"/>
              <w:rPr>
                <w:rFonts w:ascii="Times New Roman" w:eastAsia="Times New Roman" w:hAnsi="Times New Roman" w:cs="Times New Roman"/>
                <w:color w:val="000000"/>
                <w:sz w:val="20"/>
                <w:szCs w:val="20"/>
                <w:lang w:eastAsia="bg-BG"/>
              </w:rPr>
            </w:pPr>
            <w:r w:rsidRPr="007D063B">
              <w:rPr>
                <w:rFonts w:ascii="Times New Roman" w:eastAsia="Times New Roman" w:hAnsi="Times New Roman" w:cs="Times New Roman"/>
                <w:color w:val="000000"/>
                <w:sz w:val="20"/>
                <w:szCs w:val="20"/>
                <w:lang w:eastAsia="bg-BG"/>
              </w:rPr>
              <w:t xml:space="preserve">Категория регион: </w:t>
            </w:r>
          </w:p>
          <w:p w14:paraId="565102E2" w14:textId="3B42622C" w:rsidR="00EB5A4A" w:rsidRPr="007D063B" w:rsidRDefault="00D27BB4" w:rsidP="009C6F83">
            <w:pPr>
              <w:spacing w:before="60" w:after="60" w:line="240" w:lineRule="auto"/>
              <w:ind w:right="195"/>
              <w:jc w:val="center"/>
              <w:rPr>
                <w:rFonts w:ascii="Times New Roman" w:eastAsia="Times New Roman" w:hAnsi="Times New Roman" w:cs="Times New Roman"/>
                <w:color w:val="000000"/>
                <w:sz w:val="20"/>
                <w:szCs w:val="20"/>
                <w:lang w:eastAsia="bg-BG"/>
              </w:rPr>
            </w:pPr>
            <w:r w:rsidRPr="007D063B">
              <w:rPr>
                <w:rFonts w:ascii="Times New Roman" w:eastAsia="Times New Roman" w:hAnsi="Times New Roman" w:cs="Times New Roman"/>
                <w:color w:val="000000"/>
                <w:sz w:val="20"/>
                <w:szCs w:val="20"/>
                <w:lang w:eastAsia="bg-BG"/>
              </w:rPr>
              <w:t>По-слабо развити региони</w:t>
            </w:r>
          </w:p>
          <w:p w14:paraId="0946E035" w14:textId="7CE87D54"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Показател Идентификация</w:t>
            </w: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7F14112A"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Показател (наименование на показателя)</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3FE37623"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Категория региони (когато е уместно)</w:t>
            </w:r>
          </w:p>
        </w:tc>
        <w:tc>
          <w:tcPr>
            <w:tcW w:w="41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437FC8D"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Целева стойност (2023 г.)</w:t>
            </w:r>
          </w:p>
          <w:p w14:paraId="42E06CE9"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Разпределението по пол е незадължително (за целевата стойност)</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6BF0F9F"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2014</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AC70C98"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2015</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13B0826"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2016</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0B466FA"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2017</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3DF8878"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2018</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18342FA"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2019</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3AD536D"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2020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B6657F0"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2021</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04855C5"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2022</w:t>
            </w:r>
          </w:p>
        </w:tc>
        <w:tc>
          <w:tcPr>
            <w:tcW w:w="287"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20F60A0"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2023</w:t>
            </w:r>
          </w:p>
        </w:tc>
        <w:tc>
          <w:tcPr>
            <w:tcW w:w="401"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2FAAFEB"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Кумулативна стойност (автоматично изчислена)</w:t>
            </w:r>
          </w:p>
        </w:tc>
        <w:tc>
          <w:tcPr>
            <w:tcW w:w="403"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63BA363"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Съотношение на постиженията</w:t>
            </w:r>
          </w:p>
          <w:p w14:paraId="58F7DEB6"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Разпределение по пол (незадължително)</w:t>
            </w:r>
          </w:p>
        </w:tc>
      </w:tr>
      <w:tr w:rsidR="00DC0CD3" w:rsidRPr="007D063B" w14:paraId="596D943F" w14:textId="77777777" w:rsidTr="00DC0CD3">
        <w:trPr>
          <w:tblCellSpacing w:w="0" w:type="dxa"/>
        </w:trPr>
        <w:tc>
          <w:tcPr>
            <w:tcW w:w="453"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56B1F40" w14:textId="77777777" w:rsidR="009C6F83" w:rsidRPr="007D063B" w:rsidRDefault="009C6F83" w:rsidP="009C6F8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99AD13D" w14:textId="77777777" w:rsidR="009C6F83" w:rsidRPr="007D063B" w:rsidRDefault="009C6F83" w:rsidP="009C6F83">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359D5B8" w14:textId="77777777" w:rsidR="009C6F83" w:rsidRPr="007D063B" w:rsidRDefault="009C6F83" w:rsidP="009C6F8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8" w:type="pct"/>
            <w:tcBorders>
              <w:top w:val="single" w:sz="6" w:space="0" w:color="000000"/>
              <w:left w:val="single" w:sz="6" w:space="0" w:color="000000"/>
              <w:bottom w:val="single" w:sz="6" w:space="0" w:color="000000"/>
              <w:right w:val="single" w:sz="6" w:space="0" w:color="000000"/>
            </w:tcBorders>
            <w:shd w:val="clear" w:color="auto" w:fill="FFFFFF"/>
            <w:hideMark/>
          </w:tcPr>
          <w:p w14:paraId="1868D567" w14:textId="77777777" w:rsidR="009C6F83" w:rsidRPr="007D063B" w:rsidRDefault="009C6F83" w:rsidP="009C6F8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tcBorders>
              <w:top w:val="single" w:sz="6" w:space="0" w:color="000000"/>
              <w:left w:val="single" w:sz="6" w:space="0" w:color="000000"/>
              <w:bottom w:val="single" w:sz="6" w:space="0" w:color="000000"/>
              <w:right w:val="single" w:sz="6" w:space="0" w:color="000000"/>
            </w:tcBorders>
            <w:shd w:val="clear" w:color="auto" w:fill="FFFFFF"/>
            <w:hideMark/>
          </w:tcPr>
          <w:p w14:paraId="08CF96EE" w14:textId="77777777" w:rsidR="009C6F83" w:rsidRPr="007D063B" w:rsidRDefault="009C6F83" w:rsidP="009C6F8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tcBorders>
              <w:top w:val="single" w:sz="6" w:space="0" w:color="000000"/>
              <w:left w:val="single" w:sz="6" w:space="0" w:color="000000"/>
              <w:bottom w:val="single" w:sz="6" w:space="0" w:color="000000"/>
              <w:right w:val="single" w:sz="6" w:space="0" w:color="000000"/>
            </w:tcBorders>
            <w:shd w:val="clear" w:color="auto" w:fill="FFFFFF"/>
            <w:hideMark/>
          </w:tcPr>
          <w:p w14:paraId="1EDDD904" w14:textId="77777777" w:rsidR="009C6F83" w:rsidRPr="007D063B" w:rsidRDefault="009C6F83" w:rsidP="009C6F8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65" w:type="pct"/>
            <w:gridSpan w:val="20"/>
            <w:tcBorders>
              <w:top w:val="single" w:sz="6" w:space="0" w:color="000000"/>
              <w:left w:val="single" w:sz="6" w:space="0" w:color="000000"/>
              <w:bottom w:val="single" w:sz="6" w:space="0" w:color="000000"/>
              <w:right w:val="single" w:sz="6" w:space="0" w:color="000000"/>
            </w:tcBorders>
            <w:shd w:val="clear" w:color="auto" w:fill="FFFFFF"/>
            <w:hideMark/>
          </w:tcPr>
          <w:p w14:paraId="3FDB3CE7" w14:textId="77777777" w:rsidR="009C6F83" w:rsidRPr="007D063B" w:rsidRDefault="009C6F83" w:rsidP="009C6F83">
            <w:pPr>
              <w:spacing w:before="60" w:after="60" w:line="240" w:lineRule="auto"/>
              <w:ind w:right="195"/>
              <w:jc w:val="center"/>
              <w:rPr>
                <w:rFonts w:ascii="Times New Roman" w:eastAsia="Times New Roman" w:hAnsi="Times New Roman" w:cs="Times New Roman"/>
                <w:b/>
                <w:bCs/>
                <w:color w:val="000000"/>
                <w:lang w:eastAsia="bg-BG"/>
              </w:rPr>
            </w:pPr>
            <w:r w:rsidRPr="007D063B">
              <w:rPr>
                <w:rFonts w:ascii="Times New Roman" w:eastAsia="Times New Roman" w:hAnsi="Times New Roman" w:cs="Times New Roman"/>
                <w:b/>
                <w:bCs/>
                <w:color w:val="000000"/>
                <w:lang w:eastAsia="bg-BG"/>
              </w:rPr>
              <w:t>Годишна стойност</w:t>
            </w:r>
          </w:p>
        </w:tc>
        <w:tc>
          <w:tcPr>
            <w:tcW w:w="190" w:type="pct"/>
            <w:tcBorders>
              <w:top w:val="single" w:sz="6" w:space="0" w:color="000000"/>
              <w:left w:val="single" w:sz="6" w:space="0" w:color="000000"/>
              <w:bottom w:val="single" w:sz="6" w:space="0" w:color="000000"/>
              <w:right w:val="single" w:sz="6" w:space="0" w:color="000000"/>
            </w:tcBorders>
            <w:shd w:val="clear" w:color="auto" w:fill="FFFFFF"/>
            <w:hideMark/>
          </w:tcPr>
          <w:p w14:paraId="58BC4A93" w14:textId="77777777" w:rsidR="009C6F83" w:rsidRPr="007D063B" w:rsidRDefault="009C6F83" w:rsidP="009C6F8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4" w:type="pct"/>
            <w:tcBorders>
              <w:top w:val="single" w:sz="6" w:space="0" w:color="000000"/>
              <w:left w:val="single" w:sz="6" w:space="0" w:color="000000"/>
              <w:bottom w:val="single" w:sz="6" w:space="0" w:color="000000"/>
              <w:right w:val="single" w:sz="6" w:space="0" w:color="000000"/>
            </w:tcBorders>
            <w:shd w:val="clear" w:color="auto" w:fill="FFFFFF"/>
            <w:hideMark/>
          </w:tcPr>
          <w:p w14:paraId="4A85CF61" w14:textId="77777777" w:rsidR="009C6F83" w:rsidRPr="007D063B" w:rsidRDefault="009C6F83" w:rsidP="009C6F8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7" w:type="pct"/>
            <w:tcBorders>
              <w:top w:val="single" w:sz="6" w:space="0" w:color="000000"/>
              <w:left w:val="single" w:sz="6" w:space="0" w:color="000000"/>
              <w:bottom w:val="single" w:sz="6" w:space="0" w:color="000000"/>
              <w:right w:val="single" w:sz="6" w:space="0" w:color="000000"/>
            </w:tcBorders>
            <w:shd w:val="clear" w:color="auto" w:fill="FFFFFF"/>
            <w:hideMark/>
          </w:tcPr>
          <w:p w14:paraId="0A719E40" w14:textId="77777777" w:rsidR="009C6F83" w:rsidRPr="007D063B" w:rsidRDefault="009C6F83" w:rsidP="009C6F8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09" w:type="pct"/>
            <w:tcBorders>
              <w:top w:val="single" w:sz="6" w:space="0" w:color="000000"/>
              <w:left w:val="single" w:sz="6" w:space="0" w:color="000000"/>
              <w:bottom w:val="single" w:sz="6" w:space="0" w:color="000000"/>
              <w:right w:val="single" w:sz="6" w:space="0" w:color="000000"/>
            </w:tcBorders>
            <w:shd w:val="clear" w:color="auto" w:fill="FFFFFF"/>
            <w:hideMark/>
          </w:tcPr>
          <w:p w14:paraId="43D0A0D7" w14:textId="77777777" w:rsidR="009C6F83" w:rsidRPr="007D063B" w:rsidRDefault="009C6F83" w:rsidP="009C6F8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4" w:type="pct"/>
            <w:tcBorders>
              <w:top w:val="single" w:sz="6" w:space="0" w:color="000000"/>
              <w:left w:val="single" w:sz="6" w:space="0" w:color="000000"/>
              <w:bottom w:val="single" w:sz="6" w:space="0" w:color="000000"/>
              <w:right w:val="single" w:sz="6" w:space="0" w:color="000000"/>
            </w:tcBorders>
            <w:shd w:val="clear" w:color="auto" w:fill="FFFFFF"/>
            <w:hideMark/>
          </w:tcPr>
          <w:p w14:paraId="35B73CA9" w14:textId="77777777" w:rsidR="009C6F83" w:rsidRPr="007D063B" w:rsidRDefault="009C6F83" w:rsidP="009C6F8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80" w:type="pct"/>
            <w:tcBorders>
              <w:top w:val="single" w:sz="6" w:space="0" w:color="000000"/>
              <w:left w:val="single" w:sz="6" w:space="0" w:color="000000"/>
              <w:bottom w:val="single" w:sz="6" w:space="0" w:color="000000"/>
              <w:right w:val="single" w:sz="6" w:space="0" w:color="000000"/>
            </w:tcBorders>
            <w:shd w:val="clear" w:color="auto" w:fill="FFFFFF"/>
            <w:hideMark/>
          </w:tcPr>
          <w:p w14:paraId="519EF017" w14:textId="77777777" w:rsidR="009C6F83" w:rsidRPr="007D063B" w:rsidRDefault="009C6F83" w:rsidP="009C6F8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r>
      <w:tr w:rsidR="00E133C6" w:rsidRPr="007D063B" w14:paraId="223285EF"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BDD1252" w14:textId="77777777" w:rsidR="009C6F83" w:rsidRPr="007D063B" w:rsidRDefault="009C6F83" w:rsidP="009C6F83">
            <w:pPr>
              <w:spacing w:after="0" w:line="240" w:lineRule="auto"/>
              <w:rPr>
                <w:rFonts w:ascii="Times New Roman" w:eastAsia="Times New Roman" w:hAnsi="Times New Roman" w:cs="Times New Roman"/>
                <w:color w:val="000000"/>
                <w:sz w:val="24"/>
                <w:szCs w:val="24"/>
                <w:lang w:eastAsia="bg-BG"/>
              </w:rPr>
            </w:pPr>
          </w:p>
        </w:tc>
        <w:tc>
          <w:tcPr>
            <w:tcW w:w="5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B14C109" w14:textId="77777777" w:rsidR="009C6F83" w:rsidRPr="007D063B" w:rsidRDefault="009C6F83" w:rsidP="009C6F83">
            <w:pPr>
              <w:spacing w:after="0" w:line="240" w:lineRule="auto"/>
              <w:rPr>
                <w:rFonts w:ascii="Times New Roman" w:eastAsia="Times New Roman" w:hAnsi="Times New Roman" w:cs="Times New Roman"/>
                <w:color w:val="000000"/>
                <w:sz w:val="16"/>
                <w:szCs w:val="16"/>
                <w:lang w:eastAsia="bg-BG"/>
              </w:rPr>
            </w:pP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3E49A9" w14:textId="77777777" w:rsidR="009C6F83" w:rsidRPr="007D063B" w:rsidRDefault="009C6F83" w:rsidP="009C6F83">
            <w:pPr>
              <w:spacing w:after="0" w:line="240" w:lineRule="auto"/>
              <w:rPr>
                <w:rFonts w:ascii="Times New Roman" w:eastAsia="Times New Roman" w:hAnsi="Times New Roman" w:cs="Times New Roman"/>
                <w:color w:val="000000"/>
                <w:sz w:val="24"/>
                <w:szCs w:val="24"/>
                <w:lang w:eastAsia="bg-BG"/>
              </w:rPr>
            </w:pPr>
          </w:p>
        </w:tc>
        <w:tc>
          <w:tcPr>
            <w:tcW w:w="198" w:type="pct"/>
            <w:tcBorders>
              <w:top w:val="single" w:sz="6" w:space="0" w:color="000000"/>
              <w:left w:val="single" w:sz="6" w:space="0" w:color="000000"/>
              <w:bottom w:val="single" w:sz="6" w:space="0" w:color="000000"/>
              <w:right w:val="single" w:sz="6" w:space="0" w:color="000000"/>
            </w:tcBorders>
            <w:shd w:val="clear" w:color="auto" w:fill="FFFFFF"/>
            <w:hideMark/>
          </w:tcPr>
          <w:p w14:paraId="4E9CDEF7" w14:textId="77777777" w:rsidR="009C6F83" w:rsidRPr="007D063B" w:rsidRDefault="009C6F83" w:rsidP="00EB5A4A">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Общо</w:t>
            </w:r>
          </w:p>
        </w:tc>
        <w:tc>
          <w:tcPr>
            <w:tcW w:w="109" w:type="pct"/>
            <w:tcBorders>
              <w:top w:val="single" w:sz="6" w:space="0" w:color="000000"/>
              <w:left w:val="single" w:sz="6" w:space="0" w:color="000000"/>
              <w:bottom w:val="single" w:sz="6" w:space="0" w:color="000000"/>
              <w:right w:val="single" w:sz="6" w:space="0" w:color="000000"/>
            </w:tcBorders>
            <w:shd w:val="clear" w:color="auto" w:fill="FFFFFF"/>
            <w:hideMark/>
          </w:tcPr>
          <w:p w14:paraId="73228C42" w14:textId="77777777" w:rsidR="009C6F83" w:rsidRPr="007D063B" w:rsidRDefault="009C6F83" w:rsidP="00EB5A4A">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11" w:type="pct"/>
            <w:tcBorders>
              <w:top w:val="single" w:sz="6" w:space="0" w:color="000000"/>
              <w:left w:val="single" w:sz="6" w:space="0" w:color="000000"/>
              <w:bottom w:val="single" w:sz="6" w:space="0" w:color="000000"/>
              <w:right w:val="single" w:sz="6" w:space="0" w:color="000000"/>
            </w:tcBorders>
            <w:shd w:val="clear" w:color="auto" w:fill="FFFFFF"/>
            <w:hideMark/>
          </w:tcPr>
          <w:p w14:paraId="0F6BBAB6" w14:textId="77777777" w:rsidR="009C6F83" w:rsidRPr="007D063B" w:rsidRDefault="009C6F83" w:rsidP="00EB5A4A">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32E69FF9" w14:textId="77777777" w:rsidR="009C6F83" w:rsidRPr="007D063B" w:rsidRDefault="009C6F83" w:rsidP="00EB5A4A">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5493F4B7" w14:textId="77777777" w:rsidR="009C6F83" w:rsidRPr="007D063B" w:rsidRDefault="009C6F83" w:rsidP="00EB5A4A">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4B1FE17A" w14:textId="77777777" w:rsidR="009C6F83" w:rsidRPr="007D063B" w:rsidRDefault="009C6F83" w:rsidP="00EB5A4A">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2119ECB9" w14:textId="77777777" w:rsidR="009C6F83" w:rsidRPr="007D063B" w:rsidRDefault="009C6F83" w:rsidP="00EB5A4A">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7A9B4228" w14:textId="77777777" w:rsidR="009C6F83" w:rsidRPr="007D063B" w:rsidRDefault="009C6F83" w:rsidP="00EB5A4A">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3145E747" w14:textId="77777777" w:rsidR="009C6F83" w:rsidRPr="007D063B" w:rsidRDefault="009C6F83" w:rsidP="00EB5A4A">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61C65440" w14:textId="77777777" w:rsidR="009C6F83" w:rsidRPr="007D063B" w:rsidRDefault="009C6F83" w:rsidP="00EB5A4A">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109B03B4" w14:textId="77777777" w:rsidR="009C6F83" w:rsidRPr="007D063B" w:rsidRDefault="009C6F83" w:rsidP="00EB5A4A">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25E9CBD0" w14:textId="77777777" w:rsidR="009C6F83" w:rsidRPr="007D063B" w:rsidRDefault="009C6F83" w:rsidP="00EB5A4A">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153C9F9D" w14:textId="77777777" w:rsidR="009C6F83" w:rsidRPr="007D063B" w:rsidRDefault="009C6F83" w:rsidP="00EB5A4A">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51C41497" w14:textId="77777777" w:rsidR="009C6F83" w:rsidRPr="007D063B" w:rsidRDefault="009C6F83" w:rsidP="00EB5A4A">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6A56B46D" w14:textId="77777777" w:rsidR="009C6F83" w:rsidRPr="007D063B" w:rsidRDefault="009C6F83" w:rsidP="00EB5A4A">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B54B60E" w14:textId="77777777" w:rsidR="009C6F83" w:rsidRPr="007D063B" w:rsidRDefault="009C6F83" w:rsidP="00EB5A4A">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1BD9059D" w14:textId="77777777" w:rsidR="009C6F83" w:rsidRPr="007D063B" w:rsidRDefault="009C6F83" w:rsidP="00EB5A4A">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6FB9194C" w14:textId="77777777" w:rsidR="009C6F83" w:rsidRPr="007D063B" w:rsidRDefault="009C6F83" w:rsidP="00EB5A4A">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2B0C5A78" w14:textId="77777777" w:rsidR="009C6F83" w:rsidRPr="007D063B" w:rsidRDefault="009C6F83" w:rsidP="00EB5A4A">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3F769C4" w14:textId="77777777" w:rsidR="009C6F83" w:rsidRPr="007D063B" w:rsidRDefault="009C6F83" w:rsidP="00EB5A4A">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15A13236" w14:textId="77777777" w:rsidR="009C6F83" w:rsidRPr="007D063B" w:rsidRDefault="009C6F83" w:rsidP="00EB5A4A">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64100952" w14:textId="77777777" w:rsidR="009C6F83" w:rsidRPr="007D063B" w:rsidRDefault="009C6F83" w:rsidP="00EB5A4A">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62" w:type="pct"/>
            <w:tcBorders>
              <w:top w:val="single" w:sz="6" w:space="0" w:color="000000"/>
              <w:left w:val="single" w:sz="6" w:space="0" w:color="000000"/>
              <w:bottom w:val="single" w:sz="6" w:space="0" w:color="000000"/>
              <w:right w:val="single" w:sz="6" w:space="0" w:color="000000"/>
            </w:tcBorders>
            <w:shd w:val="clear" w:color="auto" w:fill="FFFFFF"/>
            <w:hideMark/>
          </w:tcPr>
          <w:p w14:paraId="56428879" w14:textId="77777777" w:rsidR="009C6F83" w:rsidRPr="007D063B" w:rsidRDefault="009C6F83" w:rsidP="00EB5A4A">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90" w:type="pct"/>
            <w:tcBorders>
              <w:top w:val="single" w:sz="6" w:space="0" w:color="000000"/>
              <w:left w:val="single" w:sz="6" w:space="0" w:color="000000"/>
              <w:bottom w:val="single" w:sz="6" w:space="0" w:color="000000"/>
              <w:right w:val="single" w:sz="6" w:space="0" w:color="000000"/>
            </w:tcBorders>
            <w:shd w:val="clear" w:color="auto" w:fill="FFFFFF"/>
            <w:hideMark/>
          </w:tcPr>
          <w:p w14:paraId="517A6332" w14:textId="77777777" w:rsidR="009C6F83" w:rsidRPr="007D063B" w:rsidRDefault="009C6F83" w:rsidP="00EB5A4A">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Общо</w:t>
            </w:r>
          </w:p>
        </w:tc>
        <w:tc>
          <w:tcPr>
            <w:tcW w:w="104" w:type="pct"/>
            <w:tcBorders>
              <w:top w:val="single" w:sz="6" w:space="0" w:color="000000"/>
              <w:left w:val="single" w:sz="6" w:space="0" w:color="000000"/>
              <w:bottom w:val="single" w:sz="6" w:space="0" w:color="000000"/>
              <w:right w:val="single" w:sz="6" w:space="0" w:color="000000"/>
            </w:tcBorders>
            <w:shd w:val="clear" w:color="auto" w:fill="FFFFFF"/>
            <w:hideMark/>
          </w:tcPr>
          <w:p w14:paraId="5F3C5BD0" w14:textId="77777777" w:rsidR="009C6F83" w:rsidRPr="007D063B" w:rsidRDefault="009C6F83" w:rsidP="00EB5A4A">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07" w:type="pct"/>
            <w:tcBorders>
              <w:top w:val="single" w:sz="6" w:space="0" w:color="000000"/>
              <w:left w:val="single" w:sz="6" w:space="0" w:color="000000"/>
              <w:bottom w:val="single" w:sz="6" w:space="0" w:color="000000"/>
              <w:right w:val="single" w:sz="6" w:space="0" w:color="000000"/>
            </w:tcBorders>
            <w:shd w:val="clear" w:color="auto" w:fill="FFFFFF"/>
            <w:hideMark/>
          </w:tcPr>
          <w:p w14:paraId="299B34EC" w14:textId="77777777" w:rsidR="009C6F83" w:rsidRPr="007D063B" w:rsidRDefault="009C6F83" w:rsidP="00EB5A4A">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209" w:type="pct"/>
            <w:tcBorders>
              <w:top w:val="single" w:sz="6" w:space="0" w:color="000000"/>
              <w:left w:val="single" w:sz="6" w:space="0" w:color="000000"/>
              <w:bottom w:val="single" w:sz="6" w:space="0" w:color="000000"/>
              <w:right w:val="single" w:sz="6" w:space="0" w:color="000000"/>
            </w:tcBorders>
            <w:shd w:val="clear" w:color="auto" w:fill="FFFFFF"/>
            <w:hideMark/>
          </w:tcPr>
          <w:p w14:paraId="424A0CF6" w14:textId="77777777" w:rsidR="009C6F83" w:rsidRPr="007D063B" w:rsidRDefault="009C6F83" w:rsidP="00EB5A4A">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Общо</w:t>
            </w:r>
          </w:p>
        </w:tc>
        <w:tc>
          <w:tcPr>
            <w:tcW w:w="114" w:type="pct"/>
            <w:tcBorders>
              <w:top w:val="single" w:sz="6" w:space="0" w:color="000000"/>
              <w:left w:val="single" w:sz="6" w:space="0" w:color="000000"/>
              <w:bottom w:val="single" w:sz="6" w:space="0" w:color="000000"/>
              <w:right w:val="single" w:sz="6" w:space="0" w:color="000000"/>
            </w:tcBorders>
            <w:shd w:val="clear" w:color="auto" w:fill="FFFFFF"/>
            <w:hideMark/>
          </w:tcPr>
          <w:p w14:paraId="2DE0214B" w14:textId="77777777" w:rsidR="009C6F83" w:rsidRPr="007D063B" w:rsidRDefault="009C6F83" w:rsidP="00EB5A4A">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80" w:type="pct"/>
            <w:tcBorders>
              <w:top w:val="single" w:sz="6" w:space="0" w:color="000000"/>
              <w:left w:val="single" w:sz="6" w:space="0" w:color="000000"/>
              <w:bottom w:val="single" w:sz="6" w:space="0" w:color="000000"/>
              <w:right w:val="single" w:sz="6" w:space="0" w:color="000000"/>
            </w:tcBorders>
            <w:shd w:val="clear" w:color="auto" w:fill="FFFFFF"/>
            <w:hideMark/>
          </w:tcPr>
          <w:p w14:paraId="0A6A119E" w14:textId="77777777" w:rsidR="009C6F83" w:rsidRPr="007D063B" w:rsidRDefault="009C6F83" w:rsidP="00EB5A4A">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r>
      <w:tr w:rsidR="00E133C6" w:rsidRPr="007D063B" w14:paraId="0E8204ED" w14:textId="77777777" w:rsidTr="00DC0CD3">
        <w:trPr>
          <w:tblCellSpacing w:w="0" w:type="dxa"/>
        </w:trPr>
        <w:tc>
          <w:tcPr>
            <w:tcW w:w="453"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748E9C2"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133C7957"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Безработни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207CB7C" w14:textId="1C91CF97"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0161575"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A42194B"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4D152BF"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D605701" w14:textId="0448D0C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3F6B799" w14:textId="46B4D89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AEE5AB2" w14:textId="22E67466"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51A5115" w14:textId="7E0C287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DA5541D" w14:textId="0C9A7D9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A98D34C" w14:textId="1DD1DE8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3EEE0A1"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E2C480C"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3D4B9BE"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2E68F81"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21C2DC3"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E14933E"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6617FAD"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56BD4A1"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4C91AF4"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21BBCC9"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D264310"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FE780B3"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F411C3C"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FE4EF08"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CB2D973" w14:textId="3379855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44CFEED" w14:textId="26962C7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8DC7E07" w14:textId="6A34F9B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DDB814C" w14:textId="20D5A13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8FC27A3" w14:textId="3E9563F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C8968B1" w14:textId="0427BC31"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6F828A8C"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03BB89"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033E3C88"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Безработни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05A4E502" w14:textId="77777777"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F228A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20ECF4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33877D"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CE1A5B7"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9F5F7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1ED138"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14D1B8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625B6C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FE1B4A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0DB5125"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C4A4F2"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F8D41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6EC9B2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099849"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124164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77F2B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4A65A07"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CD87D5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84D07F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E373949"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9DAC5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E87092"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E338660"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9B6FBF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BEC627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8AF448"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BCA41B4"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9475E2D"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F49847"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r>
      <w:tr w:rsidR="00E133C6" w:rsidRPr="007D063B" w14:paraId="3F43945F"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E0A03E2"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6143EC03"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Трайно безработни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5C2131F" w14:textId="036B5AA7"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164528C"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0BF86E0"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EA5F3D3"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F87D0AF" w14:textId="160922D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85DB1CD" w14:textId="778B432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D7AD25A" w14:textId="349B812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BE4881B" w14:textId="4CB6EE04"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9466399" w14:textId="6B84F5F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C67E515" w14:textId="1753C45B"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8CC442D" w14:textId="421AD7B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F603B40" w14:textId="1AD39D3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9CDFC57" w14:textId="4343373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E565346" w14:textId="04AA634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0C56AB7" w14:textId="17B00911"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09BB07F" w14:textId="57589C54"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FCEAC95" w14:textId="7D72237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6BFD606" w14:textId="1EC7B47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882A055" w14:textId="6E624B0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64DDC41" w14:textId="4BE4848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407A1BA" w14:textId="18BC67F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3D416A4" w14:textId="0EEC2D9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A7562A7" w14:textId="159CE32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45668AC" w14:textId="3EC4047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1FA7DAE" w14:textId="00EC689B"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1B444F7" w14:textId="0E66EEA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BC69FE2" w14:textId="1DDEF97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DF06702" w14:textId="48816AA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AACA39F" w14:textId="27E51BB4"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C0DFA2D" w14:textId="1B64811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310180CB"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9FDC7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75D8FCBE"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Трайно безработни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2065047B" w14:textId="77777777"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69951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8A366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854ED99"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2BCF90"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4C69E02"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2A86C45"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24E8017"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894B0D9"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513B0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652D00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203EE92"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E40FD7"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40527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9A7A0C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ECECE92"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D7BBA9"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472FB8"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FE59D8"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6C98F8E"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951D7E"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C993BA0"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911C3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2F4B245"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067A257"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2CB8999"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6A809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D37AB8"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17AD4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C602F4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r>
      <w:tr w:rsidR="00E133C6" w:rsidRPr="007D063B" w14:paraId="05205D22"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B6BDB8"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7A990ABD"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Неактивни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C3DFF20" w14:textId="79B9FC44"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171623D"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5D2A26B"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CAD97B1"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AA163AD" w14:textId="0875C33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C79BFCA" w14:textId="28CE3A8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5BF56FD" w14:textId="0AA8C2A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8790101" w14:textId="073F20F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52835B8" w14:textId="03A0979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2A189B8" w14:textId="42E3A4F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A2D2252" w14:textId="496597A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08A92C3" w14:textId="59782544"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F2CF6B1" w14:textId="713A9564"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B00B273" w14:textId="6F82088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4CAD0EE" w14:textId="6A8EE05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3BDE459" w14:textId="0642333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6EDF269" w14:textId="34B3A03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1799C4E" w14:textId="6A174D8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16E4755" w14:textId="1B0525A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EB37067" w14:textId="2F83598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4EC082C" w14:textId="5D0F722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E0230E9" w14:textId="349B2CA4"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51B4BEF" w14:textId="400C6DB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33D023D" w14:textId="37D8D82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68BC603" w14:textId="14E9E4A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B38317D" w14:textId="0E15919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5CF5E6E" w14:textId="6C801B2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F666985" w14:textId="6F0FA886"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6EAD8B3" w14:textId="46C10534"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A882C82" w14:textId="75F184B6"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68B8ECD9"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5A19607"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6305589E"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Неактивни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5F258993" w14:textId="77777777"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1BC6F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AAD91AE"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FBA9BC5"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F6D36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199DA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DC17A6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28111B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C90722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C789E4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A5E2080"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811CC9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E324C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E06072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4C8954"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3D3D99"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70E78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16E204D"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D9D4AE"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7C10595"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2FFF99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164B14"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4B0D77"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D5067D8"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0ACAC99"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B664F5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EFE637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3BBD07"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CF90B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BF031F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r>
      <w:tr w:rsidR="00E133C6" w:rsidRPr="007D063B" w14:paraId="4F92C616"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9633C2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0F07F05A"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Неактивни, неангажирани с образование или обучение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E9C5F0C" w14:textId="4D7D3EBD"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FF72B99"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8505710"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D28C96B"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0C3E817" w14:textId="6BF5BE3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6AB6224" w14:textId="4D906016"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7E0EA3B" w14:textId="36C306BB"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A868EB4" w14:textId="72E60C7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71D9537" w14:textId="323B706B"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4F22257" w14:textId="2D547B8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81C48C2" w14:textId="3991BCF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0201C8F" w14:textId="270B33D6"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AF46ADF" w14:textId="73D065F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DB4CD71" w14:textId="1CE5A58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C3A5F7C" w14:textId="310C076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66E0690" w14:textId="3583FE3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5FEBF71" w14:textId="23BB4B2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9033914" w14:textId="633E2D11"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BB184D1" w14:textId="6353DD9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4410385" w14:textId="2368995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D30C4A1" w14:textId="7ED03E6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2F440FC" w14:textId="15F6E96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F6DDDFC" w14:textId="3C651B84"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4E9EF9A" w14:textId="0DDD5D8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D99C5BA" w14:textId="005A2EA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F436827" w14:textId="099DE52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7FF9C7A" w14:textId="096D087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422B4FB" w14:textId="58DCC5FB"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285F804" w14:textId="28A4088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888B4F4" w14:textId="37E8BEF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65F72700"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C624D7"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688026B1"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Неактивни, неангажирани с образование или обучение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759454C" w14:textId="77777777"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C424C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C42B5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9C010F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576B1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B4DE6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C5B97E"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69CB99"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B48898"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E90B27"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95DD28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F6151BD"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389A65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2BE1F35"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2C00D6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CFA18D"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759CB4"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F09703E"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823E5F8"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43A473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ACAE6F0"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0A7CF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E6A2D90"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A62A882"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E749B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5048837"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EA746E"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81809E"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301360"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8642BF4"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r>
      <w:tr w:rsidR="00E133C6" w:rsidRPr="007D063B" w14:paraId="23CAFCDB"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A0126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78EEC65E"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Заети, включително самостоятелно заети</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7B3CF2E4" w14:textId="76F22CD1"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tcBorders>
              <w:top w:val="single" w:sz="6" w:space="0" w:color="000000"/>
              <w:left w:val="single" w:sz="6" w:space="0" w:color="000000"/>
              <w:bottom w:val="single" w:sz="6" w:space="0" w:color="000000"/>
              <w:right w:val="single" w:sz="6" w:space="0" w:color="000000"/>
            </w:tcBorders>
            <w:shd w:val="clear" w:color="auto" w:fill="FFFFFF"/>
            <w:hideMark/>
          </w:tcPr>
          <w:p w14:paraId="6C3F00A6"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tcBorders>
              <w:top w:val="single" w:sz="6" w:space="0" w:color="000000"/>
              <w:left w:val="single" w:sz="6" w:space="0" w:color="000000"/>
              <w:bottom w:val="single" w:sz="6" w:space="0" w:color="000000"/>
              <w:right w:val="single" w:sz="6" w:space="0" w:color="000000"/>
            </w:tcBorders>
            <w:shd w:val="clear" w:color="auto" w:fill="FFFFFF"/>
            <w:hideMark/>
          </w:tcPr>
          <w:p w14:paraId="4808C8D4"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tcBorders>
              <w:top w:val="single" w:sz="6" w:space="0" w:color="000000"/>
              <w:left w:val="single" w:sz="6" w:space="0" w:color="000000"/>
              <w:bottom w:val="single" w:sz="6" w:space="0" w:color="000000"/>
              <w:right w:val="single" w:sz="6" w:space="0" w:color="000000"/>
            </w:tcBorders>
            <w:shd w:val="clear" w:color="auto" w:fill="FFFFFF"/>
            <w:hideMark/>
          </w:tcPr>
          <w:p w14:paraId="140D55D8"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5EA2F75D" w14:textId="1EBCAD5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2CF897F5" w14:textId="4753837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57EA5E6E" w14:textId="69E6E9FB"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5535864A" w14:textId="5AAB312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016DA70B" w14:textId="1D14E9C1"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66AE0286" w14:textId="46584B8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3CA3AAFE" w14:textId="4C6BD0F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6DE3AF2F" w14:textId="5F3CB786"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52C480E7" w14:textId="37596C11"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57920E3C" w14:textId="7C93A096"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938F85A" w14:textId="4684A79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399C6565" w14:textId="6A1DDA2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3FEA9F38" w14:textId="164771B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26EB04C8" w14:textId="4DE19DD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2123338A" w14:textId="63713BB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5E7D0887" w14:textId="0A0BAF1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7DBD033F" w14:textId="7D48211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573290C8" w14:textId="532ABAE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49E91D1A" w14:textId="2952509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tcBorders>
              <w:top w:val="single" w:sz="6" w:space="0" w:color="000000"/>
              <w:left w:val="single" w:sz="6" w:space="0" w:color="000000"/>
              <w:bottom w:val="single" w:sz="6" w:space="0" w:color="000000"/>
              <w:right w:val="single" w:sz="6" w:space="0" w:color="000000"/>
            </w:tcBorders>
            <w:shd w:val="clear" w:color="auto" w:fill="FFFFFF"/>
            <w:hideMark/>
          </w:tcPr>
          <w:p w14:paraId="0F0E3D20" w14:textId="55EAB50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tcBorders>
              <w:top w:val="single" w:sz="6" w:space="0" w:color="000000"/>
              <w:left w:val="single" w:sz="6" w:space="0" w:color="000000"/>
              <w:bottom w:val="single" w:sz="6" w:space="0" w:color="000000"/>
              <w:right w:val="single" w:sz="6" w:space="0" w:color="000000"/>
            </w:tcBorders>
            <w:shd w:val="clear" w:color="auto" w:fill="FFFFFF"/>
            <w:hideMark/>
          </w:tcPr>
          <w:p w14:paraId="304B9D76" w14:textId="282FB74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tcBorders>
              <w:top w:val="single" w:sz="6" w:space="0" w:color="000000"/>
              <w:left w:val="single" w:sz="6" w:space="0" w:color="000000"/>
              <w:bottom w:val="single" w:sz="6" w:space="0" w:color="000000"/>
              <w:right w:val="single" w:sz="6" w:space="0" w:color="000000"/>
            </w:tcBorders>
            <w:shd w:val="clear" w:color="auto" w:fill="FFFFFF"/>
            <w:hideMark/>
          </w:tcPr>
          <w:p w14:paraId="5FE4917B" w14:textId="36EAD4B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tcBorders>
              <w:top w:val="single" w:sz="6" w:space="0" w:color="000000"/>
              <w:left w:val="single" w:sz="6" w:space="0" w:color="000000"/>
              <w:bottom w:val="single" w:sz="6" w:space="0" w:color="000000"/>
              <w:right w:val="single" w:sz="6" w:space="0" w:color="000000"/>
            </w:tcBorders>
            <w:shd w:val="clear" w:color="auto" w:fill="FFFFFF"/>
            <w:hideMark/>
          </w:tcPr>
          <w:p w14:paraId="5EADFED0" w14:textId="69F014C6"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tcBorders>
              <w:top w:val="single" w:sz="6" w:space="0" w:color="000000"/>
              <w:left w:val="single" w:sz="6" w:space="0" w:color="000000"/>
              <w:bottom w:val="single" w:sz="6" w:space="0" w:color="000000"/>
              <w:right w:val="single" w:sz="6" w:space="0" w:color="000000"/>
            </w:tcBorders>
            <w:shd w:val="clear" w:color="auto" w:fill="FFFFFF"/>
            <w:hideMark/>
          </w:tcPr>
          <w:p w14:paraId="54155750" w14:textId="43AE452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tcBorders>
              <w:top w:val="single" w:sz="6" w:space="0" w:color="000000"/>
              <w:left w:val="single" w:sz="6" w:space="0" w:color="000000"/>
              <w:bottom w:val="single" w:sz="6" w:space="0" w:color="000000"/>
              <w:right w:val="single" w:sz="6" w:space="0" w:color="000000"/>
            </w:tcBorders>
            <w:shd w:val="clear" w:color="auto" w:fill="FFFFFF"/>
            <w:hideMark/>
          </w:tcPr>
          <w:p w14:paraId="51C38B87" w14:textId="0F9F294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tcBorders>
              <w:top w:val="single" w:sz="6" w:space="0" w:color="000000"/>
              <w:left w:val="single" w:sz="6" w:space="0" w:color="000000"/>
              <w:bottom w:val="single" w:sz="6" w:space="0" w:color="000000"/>
              <w:right w:val="single" w:sz="6" w:space="0" w:color="000000"/>
            </w:tcBorders>
            <w:shd w:val="clear" w:color="auto" w:fill="FFFFFF"/>
            <w:hideMark/>
          </w:tcPr>
          <w:p w14:paraId="55CC905C" w14:textId="67FE7EC6"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611DC6F0"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531275"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36F7F57C"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На възраст под 25 години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1916DDC" w14:textId="29525BCE"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3308CA1"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88FD20F"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07A4D8F"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EFE450F" w14:textId="499690DB"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BAC2FB0" w14:textId="304003A4"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7AE213E" w14:textId="22D87B81"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E3E2B1B" w14:textId="6606BDE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2086DA5" w14:textId="44577A8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8632DAE" w14:textId="6B035A4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FDC44C6" w14:textId="667B5A24"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0475498" w14:textId="253E063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B851E05" w14:textId="5780945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CDD4E48" w14:textId="7AC6AD5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110D6EE" w14:textId="32F481C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E1239D6" w14:textId="6923785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C418442" w14:textId="10CCCBF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87BB6B0" w14:textId="1BBAAB1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D1C4830" w14:textId="63414BD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10A59DD" w14:textId="5B077EC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5265A03" w14:textId="4998567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B58000D" w14:textId="7438E9F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A06E032" w14:textId="46749C6B"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4D3A02D" w14:textId="02A1A01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5B4B92A" w14:textId="0D878FC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130396E" w14:textId="3A59E006"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217FB24" w14:textId="24F415D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D0A672C" w14:textId="7B2C4B4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324EDAF" w14:textId="72247D2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ABF1F3B" w14:textId="39E87C7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6D8229B3"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E65E158"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3582C5FC"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На възраст под 25 години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74F2264A" w14:textId="77777777"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8B3EB9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62638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E926560"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147FA9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65C0E9"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7A671C0"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66BB0D"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B22B592"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9C5F54"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0209A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03A5545"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E5F19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72DAB2"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93C9D3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568AD9D"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BD916F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52944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5109CB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585E90"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30847D"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57A8D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BF63758"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B61DF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8A91F7E"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2A0189"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89B9A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1FA480E2"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04F11494"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2FAF2744"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r>
      <w:tr w:rsidR="00E133C6" w:rsidRPr="007D063B" w14:paraId="38E33477"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586BB9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0CD7DB4A"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На възраст над 54 години</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50045F47" w14:textId="5798BA90"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tcBorders>
              <w:top w:val="single" w:sz="6" w:space="0" w:color="000000"/>
              <w:left w:val="single" w:sz="6" w:space="0" w:color="000000"/>
              <w:bottom w:val="single" w:sz="6" w:space="0" w:color="000000"/>
              <w:right w:val="single" w:sz="6" w:space="0" w:color="000000"/>
            </w:tcBorders>
            <w:shd w:val="clear" w:color="auto" w:fill="FFFFFF"/>
            <w:hideMark/>
          </w:tcPr>
          <w:p w14:paraId="52C805E0"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tcBorders>
              <w:top w:val="single" w:sz="6" w:space="0" w:color="000000"/>
              <w:left w:val="single" w:sz="6" w:space="0" w:color="000000"/>
              <w:bottom w:val="single" w:sz="6" w:space="0" w:color="000000"/>
              <w:right w:val="single" w:sz="6" w:space="0" w:color="000000"/>
            </w:tcBorders>
            <w:shd w:val="clear" w:color="auto" w:fill="FFFFFF"/>
            <w:hideMark/>
          </w:tcPr>
          <w:p w14:paraId="5E964F78"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tcBorders>
              <w:top w:val="single" w:sz="6" w:space="0" w:color="000000"/>
              <w:left w:val="single" w:sz="6" w:space="0" w:color="000000"/>
              <w:bottom w:val="single" w:sz="6" w:space="0" w:color="000000"/>
              <w:right w:val="single" w:sz="6" w:space="0" w:color="000000"/>
            </w:tcBorders>
            <w:shd w:val="clear" w:color="auto" w:fill="FFFFFF"/>
            <w:hideMark/>
          </w:tcPr>
          <w:p w14:paraId="47739A6A"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38F7BCF5" w14:textId="24A3EE6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1318E4CA" w14:textId="3FFDFB3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3D0DCE6F" w14:textId="0D9AB131"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55B542E0" w14:textId="028C5A3B"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25D38150" w14:textId="7AAAAD6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3E14B028" w14:textId="00CB4C5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3AB6BD0F" w14:textId="7427A94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0F7FA9B7" w14:textId="3095498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2F9E8CFA" w14:textId="6A339AB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70930ED6" w14:textId="58C40971"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54AD148A" w14:textId="73AB2A8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0EF9C216" w14:textId="088AC41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E977234" w14:textId="4E91CB1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3304EED0" w14:textId="4A2A4E8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5F4A64B2" w14:textId="5412C0CB"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4405F747" w14:textId="6E7B175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33EC26E0" w14:textId="033B5E8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059C2F2D" w14:textId="17A5B5D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53CA95FB" w14:textId="4B3CA77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tcBorders>
              <w:top w:val="single" w:sz="6" w:space="0" w:color="000000"/>
              <w:left w:val="single" w:sz="6" w:space="0" w:color="000000"/>
              <w:bottom w:val="single" w:sz="6" w:space="0" w:color="000000"/>
              <w:right w:val="single" w:sz="6" w:space="0" w:color="000000"/>
            </w:tcBorders>
            <w:shd w:val="clear" w:color="auto" w:fill="FFFFFF"/>
            <w:hideMark/>
          </w:tcPr>
          <w:p w14:paraId="1DE8A6B6" w14:textId="70F11B8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tcBorders>
              <w:top w:val="single" w:sz="6" w:space="0" w:color="000000"/>
              <w:left w:val="single" w:sz="6" w:space="0" w:color="000000"/>
              <w:bottom w:val="single" w:sz="6" w:space="0" w:color="000000"/>
              <w:right w:val="single" w:sz="6" w:space="0" w:color="000000"/>
            </w:tcBorders>
            <w:shd w:val="clear" w:color="auto" w:fill="FFFFFF"/>
            <w:hideMark/>
          </w:tcPr>
          <w:p w14:paraId="01505682" w14:textId="6CB9023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tcBorders>
              <w:top w:val="single" w:sz="6" w:space="0" w:color="000000"/>
              <w:left w:val="single" w:sz="6" w:space="0" w:color="000000"/>
              <w:bottom w:val="single" w:sz="6" w:space="0" w:color="000000"/>
              <w:right w:val="single" w:sz="6" w:space="0" w:color="000000"/>
            </w:tcBorders>
            <w:shd w:val="clear" w:color="auto" w:fill="FFFFFF"/>
            <w:hideMark/>
          </w:tcPr>
          <w:p w14:paraId="02136A29" w14:textId="42F64314"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tcBorders>
              <w:top w:val="single" w:sz="6" w:space="0" w:color="000000"/>
              <w:left w:val="single" w:sz="6" w:space="0" w:color="000000"/>
              <w:bottom w:val="single" w:sz="6" w:space="0" w:color="000000"/>
              <w:right w:val="single" w:sz="6" w:space="0" w:color="000000"/>
            </w:tcBorders>
            <w:shd w:val="clear" w:color="auto" w:fill="FFFFFF"/>
            <w:hideMark/>
          </w:tcPr>
          <w:p w14:paraId="3DDC4B76" w14:textId="7C7820AB"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tcBorders>
              <w:top w:val="single" w:sz="6" w:space="0" w:color="000000"/>
              <w:left w:val="single" w:sz="6" w:space="0" w:color="000000"/>
              <w:bottom w:val="single" w:sz="6" w:space="0" w:color="000000"/>
              <w:right w:val="single" w:sz="6" w:space="0" w:color="000000"/>
            </w:tcBorders>
            <w:shd w:val="clear" w:color="auto" w:fill="FFFFFF"/>
            <w:hideMark/>
          </w:tcPr>
          <w:p w14:paraId="4747C56B" w14:textId="64ED420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tcBorders>
              <w:top w:val="single" w:sz="6" w:space="0" w:color="000000"/>
              <w:left w:val="single" w:sz="6" w:space="0" w:color="000000"/>
              <w:bottom w:val="single" w:sz="6" w:space="0" w:color="000000"/>
              <w:right w:val="single" w:sz="6" w:space="0" w:color="000000"/>
            </w:tcBorders>
            <w:shd w:val="clear" w:color="auto" w:fill="FFFFFF"/>
            <w:hideMark/>
          </w:tcPr>
          <w:p w14:paraId="276D7968" w14:textId="4B202DB4"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tcBorders>
              <w:top w:val="single" w:sz="6" w:space="0" w:color="000000"/>
              <w:left w:val="single" w:sz="6" w:space="0" w:color="000000"/>
              <w:bottom w:val="single" w:sz="6" w:space="0" w:color="000000"/>
              <w:right w:val="single" w:sz="6" w:space="0" w:color="000000"/>
            </w:tcBorders>
            <w:shd w:val="clear" w:color="auto" w:fill="FFFFFF"/>
            <w:hideMark/>
          </w:tcPr>
          <w:p w14:paraId="2DD754F6" w14:textId="337B182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503C597B"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F607D90"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33BDF054"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 xml:space="preserve">Над 54 години, които са безработни, включително трайно безработни, или неактивни, неангажирани с </w:t>
            </w:r>
            <w:r w:rsidRPr="007D063B">
              <w:rPr>
                <w:rFonts w:ascii="Times New Roman" w:eastAsia="Times New Roman" w:hAnsi="Times New Roman" w:cs="Times New Roman"/>
                <w:b/>
                <w:bCs/>
                <w:i/>
                <w:iCs/>
                <w:color w:val="000000"/>
                <w:sz w:val="16"/>
                <w:szCs w:val="16"/>
                <w:lang w:eastAsia="bg-BG"/>
              </w:rPr>
              <w:lastRenderedPageBreak/>
              <w:t>образование или обучение</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18B99977" w14:textId="193A0027"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lastRenderedPageBreak/>
              <w:t>По-слабо развити региони</w:t>
            </w:r>
          </w:p>
        </w:tc>
        <w:tc>
          <w:tcPr>
            <w:tcW w:w="198" w:type="pct"/>
            <w:tcBorders>
              <w:top w:val="single" w:sz="6" w:space="0" w:color="000000"/>
              <w:left w:val="single" w:sz="6" w:space="0" w:color="000000"/>
              <w:bottom w:val="single" w:sz="6" w:space="0" w:color="000000"/>
              <w:right w:val="single" w:sz="6" w:space="0" w:color="000000"/>
            </w:tcBorders>
            <w:shd w:val="clear" w:color="auto" w:fill="FFFFFF"/>
            <w:hideMark/>
          </w:tcPr>
          <w:p w14:paraId="234120A1"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tcBorders>
              <w:top w:val="single" w:sz="6" w:space="0" w:color="000000"/>
              <w:left w:val="single" w:sz="6" w:space="0" w:color="000000"/>
              <w:bottom w:val="single" w:sz="6" w:space="0" w:color="000000"/>
              <w:right w:val="single" w:sz="6" w:space="0" w:color="000000"/>
            </w:tcBorders>
            <w:shd w:val="clear" w:color="auto" w:fill="FFFFFF"/>
            <w:hideMark/>
          </w:tcPr>
          <w:p w14:paraId="148D9563"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tcBorders>
              <w:top w:val="single" w:sz="6" w:space="0" w:color="000000"/>
              <w:left w:val="single" w:sz="6" w:space="0" w:color="000000"/>
              <w:bottom w:val="single" w:sz="6" w:space="0" w:color="000000"/>
              <w:right w:val="single" w:sz="6" w:space="0" w:color="000000"/>
            </w:tcBorders>
            <w:shd w:val="clear" w:color="auto" w:fill="FFFFFF"/>
            <w:hideMark/>
          </w:tcPr>
          <w:p w14:paraId="16A8A2BA"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5E77700B" w14:textId="10962C6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271231DC" w14:textId="6C315496"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000F92ED" w14:textId="3B86E60B"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708444F1" w14:textId="41340F0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D55D042" w14:textId="123D870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00233B16" w14:textId="5D72831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629E7CED" w14:textId="6B27B406"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752B8A4E" w14:textId="6D322A4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2265C461" w14:textId="388E1AB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352B8266" w14:textId="3EA3249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61364FA1" w14:textId="13BE727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7B99C5C0" w14:textId="0C3B1ED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55445707" w14:textId="531C155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39CB802F" w14:textId="776BC3FB"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4F016058" w14:textId="7C4A6D6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02D9DE93" w14:textId="4E5477D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7B3C4F44" w14:textId="19854D9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53B9E7CE" w14:textId="29FE6A5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DFE9D3C" w14:textId="2041F581"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tcBorders>
              <w:top w:val="single" w:sz="6" w:space="0" w:color="000000"/>
              <w:left w:val="single" w:sz="6" w:space="0" w:color="000000"/>
              <w:bottom w:val="single" w:sz="6" w:space="0" w:color="000000"/>
              <w:right w:val="single" w:sz="6" w:space="0" w:color="000000"/>
            </w:tcBorders>
            <w:shd w:val="clear" w:color="auto" w:fill="FFFFFF"/>
            <w:hideMark/>
          </w:tcPr>
          <w:p w14:paraId="4BE2C0A4" w14:textId="1D74194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tcBorders>
              <w:top w:val="single" w:sz="6" w:space="0" w:color="000000"/>
              <w:left w:val="single" w:sz="6" w:space="0" w:color="000000"/>
              <w:bottom w:val="single" w:sz="6" w:space="0" w:color="000000"/>
              <w:right w:val="single" w:sz="6" w:space="0" w:color="000000"/>
            </w:tcBorders>
            <w:shd w:val="clear" w:color="auto" w:fill="FFFFFF"/>
            <w:hideMark/>
          </w:tcPr>
          <w:p w14:paraId="5505361C" w14:textId="09FB64B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tcBorders>
              <w:top w:val="single" w:sz="6" w:space="0" w:color="000000"/>
              <w:left w:val="single" w:sz="6" w:space="0" w:color="000000"/>
              <w:bottom w:val="single" w:sz="6" w:space="0" w:color="000000"/>
              <w:right w:val="single" w:sz="6" w:space="0" w:color="000000"/>
            </w:tcBorders>
            <w:shd w:val="clear" w:color="auto" w:fill="FFFFFF"/>
            <w:hideMark/>
          </w:tcPr>
          <w:p w14:paraId="43F9A48B" w14:textId="278A282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tcBorders>
              <w:top w:val="single" w:sz="6" w:space="0" w:color="000000"/>
              <w:left w:val="single" w:sz="6" w:space="0" w:color="000000"/>
              <w:bottom w:val="single" w:sz="6" w:space="0" w:color="000000"/>
              <w:right w:val="single" w:sz="6" w:space="0" w:color="000000"/>
            </w:tcBorders>
            <w:shd w:val="clear" w:color="auto" w:fill="FFFFFF"/>
            <w:hideMark/>
          </w:tcPr>
          <w:p w14:paraId="5B2A3033" w14:textId="7A320B9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tcBorders>
              <w:top w:val="single" w:sz="6" w:space="0" w:color="000000"/>
              <w:left w:val="single" w:sz="6" w:space="0" w:color="000000"/>
              <w:bottom w:val="single" w:sz="6" w:space="0" w:color="000000"/>
              <w:right w:val="single" w:sz="6" w:space="0" w:color="000000"/>
            </w:tcBorders>
            <w:shd w:val="clear" w:color="auto" w:fill="FFFFFF"/>
            <w:hideMark/>
          </w:tcPr>
          <w:p w14:paraId="7C880E35" w14:textId="6124A9D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tcBorders>
              <w:top w:val="single" w:sz="6" w:space="0" w:color="000000"/>
              <w:left w:val="single" w:sz="6" w:space="0" w:color="000000"/>
              <w:bottom w:val="single" w:sz="6" w:space="0" w:color="000000"/>
              <w:right w:val="single" w:sz="6" w:space="0" w:color="000000"/>
            </w:tcBorders>
            <w:shd w:val="clear" w:color="auto" w:fill="FFFFFF"/>
            <w:hideMark/>
          </w:tcPr>
          <w:p w14:paraId="0A9606DC" w14:textId="5694767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tcBorders>
              <w:top w:val="single" w:sz="6" w:space="0" w:color="000000"/>
              <w:left w:val="single" w:sz="6" w:space="0" w:color="000000"/>
              <w:bottom w:val="single" w:sz="6" w:space="0" w:color="000000"/>
              <w:right w:val="single" w:sz="6" w:space="0" w:color="000000"/>
            </w:tcBorders>
            <w:shd w:val="clear" w:color="auto" w:fill="FFFFFF"/>
            <w:hideMark/>
          </w:tcPr>
          <w:p w14:paraId="3891E649" w14:textId="1892B45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6254B33D"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641B128"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11360D79"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С основно образование (ISCED 1) или прогимназиален етап на основното образование (ISCED 2)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1AF8870" w14:textId="4F1E1F89"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6121458"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EA33DC7"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785AB8B"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E12F2CC" w14:textId="0C5437E6"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7F96D54" w14:textId="15F11D7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6E3F499" w14:textId="5E05215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22B7D8F" w14:textId="05DC29A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97C809C" w14:textId="0D1CFE3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85EBA37" w14:textId="2C522E5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51A9CC9" w14:textId="69703F1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8FD8576" w14:textId="1230AD6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0F5F3C8" w14:textId="7079C2D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696196B" w14:textId="0A341A8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75A0EF0" w14:textId="0BE998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4FBEAB3" w14:textId="1B8AB94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F67A2E1" w14:textId="33F31E3B"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5E06104" w14:textId="10DB88D1"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BF690AD" w14:textId="511C631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D18F57F" w14:textId="49112BF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18EC8E7" w14:textId="32CF68D6"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DBE0F80" w14:textId="59F59AA1"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F656336" w14:textId="3E39F7D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F9BF3EC" w14:textId="50E6D04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CE96E64" w14:textId="41D0D1F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23CBB02" w14:textId="6CF3BA5B"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EDF1CE8" w14:textId="5D4123E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064E0AC" w14:textId="51ACBD1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90C1202" w14:textId="6ADFBC0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F1BA34D" w14:textId="243E399B"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3E7835DA"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6D052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7F6B6269"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С основно образование (ISCED 1) или прогимназиален етап на основното образование (ISCED 2)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AB4DA7" w14:textId="77777777"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CEF515"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9CF24E"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50885B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2FE55C2"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22CC7A0"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F2F7EE"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61E1EC9"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C8FCDC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3D5B11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7F8336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D89AA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B3021E"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D650ADE"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85EDBE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275DC0"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445C0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08A504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35A8CE"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6999C7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E151CFD"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B05C484"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50D50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09DFB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CD8255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1DDE8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3EF1CE4"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34189E"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4A12B4E"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073B3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r>
      <w:tr w:rsidR="00E133C6" w:rsidRPr="007D063B" w14:paraId="7F13D485"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4B6C9D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136AB259"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със средно образование (ISCED 3) или образование след средното образование (ISCED 4)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F48C75C" w14:textId="0234C4F5"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6151C1E"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2E482F1"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3801B6F"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4A960E4" w14:textId="0314B87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0F6F66D" w14:textId="4CF59A1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D588725" w14:textId="0525AE5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8455E3A" w14:textId="119F0B3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83C8AFF" w14:textId="67C8CB0B"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5AD2DC2" w14:textId="1D22667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FC12C23" w14:textId="1611C92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0C7318E" w14:textId="435EC684"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4C4CB35" w14:textId="25F29EA1"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CB49A0D" w14:textId="67BC56C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786D0D8" w14:textId="3F5B389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A06CC6E" w14:textId="2997AAB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1DD6943" w14:textId="3A7CF37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61BE5E2" w14:textId="6695E76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74F184C" w14:textId="1FDBA1A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063E591" w14:textId="47D55CD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36AA9DE" w14:textId="5F57371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E037A59" w14:textId="2FE838E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67973DD" w14:textId="7ADCCD5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C5E9C5B" w14:textId="03BD6184"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4A13C4E" w14:textId="1352A45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8934FE1" w14:textId="270A3B1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66C58E2" w14:textId="4E89BEB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59AB065" w14:textId="3D748FB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A6DC172" w14:textId="3BBA5FD6"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FA31972" w14:textId="77FB64F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30634169"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6CCF5A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6FF964A1"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Със средно образование (ISCED 3) или образование след средното образование (ISCED 4)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4D966794" w14:textId="77777777"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10729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0975F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DFFF79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FC990B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C11C1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604C6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5F79A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CB2070"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A82C9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0C2CC9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3041E7"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25D34D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CC070E0"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B6FC44"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FF8B41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20B14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83E37CE"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5EF9E18"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490EAC5"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68B383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F7AB94"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7E4FA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C3132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FC3D78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7302DA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E5386B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647678"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21BED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BA26757"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r>
      <w:tr w:rsidR="00E133C6" w:rsidRPr="007D063B" w14:paraId="630CA9F3"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D1139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71E95567"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С висше образование (ISCED 5 до 8)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F7E509F" w14:textId="025E2C5C"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BE7B582"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32B1C96"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7F47098"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79069B5" w14:textId="6477C84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A343392" w14:textId="624BB68B"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FAB5AC1" w14:textId="0DA6CF6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BC57B8D" w14:textId="536FAB9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221971B" w14:textId="4BC2050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DAEBA34" w14:textId="6D46B10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32A3D19" w14:textId="373A391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676CA9C" w14:textId="4FADDFA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647BD67" w14:textId="5C6A0CD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93A067D" w14:textId="6B7C7C8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217BCCF" w14:textId="21C17B9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3B30B0B" w14:textId="16AF2D2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6BB8787" w14:textId="59639D6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34B316A" w14:textId="5D99BA9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6B39483" w14:textId="6D98856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25539BD" w14:textId="0F42A9F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A94BA76" w14:textId="0B804C9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6C2208C" w14:textId="5406219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0679957" w14:textId="0A44035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1726975" w14:textId="6E41C84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D4498F3" w14:textId="6CACF5D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BAC8E66" w14:textId="156658C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5DFBD05" w14:textId="1267E1F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36313BF" w14:textId="71D86F01"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AF989A9" w14:textId="1727724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222FB3A" w14:textId="5F58C4F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0342F053"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7E0ACD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01546F1C"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С висше образование (ISCED 5 до 8)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1F3729F7" w14:textId="77777777"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251A354"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0F38E24"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A0DB4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807F21D"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E02C2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0A754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E42564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1F5873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51082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B251F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200ACA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ED7197"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2B9AA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1D8C89D"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9527F8"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2B3560"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9AB8D6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5B6C20"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F4FCFB4"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3E0228D"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9A664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6533ABD"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201494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65738E"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D0EAFA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74A84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6916B2"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986F27"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DECDF64"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r>
      <w:tr w:rsidR="00E133C6" w:rsidRPr="007D063B" w14:paraId="48D7BF7C"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0A5055"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38B89EDB"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 xml:space="preserve">Участници, които живеят в безработни домакинства </w:t>
            </w:r>
            <w:r w:rsidRPr="007D063B">
              <w:rPr>
                <w:rFonts w:ascii="Times New Roman" w:eastAsia="Times New Roman" w:hAnsi="Times New Roman" w:cs="Times New Roman"/>
                <w:b/>
                <w:bCs/>
                <w:i/>
                <w:iCs/>
                <w:color w:val="000000"/>
                <w:sz w:val="16"/>
                <w:szCs w:val="16"/>
                <w:lang w:eastAsia="bg-BG"/>
              </w:rPr>
              <w:lastRenderedPageBreak/>
              <w:t>(ЕСФ)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DB2F71A" w14:textId="6B89457E"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lastRenderedPageBreak/>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5BE551E"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1D45457"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9B44B92"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4C40232" w14:textId="425F9C1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E95100E" w14:textId="68F4ACC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795C566" w14:textId="0D94F02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7C2AB81" w14:textId="25CE32A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23A3859" w14:textId="4C03610B"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E9088EB" w14:textId="38AEBFA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9E1905E" w14:textId="282B4FE4"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D6C1653" w14:textId="20A4B93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6A1667D" w14:textId="6A634A1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8E59875" w14:textId="7E1DB0D6"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B16B28B" w14:textId="5415FE3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0CC69DE" w14:textId="6AC5B92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D064EA6" w14:textId="3E5BEF3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60430CF" w14:textId="67F51514"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9D174CE" w14:textId="4036830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37AC334" w14:textId="064D401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79F567D" w14:textId="5CA0940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6C5E6E1" w14:textId="175CFE4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1372E0A" w14:textId="6592F8A6"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CEE097A" w14:textId="5259EDD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2EE70F9" w14:textId="5F07374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070F09F" w14:textId="3655AD1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7CC00BE" w14:textId="0FDECAD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84551F7" w14:textId="0C3BE61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6663B83" w14:textId="70F6C8C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B05CEB5" w14:textId="46829FD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77E50654"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7D9C7B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18CED4BA"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които живеят в безработни домакинства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51C3ADF9" w14:textId="77777777"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AF61175"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0893D7"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1C6CE2"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89E269"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BF947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B037A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54F7F0"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7B870F9"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D308E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00956E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158367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2F06F7"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2B1C5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BEB94B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B61404"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2AB2D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41CF18D"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56B6E3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56FEC1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C17D29"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6EB4DF5"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1A9575"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2E48119"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3395C8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A9F3C3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9D7263D"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E2CB7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0A4CE9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D95D3A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r>
      <w:tr w:rsidR="00E133C6" w:rsidRPr="007D063B" w14:paraId="403B4776"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30B6E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6FE6B062"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които живеят в безработни домакинства с деца на издръжка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0099D56" w14:textId="1C3AD1A6"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BE597EE"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20234F9"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9B6D55F"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6246589" w14:textId="32DFE87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D58371A" w14:textId="52E6295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C469D5C" w14:textId="62CD086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C0FC61D" w14:textId="6EC960A4"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4300B65" w14:textId="22FC6A8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231F8C2" w14:textId="488E86B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22106DD" w14:textId="41FB26C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81124B4" w14:textId="5B0ADA8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4B9CDC2" w14:textId="4A6E8F7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7174013" w14:textId="0E838076"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2020660" w14:textId="65E3DE5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2BB52D0" w14:textId="71D6C27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764C96A" w14:textId="56F04FC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08F9570" w14:textId="5C30CC9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F64D0CA" w14:textId="5724E9F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9AAACD3" w14:textId="3E31466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3B4F384" w14:textId="0367DAA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FEEF921" w14:textId="423C19B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DD82939" w14:textId="16B2CA7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8B25F6C" w14:textId="640EC47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E03ABD8" w14:textId="25933B9B"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DE44FBE" w14:textId="711942E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AD3F070" w14:textId="7128376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FBBA5F1" w14:textId="17899F4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CDA03AA" w14:textId="15B035B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2CB6700" w14:textId="2408AB6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31E07101"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315940"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2939CEDB"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които живеят в безработни домакинства с деца на издръжка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9C182E6" w14:textId="77777777"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FC7752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E5B9C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514B6B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B2B03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01F4C75"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BC4DE80"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989E9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096C6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091CD25"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77D0C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91D91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D42C71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DC6E8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88510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C9A928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0F3217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A580B27"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EB0BC18"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D2CD842"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C71396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B45E64"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95F5B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C009A6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30B709"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EACF0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414211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4582DD"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CBA0B29"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84B0A8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r>
      <w:tr w:rsidR="00E133C6" w:rsidRPr="007D063B" w14:paraId="1F28C507"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5C0C88"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085976BB"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които живеят в едночленно домакинство с деца на издръжка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B2C95AF" w14:textId="7BA48207"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8774BCB"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3A36FE9"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008E3DC"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01A3AD3" w14:textId="1C627C4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94F8A90" w14:textId="0945A661"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B83B551" w14:textId="500C85C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6CFB9B1" w14:textId="0B74A8B1"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A13B044" w14:textId="1ED4037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05DE903" w14:textId="46968B6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DC0D66E" w14:textId="2B49A8B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9EF1898" w14:textId="43DB849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48F7741" w14:textId="577AB9E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EDED201" w14:textId="1A3B727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52B3E96" w14:textId="75A42ADB"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70CF29B" w14:textId="360D00A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6C416A6" w14:textId="2BDEF27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BA5BF56" w14:textId="23098DD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0AA28B3" w14:textId="409412B4"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AE82894" w14:textId="0B9E5EC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7698F88" w14:textId="55A7CF6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7B41F1D" w14:textId="21CBFEE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41A52AE" w14:textId="29FEBA0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0E2D16D" w14:textId="2C32D39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88911F3" w14:textId="34ED15A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D825878" w14:textId="2EE1B5E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C88A81E" w14:textId="240BDF7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1A66D68" w14:textId="711D512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8BFCE79" w14:textId="0CBF6D3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160F1CB" w14:textId="26CE5A76"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6DED3659"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A1B4D92"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047BC471"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които живеят в едночленно домакинство с деца на издръжка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1B2BD3D5" w14:textId="77777777"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B6A4F5E"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873C3C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2B9D0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0335A80"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23B53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ECF61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A8F59D"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AE3898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61F3BA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3F95E9"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66E03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B560C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F4E52E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CEA8D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2FA91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772D6D"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716866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62F65D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36331C4"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F78F04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DA80B2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2C17639"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2E11704"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03CB1A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78D65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C2E28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8792D9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D78820"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8DEDE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r>
      <w:tr w:rsidR="00E133C6" w:rsidRPr="007D063B" w14:paraId="3D3AEBB3"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04AD657"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120D9190"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Мигранти, участници с произход от друга държава, малцинства (включително маргинализирани общности като ромите)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D95FF81" w14:textId="5571152B"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E77C88F"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45607D8"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377A08A"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F56BB61" w14:textId="0664D641"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D5F4BC8" w14:textId="657C37A1"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BEB25CD" w14:textId="696F084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71603C2" w14:textId="639DA8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29B24F5" w14:textId="186FDD9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4E5B208" w14:textId="1693DF04"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AEBAD62" w14:textId="1A143CA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E673F39" w14:textId="1566E31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9F15782" w14:textId="2723248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AB6DBFB" w14:textId="0A3D1ED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4223082" w14:textId="65D5091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EABBCAD" w14:textId="38CB12F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D71FD55" w14:textId="61A39CD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9108077" w14:textId="5CC4E1C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91D463A" w14:textId="0815C0C6"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31BCF40" w14:textId="4591119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CEA9C39" w14:textId="695DC23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F78059B" w14:textId="4CF1E1A6"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A7BEF69" w14:textId="766A735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F9C82C3" w14:textId="6CD6FEB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25130BC" w14:textId="0EF65194"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FC75120" w14:textId="7687D64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C7FEE46" w14:textId="54354986"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2E4CF5F" w14:textId="6E45E43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EF41E1D" w14:textId="0A510AC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6343DFD" w14:textId="6216D38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33CAD4A0"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871153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45486528"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 xml:space="preserve">Мигранти, участници с произход от друга държава, </w:t>
            </w:r>
            <w:r w:rsidRPr="007D063B">
              <w:rPr>
                <w:rFonts w:ascii="Times New Roman" w:eastAsia="Times New Roman" w:hAnsi="Times New Roman" w:cs="Times New Roman"/>
                <w:b/>
                <w:bCs/>
                <w:i/>
                <w:iCs/>
                <w:color w:val="000000"/>
                <w:sz w:val="16"/>
                <w:szCs w:val="16"/>
                <w:lang w:eastAsia="bg-BG"/>
              </w:rPr>
              <w:lastRenderedPageBreak/>
              <w:t>малцинства (включително маргинализирани общности като ромите)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055D7884" w14:textId="77777777"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E51048"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AE7A1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B8DA4D5"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F9643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187180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6B0BFC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B9C78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2758A9"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7811918"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AC956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DED12B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F314ED"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A768EE8"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15526B5"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ABAD214"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C1A51C8"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C0640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7CB7DC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4A4E51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4F5FDE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C1B1AB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DD433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16943B2"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56B08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BFBD22"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CC7913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F1B29A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1A8FE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0EE09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r>
      <w:tr w:rsidR="00E133C6" w:rsidRPr="007D063B" w14:paraId="19579546"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4BDAF7"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041BEB3C"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с увреждания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E1C046F" w14:textId="20BE939A"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3E2F389"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4A5A71C"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208BCEF"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444D58C" w14:textId="1AA45CE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FC12298" w14:textId="2E8DD8D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F58E6AD" w14:textId="12C4D42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096634D" w14:textId="240A9A8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46C3C64" w14:textId="41DF600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755A3BF" w14:textId="31743354"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B777A93" w14:textId="0F8A2A94"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1A64F57" w14:textId="42901F6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43E92D9" w14:textId="2E1239CB"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F946B4A" w14:textId="0C3FE62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BE4FBA0" w14:textId="0A6C617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A96322C" w14:textId="7AE41E7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F0F7E01" w14:textId="1C72C92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061B2CB" w14:textId="7A9C917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F150C0F" w14:textId="6386A04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57C6E06" w14:textId="3EBFE0C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195961A" w14:textId="621EADA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2AC2695" w14:textId="4DF8891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150F261" w14:textId="52B09571"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96F3B51" w14:textId="5B61F89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B438896" w14:textId="588A082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8DBCD7E" w14:textId="1B5275C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3671CEF" w14:textId="457CC31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5CDE592" w14:textId="4A314A7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6ED0FB2" w14:textId="6001C68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F7FEA97" w14:textId="3F2A6EC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2256FD6B"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065FFE"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1F9D6AA4"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с увреждания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10E779" w14:textId="77777777"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48CFB4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F8FAE7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254B32"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FC2A4F0"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93E7AF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00C95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383C55"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6F7825"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61199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D201404"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2ACCCF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3F448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8356029"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2B6F2A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F884192"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484165"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01CB35"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3DD927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497DE8"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700578"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8EC4C7"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01FED9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3EBB2B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43515E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39590C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DF66E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47A77A5"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4CA75E"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BDA45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r>
      <w:tr w:rsidR="00E133C6" w:rsidRPr="007D063B" w14:paraId="464CF797"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E44BAD9"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2DC113E4"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Други хора в неравностойно положение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324CB72" w14:textId="59E8AF8B"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59DC868"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11DF826"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5C5B6C0"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D00C1A3" w14:textId="42679776"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111548B" w14:textId="1B2A54C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0E53987" w14:textId="4203E22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4DCD281" w14:textId="2A0826B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68445E7" w14:textId="51E1F33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B7A7ABF" w14:textId="643D16D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4C3C455" w14:textId="175B2D31"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54FCDA4" w14:textId="1FE1764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190E179" w14:textId="2782AA6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E26B114" w14:textId="5AD0F961"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D64291A" w14:textId="1DFBD9A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689A64F" w14:textId="61D9A63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9BDF2B4" w14:textId="75CAA84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7149A3C" w14:textId="7AA6A83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C6DEE80" w14:textId="66916DD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0638455" w14:textId="74300C8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4D89702" w14:textId="725C6F3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425F14E" w14:textId="5F22FC86"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EA72569" w14:textId="5C3E8A6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D531272" w14:textId="6650769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6F78F6E" w14:textId="37E1A11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2465E15" w14:textId="5E55DA0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0940D7E" w14:textId="1E99CB4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AD667A7" w14:textId="4EA34CE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E533314" w14:textId="69C8FDF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8DB760E" w14:textId="5EC50A8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416901A4"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C3230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0623FF8B"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Други хора в неравностойно положение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2E0F20DC" w14:textId="77777777"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6C5597"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1C482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0084F1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9CF003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5493119"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ED7F79"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940144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A57DBE2"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79B6E5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0E5594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9E9F75"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581AD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00B04BE"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1C1EE4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DEDA02"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B5E4BD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B8FDA55"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8B7D250"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F0BFC0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9D0CF38"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AA6B0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6D9345A"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5BA32BE"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3978E5"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DFA2D0"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475D33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33B92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53939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50FF8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r>
      <w:tr w:rsidR="00E133C6" w:rsidRPr="007D063B" w14:paraId="5808B1D1"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470D19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27263021"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Бездомни или засегнати от изключване от жилищно настаняване</w:t>
            </w:r>
            <w:r w:rsidRPr="007D063B">
              <w:rPr>
                <w:rFonts w:ascii="Times New Roman" w:eastAsia="Times New Roman" w:hAnsi="Times New Roman" w:cs="Times New Roman"/>
                <w:b/>
                <w:bCs/>
                <w:color w:val="000000"/>
                <w:sz w:val="16"/>
                <w:szCs w:val="16"/>
                <w:lang w:eastAsia="bg-BG"/>
              </w:rPr>
              <w:t> </w:t>
            </w:r>
            <w:hyperlink r:id="rId16" w:anchor="ntr14-L_2015038BG.01007201-E0014" w:history="1">
              <w:r w:rsidRPr="007D063B">
                <w:rPr>
                  <w:rFonts w:ascii="Times New Roman" w:eastAsia="Times New Roman" w:hAnsi="Times New Roman" w:cs="Times New Roman"/>
                  <w:color w:val="0000FF"/>
                  <w:sz w:val="16"/>
                  <w:szCs w:val="16"/>
                  <w:u w:val="single"/>
                  <w:lang w:eastAsia="bg-BG"/>
                </w:rPr>
                <w:t> (</w:t>
              </w:r>
              <w:r w:rsidRPr="007D063B">
                <w:rPr>
                  <w:rFonts w:ascii="Times New Roman" w:eastAsia="Times New Roman" w:hAnsi="Times New Roman" w:cs="Times New Roman"/>
                  <w:color w:val="0000FF"/>
                  <w:sz w:val="16"/>
                  <w:szCs w:val="16"/>
                  <w:u w:val="single"/>
                  <w:vertAlign w:val="superscript"/>
                  <w:lang w:eastAsia="bg-BG"/>
                </w:rPr>
                <w:t>14</w:t>
              </w:r>
              <w:r w:rsidRPr="007D063B">
                <w:rPr>
                  <w:rFonts w:ascii="Times New Roman" w:eastAsia="Times New Roman" w:hAnsi="Times New Roman" w:cs="Times New Roman"/>
                  <w:color w:val="0000FF"/>
                  <w:sz w:val="16"/>
                  <w:szCs w:val="16"/>
                  <w:u w:val="single"/>
                  <w:lang w:eastAsia="bg-BG"/>
                </w:rPr>
                <w:t>)</w:t>
              </w:r>
            </w:hyperlink>
            <w:r w:rsidRPr="007D063B">
              <w:rPr>
                <w:rFonts w:ascii="Times New Roman" w:eastAsia="Times New Roman" w:hAnsi="Times New Roman" w:cs="Times New Roman"/>
                <w:b/>
                <w:bCs/>
                <w:i/>
                <w:iCs/>
                <w:color w:val="000000"/>
                <w:sz w:val="16"/>
                <w:szCs w:val="16"/>
                <w:lang w:eastAsia="bg-BG"/>
              </w:rPr>
              <w:t>(ЕСФ)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F112F89" w14:textId="4832F181"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1599AE5"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5983468"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B1F653A"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E7B4E31" w14:textId="65EEF32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B738BD6" w14:textId="1AF4328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AC86902" w14:textId="2542764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5714A84" w14:textId="01C12FF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6448D28" w14:textId="16A2325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EE82440" w14:textId="6771ED3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AC39A98" w14:textId="47DB8B6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D0E8FE8" w14:textId="4C7FF7F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2B3BD8E" w14:textId="64596B44"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47BB73F" w14:textId="5574FF0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931AA61" w14:textId="0469460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1621172" w14:textId="55B140A1"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A4423D2" w14:textId="0C094D8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31F0E39" w14:textId="5BEF5914"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9717FDE" w14:textId="083940D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2433559" w14:textId="1779332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7627F08" w14:textId="1FAC17B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8B03EBC" w14:textId="28178CD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C636A45" w14:textId="2A8221F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CF0A6D7" w14:textId="5D5ECE9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73D74C6" w14:textId="19291F8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BB5B4A3" w14:textId="0D185E5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4DF897D" w14:textId="7AE86A5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EAA43B2" w14:textId="6567CEBB"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4F3E1D9" w14:textId="5A72D936"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B2C2809" w14:textId="0303E16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1B16B17B"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9A82E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229BD76B"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Бездомни или засегнати от изключване от жилищно настаняване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4FA3EA01" w14:textId="77777777"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5502CD"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E59558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32FAD4"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CD684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D27A1F9"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47DB04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E0D0C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FB5A66D"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6BE786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41E6C07"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23032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3C313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038696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F30D2F7"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19FDD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32BD41E"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7532A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2241905"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E086B8"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9D19A2"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AED560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E0B611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599129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C6BE7A7"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2A2CA9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438D74"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96594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EEB02B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8D3A967"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r>
      <w:tr w:rsidR="00E133C6" w:rsidRPr="007D063B" w14:paraId="1A233027"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A3861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2C5BE1FF"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Лица, които живеят в селските райони</w:t>
            </w:r>
            <w:hyperlink r:id="rId17" w:anchor="ntr14-L_2015038BG.01007201-E0014" w:history="1">
              <w:r w:rsidRPr="007D063B">
                <w:rPr>
                  <w:rFonts w:ascii="Times New Roman" w:eastAsia="Times New Roman" w:hAnsi="Times New Roman" w:cs="Times New Roman"/>
                  <w:color w:val="0000FF"/>
                  <w:sz w:val="16"/>
                  <w:szCs w:val="16"/>
                  <w:u w:val="single"/>
                  <w:lang w:eastAsia="bg-BG"/>
                </w:rPr>
                <w:t> (</w:t>
              </w:r>
              <w:r w:rsidRPr="007D063B">
                <w:rPr>
                  <w:rFonts w:ascii="Times New Roman" w:eastAsia="Times New Roman" w:hAnsi="Times New Roman" w:cs="Times New Roman"/>
                  <w:color w:val="0000FF"/>
                  <w:sz w:val="16"/>
                  <w:szCs w:val="16"/>
                  <w:u w:val="single"/>
                  <w:vertAlign w:val="superscript"/>
                  <w:lang w:eastAsia="bg-BG"/>
                </w:rPr>
                <w:t>14</w:t>
              </w:r>
              <w:r w:rsidRPr="007D063B">
                <w:rPr>
                  <w:rFonts w:ascii="Times New Roman" w:eastAsia="Times New Roman" w:hAnsi="Times New Roman" w:cs="Times New Roman"/>
                  <w:color w:val="0000FF"/>
                  <w:sz w:val="16"/>
                  <w:szCs w:val="16"/>
                  <w:u w:val="single"/>
                  <w:lang w:eastAsia="bg-BG"/>
                </w:rPr>
                <w:t>)</w:t>
              </w:r>
            </w:hyperlink>
            <w:r w:rsidRPr="007D063B">
              <w:rPr>
                <w:rFonts w:ascii="Times New Roman" w:eastAsia="Times New Roman" w:hAnsi="Times New Roman" w:cs="Times New Roman"/>
                <w:color w:val="000000"/>
                <w:sz w:val="16"/>
                <w:szCs w:val="16"/>
                <w:lang w:eastAsia="bg-BG"/>
              </w:rPr>
              <w:t> </w:t>
            </w:r>
            <w:r w:rsidRPr="007D063B">
              <w:rPr>
                <w:rFonts w:ascii="Times New Roman" w:eastAsia="Times New Roman" w:hAnsi="Times New Roman" w:cs="Times New Roman"/>
                <w:b/>
                <w:bCs/>
                <w:i/>
                <w:iCs/>
                <w:color w:val="000000"/>
                <w:sz w:val="16"/>
                <w:szCs w:val="16"/>
                <w:lang w:eastAsia="bg-BG"/>
              </w:rPr>
              <w:t>(ЕСФ)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BF9AB9B" w14:textId="46EC199E"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4394D73"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55CFD15"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B65F356"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134E283" w14:textId="59AA296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4E2A53D" w14:textId="7002F4D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5E9F358" w14:textId="3C788EB6"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B295D2C" w14:textId="7807C071"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CE83188" w14:textId="18A697B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2C1125D" w14:textId="4A16686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3EA391A" w14:textId="772BCD8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B9D6094" w14:textId="66780A2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F8EE835" w14:textId="262A8C3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86EF5F2" w14:textId="4951816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3DE23B2" w14:textId="56DE3671"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C0C5B40" w14:textId="25DB67B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1157C31" w14:textId="6D26A91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04A4AC1" w14:textId="7F3136A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D22979F" w14:textId="1E0BD04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31F6982" w14:textId="46424BF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71F6349" w14:textId="786965E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A30D72A" w14:textId="7E78001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EBB4976" w14:textId="5CA8B88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1FE2096" w14:textId="4FBC70E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D3509E9" w14:textId="0B4447E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6CA0D61" w14:textId="4143E4D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07024FF" w14:textId="64AFF61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9480D8C" w14:textId="6A9FA86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C3C9592" w14:textId="0A0B63E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B42BB96" w14:textId="7203BC5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3EAF2E4F"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2FB06A8"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033B479B"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Лица, които живеят в селските райони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1436C05B" w14:textId="77777777"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7E1BA3"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7F6E5A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5D4FC4E"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DFFE7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3336E2"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CD79C2"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C4D267"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BC8ABD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74F24D"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8071B4"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396D870"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CFA168E"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140259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4EE1FA9"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E419D7D"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43B16E"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DFAADE4"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4EDD102"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277F0A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57EF9D"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E9035AC"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67E6F2"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139547"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8528395"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8ECD36"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63618B"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CA1CB91"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0B4ABF"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3F6FC2"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r>
      <w:tr w:rsidR="00DC0CD3" w:rsidRPr="007D063B" w14:paraId="2ABFA644"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1905574"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792B2B4A"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 xml:space="preserve">Брой проекти, изцяло или частично изпълнявани от социални партньори или </w:t>
            </w:r>
            <w:r w:rsidRPr="007D063B">
              <w:rPr>
                <w:rFonts w:ascii="Times New Roman" w:eastAsia="Times New Roman" w:hAnsi="Times New Roman" w:cs="Times New Roman"/>
                <w:b/>
                <w:bCs/>
                <w:i/>
                <w:iCs/>
                <w:color w:val="000000"/>
                <w:sz w:val="16"/>
                <w:szCs w:val="16"/>
                <w:lang w:eastAsia="bg-BG"/>
              </w:rPr>
              <w:lastRenderedPageBreak/>
              <w:t>НПО</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0828A228" w14:textId="145DAE14"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lastRenderedPageBreak/>
              <w:t>По-слабо развити региони</w:t>
            </w:r>
          </w:p>
        </w:tc>
        <w:tc>
          <w:tcPr>
            <w:tcW w:w="41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9E19E24" w14:textId="58AFD7A3" w:rsidR="00DC0CD3" w:rsidRPr="007D063B" w:rsidRDefault="00DC0CD3" w:rsidP="00826B35">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F7C9B19" w14:textId="766714E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A570DFB" w14:textId="784D1DB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8C058C9" w14:textId="5D89BDC6" w:rsidR="00DC0CD3" w:rsidRPr="007D063B" w:rsidRDefault="00060879"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1</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61AE17F"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049B41C"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68F4A19"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21A7633"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C3577F1"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A47243B"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3645B072"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tcBorders>
              <w:top w:val="single" w:sz="6" w:space="0" w:color="000000"/>
              <w:left w:val="single" w:sz="6" w:space="0" w:color="000000"/>
              <w:bottom w:val="single" w:sz="6" w:space="0" w:color="000000"/>
              <w:right w:val="single" w:sz="6" w:space="0" w:color="000000"/>
            </w:tcBorders>
            <w:shd w:val="clear" w:color="auto" w:fill="FFFFFF"/>
            <w:hideMark/>
          </w:tcPr>
          <w:p w14:paraId="2A8EC40E"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204213B" w14:textId="084235F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826B35" w:rsidRPr="007D063B">
              <w:rPr>
                <w:rFonts w:ascii="Times New Roman" w:eastAsia="Times New Roman" w:hAnsi="Times New Roman" w:cs="Times New Roman"/>
                <w:color w:val="000000"/>
                <w:sz w:val="24"/>
                <w:szCs w:val="24"/>
                <w:lang w:eastAsia="bg-BG"/>
              </w:rPr>
              <w:t>1</w:t>
            </w:r>
          </w:p>
        </w:tc>
        <w:tc>
          <w:tcPr>
            <w:tcW w:w="403"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37BAD99" w14:textId="6F1D00D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r>
      <w:tr w:rsidR="00DC0CD3" w:rsidRPr="007D063B" w14:paraId="28BEAA2D"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5A56D2"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45C18124"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Брой проекти, посветени на трайното участие и напредъка на жените в заетостта</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2B842D87" w14:textId="68EBDF99"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41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8D359A8"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F232BB1" w14:textId="558737AB"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34FFED6" w14:textId="46B56C0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EF05A44" w14:textId="38FF20F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5C3CCBA" w14:textId="63C0BB61"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391D63D" w14:textId="73E15A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CD48D66" w14:textId="27588C74"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1412E1D" w14:textId="0B11167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C92E0E2" w14:textId="29984C7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9CA097B" w14:textId="52B96A2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6DA832F" w14:textId="2E29877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tcBorders>
              <w:top w:val="single" w:sz="6" w:space="0" w:color="000000"/>
              <w:left w:val="single" w:sz="6" w:space="0" w:color="000000"/>
              <w:bottom w:val="single" w:sz="6" w:space="0" w:color="000000"/>
              <w:right w:val="single" w:sz="6" w:space="0" w:color="000000"/>
            </w:tcBorders>
            <w:shd w:val="clear" w:color="auto" w:fill="FFFFFF"/>
            <w:hideMark/>
          </w:tcPr>
          <w:p w14:paraId="57E77133" w14:textId="0A3E0C3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4EE842C" w14:textId="09684240"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03"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D51733D" w14:textId="2EA163D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r>
      <w:tr w:rsidR="00DC0CD3" w:rsidRPr="007D063B" w14:paraId="6720650A"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59350F9"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6F962504"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Брой проекти, насочени към публичните администрации или публичните услуги на национално, регионално или местно равнище</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6E16EC02" w14:textId="3BEDE279"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41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068F5C0"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5A88550" w14:textId="2970E1A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D0F419B" w14:textId="007F6E4C"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D549C9F" w14:textId="0FCE7E8F" w:rsidR="00DC0CD3" w:rsidRPr="007D063B" w:rsidRDefault="00826B35"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4</w:t>
            </w:r>
            <w:r w:rsidR="00DC0CD3"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20933EA"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6195BAB"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5DE89CA"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558CC9F"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AAEB91D"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C008712"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5B4A88FE"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tcBorders>
              <w:top w:val="single" w:sz="6" w:space="0" w:color="000000"/>
              <w:left w:val="single" w:sz="6" w:space="0" w:color="000000"/>
              <w:bottom w:val="single" w:sz="6" w:space="0" w:color="000000"/>
              <w:right w:val="single" w:sz="6" w:space="0" w:color="000000"/>
            </w:tcBorders>
            <w:shd w:val="clear" w:color="auto" w:fill="FFFFFF"/>
            <w:hideMark/>
          </w:tcPr>
          <w:p w14:paraId="55764EBD"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6B79A07" w14:textId="7FD9E151"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826B35" w:rsidRPr="007D063B">
              <w:rPr>
                <w:rFonts w:ascii="Times New Roman" w:eastAsia="Times New Roman" w:hAnsi="Times New Roman" w:cs="Times New Roman"/>
                <w:color w:val="000000"/>
                <w:sz w:val="24"/>
                <w:szCs w:val="24"/>
                <w:lang w:eastAsia="bg-BG"/>
              </w:rPr>
              <w:t>4</w:t>
            </w:r>
          </w:p>
        </w:tc>
        <w:tc>
          <w:tcPr>
            <w:tcW w:w="403"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C9CD190" w14:textId="64A5CCC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r>
      <w:tr w:rsidR="00DC0CD3" w:rsidRPr="007D063B" w14:paraId="58BA9530" w14:textId="77777777" w:rsidTr="00DC0CD3">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D127C4" w14:textId="77777777" w:rsidR="00DC0CD3" w:rsidRPr="007D063B" w:rsidRDefault="00DC0CD3" w:rsidP="00DC0CD3">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52EF8310"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Брой на микро-, малките и средните подкрепени предприятия, (включително кооперативните предприятия и предприятията на социалната икономика)</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4983D620" w14:textId="30161965" w:rsidR="00DC0CD3" w:rsidRPr="007D063B" w:rsidRDefault="00DC0CD3" w:rsidP="00DC0CD3">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41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1BA773E"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97D7BC3" w14:textId="7FC24CA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E01B371" w14:textId="47AF047B"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24DDA74" w14:textId="204BB00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FC27D45" w14:textId="559118B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34C6D79" w14:textId="3A6E6DA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61097A5" w14:textId="3971E14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59662DF" w14:textId="60DC6EC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55BB4E4" w14:textId="0392D084"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A376B4A" w14:textId="325613F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6B1BD544" w14:textId="2B48FDE4"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tcBorders>
              <w:top w:val="single" w:sz="6" w:space="0" w:color="000000"/>
              <w:left w:val="single" w:sz="6" w:space="0" w:color="000000"/>
              <w:bottom w:val="single" w:sz="6" w:space="0" w:color="000000"/>
              <w:right w:val="single" w:sz="6" w:space="0" w:color="000000"/>
            </w:tcBorders>
            <w:shd w:val="clear" w:color="auto" w:fill="FFFFFF"/>
            <w:hideMark/>
          </w:tcPr>
          <w:p w14:paraId="25D17450" w14:textId="2A40E3C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F67D609" w14:textId="166F1BD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03"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D8B0137" w14:textId="12AC27F4"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r>
      <w:tr w:rsidR="00DC0CD3" w:rsidRPr="007D063B" w14:paraId="25326F6F" w14:textId="77777777" w:rsidTr="00DC0CD3">
        <w:trPr>
          <w:tblCellSpacing w:w="0" w:type="dxa"/>
        </w:trPr>
        <w:tc>
          <w:tcPr>
            <w:tcW w:w="959"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8FA362C" w14:textId="77777777" w:rsidR="00DC0CD3" w:rsidRPr="007D063B" w:rsidRDefault="00DC0CD3" w:rsidP="00DC0CD3">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Общ брой на участниците</w:t>
            </w:r>
            <w:r w:rsidRPr="007D063B">
              <w:rPr>
                <w:rFonts w:ascii="Times New Roman" w:eastAsia="Times New Roman" w:hAnsi="Times New Roman" w:cs="Times New Roman"/>
                <w:b/>
                <w:bCs/>
                <w:color w:val="000000"/>
                <w:sz w:val="16"/>
                <w:szCs w:val="16"/>
                <w:lang w:eastAsia="bg-BG"/>
              </w:rPr>
              <w:t> </w:t>
            </w:r>
            <w:hyperlink r:id="rId18" w:anchor="ntr15-L_2015038BG.01007201-E0015" w:history="1">
              <w:r w:rsidRPr="007D063B">
                <w:rPr>
                  <w:rFonts w:ascii="Times New Roman" w:eastAsia="Times New Roman" w:hAnsi="Times New Roman" w:cs="Times New Roman"/>
                  <w:color w:val="0000FF"/>
                  <w:sz w:val="16"/>
                  <w:szCs w:val="16"/>
                  <w:u w:val="single"/>
                  <w:lang w:eastAsia="bg-BG"/>
                </w:rPr>
                <w:t> (</w:t>
              </w:r>
              <w:r w:rsidRPr="007D063B">
                <w:rPr>
                  <w:rFonts w:ascii="Times New Roman" w:eastAsia="Times New Roman" w:hAnsi="Times New Roman" w:cs="Times New Roman"/>
                  <w:color w:val="0000FF"/>
                  <w:sz w:val="16"/>
                  <w:szCs w:val="16"/>
                  <w:u w:val="single"/>
                  <w:vertAlign w:val="superscript"/>
                  <w:lang w:eastAsia="bg-BG"/>
                </w:rPr>
                <w:t>15</w:t>
              </w:r>
              <w:r w:rsidRPr="007D063B">
                <w:rPr>
                  <w:rFonts w:ascii="Times New Roman" w:eastAsia="Times New Roman" w:hAnsi="Times New Roman" w:cs="Times New Roman"/>
                  <w:color w:val="0000FF"/>
                  <w:sz w:val="16"/>
                  <w:szCs w:val="16"/>
                  <w:u w:val="single"/>
                  <w:lang w:eastAsia="bg-BG"/>
                </w:rPr>
                <w:t>)</w:t>
              </w:r>
            </w:hyperlink>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01FCE066" w14:textId="5AD8FE92" w:rsidR="00DC0CD3" w:rsidRPr="007D063B" w:rsidRDefault="00DC0CD3" w:rsidP="00DC0CD3">
            <w:pPr>
              <w:spacing w:before="60" w:after="60" w:line="240" w:lineRule="auto"/>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41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D395530" w14:textId="7777777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B85EBC0" w14:textId="3F8CCD92"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BB2295F" w14:textId="71856C57"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CEA0ED5" w14:textId="269A485B"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A47DBBF" w14:textId="4A8110A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1C5E41C" w14:textId="5469198E"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FCCE914" w14:textId="5F064795"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316751D" w14:textId="0EF507A8"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F97B2FF" w14:textId="69337A6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9BADC32" w14:textId="76EC3229"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009E31E0" w14:textId="5E4D402F"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tcBorders>
              <w:top w:val="single" w:sz="6" w:space="0" w:color="000000"/>
              <w:left w:val="single" w:sz="6" w:space="0" w:color="000000"/>
              <w:bottom w:val="single" w:sz="6" w:space="0" w:color="000000"/>
              <w:right w:val="single" w:sz="6" w:space="0" w:color="000000"/>
            </w:tcBorders>
            <w:shd w:val="clear" w:color="auto" w:fill="FFFFFF"/>
            <w:hideMark/>
          </w:tcPr>
          <w:p w14:paraId="4FEC0B55" w14:textId="54A43D7D"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D7B951F" w14:textId="3BD7CC43"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03"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9149203" w14:textId="243FF04A" w:rsidR="00DC0CD3" w:rsidRPr="007D063B" w:rsidRDefault="00DC0CD3" w:rsidP="00DC0CD3">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r>
    </w:tbl>
    <w:p w14:paraId="1AE9AFFF" w14:textId="77777777" w:rsidR="009C6F83" w:rsidRPr="007D063B" w:rsidRDefault="009C6F83" w:rsidP="009C6F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bg-BG"/>
        </w:rPr>
      </w:pPr>
    </w:p>
    <w:p w14:paraId="7F77E86A" w14:textId="77777777" w:rsidR="00CA2A1D" w:rsidRPr="007D063B" w:rsidRDefault="00CA2A1D">
      <w:pPr>
        <w:rPr>
          <w:rFonts w:ascii="inherit" w:eastAsia="Times New Roman" w:hAnsi="inherit" w:cs="Times New Roman"/>
          <w:i/>
          <w:iCs/>
          <w:color w:val="000000"/>
          <w:sz w:val="24"/>
          <w:szCs w:val="24"/>
          <w:lang w:eastAsia="bg-BG"/>
        </w:rPr>
      </w:pPr>
      <w:r w:rsidRPr="007D063B">
        <w:rPr>
          <w:rFonts w:ascii="inherit" w:eastAsia="Times New Roman" w:hAnsi="inherit" w:cs="Times New Roman"/>
          <w:i/>
          <w:iCs/>
          <w:color w:val="000000"/>
          <w:sz w:val="24"/>
          <w:szCs w:val="24"/>
          <w:lang w:eastAsia="bg-BG"/>
        </w:rPr>
        <w:br w:type="page"/>
      </w:r>
    </w:p>
    <w:p w14:paraId="121185BB" w14:textId="0B84C4A0" w:rsidR="009C6F83" w:rsidRPr="007D063B" w:rsidRDefault="009C6F83" w:rsidP="00A51047">
      <w:pPr>
        <w:pStyle w:val="Heading3"/>
        <w:jc w:val="center"/>
        <w:rPr>
          <w:rFonts w:ascii="Times New Roman" w:eastAsia="Times New Roman" w:hAnsi="Times New Roman" w:cs="Times New Roman"/>
          <w:color w:val="000000"/>
          <w:lang w:eastAsia="bg-BG"/>
        </w:rPr>
      </w:pPr>
      <w:bookmarkStart w:id="8" w:name="_Toc481594269"/>
      <w:r w:rsidRPr="007D063B">
        <w:rPr>
          <w:rFonts w:ascii="inherit" w:eastAsia="Times New Roman" w:hAnsi="inherit" w:cs="Times New Roman"/>
          <w:i/>
          <w:iCs/>
          <w:color w:val="000000"/>
          <w:lang w:eastAsia="bg-BG"/>
        </w:rPr>
        <w:lastRenderedPageBreak/>
        <w:t>Таблица 4Б</w:t>
      </w:r>
      <w:bookmarkEnd w:id="8"/>
    </w:p>
    <w:p w14:paraId="45442456" w14:textId="77777777" w:rsidR="009C6F83" w:rsidRPr="007D063B" w:rsidRDefault="009C6F83" w:rsidP="009C6F83">
      <w:pPr>
        <w:shd w:val="clear" w:color="auto" w:fill="FFFFFF"/>
        <w:spacing w:before="120" w:after="120" w:line="240" w:lineRule="auto"/>
        <w:jc w:val="center"/>
        <w:rPr>
          <w:rFonts w:ascii="Times New Roman" w:eastAsia="Times New Roman" w:hAnsi="Times New Roman" w:cs="Times New Roman"/>
          <w:color w:val="000000"/>
          <w:sz w:val="24"/>
          <w:szCs w:val="24"/>
          <w:lang w:eastAsia="bg-BG"/>
        </w:rPr>
      </w:pPr>
      <w:r w:rsidRPr="007D063B">
        <w:rPr>
          <w:rFonts w:ascii="inherit" w:eastAsia="Times New Roman" w:hAnsi="inherit" w:cs="Times New Roman"/>
          <w:b/>
          <w:bCs/>
          <w:color w:val="000000"/>
          <w:sz w:val="24"/>
          <w:szCs w:val="24"/>
          <w:lang w:eastAsia="bg-BG"/>
        </w:rPr>
        <w:t>Общи специфични за програмата показатели за изпълнение за ЕСФ (по приоритетна ос, инвестиционен приоритет, категория регион; прилага се също така и за приоритетните оси за техническа помощ.) За инициативата за младежка заетост, за всяка приоритетна ос или част от нея не се изисква разделение по категория региони</w:t>
      </w:r>
      <w:r w:rsidRPr="007D063B">
        <w:rPr>
          <w:rFonts w:ascii="Times New Roman" w:eastAsia="Times New Roman" w:hAnsi="Times New Roman" w:cs="Times New Roman"/>
          <w:color w:val="000000"/>
          <w:sz w:val="24"/>
          <w:szCs w:val="24"/>
          <w:lang w:eastAsia="bg-BG"/>
        </w:rPr>
        <w:t> </w:t>
      </w:r>
      <w:hyperlink r:id="rId19" w:anchor="ntr16-L_2015038BG.01007201-E0016" w:history="1">
        <w:r w:rsidRPr="007D063B">
          <w:rPr>
            <w:rFonts w:ascii="inherit" w:eastAsia="Times New Roman" w:hAnsi="inherit" w:cs="Times New Roman"/>
            <w:color w:val="0000FF"/>
            <w:sz w:val="24"/>
            <w:szCs w:val="24"/>
            <w:u w:val="single"/>
            <w:lang w:eastAsia="bg-BG"/>
          </w:rPr>
          <w:t> (</w:t>
        </w:r>
        <w:r w:rsidRPr="007D063B">
          <w:rPr>
            <w:rFonts w:ascii="inherit" w:eastAsia="Times New Roman" w:hAnsi="inherit" w:cs="Times New Roman"/>
            <w:color w:val="0000FF"/>
            <w:sz w:val="17"/>
            <w:szCs w:val="17"/>
            <w:u w:val="single"/>
            <w:vertAlign w:val="superscript"/>
            <w:lang w:eastAsia="bg-BG"/>
          </w:rPr>
          <w:t>16</w:t>
        </w:r>
        <w:r w:rsidRPr="007D063B">
          <w:rPr>
            <w:rFonts w:ascii="inherit" w:eastAsia="Times New Roman" w:hAnsi="inherit" w:cs="Times New Roman"/>
            <w:color w:val="0000FF"/>
            <w:sz w:val="24"/>
            <w:szCs w:val="24"/>
            <w:u w:val="single"/>
            <w:lang w:eastAsia="bg-BG"/>
          </w:rPr>
          <w:t>)</w:t>
        </w:r>
      </w:hyperlink>
    </w:p>
    <w:p w14:paraId="6232C311" w14:textId="77777777" w:rsidR="009C6F83" w:rsidRPr="007D063B" w:rsidRDefault="009C6F83" w:rsidP="009C6F83">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Инвестиционен приоритет:</w:t>
      </w:r>
    </w:p>
    <w:p w14:paraId="50725C7C" w14:textId="77777777" w:rsidR="009C6F83" w:rsidRPr="007D063B" w:rsidRDefault="009C6F83" w:rsidP="009C6F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en-US" w:eastAsia="bg-BG"/>
        </w:rPr>
      </w:pPr>
    </w:p>
    <w:tbl>
      <w:tblPr>
        <w:tblW w:w="5014" w:type="pct"/>
        <w:tblCellSpacing w:w="0"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left w:w="0" w:type="dxa"/>
          <w:right w:w="0" w:type="dxa"/>
        </w:tblCellMar>
        <w:tblLook w:val="04A0" w:firstRow="1" w:lastRow="0" w:firstColumn="1" w:lastColumn="0" w:noHBand="0" w:noVBand="1"/>
      </w:tblPr>
      <w:tblGrid>
        <w:gridCol w:w="10"/>
        <w:gridCol w:w="551"/>
        <w:gridCol w:w="11"/>
        <w:gridCol w:w="1838"/>
        <w:gridCol w:w="10"/>
        <w:gridCol w:w="842"/>
        <w:gridCol w:w="11"/>
        <w:gridCol w:w="414"/>
        <w:gridCol w:w="13"/>
        <w:gridCol w:w="711"/>
        <w:gridCol w:w="14"/>
        <w:gridCol w:w="682"/>
        <w:gridCol w:w="15"/>
        <w:gridCol w:w="552"/>
        <w:gridCol w:w="16"/>
        <w:gridCol w:w="268"/>
        <w:gridCol w:w="33"/>
        <w:gridCol w:w="121"/>
        <w:gridCol w:w="33"/>
        <w:gridCol w:w="108"/>
        <w:gridCol w:w="14"/>
        <w:gridCol w:w="34"/>
        <w:gridCol w:w="296"/>
        <w:gridCol w:w="35"/>
        <w:gridCol w:w="119"/>
        <w:gridCol w:w="34"/>
        <w:gridCol w:w="107"/>
        <w:gridCol w:w="14"/>
        <w:gridCol w:w="34"/>
        <w:gridCol w:w="150"/>
        <w:gridCol w:w="33"/>
        <w:gridCol w:w="193"/>
        <w:gridCol w:w="32"/>
        <w:gridCol w:w="184"/>
        <w:gridCol w:w="14"/>
        <w:gridCol w:w="31"/>
        <w:gridCol w:w="153"/>
        <w:gridCol w:w="30"/>
        <w:gridCol w:w="196"/>
        <w:gridCol w:w="29"/>
        <w:gridCol w:w="187"/>
        <w:gridCol w:w="14"/>
        <w:gridCol w:w="28"/>
        <w:gridCol w:w="156"/>
        <w:gridCol w:w="27"/>
        <w:gridCol w:w="199"/>
        <w:gridCol w:w="26"/>
        <w:gridCol w:w="190"/>
        <w:gridCol w:w="14"/>
        <w:gridCol w:w="25"/>
        <w:gridCol w:w="159"/>
        <w:gridCol w:w="24"/>
        <w:gridCol w:w="202"/>
        <w:gridCol w:w="23"/>
        <w:gridCol w:w="193"/>
        <w:gridCol w:w="14"/>
        <w:gridCol w:w="22"/>
        <w:gridCol w:w="162"/>
        <w:gridCol w:w="21"/>
        <w:gridCol w:w="205"/>
        <w:gridCol w:w="20"/>
        <w:gridCol w:w="196"/>
        <w:gridCol w:w="14"/>
        <w:gridCol w:w="19"/>
        <w:gridCol w:w="165"/>
        <w:gridCol w:w="18"/>
        <w:gridCol w:w="208"/>
        <w:gridCol w:w="17"/>
        <w:gridCol w:w="199"/>
        <w:gridCol w:w="14"/>
        <w:gridCol w:w="16"/>
        <w:gridCol w:w="168"/>
        <w:gridCol w:w="15"/>
        <w:gridCol w:w="211"/>
        <w:gridCol w:w="14"/>
        <w:gridCol w:w="202"/>
        <w:gridCol w:w="14"/>
        <w:gridCol w:w="13"/>
        <w:gridCol w:w="171"/>
        <w:gridCol w:w="12"/>
        <w:gridCol w:w="214"/>
        <w:gridCol w:w="11"/>
        <w:gridCol w:w="411"/>
        <w:gridCol w:w="5"/>
        <w:gridCol w:w="432"/>
        <w:gridCol w:w="11"/>
        <w:gridCol w:w="181"/>
        <w:gridCol w:w="10"/>
        <w:gridCol w:w="172"/>
        <w:gridCol w:w="14"/>
        <w:gridCol w:w="9"/>
        <w:gridCol w:w="639"/>
        <w:gridCol w:w="8"/>
        <w:gridCol w:w="189"/>
        <w:gridCol w:w="7"/>
        <w:gridCol w:w="168"/>
        <w:gridCol w:w="10"/>
      </w:tblGrid>
      <w:tr w:rsidR="0086427E" w:rsidRPr="007D063B" w14:paraId="6D4F0C3D" w14:textId="77777777" w:rsidTr="005246CB">
        <w:trPr>
          <w:tblCellSpacing w:w="0" w:type="dxa"/>
        </w:trPr>
        <w:tc>
          <w:tcPr>
            <w:tcW w:w="56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E52DDCF" w14:textId="77777777" w:rsidR="009C6F83" w:rsidRPr="007D063B" w:rsidRDefault="009C6F83" w:rsidP="007C4DBF">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Идентификация</w:t>
            </w:r>
          </w:p>
        </w:tc>
        <w:tc>
          <w:tcPr>
            <w:tcW w:w="1844"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C142317" w14:textId="77777777" w:rsidR="009C6F83" w:rsidRPr="007D063B" w:rsidRDefault="009C6F83" w:rsidP="007C4DBF">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Показател (наименование на показателя)</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B9321D8" w14:textId="77777777" w:rsidR="009C6F83" w:rsidRPr="007D063B" w:rsidRDefault="009C6F83" w:rsidP="007C4DBF">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Категория региони (когато е уместно)</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68611F2" w14:textId="77777777" w:rsidR="009C6F83" w:rsidRPr="007D063B" w:rsidRDefault="009C6F83" w:rsidP="007C4DBF">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Мерна единица</w:t>
            </w:r>
          </w:p>
        </w:tc>
        <w:tc>
          <w:tcPr>
            <w:tcW w:w="1984" w:type="dxa"/>
            <w:gridSpan w:val="6"/>
            <w:tcBorders>
              <w:top w:val="single" w:sz="6" w:space="0" w:color="000000"/>
              <w:left w:val="single" w:sz="6" w:space="0" w:color="000000"/>
              <w:bottom w:val="single" w:sz="6" w:space="0" w:color="000000"/>
              <w:right w:val="single" w:sz="6" w:space="0" w:color="000000"/>
            </w:tcBorders>
            <w:shd w:val="clear" w:color="auto" w:fill="FFFFFF"/>
            <w:hideMark/>
          </w:tcPr>
          <w:p w14:paraId="006B266B" w14:textId="77777777" w:rsidR="009C6F83" w:rsidRPr="007D063B" w:rsidRDefault="009C6F83" w:rsidP="006F0133">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Целева стойност (2023 г.)</w:t>
            </w:r>
          </w:p>
        </w:tc>
        <w:tc>
          <w:tcPr>
            <w:tcW w:w="577" w:type="dxa"/>
            <w:gridSpan w:val="6"/>
            <w:tcBorders>
              <w:top w:val="single" w:sz="6" w:space="0" w:color="000000"/>
              <w:left w:val="single" w:sz="6" w:space="0" w:color="000000"/>
              <w:bottom w:val="single" w:sz="6" w:space="0" w:color="000000"/>
              <w:right w:val="single" w:sz="6" w:space="0" w:color="000000"/>
            </w:tcBorders>
            <w:shd w:val="clear" w:color="auto" w:fill="FFFFFF"/>
            <w:hideMark/>
          </w:tcPr>
          <w:p w14:paraId="29AD7E83" w14:textId="77777777" w:rsidR="009C6F83" w:rsidRPr="007D063B" w:rsidRDefault="009C6F83" w:rsidP="005C1035">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2014</w:t>
            </w:r>
          </w:p>
        </w:tc>
        <w:tc>
          <w:tcPr>
            <w:tcW w:w="637" w:type="dxa"/>
            <w:gridSpan w:val="7"/>
            <w:tcBorders>
              <w:top w:val="single" w:sz="6" w:space="0" w:color="000000"/>
              <w:left w:val="single" w:sz="6" w:space="0" w:color="000000"/>
              <w:bottom w:val="single" w:sz="6" w:space="0" w:color="000000"/>
              <w:right w:val="single" w:sz="6" w:space="0" w:color="000000"/>
            </w:tcBorders>
            <w:shd w:val="clear" w:color="auto" w:fill="FFFFFF"/>
            <w:hideMark/>
          </w:tcPr>
          <w:p w14:paraId="7FDB1E6F" w14:textId="77777777" w:rsidR="009C6F83" w:rsidRPr="007D063B" w:rsidRDefault="009C6F83" w:rsidP="005C1035">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2015</w:t>
            </w:r>
          </w:p>
        </w:tc>
        <w:tc>
          <w:tcPr>
            <w:tcW w:w="637" w:type="dxa"/>
            <w:gridSpan w:val="7"/>
            <w:tcBorders>
              <w:top w:val="single" w:sz="6" w:space="0" w:color="000000"/>
              <w:left w:val="single" w:sz="6" w:space="0" w:color="000000"/>
              <w:bottom w:val="single" w:sz="6" w:space="0" w:color="000000"/>
              <w:right w:val="single" w:sz="6" w:space="0" w:color="000000"/>
            </w:tcBorders>
            <w:shd w:val="clear" w:color="auto" w:fill="FFFFFF"/>
            <w:hideMark/>
          </w:tcPr>
          <w:p w14:paraId="142B9288" w14:textId="77777777" w:rsidR="009C6F83" w:rsidRPr="007D063B" w:rsidRDefault="009C6F83" w:rsidP="005C1035">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2016</w:t>
            </w:r>
          </w:p>
        </w:tc>
        <w:tc>
          <w:tcPr>
            <w:tcW w:w="637" w:type="dxa"/>
            <w:gridSpan w:val="7"/>
            <w:tcBorders>
              <w:top w:val="single" w:sz="6" w:space="0" w:color="000000"/>
              <w:left w:val="single" w:sz="6" w:space="0" w:color="000000"/>
              <w:bottom w:val="single" w:sz="6" w:space="0" w:color="000000"/>
              <w:right w:val="single" w:sz="6" w:space="0" w:color="000000"/>
            </w:tcBorders>
            <w:shd w:val="clear" w:color="auto" w:fill="FFFFFF"/>
            <w:hideMark/>
          </w:tcPr>
          <w:p w14:paraId="66A1338F" w14:textId="77777777" w:rsidR="009C6F83" w:rsidRPr="007D063B" w:rsidRDefault="009C6F83" w:rsidP="005C1035">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2017</w:t>
            </w:r>
          </w:p>
        </w:tc>
        <w:tc>
          <w:tcPr>
            <w:tcW w:w="637" w:type="dxa"/>
            <w:gridSpan w:val="7"/>
            <w:tcBorders>
              <w:top w:val="single" w:sz="6" w:space="0" w:color="000000"/>
              <w:left w:val="single" w:sz="6" w:space="0" w:color="000000"/>
              <w:bottom w:val="single" w:sz="6" w:space="0" w:color="000000"/>
              <w:right w:val="single" w:sz="6" w:space="0" w:color="000000"/>
            </w:tcBorders>
            <w:shd w:val="clear" w:color="auto" w:fill="FFFFFF"/>
            <w:hideMark/>
          </w:tcPr>
          <w:p w14:paraId="5143F214" w14:textId="77777777" w:rsidR="009C6F83" w:rsidRPr="007D063B" w:rsidRDefault="009C6F83" w:rsidP="005C1035">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2018</w:t>
            </w:r>
          </w:p>
        </w:tc>
        <w:tc>
          <w:tcPr>
            <w:tcW w:w="637" w:type="dxa"/>
            <w:gridSpan w:val="7"/>
            <w:tcBorders>
              <w:top w:val="single" w:sz="6" w:space="0" w:color="000000"/>
              <w:left w:val="single" w:sz="6" w:space="0" w:color="000000"/>
              <w:bottom w:val="single" w:sz="6" w:space="0" w:color="000000"/>
              <w:right w:val="single" w:sz="6" w:space="0" w:color="000000"/>
            </w:tcBorders>
            <w:shd w:val="clear" w:color="auto" w:fill="FFFFFF"/>
            <w:hideMark/>
          </w:tcPr>
          <w:p w14:paraId="36AAD025" w14:textId="77777777" w:rsidR="009C6F83" w:rsidRPr="007D063B" w:rsidRDefault="009C6F83" w:rsidP="005C1035">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2019</w:t>
            </w:r>
          </w:p>
        </w:tc>
        <w:tc>
          <w:tcPr>
            <w:tcW w:w="637" w:type="dxa"/>
            <w:gridSpan w:val="7"/>
            <w:tcBorders>
              <w:top w:val="single" w:sz="6" w:space="0" w:color="000000"/>
              <w:left w:val="single" w:sz="6" w:space="0" w:color="000000"/>
              <w:bottom w:val="single" w:sz="6" w:space="0" w:color="000000"/>
              <w:right w:val="single" w:sz="6" w:space="0" w:color="000000"/>
            </w:tcBorders>
            <w:shd w:val="clear" w:color="auto" w:fill="FFFFFF"/>
            <w:hideMark/>
          </w:tcPr>
          <w:p w14:paraId="51FFDDFA" w14:textId="77777777" w:rsidR="009C6F83" w:rsidRPr="007D063B" w:rsidRDefault="009C6F83" w:rsidP="005C1035">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2020</w:t>
            </w:r>
          </w:p>
        </w:tc>
        <w:tc>
          <w:tcPr>
            <w:tcW w:w="637" w:type="dxa"/>
            <w:gridSpan w:val="7"/>
            <w:tcBorders>
              <w:top w:val="single" w:sz="6" w:space="0" w:color="000000"/>
              <w:left w:val="single" w:sz="6" w:space="0" w:color="000000"/>
              <w:bottom w:val="single" w:sz="6" w:space="0" w:color="000000"/>
              <w:right w:val="single" w:sz="6" w:space="0" w:color="000000"/>
            </w:tcBorders>
            <w:shd w:val="clear" w:color="auto" w:fill="FFFFFF"/>
            <w:hideMark/>
          </w:tcPr>
          <w:p w14:paraId="5FF3A50C" w14:textId="77777777" w:rsidR="009C6F83" w:rsidRPr="007D063B" w:rsidRDefault="009C6F83" w:rsidP="005C1035">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2021</w:t>
            </w:r>
          </w:p>
        </w:tc>
        <w:tc>
          <w:tcPr>
            <w:tcW w:w="637" w:type="dxa"/>
            <w:gridSpan w:val="7"/>
            <w:tcBorders>
              <w:top w:val="single" w:sz="6" w:space="0" w:color="000000"/>
              <w:left w:val="single" w:sz="6" w:space="0" w:color="000000"/>
              <w:bottom w:val="single" w:sz="6" w:space="0" w:color="000000"/>
              <w:right w:val="single" w:sz="6" w:space="0" w:color="000000"/>
            </w:tcBorders>
            <w:shd w:val="clear" w:color="auto" w:fill="FFFFFF"/>
            <w:hideMark/>
          </w:tcPr>
          <w:p w14:paraId="210FA669" w14:textId="77777777" w:rsidR="009C6F83" w:rsidRPr="007D063B" w:rsidRDefault="009C6F83" w:rsidP="005C1035">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2022</w:t>
            </w:r>
          </w:p>
        </w:tc>
        <w:tc>
          <w:tcPr>
            <w:tcW w:w="848" w:type="dxa"/>
            <w:gridSpan w:val="8"/>
            <w:tcBorders>
              <w:top w:val="single" w:sz="6" w:space="0" w:color="000000"/>
              <w:left w:val="single" w:sz="6" w:space="0" w:color="000000"/>
              <w:bottom w:val="single" w:sz="6" w:space="0" w:color="000000"/>
              <w:right w:val="single" w:sz="6" w:space="0" w:color="000000"/>
            </w:tcBorders>
            <w:shd w:val="clear" w:color="auto" w:fill="FFFFFF"/>
            <w:hideMark/>
          </w:tcPr>
          <w:p w14:paraId="706FD6F2" w14:textId="77777777" w:rsidR="009C6F83" w:rsidRPr="007D063B" w:rsidRDefault="009C6F83" w:rsidP="005C1035">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2023</w:t>
            </w:r>
          </w:p>
        </w:tc>
        <w:tc>
          <w:tcPr>
            <w:tcW w:w="80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0D95E2BA" w14:textId="77777777" w:rsidR="009C6F83" w:rsidRPr="007D063B" w:rsidRDefault="009C6F83" w:rsidP="005C1035">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Кумулативна стойност (автоматично изчислена)</w:t>
            </w:r>
          </w:p>
        </w:tc>
        <w:tc>
          <w:tcPr>
            <w:tcW w:w="1040" w:type="dxa"/>
            <w:gridSpan w:val="8"/>
            <w:tcBorders>
              <w:top w:val="single" w:sz="6" w:space="0" w:color="000000"/>
              <w:left w:val="single" w:sz="6" w:space="0" w:color="000000"/>
              <w:bottom w:val="single" w:sz="6" w:space="0" w:color="000000"/>
              <w:right w:val="single" w:sz="6" w:space="0" w:color="000000"/>
            </w:tcBorders>
            <w:shd w:val="clear" w:color="auto" w:fill="FFFFFF"/>
            <w:hideMark/>
          </w:tcPr>
          <w:p w14:paraId="4A27A0C2" w14:textId="77777777" w:rsidR="009C6F83" w:rsidRPr="007D063B" w:rsidRDefault="009C6F83" w:rsidP="005C1035">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Съотношение на постиженията</w:t>
            </w:r>
          </w:p>
        </w:tc>
      </w:tr>
      <w:tr w:rsidR="00C92D66" w:rsidRPr="007D063B" w14:paraId="5406E7E2" w14:textId="77777777" w:rsidTr="00B43484">
        <w:trPr>
          <w:tblCellSpacing w:w="0" w:type="dxa"/>
        </w:trPr>
        <w:tc>
          <w:tcPr>
            <w:tcW w:w="56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ADBE0A6" w14:textId="77777777" w:rsidR="009C6F83" w:rsidRPr="007D063B" w:rsidRDefault="009C6F83" w:rsidP="009C6F83">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1844"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0463A97" w14:textId="77777777" w:rsidR="009C6F83" w:rsidRPr="007D063B" w:rsidRDefault="009C6F83" w:rsidP="00C92D66">
            <w:pPr>
              <w:spacing w:before="120" w:after="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142771D" w14:textId="0A2866D2" w:rsidR="009C6F83" w:rsidRPr="007D063B" w:rsidRDefault="009C6F83" w:rsidP="007C4DBF">
            <w:pPr>
              <w:spacing w:before="120" w:after="0" w:line="240" w:lineRule="auto"/>
              <w:jc w:val="center"/>
              <w:rPr>
                <w:rFonts w:ascii="Times New Roman" w:eastAsia="Times New Roman" w:hAnsi="Times New Roman" w:cs="Times New Roman"/>
                <w:color w:val="000000"/>
                <w:sz w:val="16"/>
                <w:szCs w:val="16"/>
                <w:lang w:eastAsia="bg-BG"/>
              </w:rPr>
            </w:pP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DE07F96" w14:textId="3E820EF1" w:rsidR="009C6F83" w:rsidRPr="007D063B" w:rsidRDefault="009C6F83" w:rsidP="007C4DBF">
            <w:pPr>
              <w:spacing w:before="120" w:after="0" w:line="240" w:lineRule="auto"/>
              <w:jc w:val="center"/>
              <w:rPr>
                <w:rFonts w:ascii="Times New Roman" w:eastAsia="Times New Roman" w:hAnsi="Times New Roman" w:cs="Times New Roman"/>
                <w:color w:val="000000"/>
                <w:sz w:val="16"/>
                <w:szCs w:val="16"/>
                <w:lang w:eastAsia="bg-BG"/>
              </w:rPr>
            </w:pPr>
          </w:p>
        </w:tc>
        <w:tc>
          <w:tcPr>
            <w:tcW w:w="1984" w:type="dxa"/>
            <w:gridSpan w:val="6"/>
            <w:tcBorders>
              <w:top w:val="single" w:sz="6" w:space="0" w:color="000000"/>
              <w:left w:val="single" w:sz="6" w:space="0" w:color="000000"/>
              <w:bottom w:val="single" w:sz="6" w:space="0" w:color="000000"/>
              <w:right w:val="single" w:sz="6" w:space="0" w:color="000000"/>
            </w:tcBorders>
            <w:shd w:val="clear" w:color="auto" w:fill="FFFFFF"/>
            <w:hideMark/>
          </w:tcPr>
          <w:p w14:paraId="488B4E45" w14:textId="410D9846" w:rsidR="009C6F83" w:rsidRPr="007D063B" w:rsidRDefault="009C6F83" w:rsidP="006F0133">
            <w:pPr>
              <w:spacing w:before="120" w:after="0" w:line="240" w:lineRule="auto"/>
              <w:jc w:val="center"/>
              <w:rPr>
                <w:rFonts w:ascii="Times New Roman" w:hAnsi="Times New Roman" w:cs="Times New Roman"/>
                <w:sz w:val="16"/>
                <w:szCs w:val="16"/>
              </w:rPr>
            </w:pPr>
          </w:p>
        </w:tc>
        <w:tc>
          <w:tcPr>
            <w:tcW w:w="6521" w:type="dxa"/>
            <w:gridSpan w:val="70"/>
            <w:tcBorders>
              <w:top w:val="single" w:sz="6" w:space="0" w:color="000000"/>
              <w:left w:val="single" w:sz="6" w:space="0" w:color="000000"/>
              <w:bottom w:val="single" w:sz="6" w:space="0" w:color="000000"/>
              <w:right w:val="single" w:sz="6" w:space="0" w:color="000000"/>
            </w:tcBorders>
            <w:shd w:val="clear" w:color="auto" w:fill="FFFFFF"/>
            <w:hideMark/>
          </w:tcPr>
          <w:p w14:paraId="2346906C" w14:textId="77777777" w:rsidR="009C6F83" w:rsidRPr="007D063B" w:rsidRDefault="009C6F83" w:rsidP="005C1035">
            <w:pPr>
              <w:spacing w:before="60" w:after="60" w:line="240" w:lineRule="auto"/>
              <w:ind w:right="195"/>
              <w:jc w:val="center"/>
              <w:rPr>
                <w:rFonts w:ascii="Times New Roman" w:hAnsi="Times New Roman" w:cs="Times New Roman"/>
                <w:sz w:val="16"/>
                <w:szCs w:val="16"/>
              </w:rPr>
            </w:pPr>
            <w:r w:rsidRPr="007D063B">
              <w:rPr>
                <w:rFonts w:ascii="Times New Roman" w:hAnsi="Times New Roman" w:cs="Times New Roman"/>
                <w:sz w:val="16"/>
                <w:szCs w:val="16"/>
              </w:rPr>
              <w:t>Годишна стойност</w:t>
            </w:r>
          </w:p>
        </w:tc>
        <w:tc>
          <w:tcPr>
            <w:tcW w:w="80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651F5387" w14:textId="41FD025F" w:rsidR="009C6F83" w:rsidRPr="007D063B" w:rsidRDefault="009C6F83" w:rsidP="005C1035">
            <w:pPr>
              <w:spacing w:before="120" w:after="0" w:line="240" w:lineRule="auto"/>
              <w:jc w:val="center"/>
              <w:rPr>
                <w:rFonts w:ascii="Times New Roman" w:hAnsi="Times New Roman" w:cs="Times New Roman"/>
                <w:sz w:val="16"/>
                <w:szCs w:val="16"/>
              </w:rPr>
            </w:pPr>
          </w:p>
        </w:tc>
        <w:tc>
          <w:tcPr>
            <w:tcW w:w="1040" w:type="dxa"/>
            <w:gridSpan w:val="8"/>
            <w:tcBorders>
              <w:top w:val="single" w:sz="6" w:space="0" w:color="000000"/>
              <w:left w:val="single" w:sz="6" w:space="0" w:color="000000"/>
              <w:bottom w:val="single" w:sz="6" w:space="0" w:color="000000"/>
              <w:right w:val="single" w:sz="6" w:space="0" w:color="000000"/>
            </w:tcBorders>
            <w:shd w:val="clear" w:color="auto" w:fill="FFFFFF"/>
            <w:hideMark/>
          </w:tcPr>
          <w:p w14:paraId="7DD44924" w14:textId="03C029FE" w:rsidR="009C6F83" w:rsidRPr="007D063B" w:rsidRDefault="009C6F83" w:rsidP="005C1035">
            <w:pPr>
              <w:spacing w:before="120" w:after="0" w:line="240" w:lineRule="auto"/>
              <w:jc w:val="center"/>
              <w:rPr>
                <w:rFonts w:ascii="Times New Roman" w:hAnsi="Times New Roman" w:cs="Times New Roman"/>
                <w:sz w:val="16"/>
                <w:szCs w:val="16"/>
              </w:rPr>
            </w:pPr>
          </w:p>
        </w:tc>
      </w:tr>
      <w:tr w:rsidR="003B73DC" w:rsidRPr="007D063B" w14:paraId="08C22511" w14:textId="77777777" w:rsidTr="005246CB">
        <w:tblPrEx>
          <w:tblBorders>
            <w:top w:val="single" w:sz="3" w:space="0" w:color="000000"/>
            <w:left w:val="single" w:sz="3" w:space="0" w:color="000000"/>
            <w:bottom w:val="single" w:sz="3" w:space="0" w:color="000000"/>
            <w:right w:val="single" w:sz="3" w:space="0" w:color="000000"/>
          </w:tblBorders>
        </w:tblPrEx>
        <w:trPr>
          <w:tblCellSpacing w:w="0" w:type="dxa"/>
        </w:trPr>
        <w:tc>
          <w:tcPr>
            <w:tcW w:w="560" w:type="dxa"/>
            <w:gridSpan w:val="2"/>
            <w:tcBorders>
              <w:top w:val="single" w:sz="3" w:space="0" w:color="000000"/>
              <w:left w:val="single" w:sz="3" w:space="0" w:color="000000"/>
              <w:bottom w:val="single" w:sz="3" w:space="0" w:color="000000"/>
              <w:right w:val="single" w:sz="3" w:space="0" w:color="000000"/>
            </w:tcBorders>
            <w:shd w:val="clear" w:color="auto" w:fill="FFFFFF"/>
            <w:hideMark/>
          </w:tcPr>
          <w:p w14:paraId="27FAA20B" w14:textId="1AA71625" w:rsidR="009C6F83" w:rsidRPr="007D063B" w:rsidRDefault="009C6F83" w:rsidP="009C6F83">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r w:rsidR="00A443DC" w:rsidRPr="007D063B">
              <w:rPr>
                <w:rFonts w:ascii="Times New Roman" w:hAnsi="Times New Roman" w:cs="Times New Roman"/>
                <w:sz w:val="16"/>
                <w:szCs w:val="16"/>
              </w:rPr>
              <w:t>O1-3</w:t>
            </w:r>
          </w:p>
        </w:tc>
        <w:tc>
          <w:tcPr>
            <w:tcW w:w="1844" w:type="dxa"/>
            <w:gridSpan w:val="2"/>
            <w:tcBorders>
              <w:top w:val="single" w:sz="3" w:space="0" w:color="000000"/>
              <w:left w:val="single" w:sz="3" w:space="0" w:color="000000"/>
              <w:bottom w:val="single" w:sz="3" w:space="0" w:color="000000"/>
              <w:right w:val="single" w:sz="3" w:space="0" w:color="000000"/>
            </w:tcBorders>
            <w:shd w:val="clear" w:color="auto" w:fill="FFFFFF"/>
            <w:hideMark/>
          </w:tcPr>
          <w:p w14:paraId="55274AC6" w14:textId="1F06E3E0" w:rsidR="009C6F83" w:rsidRPr="007D063B" w:rsidRDefault="00A443DC" w:rsidP="00C92D66">
            <w:pPr>
              <w:spacing w:before="120" w:after="0" w:line="240" w:lineRule="auto"/>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Администрации, подкрепени за въвеждане на комплексно административно обслужване</w:t>
            </w:r>
          </w:p>
        </w:tc>
        <w:tc>
          <w:tcPr>
            <w:tcW w:w="850" w:type="dxa"/>
            <w:gridSpan w:val="2"/>
            <w:tcBorders>
              <w:top w:val="single" w:sz="3" w:space="0" w:color="000000"/>
              <w:left w:val="single" w:sz="3" w:space="0" w:color="000000"/>
              <w:bottom w:val="single" w:sz="3" w:space="0" w:color="000000"/>
              <w:right w:val="single" w:sz="3" w:space="0" w:color="000000"/>
            </w:tcBorders>
            <w:shd w:val="clear" w:color="auto" w:fill="FFFFFF"/>
            <w:hideMark/>
          </w:tcPr>
          <w:p w14:paraId="5F6C7268" w14:textId="4AFD386A" w:rsidR="009C6F83" w:rsidRPr="007D063B" w:rsidRDefault="00A443DC" w:rsidP="007C4DBF">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По-слабо развити региони</w:t>
            </w:r>
          </w:p>
        </w:tc>
        <w:tc>
          <w:tcPr>
            <w:tcW w:w="425" w:type="dxa"/>
            <w:gridSpan w:val="2"/>
            <w:tcBorders>
              <w:top w:val="single" w:sz="3" w:space="0" w:color="000000"/>
              <w:left w:val="single" w:sz="3" w:space="0" w:color="000000"/>
              <w:bottom w:val="single" w:sz="3" w:space="0" w:color="000000"/>
              <w:right w:val="single" w:sz="3" w:space="0" w:color="000000"/>
            </w:tcBorders>
            <w:shd w:val="clear" w:color="auto" w:fill="FFFFFF"/>
            <w:hideMark/>
          </w:tcPr>
          <w:p w14:paraId="5E6DEFDF" w14:textId="1E841509" w:rsidR="009C6F83" w:rsidRPr="007D063B" w:rsidRDefault="00A443DC" w:rsidP="007C4DBF">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w:t>
            </w:r>
          </w:p>
        </w:tc>
        <w:tc>
          <w:tcPr>
            <w:tcW w:w="723" w:type="dxa"/>
            <w:gridSpan w:val="2"/>
            <w:tcBorders>
              <w:top w:val="single" w:sz="3" w:space="0" w:color="000000"/>
              <w:left w:val="single" w:sz="3" w:space="0" w:color="000000"/>
              <w:bottom w:val="single" w:sz="3" w:space="0" w:color="000000"/>
              <w:right w:val="single" w:sz="3" w:space="0" w:color="000000"/>
            </w:tcBorders>
            <w:shd w:val="clear" w:color="auto" w:fill="FFFFFF"/>
            <w:hideMark/>
          </w:tcPr>
          <w:p w14:paraId="49579534" w14:textId="6E2CA3EE" w:rsidR="009C6F83" w:rsidRPr="007D063B" w:rsidRDefault="00A443DC" w:rsidP="006F0133">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О</w:t>
            </w:r>
          </w:p>
          <w:p w14:paraId="3A983406" w14:textId="3483E50C" w:rsidR="00A443DC" w:rsidRPr="007D063B" w:rsidRDefault="00A443DC" w:rsidP="006F0133">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103,00</w:t>
            </w:r>
          </w:p>
        </w:tc>
        <w:tc>
          <w:tcPr>
            <w:tcW w:w="695" w:type="dxa"/>
            <w:gridSpan w:val="2"/>
            <w:tcBorders>
              <w:top w:val="single" w:sz="3" w:space="0" w:color="000000"/>
              <w:left w:val="single" w:sz="3" w:space="0" w:color="000000"/>
              <w:bottom w:val="single" w:sz="3" w:space="0" w:color="000000"/>
              <w:right w:val="single" w:sz="3" w:space="0" w:color="000000"/>
            </w:tcBorders>
            <w:shd w:val="clear" w:color="auto" w:fill="FFFFFF"/>
            <w:hideMark/>
          </w:tcPr>
          <w:p w14:paraId="7C10A73D" w14:textId="77777777" w:rsidR="009C6F83" w:rsidRPr="007D063B" w:rsidRDefault="009C6F83" w:rsidP="006F0133">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м</w:t>
            </w:r>
          </w:p>
        </w:tc>
        <w:tc>
          <w:tcPr>
            <w:tcW w:w="566" w:type="dxa"/>
            <w:gridSpan w:val="2"/>
            <w:tcBorders>
              <w:top w:val="single" w:sz="3" w:space="0" w:color="000000"/>
              <w:left w:val="single" w:sz="3" w:space="0" w:color="000000"/>
              <w:bottom w:val="single" w:sz="3" w:space="0" w:color="000000"/>
              <w:right w:val="single" w:sz="3" w:space="0" w:color="000000"/>
            </w:tcBorders>
            <w:shd w:val="clear" w:color="auto" w:fill="FFFFFF"/>
            <w:hideMark/>
          </w:tcPr>
          <w:p w14:paraId="25ECBFEE" w14:textId="77777777" w:rsidR="009C6F83" w:rsidRPr="007D063B" w:rsidRDefault="009C6F83" w:rsidP="006F0133">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ж</w:t>
            </w:r>
          </w:p>
        </w:tc>
        <w:tc>
          <w:tcPr>
            <w:tcW w:w="283" w:type="dxa"/>
            <w:gridSpan w:val="2"/>
            <w:tcBorders>
              <w:top w:val="single" w:sz="3" w:space="0" w:color="000000"/>
              <w:left w:val="single" w:sz="3" w:space="0" w:color="000000"/>
              <w:bottom w:val="single" w:sz="3" w:space="0" w:color="000000"/>
              <w:right w:val="single" w:sz="3" w:space="0" w:color="000000"/>
            </w:tcBorders>
            <w:shd w:val="clear" w:color="auto" w:fill="FFFFFF"/>
            <w:hideMark/>
          </w:tcPr>
          <w:p w14:paraId="068BCF2D" w14:textId="0AAE6085" w:rsidR="00A443DC" w:rsidRPr="007D063B" w:rsidRDefault="006F0133" w:rsidP="006F0133">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rPr>
              <w:t>о</w:t>
            </w:r>
          </w:p>
        </w:tc>
        <w:tc>
          <w:tcPr>
            <w:tcW w:w="153" w:type="dxa"/>
            <w:gridSpan w:val="2"/>
            <w:tcBorders>
              <w:top w:val="single" w:sz="3" w:space="0" w:color="000000"/>
              <w:left w:val="single" w:sz="3" w:space="0" w:color="000000"/>
              <w:bottom w:val="single" w:sz="3" w:space="0" w:color="000000"/>
              <w:right w:val="single" w:sz="3" w:space="0" w:color="000000"/>
            </w:tcBorders>
            <w:shd w:val="clear" w:color="auto" w:fill="FFFFFF"/>
            <w:hideMark/>
          </w:tcPr>
          <w:p w14:paraId="3C97B04A"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м</w:t>
            </w:r>
          </w:p>
        </w:tc>
        <w:tc>
          <w:tcPr>
            <w:tcW w:w="155" w:type="dxa"/>
            <w:gridSpan w:val="3"/>
            <w:tcBorders>
              <w:top w:val="single" w:sz="3" w:space="0" w:color="000000"/>
              <w:left w:val="single" w:sz="3" w:space="0" w:color="000000"/>
              <w:bottom w:val="single" w:sz="3" w:space="0" w:color="000000"/>
              <w:right w:val="single" w:sz="3" w:space="0" w:color="000000"/>
            </w:tcBorders>
            <w:shd w:val="clear" w:color="auto" w:fill="FFFFFF"/>
            <w:hideMark/>
          </w:tcPr>
          <w:p w14:paraId="2252D08A"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ж</w:t>
            </w:r>
          </w:p>
        </w:tc>
        <w:tc>
          <w:tcPr>
            <w:tcW w:w="329" w:type="dxa"/>
            <w:gridSpan w:val="2"/>
            <w:tcBorders>
              <w:top w:val="single" w:sz="3" w:space="0" w:color="000000"/>
              <w:left w:val="single" w:sz="3" w:space="0" w:color="000000"/>
              <w:bottom w:val="single" w:sz="3" w:space="0" w:color="000000"/>
              <w:right w:val="single" w:sz="3" w:space="0" w:color="000000"/>
            </w:tcBorders>
            <w:shd w:val="clear" w:color="auto" w:fill="FFFFFF"/>
            <w:hideMark/>
          </w:tcPr>
          <w:p w14:paraId="5E1706D0" w14:textId="30608766" w:rsidR="00A443DC" w:rsidRPr="007D063B" w:rsidRDefault="006F0133" w:rsidP="006F0133">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rPr>
              <w:t>о</w:t>
            </w:r>
            <w:r w:rsidRPr="007D063B">
              <w:rPr>
                <w:rFonts w:ascii="Times New Roman" w:hAnsi="Times New Roman" w:cs="Times New Roman"/>
                <w:sz w:val="16"/>
                <w:szCs w:val="16"/>
                <w:lang w:val="en-US"/>
              </w:rPr>
              <w:t xml:space="preserve"> </w:t>
            </w:r>
          </w:p>
        </w:tc>
        <w:tc>
          <w:tcPr>
            <w:tcW w:w="153" w:type="dxa"/>
            <w:gridSpan w:val="2"/>
            <w:tcBorders>
              <w:top w:val="single" w:sz="3" w:space="0" w:color="000000"/>
              <w:left w:val="single" w:sz="3" w:space="0" w:color="000000"/>
              <w:bottom w:val="single" w:sz="3" w:space="0" w:color="000000"/>
              <w:right w:val="single" w:sz="3" w:space="0" w:color="000000"/>
            </w:tcBorders>
            <w:shd w:val="clear" w:color="auto" w:fill="FFFFFF"/>
            <w:hideMark/>
          </w:tcPr>
          <w:p w14:paraId="346D3ABF"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м</w:t>
            </w:r>
          </w:p>
        </w:tc>
        <w:tc>
          <w:tcPr>
            <w:tcW w:w="155" w:type="dxa"/>
            <w:gridSpan w:val="3"/>
            <w:tcBorders>
              <w:top w:val="single" w:sz="3" w:space="0" w:color="000000"/>
              <w:left w:val="single" w:sz="3" w:space="0" w:color="000000"/>
              <w:bottom w:val="single" w:sz="3" w:space="0" w:color="000000"/>
              <w:right w:val="single" w:sz="3" w:space="0" w:color="000000"/>
            </w:tcBorders>
            <w:shd w:val="clear" w:color="auto" w:fill="FFFFFF"/>
            <w:hideMark/>
          </w:tcPr>
          <w:p w14:paraId="5D737B6A"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ж</w:t>
            </w:r>
          </w:p>
        </w:tc>
        <w:tc>
          <w:tcPr>
            <w:tcW w:w="183" w:type="dxa"/>
            <w:gridSpan w:val="2"/>
            <w:tcBorders>
              <w:top w:val="single" w:sz="3" w:space="0" w:color="000000"/>
              <w:left w:val="single" w:sz="3" w:space="0" w:color="000000"/>
              <w:bottom w:val="single" w:sz="3" w:space="0" w:color="000000"/>
              <w:right w:val="single" w:sz="3" w:space="0" w:color="000000"/>
            </w:tcBorders>
            <w:shd w:val="clear" w:color="auto" w:fill="FFFFFF"/>
            <w:hideMark/>
          </w:tcPr>
          <w:p w14:paraId="70FD9C30"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о</w:t>
            </w:r>
          </w:p>
          <w:p w14:paraId="027EA294" w14:textId="77777777" w:rsidR="00846588" w:rsidRPr="007D063B" w:rsidRDefault="00846588" w:rsidP="005C1035">
            <w:pPr>
              <w:spacing w:before="120" w:after="0" w:line="240" w:lineRule="auto"/>
              <w:jc w:val="center"/>
              <w:rPr>
                <w:rFonts w:ascii="Times New Roman" w:hAnsi="Times New Roman" w:cs="Times New Roman"/>
                <w:sz w:val="16"/>
                <w:szCs w:val="16"/>
              </w:rPr>
            </w:pPr>
          </w:p>
          <w:p w14:paraId="32527D08" w14:textId="4F2FC62E" w:rsidR="00846588" w:rsidRPr="007D063B" w:rsidRDefault="00846588"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0</w:t>
            </w:r>
          </w:p>
        </w:tc>
        <w:tc>
          <w:tcPr>
            <w:tcW w:w="225" w:type="dxa"/>
            <w:gridSpan w:val="2"/>
            <w:tcBorders>
              <w:top w:val="single" w:sz="3" w:space="0" w:color="000000"/>
              <w:left w:val="single" w:sz="3" w:space="0" w:color="000000"/>
              <w:bottom w:val="single" w:sz="3" w:space="0" w:color="000000"/>
              <w:right w:val="single" w:sz="3" w:space="0" w:color="000000"/>
            </w:tcBorders>
            <w:shd w:val="clear" w:color="auto" w:fill="FFFFFF"/>
            <w:hideMark/>
          </w:tcPr>
          <w:p w14:paraId="2193687C"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м</w:t>
            </w:r>
          </w:p>
        </w:tc>
        <w:tc>
          <w:tcPr>
            <w:tcW w:w="229" w:type="dxa"/>
            <w:gridSpan w:val="3"/>
            <w:tcBorders>
              <w:top w:val="single" w:sz="3" w:space="0" w:color="000000"/>
              <w:left w:val="single" w:sz="3" w:space="0" w:color="000000"/>
              <w:bottom w:val="single" w:sz="3" w:space="0" w:color="000000"/>
              <w:right w:val="single" w:sz="3" w:space="0" w:color="000000"/>
            </w:tcBorders>
            <w:shd w:val="clear" w:color="auto" w:fill="FFFFFF"/>
            <w:hideMark/>
          </w:tcPr>
          <w:p w14:paraId="2F1C28F3"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ж</w:t>
            </w:r>
          </w:p>
        </w:tc>
        <w:tc>
          <w:tcPr>
            <w:tcW w:w="183" w:type="dxa"/>
            <w:gridSpan w:val="2"/>
            <w:tcBorders>
              <w:top w:val="single" w:sz="3" w:space="0" w:color="000000"/>
              <w:left w:val="single" w:sz="3" w:space="0" w:color="000000"/>
              <w:bottom w:val="single" w:sz="3" w:space="0" w:color="000000"/>
              <w:right w:val="single" w:sz="3" w:space="0" w:color="000000"/>
            </w:tcBorders>
            <w:shd w:val="clear" w:color="auto" w:fill="FFFFFF"/>
            <w:hideMark/>
          </w:tcPr>
          <w:p w14:paraId="665BCC30"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о</w:t>
            </w:r>
          </w:p>
        </w:tc>
        <w:tc>
          <w:tcPr>
            <w:tcW w:w="225" w:type="dxa"/>
            <w:gridSpan w:val="2"/>
            <w:tcBorders>
              <w:top w:val="single" w:sz="3" w:space="0" w:color="000000"/>
              <w:left w:val="single" w:sz="3" w:space="0" w:color="000000"/>
              <w:bottom w:val="single" w:sz="3" w:space="0" w:color="000000"/>
              <w:right w:val="single" w:sz="3" w:space="0" w:color="000000"/>
            </w:tcBorders>
            <w:shd w:val="clear" w:color="auto" w:fill="FFFFFF"/>
            <w:hideMark/>
          </w:tcPr>
          <w:p w14:paraId="6AB54C70"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м</w:t>
            </w:r>
          </w:p>
        </w:tc>
        <w:tc>
          <w:tcPr>
            <w:tcW w:w="229" w:type="dxa"/>
            <w:gridSpan w:val="3"/>
            <w:tcBorders>
              <w:top w:val="single" w:sz="3" w:space="0" w:color="000000"/>
              <w:left w:val="single" w:sz="3" w:space="0" w:color="000000"/>
              <w:bottom w:val="single" w:sz="3" w:space="0" w:color="000000"/>
              <w:right w:val="single" w:sz="3" w:space="0" w:color="000000"/>
            </w:tcBorders>
            <w:shd w:val="clear" w:color="auto" w:fill="FFFFFF"/>
            <w:hideMark/>
          </w:tcPr>
          <w:p w14:paraId="48426052"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ж</w:t>
            </w:r>
          </w:p>
        </w:tc>
        <w:tc>
          <w:tcPr>
            <w:tcW w:w="183" w:type="dxa"/>
            <w:gridSpan w:val="2"/>
            <w:tcBorders>
              <w:top w:val="single" w:sz="3" w:space="0" w:color="000000"/>
              <w:left w:val="single" w:sz="3" w:space="0" w:color="000000"/>
              <w:bottom w:val="single" w:sz="3" w:space="0" w:color="000000"/>
              <w:right w:val="single" w:sz="3" w:space="0" w:color="000000"/>
            </w:tcBorders>
            <w:shd w:val="clear" w:color="auto" w:fill="FFFFFF"/>
            <w:hideMark/>
          </w:tcPr>
          <w:p w14:paraId="3575F864"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о</w:t>
            </w:r>
          </w:p>
        </w:tc>
        <w:tc>
          <w:tcPr>
            <w:tcW w:w="225" w:type="dxa"/>
            <w:gridSpan w:val="2"/>
            <w:tcBorders>
              <w:top w:val="single" w:sz="3" w:space="0" w:color="000000"/>
              <w:left w:val="single" w:sz="3" w:space="0" w:color="000000"/>
              <w:bottom w:val="single" w:sz="3" w:space="0" w:color="000000"/>
              <w:right w:val="single" w:sz="3" w:space="0" w:color="000000"/>
            </w:tcBorders>
            <w:shd w:val="clear" w:color="auto" w:fill="FFFFFF"/>
            <w:hideMark/>
          </w:tcPr>
          <w:p w14:paraId="09C6DC90"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м</w:t>
            </w:r>
          </w:p>
        </w:tc>
        <w:tc>
          <w:tcPr>
            <w:tcW w:w="229" w:type="dxa"/>
            <w:gridSpan w:val="3"/>
            <w:tcBorders>
              <w:top w:val="single" w:sz="3" w:space="0" w:color="000000"/>
              <w:left w:val="single" w:sz="3" w:space="0" w:color="000000"/>
              <w:bottom w:val="single" w:sz="3" w:space="0" w:color="000000"/>
              <w:right w:val="single" w:sz="3" w:space="0" w:color="000000"/>
            </w:tcBorders>
            <w:shd w:val="clear" w:color="auto" w:fill="FFFFFF"/>
            <w:hideMark/>
          </w:tcPr>
          <w:p w14:paraId="2D0837B0"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ж</w:t>
            </w:r>
          </w:p>
        </w:tc>
        <w:tc>
          <w:tcPr>
            <w:tcW w:w="183" w:type="dxa"/>
            <w:gridSpan w:val="2"/>
            <w:tcBorders>
              <w:top w:val="single" w:sz="3" w:space="0" w:color="000000"/>
              <w:left w:val="single" w:sz="3" w:space="0" w:color="000000"/>
              <w:bottom w:val="single" w:sz="3" w:space="0" w:color="000000"/>
              <w:right w:val="single" w:sz="3" w:space="0" w:color="000000"/>
            </w:tcBorders>
            <w:shd w:val="clear" w:color="auto" w:fill="FFFFFF"/>
            <w:hideMark/>
          </w:tcPr>
          <w:p w14:paraId="2F4D1755"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о</w:t>
            </w:r>
          </w:p>
        </w:tc>
        <w:tc>
          <w:tcPr>
            <w:tcW w:w="225" w:type="dxa"/>
            <w:gridSpan w:val="2"/>
            <w:tcBorders>
              <w:top w:val="single" w:sz="3" w:space="0" w:color="000000"/>
              <w:left w:val="single" w:sz="3" w:space="0" w:color="000000"/>
              <w:bottom w:val="single" w:sz="3" w:space="0" w:color="000000"/>
              <w:right w:val="single" w:sz="3" w:space="0" w:color="000000"/>
            </w:tcBorders>
            <w:shd w:val="clear" w:color="auto" w:fill="FFFFFF"/>
            <w:hideMark/>
          </w:tcPr>
          <w:p w14:paraId="3B84DACA"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м</w:t>
            </w:r>
          </w:p>
        </w:tc>
        <w:tc>
          <w:tcPr>
            <w:tcW w:w="229" w:type="dxa"/>
            <w:gridSpan w:val="3"/>
            <w:tcBorders>
              <w:top w:val="single" w:sz="3" w:space="0" w:color="000000"/>
              <w:left w:val="single" w:sz="3" w:space="0" w:color="000000"/>
              <w:bottom w:val="single" w:sz="3" w:space="0" w:color="000000"/>
              <w:right w:val="single" w:sz="3" w:space="0" w:color="000000"/>
            </w:tcBorders>
            <w:shd w:val="clear" w:color="auto" w:fill="FFFFFF"/>
            <w:hideMark/>
          </w:tcPr>
          <w:p w14:paraId="72CA5916"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ж</w:t>
            </w:r>
          </w:p>
        </w:tc>
        <w:tc>
          <w:tcPr>
            <w:tcW w:w="183" w:type="dxa"/>
            <w:gridSpan w:val="2"/>
            <w:tcBorders>
              <w:top w:val="single" w:sz="3" w:space="0" w:color="000000"/>
              <w:left w:val="single" w:sz="3" w:space="0" w:color="000000"/>
              <w:bottom w:val="single" w:sz="3" w:space="0" w:color="000000"/>
              <w:right w:val="single" w:sz="3" w:space="0" w:color="000000"/>
            </w:tcBorders>
            <w:shd w:val="clear" w:color="auto" w:fill="FFFFFF"/>
            <w:hideMark/>
          </w:tcPr>
          <w:p w14:paraId="57C89BCC"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о</w:t>
            </w:r>
          </w:p>
        </w:tc>
        <w:tc>
          <w:tcPr>
            <w:tcW w:w="225" w:type="dxa"/>
            <w:gridSpan w:val="2"/>
            <w:tcBorders>
              <w:top w:val="single" w:sz="3" w:space="0" w:color="000000"/>
              <w:left w:val="single" w:sz="3" w:space="0" w:color="000000"/>
              <w:bottom w:val="single" w:sz="3" w:space="0" w:color="000000"/>
              <w:right w:val="single" w:sz="3" w:space="0" w:color="000000"/>
            </w:tcBorders>
            <w:shd w:val="clear" w:color="auto" w:fill="FFFFFF"/>
            <w:hideMark/>
          </w:tcPr>
          <w:p w14:paraId="460DD639"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м</w:t>
            </w:r>
          </w:p>
        </w:tc>
        <w:tc>
          <w:tcPr>
            <w:tcW w:w="229" w:type="dxa"/>
            <w:gridSpan w:val="3"/>
            <w:tcBorders>
              <w:top w:val="single" w:sz="3" w:space="0" w:color="000000"/>
              <w:left w:val="single" w:sz="3" w:space="0" w:color="000000"/>
              <w:bottom w:val="single" w:sz="3" w:space="0" w:color="000000"/>
              <w:right w:val="single" w:sz="3" w:space="0" w:color="000000"/>
            </w:tcBorders>
            <w:shd w:val="clear" w:color="auto" w:fill="FFFFFF"/>
            <w:hideMark/>
          </w:tcPr>
          <w:p w14:paraId="1BE01EE1"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ж</w:t>
            </w:r>
          </w:p>
        </w:tc>
        <w:tc>
          <w:tcPr>
            <w:tcW w:w="183" w:type="dxa"/>
            <w:gridSpan w:val="2"/>
            <w:tcBorders>
              <w:top w:val="single" w:sz="3" w:space="0" w:color="000000"/>
              <w:left w:val="single" w:sz="3" w:space="0" w:color="000000"/>
              <w:bottom w:val="single" w:sz="3" w:space="0" w:color="000000"/>
              <w:right w:val="single" w:sz="3" w:space="0" w:color="000000"/>
            </w:tcBorders>
            <w:shd w:val="clear" w:color="auto" w:fill="FFFFFF"/>
            <w:hideMark/>
          </w:tcPr>
          <w:p w14:paraId="000D4CDF"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о</w:t>
            </w:r>
          </w:p>
        </w:tc>
        <w:tc>
          <w:tcPr>
            <w:tcW w:w="225" w:type="dxa"/>
            <w:gridSpan w:val="2"/>
            <w:tcBorders>
              <w:top w:val="single" w:sz="3" w:space="0" w:color="000000"/>
              <w:left w:val="single" w:sz="3" w:space="0" w:color="000000"/>
              <w:bottom w:val="single" w:sz="3" w:space="0" w:color="000000"/>
              <w:right w:val="single" w:sz="3" w:space="0" w:color="000000"/>
            </w:tcBorders>
            <w:shd w:val="clear" w:color="auto" w:fill="FFFFFF"/>
            <w:hideMark/>
          </w:tcPr>
          <w:p w14:paraId="194AC428"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м</w:t>
            </w:r>
          </w:p>
        </w:tc>
        <w:tc>
          <w:tcPr>
            <w:tcW w:w="229" w:type="dxa"/>
            <w:gridSpan w:val="3"/>
            <w:tcBorders>
              <w:top w:val="single" w:sz="3" w:space="0" w:color="000000"/>
              <w:left w:val="single" w:sz="3" w:space="0" w:color="000000"/>
              <w:bottom w:val="single" w:sz="3" w:space="0" w:color="000000"/>
              <w:right w:val="single" w:sz="3" w:space="0" w:color="000000"/>
            </w:tcBorders>
            <w:shd w:val="clear" w:color="auto" w:fill="FFFFFF"/>
            <w:hideMark/>
          </w:tcPr>
          <w:p w14:paraId="6453EE66"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ж</w:t>
            </w:r>
          </w:p>
        </w:tc>
        <w:tc>
          <w:tcPr>
            <w:tcW w:w="183" w:type="dxa"/>
            <w:gridSpan w:val="2"/>
            <w:tcBorders>
              <w:top w:val="single" w:sz="3" w:space="0" w:color="000000"/>
              <w:left w:val="single" w:sz="3" w:space="0" w:color="000000"/>
              <w:bottom w:val="single" w:sz="3" w:space="0" w:color="000000"/>
              <w:right w:val="single" w:sz="3" w:space="0" w:color="000000"/>
            </w:tcBorders>
            <w:shd w:val="clear" w:color="auto" w:fill="FFFFFF"/>
            <w:hideMark/>
          </w:tcPr>
          <w:p w14:paraId="02EDAB93"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о</w:t>
            </w:r>
          </w:p>
        </w:tc>
        <w:tc>
          <w:tcPr>
            <w:tcW w:w="225" w:type="dxa"/>
            <w:gridSpan w:val="2"/>
            <w:tcBorders>
              <w:top w:val="single" w:sz="3" w:space="0" w:color="000000"/>
              <w:left w:val="single" w:sz="3" w:space="0" w:color="000000"/>
              <w:bottom w:val="single" w:sz="3" w:space="0" w:color="000000"/>
              <w:right w:val="single" w:sz="3" w:space="0" w:color="000000"/>
            </w:tcBorders>
            <w:shd w:val="clear" w:color="auto" w:fill="FFFFFF"/>
            <w:hideMark/>
          </w:tcPr>
          <w:p w14:paraId="72DBD29B"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м</w:t>
            </w:r>
          </w:p>
        </w:tc>
        <w:tc>
          <w:tcPr>
            <w:tcW w:w="229" w:type="dxa"/>
            <w:gridSpan w:val="3"/>
            <w:tcBorders>
              <w:top w:val="single" w:sz="3" w:space="0" w:color="000000"/>
              <w:left w:val="single" w:sz="3" w:space="0" w:color="000000"/>
              <w:bottom w:val="single" w:sz="3" w:space="0" w:color="000000"/>
              <w:right w:val="single" w:sz="3" w:space="0" w:color="000000"/>
            </w:tcBorders>
            <w:shd w:val="clear" w:color="auto" w:fill="FFFFFF"/>
            <w:hideMark/>
          </w:tcPr>
          <w:p w14:paraId="762B8AF4"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ж</w:t>
            </w:r>
          </w:p>
        </w:tc>
        <w:tc>
          <w:tcPr>
            <w:tcW w:w="183" w:type="dxa"/>
            <w:gridSpan w:val="2"/>
            <w:tcBorders>
              <w:top w:val="single" w:sz="3" w:space="0" w:color="000000"/>
              <w:left w:val="single" w:sz="3" w:space="0" w:color="000000"/>
              <w:bottom w:val="single" w:sz="3" w:space="0" w:color="000000"/>
              <w:right w:val="single" w:sz="3" w:space="0" w:color="000000"/>
            </w:tcBorders>
            <w:shd w:val="clear" w:color="auto" w:fill="FFFFFF"/>
            <w:hideMark/>
          </w:tcPr>
          <w:p w14:paraId="7F7EB324"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о</w:t>
            </w:r>
          </w:p>
        </w:tc>
        <w:tc>
          <w:tcPr>
            <w:tcW w:w="225" w:type="dxa"/>
            <w:gridSpan w:val="2"/>
            <w:tcBorders>
              <w:top w:val="single" w:sz="3" w:space="0" w:color="000000"/>
              <w:left w:val="single" w:sz="3" w:space="0" w:color="000000"/>
              <w:bottom w:val="single" w:sz="3" w:space="0" w:color="000000"/>
              <w:right w:val="single" w:sz="3" w:space="0" w:color="000000"/>
            </w:tcBorders>
            <w:shd w:val="clear" w:color="auto" w:fill="FFFFFF"/>
            <w:hideMark/>
          </w:tcPr>
          <w:p w14:paraId="3AAB59B3"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м</w:t>
            </w:r>
          </w:p>
        </w:tc>
        <w:tc>
          <w:tcPr>
            <w:tcW w:w="426" w:type="dxa"/>
            <w:gridSpan w:val="3"/>
            <w:tcBorders>
              <w:top w:val="single" w:sz="3" w:space="0" w:color="000000"/>
              <w:left w:val="single" w:sz="3" w:space="0" w:color="000000"/>
              <w:bottom w:val="single" w:sz="3" w:space="0" w:color="000000"/>
              <w:right w:val="single" w:sz="3" w:space="0" w:color="000000"/>
            </w:tcBorders>
            <w:shd w:val="clear" w:color="auto" w:fill="FFFFFF"/>
            <w:hideMark/>
          </w:tcPr>
          <w:p w14:paraId="5A9CF7F9"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ж</w:t>
            </w:r>
          </w:p>
        </w:tc>
        <w:tc>
          <w:tcPr>
            <w:tcW w:w="431" w:type="dxa"/>
            <w:tcBorders>
              <w:top w:val="single" w:sz="3" w:space="0" w:color="000000"/>
              <w:left w:val="single" w:sz="3" w:space="0" w:color="000000"/>
              <w:bottom w:val="single" w:sz="3" w:space="0" w:color="000000"/>
              <w:right w:val="single" w:sz="3" w:space="0" w:color="000000"/>
            </w:tcBorders>
            <w:shd w:val="clear" w:color="auto" w:fill="FFFFFF"/>
            <w:hideMark/>
          </w:tcPr>
          <w:p w14:paraId="2A923CDE"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Общо</w:t>
            </w:r>
          </w:p>
          <w:p w14:paraId="52E20464" w14:textId="4735CDDD" w:rsidR="005A07CF" w:rsidRPr="007D063B" w:rsidRDefault="005A07CF" w:rsidP="005C1035">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lang w:val="en-US"/>
              </w:rPr>
              <w:t>0</w:t>
            </w:r>
          </w:p>
        </w:tc>
        <w:tc>
          <w:tcPr>
            <w:tcW w:w="191" w:type="dxa"/>
            <w:gridSpan w:val="2"/>
            <w:tcBorders>
              <w:top w:val="single" w:sz="3" w:space="0" w:color="000000"/>
              <w:left w:val="single" w:sz="3" w:space="0" w:color="000000"/>
              <w:bottom w:val="single" w:sz="3" w:space="0" w:color="000000"/>
              <w:right w:val="single" w:sz="3" w:space="0" w:color="000000"/>
            </w:tcBorders>
            <w:shd w:val="clear" w:color="auto" w:fill="FFFFFF"/>
            <w:hideMark/>
          </w:tcPr>
          <w:p w14:paraId="43CF509C" w14:textId="4542E4D9" w:rsidR="005A07CF" w:rsidRPr="007D063B" w:rsidRDefault="006F0133" w:rsidP="005C1035">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rPr>
              <w:t>м</w:t>
            </w:r>
            <w:r w:rsidRPr="007D063B">
              <w:rPr>
                <w:rFonts w:ascii="Times New Roman" w:hAnsi="Times New Roman" w:cs="Times New Roman"/>
                <w:sz w:val="16"/>
                <w:szCs w:val="16"/>
                <w:lang w:val="en-US"/>
              </w:rPr>
              <w:t xml:space="preserve"> </w:t>
            </w:r>
          </w:p>
        </w:tc>
        <w:tc>
          <w:tcPr>
            <w:tcW w:w="195" w:type="dxa"/>
            <w:gridSpan w:val="3"/>
            <w:tcBorders>
              <w:top w:val="single" w:sz="3" w:space="0" w:color="000000"/>
              <w:left w:val="single" w:sz="3" w:space="0" w:color="000000"/>
              <w:bottom w:val="single" w:sz="3" w:space="0" w:color="000000"/>
              <w:right w:val="single" w:sz="3" w:space="0" w:color="000000"/>
            </w:tcBorders>
            <w:shd w:val="clear" w:color="auto" w:fill="FFFFFF"/>
            <w:hideMark/>
          </w:tcPr>
          <w:p w14:paraId="03545A2D"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ж</w:t>
            </w:r>
          </w:p>
        </w:tc>
        <w:tc>
          <w:tcPr>
            <w:tcW w:w="646" w:type="dxa"/>
            <w:gridSpan w:val="2"/>
            <w:tcBorders>
              <w:top w:val="single" w:sz="3" w:space="0" w:color="000000"/>
              <w:left w:val="single" w:sz="3" w:space="0" w:color="000000"/>
              <w:bottom w:val="single" w:sz="3" w:space="0" w:color="000000"/>
              <w:right w:val="single" w:sz="3" w:space="0" w:color="000000"/>
            </w:tcBorders>
            <w:shd w:val="clear" w:color="auto" w:fill="FFFFFF"/>
            <w:hideMark/>
          </w:tcPr>
          <w:p w14:paraId="38E161C5"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Общо</w:t>
            </w:r>
          </w:p>
          <w:p w14:paraId="56141A3B" w14:textId="39709C7B" w:rsidR="004A547A" w:rsidRPr="007D063B" w:rsidRDefault="004A547A"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0</w:t>
            </w:r>
          </w:p>
        </w:tc>
        <w:tc>
          <w:tcPr>
            <w:tcW w:w="196" w:type="dxa"/>
            <w:gridSpan w:val="2"/>
            <w:tcBorders>
              <w:top w:val="single" w:sz="3" w:space="0" w:color="000000"/>
              <w:left w:val="single" w:sz="3" w:space="0" w:color="000000"/>
              <w:bottom w:val="single" w:sz="3" w:space="0" w:color="000000"/>
              <w:right w:val="single" w:sz="3" w:space="0" w:color="000000"/>
            </w:tcBorders>
            <w:shd w:val="clear" w:color="auto" w:fill="FFFFFF"/>
            <w:hideMark/>
          </w:tcPr>
          <w:p w14:paraId="5C3F37E1"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м</w:t>
            </w:r>
          </w:p>
        </w:tc>
        <w:tc>
          <w:tcPr>
            <w:tcW w:w="184" w:type="dxa"/>
            <w:gridSpan w:val="3"/>
            <w:tcBorders>
              <w:top w:val="single" w:sz="3" w:space="0" w:color="000000"/>
              <w:left w:val="single" w:sz="3" w:space="0" w:color="000000"/>
              <w:bottom w:val="single" w:sz="3" w:space="0" w:color="000000"/>
              <w:right w:val="single" w:sz="3" w:space="0" w:color="000000"/>
            </w:tcBorders>
            <w:shd w:val="clear" w:color="auto" w:fill="FFFFFF"/>
            <w:hideMark/>
          </w:tcPr>
          <w:p w14:paraId="004F998B" w14:textId="77777777" w:rsidR="009C6F83" w:rsidRPr="007D063B" w:rsidRDefault="009C6F83" w:rsidP="005C103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ж</w:t>
            </w:r>
          </w:p>
        </w:tc>
      </w:tr>
      <w:tr w:rsidR="003B73DC" w:rsidRPr="007D063B" w14:paraId="40A66C27" w14:textId="77777777" w:rsidTr="005246CB">
        <w:tblPrEx>
          <w:tblBorders>
            <w:top w:val="single" w:sz="2" w:space="0" w:color="000000"/>
            <w:left w:val="single" w:sz="2" w:space="0" w:color="000000"/>
            <w:bottom w:val="single" w:sz="2" w:space="0" w:color="000000"/>
            <w:right w:val="single" w:sz="2" w:space="0" w:color="000000"/>
          </w:tblBorders>
        </w:tblPrEx>
        <w:trPr>
          <w:gridBefore w:val="1"/>
          <w:gridAfter w:val="1"/>
          <w:tblCellSpacing w:w="0" w:type="dxa"/>
        </w:trPr>
        <w:tc>
          <w:tcPr>
            <w:tcW w:w="128" w:type="dxa"/>
            <w:gridSpan w:val="2"/>
            <w:tcBorders>
              <w:top w:val="single" w:sz="2" w:space="0" w:color="000000"/>
              <w:left w:val="single" w:sz="2" w:space="0" w:color="000000"/>
              <w:bottom w:val="single" w:sz="2" w:space="0" w:color="000000"/>
              <w:right w:val="single" w:sz="2" w:space="0" w:color="000000"/>
            </w:tcBorders>
            <w:shd w:val="clear" w:color="auto" w:fill="FFFFFF"/>
          </w:tcPr>
          <w:p w14:paraId="195CFD47" w14:textId="00DC795B" w:rsidR="004A547A" w:rsidRPr="007D063B" w:rsidRDefault="004A547A" w:rsidP="004A547A">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O1-6</w:t>
            </w:r>
          </w:p>
        </w:tc>
        <w:tc>
          <w:tcPr>
            <w:tcW w:w="424" w:type="dxa"/>
            <w:gridSpan w:val="2"/>
            <w:tcBorders>
              <w:top w:val="single" w:sz="2" w:space="0" w:color="000000"/>
              <w:left w:val="single" w:sz="2" w:space="0" w:color="000000"/>
              <w:bottom w:val="single" w:sz="2" w:space="0" w:color="000000"/>
              <w:right w:val="single" w:sz="2" w:space="0" w:color="000000"/>
            </w:tcBorders>
            <w:shd w:val="clear" w:color="auto" w:fill="FFFFFF"/>
          </w:tcPr>
          <w:p w14:paraId="1F6D4A03" w14:textId="5543208D" w:rsidR="004A547A" w:rsidRPr="007D063B" w:rsidRDefault="004A547A" w:rsidP="004A547A">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Проекти за развитие на държавен ХЧО</w:t>
            </w:r>
          </w:p>
        </w:tc>
        <w:tc>
          <w:tcPr>
            <w:tcW w:w="195" w:type="dxa"/>
            <w:gridSpan w:val="2"/>
            <w:tcBorders>
              <w:top w:val="single" w:sz="2" w:space="0" w:color="000000"/>
              <w:left w:val="single" w:sz="2" w:space="0" w:color="000000"/>
              <w:bottom w:val="single" w:sz="2" w:space="0" w:color="000000"/>
              <w:right w:val="single" w:sz="2" w:space="0" w:color="000000"/>
            </w:tcBorders>
            <w:shd w:val="clear" w:color="auto" w:fill="FFFFFF"/>
          </w:tcPr>
          <w:p w14:paraId="3EBD17ED" w14:textId="6F6A2833"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По-слабо развити региони</w:t>
            </w:r>
          </w:p>
        </w:tc>
        <w:tc>
          <w:tcPr>
            <w:tcW w:w="97" w:type="dxa"/>
            <w:gridSpan w:val="2"/>
            <w:tcBorders>
              <w:top w:val="single" w:sz="2" w:space="0" w:color="000000"/>
              <w:left w:val="single" w:sz="2" w:space="0" w:color="000000"/>
              <w:bottom w:val="single" w:sz="2" w:space="0" w:color="000000"/>
              <w:right w:val="single" w:sz="2" w:space="0" w:color="000000"/>
            </w:tcBorders>
            <w:shd w:val="clear" w:color="auto" w:fill="FFFFFF"/>
          </w:tcPr>
          <w:p w14:paraId="774BB9D5" w14:textId="2F3B41E3"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w:t>
            </w:r>
          </w:p>
        </w:tc>
        <w:tc>
          <w:tcPr>
            <w:tcW w:w="166" w:type="dxa"/>
            <w:gridSpan w:val="2"/>
            <w:tcBorders>
              <w:top w:val="single" w:sz="2" w:space="0" w:color="000000"/>
              <w:left w:val="single" w:sz="2" w:space="0" w:color="000000"/>
              <w:bottom w:val="single" w:sz="2" w:space="0" w:color="000000"/>
              <w:right w:val="single" w:sz="2" w:space="0" w:color="000000"/>
            </w:tcBorders>
            <w:shd w:val="clear" w:color="auto" w:fill="FFFFFF"/>
          </w:tcPr>
          <w:p w14:paraId="2F251F4F" w14:textId="54903636"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4</w:t>
            </w:r>
            <w:r w:rsidRPr="007D063B">
              <w:rPr>
                <w:rFonts w:ascii="Times New Roman" w:eastAsia="Times New Roman" w:hAnsi="Times New Roman" w:cs="Times New Roman"/>
                <w:color w:val="000000"/>
                <w:sz w:val="16"/>
                <w:szCs w:val="16"/>
                <w:lang w:eastAsia="bg-BG"/>
              </w:rPr>
              <w:t>,00</w:t>
            </w:r>
          </w:p>
        </w:tc>
        <w:tc>
          <w:tcPr>
            <w:tcW w:w="159" w:type="dxa"/>
            <w:gridSpan w:val="2"/>
            <w:tcBorders>
              <w:top w:val="single" w:sz="2" w:space="0" w:color="000000"/>
              <w:left w:val="single" w:sz="2" w:space="0" w:color="000000"/>
              <w:bottom w:val="single" w:sz="2" w:space="0" w:color="000000"/>
              <w:right w:val="single" w:sz="2" w:space="0" w:color="000000"/>
            </w:tcBorders>
            <w:shd w:val="clear" w:color="auto" w:fill="FFFFFF"/>
          </w:tcPr>
          <w:p w14:paraId="3E2EE826"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30" w:type="dxa"/>
            <w:gridSpan w:val="2"/>
            <w:tcBorders>
              <w:top w:val="single" w:sz="2" w:space="0" w:color="000000"/>
              <w:left w:val="single" w:sz="2" w:space="0" w:color="000000"/>
              <w:bottom w:val="single" w:sz="2" w:space="0" w:color="000000"/>
              <w:right w:val="single" w:sz="2" w:space="0" w:color="000000"/>
            </w:tcBorders>
            <w:shd w:val="clear" w:color="auto" w:fill="FFFFFF"/>
          </w:tcPr>
          <w:p w14:paraId="288CDA77"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68" w:type="dxa"/>
            <w:gridSpan w:val="2"/>
            <w:tcBorders>
              <w:top w:val="single" w:sz="2" w:space="0" w:color="000000"/>
              <w:left w:val="single" w:sz="2" w:space="0" w:color="000000"/>
              <w:bottom w:val="single" w:sz="2" w:space="0" w:color="000000"/>
              <w:right w:val="single" w:sz="2" w:space="0" w:color="000000"/>
            </w:tcBorders>
            <w:shd w:val="clear" w:color="auto" w:fill="FFFFFF"/>
          </w:tcPr>
          <w:p w14:paraId="3EA5C6D8" w14:textId="61D2D68D"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35" w:type="dxa"/>
            <w:gridSpan w:val="2"/>
            <w:tcBorders>
              <w:top w:val="single" w:sz="2" w:space="0" w:color="000000"/>
              <w:left w:val="single" w:sz="2" w:space="0" w:color="000000"/>
              <w:bottom w:val="single" w:sz="2" w:space="0" w:color="000000"/>
              <w:right w:val="single" w:sz="2" w:space="0" w:color="000000"/>
            </w:tcBorders>
            <w:shd w:val="clear" w:color="auto" w:fill="FFFFFF"/>
          </w:tcPr>
          <w:p w14:paraId="78CA2E79"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35" w:type="dxa"/>
            <w:gridSpan w:val="3"/>
            <w:tcBorders>
              <w:top w:val="single" w:sz="2" w:space="0" w:color="000000"/>
              <w:left w:val="single" w:sz="2" w:space="0" w:color="000000"/>
              <w:bottom w:val="single" w:sz="2" w:space="0" w:color="000000"/>
              <w:right w:val="single" w:sz="2" w:space="0" w:color="000000"/>
            </w:tcBorders>
            <w:shd w:val="clear" w:color="auto" w:fill="FFFFFF"/>
          </w:tcPr>
          <w:p w14:paraId="7F65C845"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75" w:type="dxa"/>
            <w:gridSpan w:val="2"/>
            <w:tcBorders>
              <w:top w:val="single" w:sz="2" w:space="0" w:color="000000"/>
              <w:left w:val="single" w:sz="2" w:space="0" w:color="000000"/>
              <w:bottom w:val="single" w:sz="2" w:space="0" w:color="000000"/>
              <w:right w:val="single" w:sz="2" w:space="0" w:color="000000"/>
            </w:tcBorders>
            <w:shd w:val="clear" w:color="auto" w:fill="FFFFFF"/>
          </w:tcPr>
          <w:p w14:paraId="7EC10A0E" w14:textId="707DDB8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35" w:type="dxa"/>
            <w:gridSpan w:val="2"/>
            <w:tcBorders>
              <w:top w:val="single" w:sz="2" w:space="0" w:color="000000"/>
              <w:left w:val="single" w:sz="2" w:space="0" w:color="000000"/>
              <w:bottom w:val="single" w:sz="2" w:space="0" w:color="000000"/>
              <w:right w:val="single" w:sz="2" w:space="0" w:color="000000"/>
            </w:tcBorders>
            <w:shd w:val="clear" w:color="auto" w:fill="FFFFFF"/>
          </w:tcPr>
          <w:p w14:paraId="4EABB931"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35" w:type="dxa"/>
            <w:gridSpan w:val="3"/>
            <w:tcBorders>
              <w:top w:val="single" w:sz="2" w:space="0" w:color="000000"/>
              <w:left w:val="single" w:sz="2" w:space="0" w:color="000000"/>
              <w:bottom w:val="single" w:sz="2" w:space="0" w:color="000000"/>
              <w:right w:val="single" w:sz="2" w:space="0" w:color="000000"/>
            </w:tcBorders>
            <w:shd w:val="clear" w:color="auto" w:fill="FFFFFF"/>
          </w:tcPr>
          <w:p w14:paraId="2CEC5B41"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41" w:type="dxa"/>
            <w:gridSpan w:val="2"/>
            <w:tcBorders>
              <w:top w:val="single" w:sz="2" w:space="0" w:color="000000"/>
              <w:left w:val="single" w:sz="2" w:space="0" w:color="000000"/>
              <w:bottom w:val="single" w:sz="2" w:space="0" w:color="000000"/>
              <w:right w:val="single" w:sz="2" w:space="0" w:color="000000"/>
            </w:tcBorders>
            <w:shd w:val="clear" w:color="auto" w:fill="FFFFFF"/>
          </w:tcPr>
          <w:p w14:paraId="027586E9" w14:textId="06A65AA8" w:rsidR="004A547A" w:rsidRPr="007D063B" w:rsidRDefault="00B8653B"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51" w:type="dxa"/>
            <w:gridSpan w:val="2"/>
            <w:tcBorders>
              <w:top w:val="single" w:sz="2" w:space="0" w:color="000000"/>
              <w:left w:val="single" w:sz="2" w:space="0" w:color="000000"/>
              <w:bottom w:val="single" w:sz="2" w:space="0" w:color="000000"/>
              <w:right w:val="single" w:sz="2" w:space="0" w:color="000000"/>
            </w:tcBorders>
            <w:shd w:val="clear" w:color="auto" w:fill="FFFFFF"/>
          </w:tcPr>
          <w:p w14:paraId="71C55842"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52" w:type="dxa"/>
            <w:gridSpan w:val="3"/>
            <w:tcBorders>
              <w:top w:val="single" w:sz="2" w:space="0" w:color="000000"/>
              <w:left w:val="single" w:sz="2" w:space="0" w:color="000000"/>
              <w:bottom w:val="single" w:sz="2" w:space="0" w:color="000000"/>
              <w:right w:val="single" w:sz="2" w:space="0" w:color="000000"/>
            </w:tcBorders>
            <w:shd w:val="clear" w:color="auto" w:fill="FFFFFF"/>
          </w:tcPr>
          <w:p w14:paraId="3AD7BDFC"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41" w:type="dxa"/>
            <w:gridSpan w:val="2"/>
            <w:tcBorders>
              <w:top w:val="single" w:sz="2" w:space="0" w:color="000000"/>
              <w:left w:val="single" w:sz="2" w:space="0" w:color="000000"/>
              <w:bottom w:val="single" w:sz="2" w:space="0" w:color="000000"/>
              <w:right w:val="single" w:sz="2" w:space="0" w:color="000000"/>
            </w:tcBorders>
            <w:shd w:val="clear" w:color="auto" w:fill="FFFFFF"/>
          </w:tcPr>
          <w:p w14:paraId="01A04D95"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51" w:type="dxa"/>
            <w:gridSpan w:val="2"/>
            <w:tcBorders>
              <w:top w:val="single" w:sz="2" w:space="0" w:color="000000"/>
              <w:left w:val="single" w:sz="2" w:space="0" w:color="000000"/>
              <w:bottom w:val="single" w:sz="2" w:space="0" w:color="000000"/>
              <w:right w:val="single" w:sz="2" w:space="0" w:color="000000"/>
            </w:tcBorders>
            <w:shd w:val="clear" w:color="auto" w:fill="FFFFFF"/>
          </w:tcPr>
          <w:p w14:paraId="7DCD0938"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52" w:type="dxa"/>
            <w:gridSpan w:val="3"/>
            <w:tcBorders>
              <w:top w:val="single" w:sz="2" w:space="0" w:color="000000"/>
              <w:left w:val="single" w:sz="2" w:space="0" w:color="000000"/>
              <w:bottom w:val="single" w:sz="2" w:space="0" w:color="000000"/>
              <w:right w:val="single" w:sz="2" w:space="0" w:color="000000"/>
            </w:tcBorders>
            <w:shd w:val="clear" w:color="auto" w:fill="FFFFFF"/>
          </w:tcPr>
          <w:p w14:paraId="3DE79D1C"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41" w:type="dxa"/>
            <w:gridSpan w:val="2"/>
            <w:tcBorders>
              <w:top w:val="single" w:sz="2" w:space="0" w:color="000000"/>
              <w:left w:val="single" w:sz="2" w:space="0" w:color="000000"/>
              <w:bottom w:val="single" w:sz="2" w:space="0" w:color="000000"/>
              <w:right w:val="single" w:sz="2" w:space="0" w:color="000000"/>
            </w:tcBorders>
            <w:shd w:val="clear" w:color="auto" w:fill="FFFFFF"/>
          </w:tcPr>
          <w:p w14:paraId="7983129C"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51" w:type="dxa"/>
            <w:gridSpan w:val="2"/>
            <w:tcBorders>
              <w:top w:val="single" w:sz="2" w:space="0" w:color="000000"/>
              <w:left w:val="single" w:sz="2" w:space="0" w:color="000000"/>
              <w:bottom w:val="single" w:sz="2" w:space="0" w:color="000000"/>
              <w:right w:val="single" w:sz="2" w:space="0" w:color="000000"/>
            </w:tcBorders>
            <w:shd w:val="clear" w:color="auto" w:fill="FFFFFF"/>
          </w:tcPr>
          <w:p w14:paraId="346DE9E7"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52" w:type="dxa"/>
            <w:gridSpan w:val="3"/>
            <w:tcBorders>
              <w:top w:val="single" w:sz="2" w:space="0" w:color="000000"/>
              <w:left w:val="single" w:sz="2" w:space="0" w:color="000000"/>
              <w:bottom w:val="single" w:sz="2" w:space="0" w:color="000000"/>
              <w:right w:val="single" w:sz="2" w:space="0" w:color="000000"/>
            </w:tcBorders>
            <w:shd w:val="clear" w:color="auto" w:fill="FFFFFF"/>
          </w:tcPr>
          <w:p w14:paraId="77B306E0"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41" w:type="dxa"/>
            <w:gridSpan w:val="2"/>
            <w:tcBorders>
              <w:top w:val="single" w:sz="2" w:space="0" w:color="000000"/>
              <w:left w:val="single" w:sz="2" w:space="0" w:color="000000"/>
              <w:bottom w:val="single" w:sz="2" w:space="0" w:color="000000"/>
              <w:right w:val="single" w:sz="2" w:space="0" w:color="000000"/>
            </w:tcBorders>
            <w:shd w:val="clear" w:color="auto" w:fill="FFFFFF"/>
          </w:tcPr>
          <w:p w14:paraId="2A1BB5EA"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51" w:type="dxa"/>
            <w:gridSpan w:val="2"/>
            <w:tcBorders>
              <w:top w:val="single" w:sz="2" w:space="0" w:color="000000"/>
              <w:left w:val="single" w:sz="2" w:space="0" w:color="000000"/>
              <w:bottom w:val="single" w:sz="2" w:space="0" w:color="000000"/>
              <w:right w:val="single" w:sz="2" w:space="0" w:color="000000"/>
            </w:tcBorders>
            <w:shd w:val="clear" w:color="auto" w:fill="FFFFFF"/>
          </w:tcPr>
          <w:p w14:paraId="041E9346"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52" w:type="dxa"/>
            <w:gridSpan w:val="3"/>
            <w:tcBorders>
              <w:top w:val="single" w:sz="2" w:space="0" w:color="000000"/>
              <w:left w:val="single" w:sz="2" w:space="0" w:color="000000"/>
              <w:bottom w:val="single" w:sz="2" w:space="0" w:color="000000"/>
              <w:right w:val="single" w:sz="2" w:space="0" w:color="000000"/>
            </w:tcBorders>
            <w:shd w:val="clear" w:color="auto" w:fill="FFFFFF"/>
          </w:tcPr>
          <w:p w14:paraId="24049FED"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41" w:type="dxa"/>
            <w:gridSpan w:val="2"/>
            <w:tcBorders>
              <w:top w:val="single" w:sz="2" w:space="0" w:color="000000"/>
              <w:left w:val="single" w:sz="2" w:space="0" w:color="000000"/>
              <w:bottom w:val="single" w:sz="2" w:space="0" w:color="000000"/>
              <w:right w:val="single" w:sz="2" w:space="0" w:color="000000"/>
            </w:tcBorders>
            <w:shd w:val="clear" w:color="auto" w:fill="FFFFFF"/>
          </w:tcPr>
          <w:p w14:paraId="6078031D"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51" w:type="dxa"/>
            <w:gridSpan w:val="2"/>
            <w:tcBorders>
              <w:top w:val="single" w:sz="2" w:space="0" w:color="000000"/>
              <w:left w:val="single" w:sz="2" w:space="0" w:color="000000"/>
              <w:bottom w:val="single" w:sz="2" w:space="0" w:color="000000"/>
              <w:right w:val="single" w:sz="2" w:space="0" w:color="000000"/>
            </w:tcBorders>
            <w:shd w:val="clear" w:color="auto" w:fill="FFFFFF"/>
          </w:tcPr>
          <w:p w14:paraId="771C5C54"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52" w:type="dxa"/>
            <w:gridSpan w:val="3"/>
            <w:tcBorders>
              <w:top w:val="single" w:sz="2" w:space="0" w:color="000000"/>
              <w:left w:val="single" w:sz="2" w:space="0" w:color="000000"/>
              <w:bottom w:val="single" w:sz="2" w:space="0" w:color="000000"/>
              <w:right w:val="single" w:sz="2" w:space="0" w:color="000000"/>
            </w:tcBorders>
            <w:shd w:val="clear" w:color="auto" w:fill="FFFFFF"/>
          </w:tcPr>
          <w:p w14:paraId="160EF8D5"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41" w:type="dxa"/>
            <w:gridSpan w:val="2"/>
            <w:tcBorders>
              <w:top w:val="single" w:sz="2" w:space="0" w:color="000000"/>
              <w:left w:val="single" w:sz="2" w:space="0" w:color="000000"/>
              <w:bottom w:val="single" w:sz="2" w:space="0" w:color="000000"/>
              <w:right w:val="single" w:sz="2" w:space="0" w:color="000000"/>
            </w:tcBorders>
            <w:shd w:val="clear" w:color="auto" w:fill="FFFFFF"/>
          </w:tcPr>
          <w:p w14:paraId="576CAFA9"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51" w:type="dxa"/>
            <w:gridSpan w:val="2"/>
            <w:tcBorders>
              <w:top w:val="single" w:sz="2" w:space="0" w:color="000000"/>
              <w:left w:val="single" w:sz="2" w:space="0" w:color="000000"/>
              <w:bottom w:val="single" w:sz="2" w:space="0" w:color="000000"/>
              <w:right w:val="single" w:sz="2" w:space="0" w:color="000000"/>
            </w:tcBorders>
            <w:shd w:val="clear" w:color="auto" w:fill="FFFFFF"/>
          </w:tcPr>
          <w:p w14:paraId="7F9BCDA4"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52" w:type="dxa"/>
            <w:gridSpan w:val="3"/>
            <w:tcBorders>
              <w:top w:val="single" w:sz="2" w:space="0" w:color="000000"/>
              <w:left w:val="single" w:sz="2" w:space="0" w:color="000000"/>
              <w:bottom w:val="single" w:sz="2" w:space="0" w:color="000000"/>
              <w:right w:val="single" w:sz="2" w:space="0" w:color="000000"/>
            </w:tcBorders>
            <w:shd w:val="clear" w:color="auto" w:fill="FFFFFF"/>
          </w:tcPr>
          <w:p w14:paraId="172D1852"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41" w:type="dxa"/>
            <w:gridSpan w:val="2"/>
            <w:tcBorders>
              <w:top w:val="single" w:sz="2" w:space="0" w:color="000000"/>
              <w:left w:val="single" w:sz="2" w:space="0" w:color="000000"/>
              <w:bottom w:val="single" w:sz="2" w:space="0" w:color="000000"/>
              <w:right w:val="single" w:sz="2" w:space="0" w:color="000000"/>
            </w:tcBorders>
            <w:shd w:val="clear" w:color="auto" w:fill="FFFFFF"/>
          </w:tcPr>
          <w:p w14:paraId="380AD27D"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51" w:type="dxa"/>
            <w:gridSpan w:val="2"/>
            <w:tcBorders>
              <w:top w:val="single" w:sz="2" w:space="0" w:color="000000"/>
              <w:left w:val="single" w:sz="2" w:space="0" w:color="000000"/>
              <w:bottom w:val="single" w:sz="2" w:space="0" w:color="000000"/>
              <w:right w:val="single" w:sz="2" w:space="0" w:color="000000"/>
            </w:tcBorders>
            <w:shd w:val="clear" w:color="auto" w:fill="FFFFFF"/>
          </w:tcPr>
          <w:p w14:paraId="1239D0F1"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52" w:type="dxa"/>
            <w:gridSpan w:val="3"/>
            <w:tcBorders>
              <w:top w:val="single" w:sz="2" w:space="0" w:color="000000"/>
              <w:left w:val="single" w:sz="2" w:space="0" w:color="000000"/>
              <w:bottom w:val="single" w:sz="2" w:space="0" w:color="000000"/>
              <w:right w:val="single" w:sz="2" w:space="0" w:color="000000"/>
            </w:tcBorders>
            <w:shd w:val="clear" w:color="auto" w:fill="FFFFFF"/>
          </w:tcPr>
          <w:p w14:paraId="4F11649F"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41" w:type="dxa"/>
            <w:gridSpan w:val="2"/>
            <w:tcBorders>
              <w:top w:val="single" w:sz="2" w:space="0" w:color="000000"/>
              <w:left w:val="single" w:sz="2" w:space="0" w:color="000000"/>
              <w:bottom w:val="single" w:sz="2" w:space="0" w:color="000000"/>
              <w:right w:val="single" w:sz="2" w:space="0" w:color="000000"/>
            </w:tcBorders>
            <w:shd w:val="clear" w:color="auto" w:fill="FFFFFF"/>
          </w:tcPr>
          <w:p w14:paraId="694E1501"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51" w:type="dxa"/>
            <w:gridSpan w:val="2"/>
            <w:tcBorders>
              <w:top w:val="single" w:sz="2" w:space="0" w:color="000000"/>
              <w:left w:val="single" w:sz="2" w:space="0" w:color="000000"/>
              <w:bottom w:val="single" w:sz="2" w:space="0" w:color="000000"/>
              <w:right w:val="single" w:sz="2" w:space="0" w:color="000000"/>
            </w:tcBorders>
            <w:shd w:val="clear" w:color="auto" w:fill="FFFFFF"/>
          </w:tcPr>
          <w:p w14:paraId="7388C11E"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94" w:type="dxa"/>
            <w:tcBorders>
              <w:top w:val="single" w:sz="2" w:space="0" w:color="000000"/>
              <w:left w:val="single" w:sz="2" w:space="0" w:color="000000"/>
              <w:bottom w:val="single" w:sz="2" w:space="0" w:color="000000"/>
              <w:right w:val="single" w:sz="2" w:space="0" w:color="000000"/>
            </w:tcBorders>
            <w:shd w:val="clear" w:color="auto" w:fill="FFFFFF"/>
          </w:tcPr>
          <w:p w14:paraId="6065A278"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02" w:type="dxa"/>
            <w:gridSpan w:val="3"/>
            <w:tcBorders>
              <w:top w:val="single" w:sz="2" w:space="0" w:color="000000"/>
              <w:left w:val="single" w:sz="2" w:space="0" w:color="000000"/>
              <w:bottom w:val="single" w:sz="2" w:space="0" w:color="000000"/>
              <w:right w:val="single" w:sz="2" w:space="0" w:color="000000"/>
            </w:tcBorders>
            <w:shd w:val="clear" w:color="auto" w:fill="FFFFFF"/>
          </w:tcPr>
          <w:p w14:paraId="3616B820" w14:textId="7627807B"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43" w:type="dxa"/>
            <w:gridSpan w:val="2"/>
            <w:tcBorders>
              <w:top w:val="single" w:sz="2" w:space="0" w:color="000000"/>
              <w:left w:val="single" w:sz="2" w:space="0" w:color="000000"/>
              <w:bottom w:val="single" w:sz="2" w:space="0" w:color="000000"/>
              <w:right w:val="single" w:sz="2" w:space="0" w:color="000000"/>
            </w:tcBorders>
            <w:shd w:val="clear" w:color="auto" w:fill="FFFFFF"/>
          </w:tcPr>
          <w:p w14:paraId="20A277FF"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44" w:type="dxa"/>
            <w:gridSpan w:val="3"/>
            <w:tcBorders>
              <w:top w:val="single" w:sz="2" w:space="0" w:color="000000"/>
              <w:left w:val="single" w:sz="2" w:space="0" w:color="000000"/>
              <w:bottom w:val="single" w:sz="2" w:space="0" w:color="000000"/>
              <w:right w:val="single" w:sz="2" w:space="0" w:color="000000"/>
            </w:tcBorders>
            <w:shd w:val="clear" w:color="auto" w:fill="FFFFFF"/>
          </w:tcPr>
          <w:p w14:paraId="13E23959"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48" w:type="dxa"/>
            <w:gridSpan w:val="2"/>
            <w:tcBorders>
              <w:top w:val="single" w:sz="2" w:space="0" w:color="000000"/>
              <w:left w:val="single" w:sz="2" w:space="0" w:color="000000"/>
              <w:bottom w:val="single" w:sz="2" w:space="0" w:color="000000"/>
              <w:right w:val="single" w:sz="2" w:space="0" w:color="000000"/>
            </w:tcBorders>
            <w:shd w:val="clear" w:color="auto" w:fill="FFFFFF"/>
          </w:tcPr>
          <w:p w14:paraId="68BEB849" w14:textId="7CA4B9CC"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45" w:type="dxa"/>
            <w:gridSpan w:val="2"/>
            <w:tcBorders>
              <w:top w:val="single" w:sz="2" w:space="0" w:color="000000"/>
              <w:left w:val="single" w:sz="2" w:space="0" w:color="000000"/>
              <w:bottom w:val="single" w:sz="2" w:space="0" w:color="000000"/>
              <w:right w:val="single" w:sz="2" w:space="0" w:color="000000"/>
            </w:tcBorders>
            <w:shd w:val="clear" w:color="auto" w:fill="FFFFFF"/>
          </w:tcPr>
          <w:p w14:paraId="77B0C81F"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38" w:type="dxa"/>
            <w:tcBorders>
              <w:top w:val="single" w:sz="2" w:space="0" w:color="000000"/>
              <w:left w:val="single" w:sz="2" w:space="0" w:color="000000"/>
              <w:bottom w:val="single" w:sz="2" w:space="0" w:color="000000"/>
              <w:right w:val="single" w:sz="2" w:space="0" w:color="000000"/>
            </w:tcBorders>
            <w:shd w:val="clear" w:color="auto" w:fill="FFFFFF"/>
          </w:tcPr>
          <w:p w14:paraId="53FA33EA"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72D4D7D6" w14:textId="77777777" w:rsidTr="005246CB">
        <w:trPr>
          <w:gridBefore w:val="1"/>
          <w:gridAfter w:val="1"/>
          <w:tblCellSpacing w:w="0" w:type="dxa"/>
        </w:trPr>
        <w:tc>
          <w:tcPr>
            <w:tcW w:w="560" w:type="dxa"/>
            <w:gridSpan w:val="2"/>
            <w:tcBorders>
              <w:top w:val="single" w:sz="6" w:space="0" w:color="000000"/>
              <w:left w:val="single" w:sz="6" w:space="0" w:color="000000"/>
              <w:bottom w:val="single" w:sz="6" w:space="0" w:color="000000"/>
              <w:right w:val="single" w:sz="6" w:space="0" w:color="000000"/>
            </w:tcBorders>
            <w:shd w:val="clear" w:color="auto" w:fill="FFFFFF"/>
          </w:tcPr>
          <w:p w14:paraId="1B14C02A" w14:textId="185ADA97" w:rsidR="004A547A" w:rsidRPr="007D063B" w:rsidRDefault="004A547A" w:rsidP="004A547A">
            <w:pPr>
              <w:spacing w:before="120" w:after="0" w:line="240" w:lineRule="auto"/>
              <w:jc w:val="both"/>
              <w:rPr>
                <w:rFonts w:ascii="Times New Roman" w:eastAsia="Times New Roman" w:hAnsi="Times New Roman" w:cs="Times New Roman"/>
                <w:color w:val="000000"/>
                <w:sz w:val="16"/>
                <w:szCs w:val="16"/>
                <w:lang w:eastAsia="bg-BG"/>
              </w:rPr>
            </w:pPr>
          </w:p>
          <w:p w14:paraId="708092C4" w14:textId="38322F05" w:rsidR="004A547A" w:rsidRPr="007D063B" w:rsidRDefault="004A547A" w:rsidP="004A547A">
            <w:pPr>
              <w:rPr>
                <w:rFonts w:ascii="Times New Roman" w:eastAsia="Times New Roman" w:hAnsi="Times New Roman" w:cs="Times New Roman"/>
                <w:sz w:val="16"/>
                <w:szCs w:val="16"/>
                <w:lang w:eastAsia="bg-BG"/>
              </w:rPr>
            </w:pPr>
            <w:r w:rsidRPr="007D063B">
              <w:rPr>
                <w:rFonts w:ascii="Times New Roman" w:hAnsi="Times New Roman" w:cs="Times New Roman"/>
                <w:sz w:val="16"/>
                <w:szCs w:val="16"/>
              </w:rPr>
              <w:t>O1-7</w:t>
            </w:r>
          </w:p>
        </w:tc>
        <w:tc>
          <w:tcPr>
            <w:tcW w:w="1844" w:type="dxa"/>
            <w:gridSpan w:val="2"/>
            <w:tcBorders>
              <w:top w:val="single" w:sz="6" w:space="0" w:color="000000"/>
              <w:left w:val="single" w:sz="6" w:space="0" w:color="000000"/>
              <w:bottom w:val="single" w:sz="6" w:space="0" w:color="000000"/>
              <w:right w:val="single" w:sz="6" w:space="0" w:color="000000"/>
            </w:tcBorders>
            <w:shd w:val="clear" w:color="auto" w:fill="FFFFFF"/>
          </w:tcPr>
          <w:p w14:paraId="061CDBF3" w14:textId="23440BFA" w:rsidR="004A547A" w:rsidRPr="007D063B" w:rsidRDefault="004A547A" w:rsidP="004A547A">
            <w:pPr>
              <w:spacing w:before="120" w:after="0" w:line="240" w:lineRule="auto"/>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 подкрепени регистри</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C2EB58F" w14:textId="569529BB"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По-слабо развити региони</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6F7FA97" w14:textId="4C27B9CF"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w:t>
            </w:r>
          </w:p>
        </w:tc>
        <w:tc>
          <w:tcPr>
            <w:tcW w:w="72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2554790" w14:textId="419797D0"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100,00</w:t>
            </w:r>
          </w:p>
        </w:tc>
        <w:tc>
          <w:tcPr>
            <w:tcW w:w="69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CA7333C" w14:textId="6FA7D875"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56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565490F" w14:textId="1527EECD"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9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9B08A23" w14:textId="275BB0FF"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4B01158" w14:textId="7E17BAA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1963264" w14:textId="6F60A083"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32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A17DC80" w14:textId="768C35EC"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07300DB" w14:textId="68FAA791"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6F489AF" w14:textId="72FB47C1"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E52B3ED" w14:textId="36F09967" w:rsidR="004A547A" w:rsidRPr="007D063B" w:rsidRDefault="00B8653B"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5CD4B2A" w14:textId="74BB5F7C"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FC94958" w14:textId="534B0F7B"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80FB2EC" w14:textId="019DD035"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D4FEE9D" w14:textId="1E4931A9"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E81BF92" w14:textId="7902E0E8"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29F2945" w14:textId="7E7B18AE"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EFEFEC0" w14:textId="536EBF20"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77FFEEB" w14:textId="5AA70876"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46337E4" w14:textId="54FC8EE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D63FA5A" w14:textId="78030D4E"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F87FDF9" w14:textId="28225DED"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F272AE6" w14:textId="497A18DA"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CA5938C" w14:textId="6C182F2C"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71A1B1B" w14:textId="76D68BDD"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F8EABF5" w14:textId="1FC0983F"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F67A4FB" w14:textId="3A9D5F36"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630F5E5" w14:textId="425A688B"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F561B53" w14:textId="216972BE"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562FD6A" w14:textId="6563991F"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1A0C989" w14:textId="38F619A5"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0607AB1" w14:textId="5442B18C"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04F9DC2" w14:textId="1DA22333"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410" w:type="dxa"/>
            <w:tcBorders>
              <w:top w:val="single" w:sz="6" w:space="0" w:color="000000"/>
              <w:left w:val="single" w:sz="6" w:space="0" w:color="000000"/>
              <w:bottom w:val="single" w:sz="6" w:space="0" w:color="000000"/>
              <w:right w:val="single" w:sz="6" w:space="0" w:color="000000"/>
            </w:tcBorders>
            <w:shd w:val="clear" w:color="auto" w:fill="FFFFFF"/>
            <w:hideMark/>
          </w:tcPr>
          <w:p w14:paraId="196403EE" w14:textId="702D1F1C"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447"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CF77CE1" w14:textId="6478EFC8"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19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D7E9F27" w14:textId="110841DD"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95"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DAC65B8" w14:textId="04D36A7E"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64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9C739C9" w14:textId="5678CCB5"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19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B0083E6" w14:textId="012B003B"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68" w:type="dxa"/>
            <w:tcBorders>
              <w:top w:val="single" w:sz="6" w:space="0" w:color="000000"/>
              <w:left w:val="single" w:sz="6" w:space="0" w:color="000000"/>
              <w:bottom w:val="single" w:sz="6" w:space="0" w:color="000000"/>
              <w:right w:val="single" w:sz="6" w:space="0" w:color="000000"/>
            </w:tcBorders>
            <w:shd w:val="clear" w:color="auto" w:fill="FFFFFF"/>
            <w:hideMark/>
          </w:tcPr>
          <w:p w14:paraId="1DD0EB05" w14:textId="69B48A15"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13615E58" w14:textId="77777777" w:rsidTr="005246CB">
        <w:trPr>
          <w:gridBefore w:val="1"/>
          <w:gridAfter w:val="1"/>
          <w:tblCellSpacing w:w="0" w:type="dxa"/>
        </w:trPr>
        <w:tc>
          <w:tcPr>
            <w:tcW w:w="560" w:type="dxa"/>
            <w:gridSpan w:val="2"/>
            <w:tcBorders>
              <w:top w:val="single" w:sz="6" w:space="0" w:color="000000"/>
              <w:left w:val="single" w:sz="6" w:space="0" w:color="000000"/>
              <w:bottom w:val="single" w:sz="6" w:space="0" w:color="000000"/>
              <w:right w:val="single" w:sz="6" w:space="0" w:color="000000"/>
            </w:tcBorders>
            <w:shd w:val="clear" w:color="auto" w:fill="FFFFFF"/>
          </w:tcPr>
          <w:p w14:paraId="0DA87B0A" w14:textId="530EC09D" w:rsidR="004A547A" w:rsidRPr="007D063B" w:rsidRDefault="004A547A" w:rsidP="004A547A">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O1-9</w:t>
            </w:r>
          </w:p>
        </w:tc>
        <w:tc>
          <w:tcPr>
            <w:tcW w:w="1844" w:type="dxa"/>
            <w:gridSpan w:val="2"/>
            <w:tcBorders>
              <w:top w:val="single" w:sz="6" w:space="0" w:color="000000"/>
              <w:left w:val="single" w:sz="6" w:space="0" w:color="000000"/>
              <w:bottom w:val="single" w:sz="6" w:space="0" w:color="000000"/>
              <w:right w:val="single" w:sz="6" w:space="0" w:color="000000"/>
            </w:tcBorders>
            <w:shd w:val="clear" w:color="auto" w:fill="FFFFFF"/>
          </w:tcPr>
          <w:p w14:paraId="1384ED20" w14:textId="789CE60F" w:rsidR="004A547A" w:rsidRPr="007D063B" w:rsidRDefault="004A547A" w:rsidP="004A547A">
            <w:pPr>
              <w:spacing w:before="120" w:after="0" w:line="240" w:lineRule="auto"/>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 проекти за развитие на секторните системи на е- управление (е- обществени поръчки, е- здравеопазване, е-митници, е- архивиране, е- осигуряване и др.)</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14:paraId="6D89AAD5" w14:textId="336ED8DB"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По-слабо развити регион</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556B8EC9" w14:textId="37BF6F24"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w:t>
            </w:r>
          </w:p>
        </w:tc>
        <w:tc>
          <w:tcPr>
            <w:tcW w:w="723" w:type="dxa"/>
            <w:gridSpan w:val="2"/>
            <w:tcBorders>
              <w:top w:val="single" w:sz="6" w:space="0" w:color="000000"/>
              <w:left w:val="single" w:sz="6" w:space="0" w:color="000000"/>
              <w:bottom w:val="single" w:sz="6" w:space="0" w:color="000000"/>
              <w:right w:val="single" w:sz="6" w:space="0" w:color="000000"/>
            </w:tcBorders>
            <w:shd w:val="clear" w:color="auto" w:fill="FFFFFF"/>
          </w:tcPr>
          <w:p w14:paraId="1A5193F5" w14:textId="34676F60"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15,00</w:t>
            </w:r>
          </w:p>
        </w:tc>
        <w:tc>
          <w:tcPr>
            <w:tcW w:w="695" w:type="dxa"/>
            <w:gridSpan w:val="2"/>
            <w:tcBorders>
              <w:top w:val="single" w:sz="6" w:space="0" w:color="000000"/>
              <w:left w:val="single" w:sz="6" w:space="0" w:color="000000"/>
              <w:bottom w:val="single" w:sz="6" w:space="0" w:color="000000"/>
              <w:right w:val="single" w:sz="6" w:space="0" w:color="000000"/>
            </w:tcBorders>
            <w:shd w:val="clear" w:color="auto" w:fill="FFFFFF"/>
          </w:tcPr>
          <w:p w14:paraId="46A5D6CD"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566" w:type="dxa"/>
            <w:gridSpan w:val="2"/>
            <w:tcBorders>
              <w:top w:val="single" w:sz="6" w:space="0" w:color="000000"/>
              <w:left w:val="single" w:sz="6" w:space="0" w:color="000000"/>
              <w:bottom w:val="single" w:sz="6" w:space="0" w:color="000000"/>
              <w:right w:val="single" w:sz="6" w:space="0" w:color="000000"/>
            </w:tcBorders>
            <w:shd w:val="clear" w:color="auto" w:fill="FFFFFF"/>
          </w:tcPr>
          <w:p w14:paraId="632E442C"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99" w:type="dxa"/>
            <w:gridSpan w:val="2"/>
            <w:tcBorders>
              <w:top w:val="single" w:sz="6" w:space="0" w:color="000000"/>
              <w:left w:val="single" w:sz="6" w:space="0" w:color="000000"/>
              <w:bottom w:val="single" w:sz="6" w:space="0" w:color="000000"/>
              <w:right w:val="single" w:sz="6" w:space="0" w:color="000000"/>
            </w:tcBorders>
            <w:shd w:val="clear" w:color="auto" w:fill="FFFFFF"/>
          </w:tcPr>
          <w:p w14:paraId="00FA33B0" w14:textId="7BFDA64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3" w:type="dxa"/>
            <w:gridSpan w:val="2"/>
            <w:tcBorders>
              <w:top w:val="single" w:sz="6" w:space="0" w:color="000000"/>
              <w:left w:val="single" w:sz="6" w:space="0" w:color="000000"/>
              <w:bottom w:val="single" w:sz="6" w:space="0" w:color="000000"/>
              <w:right w:val="single" w:sz="6" w:space="0" w:color="000000"/>
            </w:tcBorders>
            <w:shd w:val="clear" w:color="auto" w:fill="FFFFFF"/>
          </w:tcPr>
          <w:p w14:paraId="199DA967"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3"/>
            <w:tcBorders>
              <w:top w:val="single" w:sz="6" w:space="0" w:color="000000"/>
              <w:left w:val="single" w:sz="6" w:space="0" w:color="000000"/>
              <w:bottom w:val="single" w:sz="6" w:space="0" w:color="000000"/>
              <w:right w:val="single" w:sz="6" w:space="0" w:color="000000"/>
            </w:tcBorders>
            <w:shd w:val="clear" w:color="auto" w:fill="FFFFFF"/>
          </w:tcPr>
          <w:p w14:paraId="50788C51"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3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3BABD1BC" w14:textId="4CE0E243"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3" w:type="dxa"/>
            <w:gridSpan w:val="2"/>
            <w:tcBorders>
              <w:top w:val="single" w:sz="6" w:space="0" w:color="000000"/>
              <w:left w:val="single" w:sz="6" w:space="0" w:color="000000"/>
              <w:bottom w:val="single" w:sz="6" w:space="0" w:color="000000"/>
              <w:right w:val="single" w:sz="6" w:space="0" w:color="000000"/>
            </w:tcBorders>
            <w:shd w:val="clear" w:color="auto" w:fill="FFFFFF"/>
          </w:tcPr>
          <w:p w14:paraId="4999F469"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3"/>
            <w:tcBorders>
              <w:top w:val="single" w:sz="6" w:space="0" w:color="000000"/>
              <w:left w:val="single" w:sz="6" w:space="0" w:color="000000"/>
              <w:bottom w:val="single" w:sz="6" w:space="0" w:color="000000"/>
              <w:right w:val="single" w:sz="6" w:space="0" w:color="000000"/>
            </w:tcBorders>
            <w:shd w:val="clear" w:color="auto" w:fill="FFFFFF"/>
          </w:tcPr>
          <w:p w14:paraId="32423530"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30FF527F" w14:textId="4739CB00" w:rsidR="004A547A" w:rsidRPr="007D063B" w:rsidRDefault="00B8653B"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4E0CA6BB"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5665308B"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030431D2"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52F7F94A"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0E2367FA"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7F588F00"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0372E126"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693422E1"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102AF4CC"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5AFDEE87"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5AB4A8A1"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5FB5FE6E"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63EEA8E9"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55D2E283"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16489CB3"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7AB04216"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56E435A2"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0BEA7A92"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3D6CEA09"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165B418D"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45EE6F60"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673395B5"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410" w:type="dxa"/>
            <w:tcBorders>
              <w:top w:val="single" w:sz="6" w:space="0" w:color="000000"/>
              <w:left w:val="single" w:sz="6" w:space="0" w:color="000000"/>
              <w:bottom w:val="single" w:sz="6" w:space="0" w:color="000000"/>
              <w:right w:val="single" w:sz="6" w:space="0" w:color="000000"/>
            </w:tcBorders>
            <w:shd w:val="clear" w:color="auto" w:fill="FFFFFF"/>
          </w:tcPr>
          <w:p w14:paraId="410326CE"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447" w:type="dxa"/>
            <w:gridSpan w:val="3"/>
            <w:tcBorders>
              <w:top w:val="single" w:sz="6" w:space="0" w:color="000000"/>
              <w:left w:val="single" w:sz="6" w:space="0" w:color="000000"/>
              <w:bottom w:val="single" w:sz="6" w:space="0" w:color="000000"/>
              <w:right w:val="single" w:sz="6" w:space="0" w:color="000000"/>
            </w:tcBorders>
            <w:shd w:val="clear" w:color="auto" w:fill="FFFFFF"/>
          </w:tcPr>
          <w:p w14:paraId="30F495D0" w14:textId="0E93CAAA"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191" w:type="dxa"/>
            <w:gridSpan w:val="2"/>
            <w:tcBorders>
              <w:top w:val="single" w:sz="6" w:space="0" w:color="000000"/>
              <w:left w:val="single" w:sz="6" w:space="0" w:color="000000"/>
              <w:bottom w:val="single" w:sz="6" w:space="0" w:color="000000"/>
              <w:right w:val="single" w:sz="6" w:space="0" w:color="000000"/>
            </w:tcBorders>
            <w:shd w:val="clear" w:color="auto" w:fill="FFFFFF"/>
          </w:tcPr>
          <w:p w14:paraId="32241266"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95" w:type="dxa"/>
            <w:gridSpan w:val="3"/>
            <w:tcBorders>
              <w:top w:val="single" w:sz="6" w:space="0" w:color="000000"/>
              <w:left w:val="single" w:sz="6" w:space="0" w:color="000000"/>
              <w:bottom w:val="single" w:sz="6" w:space="0" w:color="000000"/>
              <w:right w:val="single" w:sz="6" w:space="0" w:color="000000"/>
            </w:tcBorders>
            <w:shd w:val="clear" w:color="auto" w:fill="FFFFFF"/>
          </w:tcPr>
          <w:p w14:paraId="2CE2919F"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646" w:type="dxa"/>
            <w:gridSpan w:val="2"/>
            <w:tcBorders>
              <w:top w:val="single" w:sz="6" w:space="0" w:color="000000"/>
              <w:left w:val="single" w:sz="6" w:space="0" w:color="000000"/>
              <w:bottom w:val="single" w:sz="6" w:space="0" w:color="000000"/>
              <w:right w:val="single" w:sz="6" w:space="0" w:color="000000"/>
            </w:tcBorders>
            <w:shd w:val="clear" w:color="auto" w:fill="FFFFFF"/>
          </w:tcPr>
          <w:p w14:paraId="0AF94DF1" w14:textId="7352107F"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196" w:type="dxa"/>
            <w:gridSpan w:val="2"/>
            <w:tcBorders>
              <w:top w:val="single" w:sz="6" w:space="0" w:color="000000"/>
              <w:left w:val="single" w:sz="6" w:space="0" w:color="000000"/>
              <w:bottom w:val="single" w:sz="6" w:space="0" w:color="000000"/>
              <w:right w:val="single" w:sz="6" w:space="0" w:color="000000"/>
            </w:tcBorders>
            <w:shd w:val="clear" w:color="auto" w:fill="FFFFFF"/>
          </w:tcPr>
          <w:p w14:paraId="192FCD7A"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68" w:type="dxa"/>
            <w:tcBorders>
              <w:top w:val="single" w:sz="6" w:space="0" w:color="000000"/>
              <w:left w:val="single" w:sz="6" w:space="0" w:color="000000"/>
              <w:bottom w:val="single" w:sz="6" w:space="0" w:color="000000"/>
              <w:right w:val="single" w:sz="6" w:space="0" w:color="000000"/>
            </w:tcBorders>
            <w:shd w:val="clear" w:color="auto" w:fill="FFFFFF"/>
          </w:tcPr>
          <w:p w14:paraId="59EA7A44"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4A7124D1" w14:textId="77777777" w:rsidTr="005246CB">
        <w:trPr>
          <w:gridBefore w:val="1"/>
          <w:gridAfter w:val="1"/>
          <w:tblCellSpacing w:w="0" w:type="dxa"/>
        </w:trPr>
        <w:tc>
          <w:tcPr>
            <w:tcW w:w="560" w:type="dxa"/>
            <w:gridSpan w:val="2"/>
            <w:tcBorders>
              <w:top w:val="single" w:sz="6" w:space="0" w:color="000000"/>
              <w:left w:val="single" w:sz="6" w:space="0" w:color="000000"/>
              <w:bottom w:val="single" w:sz="6" w:space="0" w:color="000000"/>
              <w:right w:val="single" w:sz="6" w:space="0" w:color="000000"/>
            </w:tcBorders>
            <w:shd w:val="clear" w:color="auto" w:fill="FFFFFF"/>
          </w:tcPr>
          <w:p w14:paraId="45275557" w14:textId="4013306F" w:rsidR="004A547A" w:rsidRPr="007D063B" w:rsidRDefault="004A547A" w:rsidP="004A547A">
            <w:pPr>
              <w:spacing w:before="120" w:after="0" w:line="240" w:lineRule="auto"/>
              <w:jc w:val="both"/>
              <w:rPr>
                <w:rFonts w:ascii="Times New Roman" w:hAnsi="Times New Roman" w:cs="Times New Roman"/>
                <w:sz w:val="16"/>
                <w:szCs w:val="16"/>
              </w:rPr>
            </w:pPr>
            <w:r w:rsidRPr="007D063B">
              <w:rPr>
                <w:rFonts w:ascii="Times New Roman" w:hAnsi="Times New Roman" w:cs="Times New Roman"/>
                <w:sz w:val="16"/>
                <w:szCs w:val="16"/>
              </w:rPr>
              <w:t>О1-1</w:t>
            </w:r>
          </w:p>
        </w:tc>
        <w:tc>
          <w:tcPr>
            <w:tcW w:w="1844" w:type="dxa"/>
            <w:gridSpan w:val="2"/>
            <w:tcBorders>
              <w:top w:val="single" w:sz="6" w:space="0" w:color="000000"/>
              <w:left w:val="single" w:sz="6" w:space="0" w:color="000000"/>
              <w:bottom w:val="single" w:sz="6" w:space="0" w:color="000000"/>
              <w:right w:val="single" w:sz="6" w:space="0" w:color="000000"/>
            </w:tcBorders>
            <w:shd w:val="clear" w:color="auto" w:fill="FFFFFF"/>
          </w:tcPr>
          <w:p w14:paraId="1101B563" w14:textId="64B554EA" w:rsidR="004A547A" w:rsidRPr="007D063B" w:rsidRDefault="004A547A" w:rsidP="004A547A">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Брой подкрепени административн и режими прегледани за опростяване</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14:paraId="09985516" w14:textId="29935E72" w:rsidR="004A547A" w:rsidRPr="007D063B" w:rsidRDefault="004A547A" w:rsidP="004A547A">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3404D05C" w14:textId="4CF368C0" w:rsidR="004A547A" w:rsidRPr="007D063B" w:rsidRDefault="004A547A" w:rsidP="004A547A">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Брой</w:t>
            </w:r>
          </w:p>
        </w:tc>
        <w:tc>
          <w:tcPr>
            <w:tcW w:w="723" w:type="dxa"/>
            <w:gridSpan w:val="2"/>
            <w:tcBorders>
              <w:top w:val="single" w:sz="6" w:space="0" w:color="000000"/>
              <w:left w:val="single" w:sz="6" w:space="0" w:color="000000"/>
              <w:bottom w:val="single" w:sz="6" w:space="0" w:color="000000"/>
              <w:right w:val="single" w:sz="6" w:space="0" w:color="000000"/>
            </w:tcBorders>
            <w:shd w:val="clear" w:color="auto" w:fill="FFFFFF"/>
          </w:tcPr>
          <w:p w14:paraId="37BA2912" w14:textId="7F288898"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700,00</w:t>
            </w:r>
          </w:p>
        </w:tc>
        <w:tc>
          <w:tcPr>
            <w:tcW w:w="695" w:type="dxa"/>
            <w:gridSpan w:val="2"/>
            <w:tcBorders>
              <w:top w:val="single" w:sz="6" w:space="0" w:color="000000"/>
              <w:left w:val="single" w:sz="6" w:space="0" w:color="000000"/>
              <w:bottom w:val="single" w:sz="6" w:space="0" w:color="000000"/>
              <w:right w:val="single" w:sz="6" w:space="0" w:color="000000"/>
            </w:tcBorders>
            <w:shd w:val="clear" w:color="auto" w:fill="FFFFFF"/>
          </w:tcPr>
          <w:p w14:paraId="7BC67499"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566" w:type="dxa"/>
            <w:gridSpan w:val="2"/>
            <w:tcBorders>
              <w:top w:val="single" w:sz="6" w:space="0" w:color="000000"/>
              <w:left w:val="single" w:sz="6" w:space="0" w:color="000000"/>
              <w:bottom w:val="single" w:sz="6" w:space="0" w:color="000000"/>
              <w:right w:val="single" w:sz="6" w:space="0" w:color="000000"/>
            </w:tcBorders>
            <w:shd w:val="clear" w:color="auto" w:fill="FFFFFF"/>
          </w:tcPr>
          <w:p w14:paraId="0774025A"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99" w:type="dxa"/>
            <w:gridSpan w:val="2"/>
            <w:tcBorders>
              <w:top w:val="single" w:sz="6" w:space="0" w:color="000000"/>
              <w:left w:val="single" w:sz="6" w:space="0" w:color="000000"/>
              <w:bottom w:val="single" w:sz="6" w:space="0" w:color="000000"/>
              <w:right w:val="single" w:sz="6" w:space="0" w:color="000000"/>
            </w:tcBorders>
            <w:shd w:val="clear" w:color="auto" w:fill="FFFFFF"/>
          </w:tcPr>
          <w:p w14:paraId="088AF869" w14:textId="6A54F08A"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3" w:type="dxa"/>
            <w:gridSpan w:val="2"/>
            <w:tcBorders>
              <w:top w:val="single" w:sz="6" w:space="0" w:color="000000"/>
              <w:left w:val="single" w:sz="6" w:space="0" w:color="000000"/>
              <w:bottom w:val="single" w:sz="6" w:space="0" w:color="000000"/>
              <w:right w:val="single" w:sz="6" w:space="0" w:color="000000"/>
            </w:tcBorders>
            <w:shd w:val="clear" w:color="auto" w:fill="FFFFFF"/>
          </w:tcPr>
          <w:p w14:paraId="56689315"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3"/>
            <w:tcBorders>
              <w:top w:val="single" w:sz="6" w:space="0" w:color="000000"/>
              <w:left w:val="single" w:sz="6" w:space="0" w:color="000000"/>
              <w:bottom w:val="single" w:sz="6" w:space="0" w:color="000000"/>
              <w:right w:val="single" w:sz="6" w:space="0" w:color="000000"/>
            </w:tcBorders>
            <w:shd w:val="clear" w:color="auto" w:fill="FFFFFF"/>
          </w:tcPr>
          <w:p w14:paraId="04DF7CA7"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3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0CBDB4FD" w14:textId="579CD3EB"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3" w:type="dxa"/>
            <w:gridSpan w:val="2"/>
            <w:tcBorders>
              <w:top w:val="single" w:sz="6" w:space="0" w:color="000000"/>
              <w:left w:val="single" w:sz="6" w:space="0" w:color="000000"/>
              <w:bottom w:val="single" w:sz="6" w:space="0" w:color="000000"/>
              <w:right w:val="single" w:sz="6" w:space="0" w:color="000000"/>
            </w:tcBorders>
            <w:shd w:val="clear" w:color="auto" w:fill="FFFFFF"/>
          </w:tcPr>
          <w:p w14:paraId="64D508BA"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3"/>
            <w:tcBorders>
              <w:top w:val="single" w:sz="6" w:space="0" w:color="000000"/>
              <w:left w:val="single" w:sz="6" w:space="0" w:color="000000"/>
              <w:bottom w:val="single" w:sz="6" w:space="0" w:color="000000"/>
              <w:right w:val="single" w:sz="6" w:space="0" w:color="000000"/>
            </w:tcBorders>
            <w:shd w:val="clear" w:color="auto" w:fill="FFFFFF"/>
          </w:tcPr>
          <w:p w14:paraId="5BBCB7F6"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71EA43E3" w14:textId="0F2D9CE3" w:rsidR="004A547A" w:rsidRPr="007D063B" w:rsidRDefault="00B8653B"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433B4E68"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553BB7D5"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6F084E3A"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2CADFDD5"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29EFAA79"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6A6BB27B"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40AB004F"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7B37B88D"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23B001F8"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32484D9A"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1AD5E3DD"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1A9363BD"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236603F5"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1BB28D9F"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2BEFC868"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28E807BD"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687D9BD9"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35D0CAE5"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26047EB9"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157E3648"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25F52F0A"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4A1A6607"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410" w:type="dxa"/>
            <w:tcBorders>
              <w:top w:val="single" w:sz="6" w:space="0" w:color="000000"/>
              <w:left w:val="single" w:sz="6" w:space="0" w:color="000000"/>
              <w:bottom w:val="single" w:sz="6" w:space="0" w:color="000000"/>
              <w:right w:val="single" w:sz="6" w:space="0" w:color="000000"/>
            </w:tcBorders>
            <w:shd w:val="clear" w:color="auto" w:fill="FFFFFF"/>
          </w:tcPr>
          <w:p w14:paraId="71C8FAC0"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447" w:type="dxa"/>
            <w:gridSpan w:val="3"/>
            <w:tcBorders>
              <w:top w:val="single" w:sz="6" w:space="0" w:color="000000"/>
              <w:left w:val="single" w:sz="6" w:space="0" w:color="000000"/>
              <w:bottom w:val="single" w:sz="6" w:space="0" w:color="000000"/>
              <w:right w:val="single" w:sz="6" w:space="0" w:color="000000"/>
            </w:tcBorders>
            <w:shd w:val="clear" w:color="auto" w:fill="FFFFFF"/>
          </w:tcPr>
          <w:p w14:paraId="46487A48" w14:textId="4B09112C"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191" w:type="dxa"/>
            <w:gridSpan w:val="2"/>
            <w:tcBorders>
              <w:top w:val="single" w:sz="6" w:space="0" w:color="000000"/>
              <w:left w:val="single" w:sz="6" w:space="0" w:color="000000"/>
              <w:bottom w:val="single" w:sz="6" w:space="0" w:color="000000"/>
              <w:right w:val="single" w:sz="6" w:space="0" w:color="000000"/>
            </w:tcBorders>
            <w:shd w:val="clear" w:color="auto" w:fill="FFFFFF"/>
          </w:tcPr>
          <w:p w14:paraId="6587F099"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95" w:type="dxa"/>
            <w:gridSpan w:val="3"/>
            <w:tcBorders>
              <w:top w:val="single" w:sz="6" w:space="0" w:color="000000"/>
              <w:left w:val="single" w:sz="6" w:space="0" w:color="000000"/>
              <w:bottom w:val="single" w:sz="6" w:space="0" w:color="000000"/>
              <w:right w:val="single" w:sz="6" w:space="0" w:color="000000"/>
            </w:tcBorders>
            <w:shd w:val="clear" w:color="auto" w:fill="FFFFFF"/>
          </w:tcPr>
          <w:p w14:paraId="2B26129F"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646" w:type="dxa"/>
            <w:gridSpan w:val="2"/>
            <w:tcBorders>
              <w:top w:val="single" w:sz="6" w:space="0" w:color="000000"/>
              <w:left w:val="single" w:sz="6" w:space="0" w:color="000000"/>
              <w:bottom w:val="single" w:sz="6" w:space="0" w:color="000000"/>
              <w:right w:val="single" w:sz="6" w:space="0" w:color="000000"/>
            </w:tcBorders>
            <w:shd w:val="clear" w:color="auto" w:fill="FFFFFF"/>
          </w:tcPr>
          <w:p w14:paraId="6EA52CF5" w14:textId="2E4FC2B0"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196" w:type="dxa"/>
            <w:gridSpan w:val="2"/>
            <w:tcBorders>
              <w:top w:val="single" w:sz="6" w:space="0" w:color="000000"/>
              <w:left w:val="single" w:sz="6" w:space="0" w:color="000000"/>
              <w:bottom w:val="single" w:sz="6" w:space="0" w:color="000000"/>
              <w:right w:val="single" w:sz="6" w:space="0" w:color="000000"/>
            </w:tcBorders>
            <w:shd w:val="clear" w:color="auto" w:fill="FFFFFF"/>
          </w:tcPr>
          <w:p w14:paraId="51BAB2FB"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68" w:type="dxa"/>
            <w:tcBorders>
              <w:top w:val="single" w:sz="6" w:space="0" w:color="000000"/>
              <w:left w:val="single" w:sz="6" w:space="0" w:color="000000"/>
              <w:bottom w:val="single" w:sz="6" w:space="0" w:color="000000"/>
              <w:right w:val="single" w:sz="6" w:space="0" w:color="000000"/>
            </w:tcBorders>
            <w:shd w:val="clear" w:color="auto" w:fill="FFFFFF"/>
          </w:tcPr>
          <w:p w14:paraId="02712A51"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276006C8" w14:textId="77777777" w:rsidTr="005246CB">
        <w:trPr>
          <w:gridBefore w:val="1"/>
          <w:gridAfter w:val="1"/>
          <w:tblCellSpacing w:w="0" w:type="dxa"/>
        </w:trPr>
        <w:tc>
          <w:tcPr>
            <w:tcW w:w="560" w:type="dxa"/>
            <w:gridSpan w:val="2"/>
            <w:tcBorders>
              <w:top w:val="single" w:sz="6" w:space="0" w:color="000000"/>
              <w:left w:val="single" w:sz="6" w:space="0" w:color="000000"/>
              <w:bottom w:val="single" w:sz="6" w:space="0" w:color="000000"/>
              <w:right w:val="single" w:sz="6" w:space="0" w:color="000000"/>
            </w:tcBorders>
            <w:shd w:val="clear" w:color="auto" w:fill="FFFFFF"/>
          </w:tcPr>
          <w:p w14:paraId="20122ACB" w14:textId="7781902A" w:rsidR="004A547A" w:rsidRPr="007D063B" w:rsidRDefault="004A547A" w:rsidP="004A547A">
            <w:pPr>
              <w:spacing w:before="120" w:after="0" w:line="240" w:lineRule="auto"/>
              <w:jc w:val="both"/>
              <w:rPr>
                <w:rFonts w:ascii="Times New Roman" w:hAnsi="Times New Roman" w:cs="Times New Roman"/>
                <w:sz w:val="16"/>
                <w:szCs w:val="16"/>
              </w:rPr>
            </w:pPr>
            <w:r w:rsidRPr="007D063B">
              <w:rPr>
                <w:rFonts w:ascii="Times New Roman" w:hAnsi="Times New Roman" w:cs="Times New Roman"/>
                <w:sz w:val="16"/>
                <w:szCs w:val="16"/>
              </w:rPr>
              <w:lastRenderedPageBreak/>
              <w:t>О1-2</w:t>
            </w:r>
          </w:p>
        </w:tc>
        <w:tc>
          <w:tcPr>
            <w:tcW w:w="1844" w:type="dxa"/>
            <w:gridSpan w:val="2"/>
            <w:tcBorders>
              <w:top w:val="single" w:sz="6" w:space="0" w:color="000000"/>
              <w:left w:val="single" w:sz="6" w:space="0" w:color="000000"/>
              <w:bottom w:val="single" w:sz="6" w:space="0" w:color="000000"/>
              <w:right w:val="single" w:sz="6" w:space="0" w:color="000000"/>
            </w:tcBorders>
            <w:shd w:val="clear" w:color="auto" w:fill="FFFFFF"/>
          </w:tcPr>
          <w:p w14:paraId="74007483" w14:textId="4A492187" w:rsidR="004A547A" w:rsidRPr="007D063B" w:rsidRDefault="004A547A" w:rsidP="004A547A">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Брой нормативни актове, за които са извършени оценки на въздействието</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14:paraId="5082C814" w14:textId="77777777" w:rsidR="004A547A" w:rsidRPr="007D063B" w:rsidRDefault="004A547A" w:rsidP="004A547A">
            <w:pPr>
              <w:spacing w:before="120" w:after="0" w:line="240" w:lineRule="auto"/>
              <w:jc w:val="center"/>
              <w:rPr>
                <w:rFonts w:ascii="Times New Roman" w:hAnsi="Times New Roman" w:cs="Times New Roman"/>
                <w:sz w:val="16"/>
                <w:szCs w:val="16"/>
              </w:rPr>
            </w:pP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44427A83" w14:textId="37703AE8" w:rsidR="004A547A" w:rsidRPr="007D063B" w:rsidRDefault="004A547A" w:rsidP="004A547A">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Брой</w:t>
            </w:r>
          </w:p>
        </w:tc>
        <w:tc>
          <w:tcPr>
            <w:tcW w:w="723" w:type="dxa"/>
            <w:gridSpan w:val="2"/>
            <w:tcBorders>
              <w:top w:val="single" w:sz="6" w:space="0" w:color="000000"/>
              <w:left w:val="single" w:sz="6" w:space="0" w:color="000000"/>
              <w:bottom w:val="single" w:sz="6" w:space="0" w:color="000000"/>
              <w:right w:val="single" w:sz="6" w:space="0" w:color="000000"/>
            </w:tcBorders>
            <w:shd w:val="clear" w:color="auto" w:fill="FFFFFF"/>
          </w:tcPr>
          <w:p w14:paraId="4562C5DC" w14:textId="510D1D70"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65,00</w:t>
            </w:r>
          </w:p>
        </w:tc>
        <w:tc>
          <w:tcPr>
            <w:tcW w:w="695" w:type="dxa"/>
            <w:gridSpan w:val="2"/>
            <w:tcBorders>
              <w:top w:val="single" w:sz="6" w:space="0" w:color="000000"/>
              <w:left w:val="single" w:sz="6" w:space="0" w:color="000000"/>
              <w:bottom w:val="single" w:sz="6" w:space="0" w:color="000000"/>
              <w:right w:val="single" w:sz="6" w:space="0" w:color="000000"/>
            </w:tcBorders>
            <w:shd w:val="clear" w:color="auto" w:fill="FFFFFF"/>
          </w:tcPr>
          <w:p w14:paraId="794D73B1"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566" w:type="dxa"/>
            <w:gridSpan w:val="2"/>
            <w:tcBorders>
              <w:top w:val="single" w:sz="6" w:space="0" w:color="000000"/>
              <w:left w:val="single" w:sz="6" w:space="0" w:color="000000"/>
              <w:bottom w:val="single" w:sz="6" w:space="0" w:color="000000"/>
              <w:right w:val="single" w:sz="6" w:space="0" w:color="000000"/>
            </w:tcBorders>
            <w:shd w:val="clear" w:color="auto" w:fill="FFFFFF"/>
          </w:tcPr>
          <w:p w14:paraId="2B5C4749"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99" w:type="dxa"/>
            <w:gridSpan w:val="2"/>
            <w:tcBorders>
              <w:top w:val="single" w:sz="6" w:space="0" w:color="000000"/>
              <w:left w:val="single" w:sz="6" w:space="0" w:color="000000"/>
              <w:bottom w:val="single" w:sz="6" w:space="0" w:color="000000"/>
              <w:right w:val="single" w:sz="6" w:space="0" w:color="000000"/>
            </w:tcBorders>
            <w:shd w:val="clear" w:color="auto" w:fill="FFFFFF"/>
          </w:tcPr>
          <w:p w14:paraId="0E278A46" w14:textId="367ACCE4"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3" w:type="dxa"/>
            <w:gridSpan w:val="2"/>
            <w:tcBorders>
              <w:top w:val="single" w:sz="6" w:space="0" w:color="000000"/>
              <w:left w:val="single" w:sz="6" w:space="0" w:color="000000"/>
              <w:bottom w:val="single" w:sz="6" w:space="0" w:color="000000"/>
              <w:right w:val="single" w:sz="6" w:space="0" w:color="000000"/>
            </w:tcBorders>
            <w:shd w:val="clear" w:color="auto" w:fill="FFFFFF"/>
          </w:tcPr>
          <w:p w14:paraId="1DF04F3D"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3"/>
            <w:tcBorders>
              <w:top w:val="single" w:sz="6" w:space="0" w:color="000000"/>
              <w:left w:val="single" w:sz="6" w:space="0" w:color="000000"/>
              <w:bottom w:val="single" w:sz="6" w:space="0" w:color="000000"/>
              <w:right w:val="single" w:sz="6" w:space="0" w:color="000000"/>
            </w:tcBorders>
            <w:shd w:val="clear" w:color="auto" w:fill="FFFFFF"/>
          </w:tcPr>
          <w:p w14:paraId="271C864B"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3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0C58A864" w14:textId="20131D99"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3" w:type="dxa"/>
            <w:gridSpan w:val="2"/>
            <w:tcBorders>
              <w:top w:val="single" w:sz="6" w:space="0" w:color="000000"/>
              <w:left w:val="single" w:sz="6" w:space="0" w:color="000000"/>
              <w:bottom w:val="single" w:sz="6" w:space="0" w:color="000000"/>
              <w:right w:val="single" w:sz="6" w:space="0" w:color="000000"/>
            </w:tcBorders>
            <w:shd w:val="clear" w:color="auto" w:fill="FFFFFF"/>
          </w:tcPr>
          <w:p w14:paraId="4040C032"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3"/>
            <w:tcBorders>
              <w:top w:val="single" w:sz="6" w:space="0" w:color="000000"/>
              <w:left w:val="single" w:sz="6" w:space="0" w:color="000000"/>
              <w:bottom w:val="single" w:sz="6" w:space="0" w:color="000000"/>
              <w:right w:val="single" w:sz="6" w:space="0" w:color="000000"/>
            </w:tcBorders>
            <w:shd w:val="clear" w:color="auto" w:fill="FFFFFF"/>
          </w:tcPr>
          <w:p w14:paraId="0F1A1D07"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77D8475E" w14:textId="63E87ACB" w:rsidR="004A547A" w:rsidRPr="007D063B" w:rsidRDefault="00B8653B"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3F36D955"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363C7935"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4902AC3D"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06966CAA"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53D37AB1"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7316B655"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495DD982"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306E292B"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0D2E2167"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3DC42A89"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29A09380"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10476527"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1E003FDE"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0A9EF20E"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0EB8C4BA"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615FCB8A"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33106146"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167082BD"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75544AFF"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3DCE1DA3"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2753B994"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5203218E"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410" w:type="dxa"/>
            <w:tcBorders>
              <w:top w:val="single" w:sz="6" w:space="0" w:color="000000"/>
              <w:left w:val="single" w:sz="6" w:space="0" w:color="000000"/>
              <w:bottom w:val="single" w:sz="6" w:space="0" w:color="000000"/>
              <w:right w:val="single" w:sz="6" w:space="0" w:color="000000"/>
            </w:tcBorders>
            <w:shd w:val="clear" w:color="auto" w:fill="FFFFFF"/>
          </w:tcPr>
          <w:p w14:paraId="5D2B26AA"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447" w:type="dxa"/>
            <w:gridSpan w:val="3"/>
            <w:tcBorders>
              <w:top w:val="single" w:sz="6" w:space="0" w:color="000000"/>
              <w:left w:val="single" w:sz="6" w:space="0" w:color="000000"/>
              <w:bottom w:val="single" w:sz="6" w:space="0" w:color="000000"/>
              <w:right w:val="single" w:sz="6" w:space="0" w:color="000000"/>
            </w:tcBorders>
            <w:shd w:val="clear" w:color="auto" w:fill="FFFFFF"/>
          </w:tcPr>
          <w:p w14:paraId="5B773F0B" w14:textId="7D2E2BF8"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191" w:type="dxa"/>
            <w:gridSpan w:val="2"/>
            <w:tcBorders>
              <w:top w:val="single" w:sz="6" w:space="0" w:color="000000"/>
              <w:left w:val="single" w:sz="6" w:space="0" w:color="000000"/>
              <w:bottom w:val="single" w:sz="6" w:space="0" w:color="000000"/>
              <w:right w:val="single" w:sz="6" w:space="0" w:color="000000"/>
            </w:tcBorders>
            <w:shd w:val="clear" w:color="auto" w:fill="FFFFFF"/>
          </w:tcPr>
          <w:p w14:paraId="08BA696F"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95" w:type="dxa"/>
            <w:gridSpan w:val="3"/>
            <w:tcBorders>
              <w:top w:val="single" w:sz="6" w:space="0" w:color="000000"/>
              <w:left w:val="single" w:sz="6" w:space="0" w:color="000000"/>
              <w:bottom w:val="single" w:sz="6" w:space="0" w:color="000000"/>
              <w:right w:val="single" w:sz="6" w:space="0" w:color="000000"/>
            </w:tcBorders>
            <w:shd w:val="clear" w:color="auto" w:fill="FFFFFF"/>
          </w:tcPr>
          <w:p w14:paraId="726B7208"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646" w:type="dxa"/>
            <w:gridSpan w:val="2"/>
            <w:tcBorders>
              <w:top w:val="single" w:sz="6" w:space="0" w:color="000000"/>
              <w:left w:val="single" w:sz="6" w:space="0" w:color="000000"/>
              <w:bottom w:val="single" w:sz="6" w:space="0" w:color="000000"/>
              <w:right w:val="single" w:sz="6" w:space="0" w:color="000000"/>
            </w:tcBorders>
            <w:shd w:val="clear" w:color="auto" w:fill="FFFFFF"/>
          </w:tcPr>
          <w:p w14:paraId="1F028B47" w14:textId="44EC98CD"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196" w:type="dxa"/>
            <w:gridSpan w:val="2"/>
            <w:tcBorders>
              <w:top w:val="single" w:sz="6" w:space="0" w:color="000000"/>
              <w:left w:val="single" w:sz="6" w:space="0" w:color="000000"/>
              <w:bottom w:val="single" w:sz="6" w:space="0" w:color="000000"/>
              <w:right w:val="single" w:sz="6" w:space="0" w:color="000000"/>
            </w:tcBorders>
            <w:shd w:val="clear" w:color="auto" w:fill="FFFFFF"/>
          </w:tcPr>
          <w:p w14:paraId="3FA5EBB3"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68" w:type="dxa"/>
            <w:tcBorders>
              <w:top w:val="single" w:sz="6" w:space="0" w:color="000000"/>
              <w:left w:val="single" w:sz="6" w:space="0" w:color="000000"/>
              <w:bottom w:val="single" w:sz="6" w:space="0" w:color="000000"/>
              <w:right w:val="single" w:sz="6" w:space="0" w:color="000000"/>
            </w:tcBorders>
            <w:shd w:val="clear" w:color="auto" w:fill="FFFFFF"/>
          </w:tcPr>
          <w:p w14:paraId="5B5001C0"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2CDEC4A7" w14:textId="77777777" w:rsidTr="005246CB">
        <w:trPr>
          <w:gridBefore w:val="1"/>
          <w:gridAfter w:val="1"/>
          <w:tblCellSpacing w:w="0" w:type="dxa"/>
        </w:trPr>
        <w:tc>
          <w:tcPr>
            <w:tcW w:w="560" w:type="dxa"/>
            <w:gridSpan w:val="2"/>
            <w:tcBorders>
              <w:top w:val="single" w:sz="6" w:space="0" w:color="000000"/>
              <w:left w:val="single" w:sz="6" w:space="0" w:color="000000"/>
              <w:bottom w:val="single" w:sz="6" w:space="0" w:color="000000"/>
              <w:right w:val="single" w:sz="6" w:space="0" w:color="000000"/>
            </w:tcBorders>
            <w:shd w:val="clear" w:color="auto" w:fill="FFFFFF"/>
          </w:tcPr>
          <w:p w14:paraId="4CBC6B18" w14:textId="3BF98B81" w:rsidR="004A547A" w:rsidRPr="007D063B" w:rsidRDefault="004A547A" w:rsidP="004A547A">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О1-4</w:t>
            </w:r>
          </w:p>
        </w:tc>
        <w:tc>
          <w:tcPr>
            <w:tcW w:w="1844" w:type="dxa"/>
            <w:gridSpan w:val="2"/>
            <w:tcBorders>
              <w:top w:val="single" w:sz="6" w:space="0" w:color="000000"/>
              <w:left w:val="single" w:sz="6" w:space="0" w:color="000000"/>
              <w:bottom w:val="single" w:sz="6" w:space="0" w:color="000000"/>
              <w:right w:val="single" w:sz="6" w:space="0" w:color="000000"/>
            </w:tcBorders>
            <w:shd w:val="clear" w:color="auto" w:fill="FFFFFF"/>
          </w:tcPr>
          <w:p w14:paraId="73656051" w14:textId="5FE7E844" w:rsidR="004A547A" w:rsidRPr="007D063B" w:rsidRDefault="004A547A" w:rsidP="004A547A">
            <w:pPr>
              <w:spacing w:before="120" w:after="0" w:line="240" w:lineRule="auto"/>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Контролни, приходни и регулаторни органи, подкрепени за развитие на организационен и аналитичен капацитет, включително за извършване на съвместни проверки</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14:paraId="132CF326" w14:textId="00AFC70F"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По-слабо развити региони</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3E78A5B0" w14:textId="02BF3A0D"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w:t>
            </w:r>
          </w:p>
        </w:tc>
        <w:tc>
          <w:tcPr>
            <w:tcW w:w="723" w:type="dxa"/>
            <w:gridSpan w:val="2"/>
            <w:tcBorders>
              <w:top w:val="single" w:sz="6" w:space="0" w:color="000000"/>
              <w:left w:val="single" w:sz="6" w:space="0" w:color="000000"/>
              <w:bottom w:val="single" w:sz="6" w:space="0" w:color="000000"/>
              <w:right w:val="single" w:sz="6" w:space="0" w:color="000000"/>
            </w:tcBorders>
            <w:shd w:val="clear" w:color="auto" w:fill="FFFFFF"/>
          </w:tcPr>
          <w:p w14:paraId="35792336" w14:textId="7F2F3304"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20,00</w:t>
            </w:r>
          </w:p>
        </w:tc>
        <w:tc>
          <w:tcPr>
            <w:tcW w:w="695" w:type="dxa"/>
            <w:gridSpan w:val="2"/>
            <w:tcBorders>
              <w:top w:val="single" w:sz="6" w:space="0" w:color="000000"/>
              <w:left w:val="single" w:sz="6" w:space="0" w:color="000000"/>
              <w:bottom w:val="single" w:sz="6" w:space="0" w:color="000000"/>
              <w:right w:val="single" w:sz="6" w:space="0" w:color="000000"/>
            </w:tcBorders>
            <w:shd w:val="clear" w:color="auto" w:fill="FFFFFF"/>
          </w:tcPr>
          <w:p w14:paraId="03489308"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566" w:type="dxa"/>
            <w:gridSpan w:val="2"/>
            <w:tcBorders>
              <w:top w:val="single" w:sz="6" w:space="0" w:color="000000"/>
              <w:left w:val="single" w:sz="6" w:space="0" w:color="000000"/>
              <w:bottom w:val="single" w:sz="6" w:space="0" w:color="000000"/>
              <w:right w:val="single" w:sz="6" w:space="0" w:color="000000"/>
            </w:tcBorders>
            <w:shd w:val="clear" w:color="auto" w:fill="FFFFFF"/>
          </w:tcPr>
          <w:p w14:paraId="123D472B"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99" w:type="dxa"/>
            <w:gridSpan w:val="2"/>
            <w:tcBorders>
              <w:top w:val="single" w:sz="6" w:space="0" w:color="000000"/>
              <w:left w:val="single" w:sz="6" w:space="0" w:color="000000"/>
              <w:bottom w:val="single" w:sz="6" w:space="0" w:color="000000"/>
              <w:right w:val="single" w:sz="6" w:space="0" w:color="000000"/>
            </w:tcBorders>
            <w:shd w:val="clear" w:color="auto" w:fill="FFFFFF"/>
          </w:tcPr>
          <w:p w14:paraId="53DFE502" w14:textId="18633719"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3" w:type="dxa"/>
            <w:gridSpan w:val="2"/>
            <w:tcBorders>
              <w:top w:val="single" w:sz="6" w:space="0" w:color="000000"/>
              <w:left w:val="single" w:sz="6" w:space="0" w:color="000000"/>
              <w:bottom w:val="single" w:sz="6" w:space="0" w:color="000000"/>
              <w:right w:val="single" w:sz="6" w:space="0" w:color="000000"/>
            </w:tcBorders>
            <w:shd w:val="clear" w:color="auto" w:fill="FFFFFF"/>
          </w:tcPr>
          <w:p w14:paraId="4F616AE5"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3"/>
            <w:tcBorders>
              <w:top w:val="single" w:sz="6" w:space="0" w:color="000000"/>
              <w:left w:val="single" w:sz="6" w:space="0" w:color="000000"/>
              <w:bottom w:val="single" w:sz="6" w:space="0" w:color="000000"/>
              <w:right w:val="single" w:sz="6" w:space="0" w:color="000000"/>
            </w:tcBorders>
            <w:shd w:val="clear" w:color="auto" w:fill="FFFFFF"/>
          </w:tcPr>
          <w:p w14:paraId="674EC5FB"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3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540E1283" w14:textId="31457C9F"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3" w:type="dxa"/>
            <w:gridSpan w:val="2"/>
            <w:tcBorders>
              <w:top w:val="single" w:sz="6" w:space="0" w:color="000000"/>
              <w:left w:val="single" w:sz="6" w:space="0" w:color="000000"/>
              <w:bottom w:val="single" w:sz="6" w:space="0" w:color="000000"/>
              <w:right w:val="single" w:sz="6" w:space="0" w:color="000000"/>
            </w:tcBorders>
            <w:shd w:val="clear" w:color="auto" w:fill="FFFFFF"/>
          </w:tcPr>
          <w:p w14:paraId="3AE90DBF"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3"/>
            <w:tcBorders>
              <w:top w:val="single" w:sz="6" w:space="0" w:color="000000"/>
              <w:left w:val="single" w:sz="6" w:space="0" w:color="000000"/>
              <w:bottom w:val="single" w:sz="6" w:space="0" w:color="000000"/>
              <w:right w:val="single" w:sz="6" w:space="0" w:color="000000"/>
            </w:tcBorders>
            <w:shd w:val="clear" w:color="auto" w:fill="FFFFFF"/>
          </w:tcPr>
          <w:p w14:paraId="19C13048"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2365F01B" w14:textId="4D7689DC" w:rsidR="004A547A" w:rsidRPr="007D063B" w:rsidRDefault="00846588"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18B90D42"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0E3E6177"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0A2DC676"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19234123"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78868BE4"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5CB1A229"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25A6F44F"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10F74661"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7953BC3E"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1C69A1E4"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1B747BFA"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5EC4D89F"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40B72B72"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4E0A8C87"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05BE0843"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664FB76C"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1B3C9635"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7E5B3F46"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0D976056"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0357791F"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4DCE3E60"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7C3BD7D7"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410" w:type="dxa"/>
            <w:tcBorders>
              <w:top w:val="single" w:sz="6" w:space="0" w:color="000000"/>
              <w:left w:val="single" w:sz="6" w:space="0" w:color="000000"/>
              <w:bottom w:val="single" w:sz="6" w:space="0" w:color="000000"/>
              <w:right w:val="single" w:sz="6" w:space="0" w:color="000000"/>
            </w:tcBorders>
            <w:shd w:val="clear" w:color="auto" w:fill="FFFFFF"/>
          </w:tcPr>
          <w:p w14:paraId="1ED453AF"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447" w:type="dxa"/>
            <w:gridSpan w:val="3"/>
            <w:tcBorders>
              <w:top w:val="single" w:sz="6" w:space="0" w:color="000000"/>
              <w:left w:val="single" w:sz="6" w:space="0" w:color="000000"/>
              <w:bottom w:val="single" w:sz="6" w:space="0" w:color="000000"/>
              <w:right w:val="single" w:sz="6" w:space="0" w:color="000000"/>
            </w:tcBorders>
            <w:shd w:val="clear" w:color="auto" w:fill="FFFFFF"/>
          </w:tcPr>
          <w:p w14:paraId="529B2EB9" w14:textId="7C704519"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191" w:type="dxa"/>
            <w:gridSpan w:val="2"/>
            <w:tcBorders>
              <w:top w:val="single" w:sz="6" w:space="0" w:color="000000"/>
              <w:left w:val="single" w:sz="6" w:space="0" w:color="000000"/>
              <w:bottom w:val="single" w:sz="6" w:space="0" w:color="000000"/>
              <w:right w:val="single" w:sz="6" w:space="0" w:color="000000"/>
            </w:tcBorders>
            <w:shd w:val="clear" w:color="auto" w:fill="FFFFFF"/>
          </w:tcPr>
          <w:p w14:paraId="265C5A5B"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95" w:type="dxa"/>
            <w:gridSpan w:val="3"/>
            <w:tcBorders>
              <w:top w:val="single" w:sz="6" w:space="0" w:color="000000"/>
              <w:left w:val="single" w:sz="6" w:space="0" w:color="000000"/>
              <w:bottom w:val="single" w:sz="6" w:space="0" w:color="000000"/>
              <w:right w:val="single" w:sz="6" w:space="0" w:color="000000"/>
            </w:tcBorders>
            <w:shd w:val="clear" w:color="auto" w:fill="FFFFFF"/>
          </w:tcPr>
          <w:p w14:paraId="40032528"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646" w:type="dxa"/>
            <w:gridSpan w:val="2"/>
            <w:tcBorders>
              <w:top w:val="single" w:sz="6" w:space="0" w:color="000000"/>
              <w:left w:val="single" w:sz="6" w:space="0" w:color="000000"/>
              <w:bottom w:val="single" w:sz="6" w:space="0" w:color="000000"/>
              <w:right w:val="single" w:sz="6" w:space="0" w:color="000000"/>
            </w:tcBorders>
            <w:shd w:val="clear" w:color="auto" w:fill="FFFFFF"/>
          </w:tcPr>
          <w:p w14:paraId="53B5500A" w14:textId="43AED986"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196" w:type="dxa"/>
            <w:gridSpan w:val="2"/>
            <w:tcBorders>
              <w:top w:val="single" w:sz="6" w:space="0" w:color="000000"/>
              <w:left w:val="single" w:sz="6" w:space="0" w:color="000000"/>
              <w:bottom w:val="single" w:sz="6" w:space="0" w:color="000000"/>
              <w:right w:val="single" w:sz="6" w:space="0" w:color="000000"/>
            </w:tcBorders>
            <w:shd w:val="clear" w:color="auto" w:fill="FFFFFF"/>
          </w:tcPr>
          <w:p w14:paraId="6DCC67AC"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68" w:type="dxa"/>
            <w:tcBorders>
              <w:top w:val="single" w:sz="6" w:space="0" w:color="000000"/>
              <w:left w:val="single" w:sz="6" w:space="0" w:color="000000"/>
              <w:bottom w:val="single" w:sz="6" w:space="0" w:color="000000"/>
              <w:right w:val="single" w:sz="6" w:space="0" w:color="000000"/>
            </w:tcBorders>
            <w:shd w:val="clear" w:color="auto" w:fill="FFFFFF"/>
          </w:tcPr>
          <w:p w14:paraId="55B21BBB"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369315E4" w14:textId="77777777" w:rsidTr="005246CB">
        <w:trPr>
          <w:gridBefore w:val="1"/>
          <w:gridAfter w:val="1"/>
          <w:tblCellSpacing w:w="0" w:type="dxa"/>
        </w:trPr>
        <w:tc>
          <w:tcPr>
            <w:tcW w:w="560" w:type="dxa"/>
            <w:gridSpan w:val="2"/>
            <w:tcBorders>
              <w:top w:val="single" w:sz="6" w:space="0" w:color="000000"/>
              <w:left w:val="single" w:sz="6" w:space="0" w:color="000000"/>
              <w:bottom w:val="single" w:sz="6" w:space="0" w:color="000000"/>
              <w:right w:val="single" w:sz="6" w:space="0" w:color="000000"/>
            </w:tcBorders>
            <w:shd w:val="clear" w:color="auto" w:fill="FFFFFF"/>
          </w:tcPr>
          <w:p w14:paraId="3837D3C7" w14:textId="1EE5118F" w:rsidR="004A547A" w:rsidRPr="007D063B" w:rsidRDefault="004A547A" w:rsidP="004A547A">
            <w:pPr>
              <w:spacing w:before="120" w:after="0" w:line="240" w:lineRule="auto"/>
              <w:jc w:val="both"/>
              <w:rPr>
                <w:rFonts w:ascii="Times New Roman" w:hAnsi="Times New Roman" w:cs="Times New Roman"/>
                <w:sz w:val="16"/>
                <w:szCs w:val="16"/>
              </w:rPr>
            </w:pPr>
            <w:r w:rsidRPr="007D063B">
              <w:rPr>
                <w:rFonts w:ascii="Times New Roman" w:hAnsi="Times New Roman" w:cs="Times New Roman"/>
                <w:sz w:val="16"/>
                <w:szCs w:val="16"/>
              </w:rPr>
              <w:t>О1-5</w:t>
            </w:r>
          </w:p>
        </w:tc>
        <w:tc>
          <w:tcPr>
            <w:tcW w:w="1844" w:type="dxa"/>
            <w:gridSpan w:val="2"/>
            <w:tcBorders>
              <w:top w:val="single" w:sz="6" w:space="0" w:color="000000"/>
              <w:left w:val="single" w:sz="6" w:space="0" w:color="000000"/>
              <w:bottom w:val="single" w:sz="6" w:space="0" w:color="000000"/>
              <w:right w:val="single" w:sz="6" w:space="0" w:color="000000"/>
            </w:tcBorders>
            <w:shd w:val="clear" w:color="auto" w:fill="FFFFFF"/>
          </w:tcPr>
          <w:p w14:paraId="50C45468" w14:textId="198B2457" w:rsidR="004A547A" w:rsidRPr="007D063B" w:rsidRDefault="004A547A" w:rsidP="004A547A">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Контролни, приходни и регулаторни органи, подкрепени за развитие на организационен и аналитичен капацитет, включително за извършване на съвместни проверки</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14:paraId="16E6EED4" w14:textId="77777777" w:rsidR="004A547A" w:rsidRPr="007D063B" w:rsidRDefault="004A547A" w:rsidP="004A547A">
            <w:pPr>
              <w:spacing w:before="120" w:after="0" w:line="240" w:lineRule="auto"/>
              <w:jc w:val="center"/>
              <w:rPr>
                <w:rFonts w:ascii="Times New Roman" w:hAnsi="Times New Roman" w:cs="Times New Roman"/>
                <w:sz w:val="16"/>
                <w:szCs w:val="16"/>
              </w:rPr>
            </w:pP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3464F4B6" w14:textId="77777777" w:rsidR="004A547A" w:rsidRPr="007D063B" w:rsidRDefault="004A547A" w:rsidP="004A547A">
            <w:pPr>
              <w:spacing w:before="120" w:after="0" w:line="240" w:lineRule="auto"/>
              <w:jc w:val="center"/>
              <w:rPr>
                <w:rFonts w:ascii="Times New Roman" w:hAnsi="Times New Roman" w:cs="Times New Roman"/>
                <w:sz w:val="16"/>
                <w:szCs w:val="16"/>
              </w:rPr>
            </w:pPr>
          </w:p>
        </w:tc>
        <w:tc>
          <w:tcPr>
            <w:tcW w:w="723" w:type="dxa"/>
            <w:gridSpan w:val="2"/>
            <w:tcBorders>
              <w:top w:val="single" w:sz="6" w:space="0" w:color="000000"/>
              <w:left w:val="single" w:sz="6" w:space="0" w:color="000000"/>
              <w:bottom w:val="single" w:sz="6" w:space="0" w:color="000000"/>
              <w:right w:val="single" w:sz="6" w:space="0" w:color="000000"/>
            </w:tcBorders>
            <w:shd w:val="clear" w:color="auto" w:fill="FFFFFF"/>
          </w:tcPr>
          <w:p w14:paraId="200CBEB7" w14:textId="09FDCE9D"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15,00</w:t>
            </w:r>
          </w:p>
        </w:tc>
        <w:tc>
          <w:tcPr>
            <w:tcW w:w="695" w:type="dxa"/>
            <w:gridSpan w:val="2"/>
            <w:tcBorders>
              <w:top w:val="single" w:sz="6" w:space="0" w:color="000000"/>
              <w:left w:val="single" w:sz="6" w:space="0" w:color="000000"/>
              <w:bottom w:val="single" w:sz="6" w:space="0" w:color="000000"/>
              <w:right w:val="single" w:sz="6" w:space="0" w:color="000000"/>
            </w:tcBorders>
            <w:shd w:val="clear" w:color="auto" w:fill="FFFFFF"/>
          </w:tcPr>
          <w:p w14:paraId="23FD28BB"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566" w:type="dxa"/>
            <w:gridSpan w:val="2"/>
            <w:tcBorders>
              <w:top w:val="single" w:sz="6" w:space="0" w:color="000000"/>
              <w:left w:val="single" w:sz="6" w:space="0" w:color="000000"/>
              <w:bottom w:val="single" w:sz="6" w:space="0" w:color="000000"/>
              <w:right w:val="single" w:sz="6" w:space="0" w:color="000000"/>
            </w:tcBorders>
            <w:shd w:val="clear" w:color="auto" w:fill="FFFFFF"/>
          </w:tcPr>
          <w:p w14:paraId="421054E4"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99" w:type="dxa"/>
            <w:gridSpan w:val="2"/>
            <w:tcBorders>
              <w:top w:val="single" w:sz="6" w:space="0" w:color="000000"/>
              <w:left w:val="single" w:sz="6" w:space="0" w:color="000000"/>
              <w:bottom w:val="single" w:sz="6" w:space="0" w:color="000000"/>
              <w:right w:val="single" w:sz="6" w:space="0" w:color="000000"/>
            </w:tcBorders>
            <w:shd w:val="clear" w:color="auto" w:fill="FFFFFF"/>
          </w:tcPr>
          <w:p w14:paraId="07958932" w14:textId="51CA9EA0"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3" w:type="dxa"/>
            <w:gridSpan w:val="2"/>
            <w:tcBorders>
              <w:top w:val="single" w:sz="6" w:space="0" w:color="000000"/>
              <w:left w:val="single" w:sz="6" w:space="0" w:color="000000"/>
              <w:bottom w:val="single" w:sz="6" w:space="0" w:color="000000"/>
              <w:right w:val="single" w:sz="6" w:space="0" w:color="000000"/>
            </w:tcBorders>
            <w:shd w:val="clear" w:color="auto" w:fill="FFFFFF"/>
          </w:tcPr>
          <w:p w14:paraId="0EBCF8E4"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3"/>
            <w:tcBorders>
              <w:top w:val="single" w:sz="6" w:space="0" w:color="000000"/>
              <w:left w:val="single" w:sz="6" w:space="0" w:color="000000"/>
              <w:bottom w:val="single" w:sz="6" w:space="0" w:color="000000"/>
              <w:right w:val="single" w:sz="6" w:space="0" w:color="000000"/>
            </w:tcBorders>
            <w:shd w:val="clear" w:color="auto" w:fill="FFFFFF"/>
          </w:tcPr>
          <w:p w14:paraId="02A4FF60"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3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0EE5B05D" w14:textId="6534492C"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3" w:type="dxa"/>
            <w:gridSpan w:val="2"/>
            <w:tcBorders>
              <w:top w:val="single" w:sz="6" w:space="0" w:color="000000"/>
              <w:left w:val="single" w:sz="6" w:space="0" w:color="000000"/>
              <w:bottom w:val="single" w:sz="6" w:space="0" w:color="000000"/>
              <w:right w:val="single" w:sz="6" w:space="0" w:color="000000"/>
            </w:tcBorders>
            <w:shd w:val="clear" w:color="auto" w:fill="FFFFFF"/>
          </w:tcPr>
          <w:p w14:paraId="1CAB92E4"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3"/>
            <w:tcBorders>
              <w:top w:val="single" w:sz="6" w:space="0" w:color="000000"/>
              <w:left w:val="single" w:sz="6" w:space="0" w:color="000000"/>
              <w:bottom w:val="single" w:sz="6" w:space="0" w:color="000000"/>
              <w:right w:val="single" w:sz="6" w:space="0" w:color="000000"/>
            </w:tcBorders>
            <w:shd w:val="clear" w:color="auto" w:fill="FFFFFF"/>
          </w:tcPr>
          <w:p w14:paraId="7D2EFAA8"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0E530A54" w14:textId="5793AE5D" w:rsidR="004A547A" w:rsidRPr="007D063B" w:rsidRDefault="00846588"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22BFDF68"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35EA56AC"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7A0BDFAB"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3490A57F"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2C29D513"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5BE00EDF"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3DA75A1A"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58387029"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0833B123"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421F2FD5"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417AC6FC"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1E308BC3"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476E85FD"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7617260E"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711BDD8B"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550F2471"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40F5E223"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33F11F73"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4450443C"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56569A3F"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536844AB"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621F2F88"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410" w:type="dxa"/>
            <w:tcBorders>
              <w:top w:val="single" w:sz="6" w:space="0" w:color="000000"/>
              <w:left w:val="single" w:sz="6" w:space="0" w:color="000000"/>
              <w:bottom w:val="single" w:sz="6" w:space="0" w:color="000000"/>
              <w:right w:val="single" w:sz="6" w:space="0" w:color="000000"/>
            </w:tcBorders>
            <w:shd w:val="clear" w:color="auto" w:fill="FFFFFF"/>
          </w:tcPr>
          <w:p w14:paraId="616F6552"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447" w:type="dxa"/>
            <w:gridSpan w:val="3"/>
            <w:tcBorders>
              <w:top w:val="single" w:sz="6" w:space="0" w:color="000000"/>
              <w:left w:val="single" w:sz="6" w:space="0" w:color="000000"/>
              <w:bottom w:val="single" w:sz="6" w:space="0" w:color="000000"/>
              <w:right w:val="single" w:sz="6" w:space="0" w:color="000000"/>
            </w:tcBorders>
            <w:shd w:val="clear" w:color="auto" w:fill="FFFFFF"/>
          </w:tcPr>
          <w:p w14:paraId="098EF0BB" w14:textId="7855A2B8"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191" w:type="dxa"/>
            <w:gridSpan w:val="2"/>
            <w:tcBorders>
              <w:top w:val="single" w:sz="6" w:space="0" w:color="000000"/>
              <w:left w:val="single" w:sz="6" w:space="0" w:color="000000"/>
              <w:bottom w:val="single" w:sz="6" w:space="0" w:color="000000"/>
              <w:right w:val="single" w:sz="6" w:space="0" w:color="000000"/>
            </w:tcBorders>
            <w:shd w:val="clear" w:color="auto" w:fill="FFFFFF"/>
          </w:tcPr>
          <w:p w14:paraId="4BB5E5AA"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95" w:type="dxa"/>
            <w:gridSpan w:val="3"/>
            <w:tcBorders>
              <w:top w:val="single" w:sz="6" w:space="0" w:color="000000"/>
              <w:left w:val="single" w:sz="6" w:space="0" w:color="000000"/>
              <w:bottom w:val="single" w:sz="6" w:space="0" w:color="000000"/>
              <w:right w:val="single" w:sz="6" w:space="0" w:color="000000"/>
            </w:tcBorders>
            <w:shd w:val="clear" w:color="auto" w:fill="FFFFFF"/>
          </w:tcPr>
          <w:p w14:paraId="1C387949"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646" w:type="dxa"/>
            <w:gridSpan w:val="2"/>
            <w:tcBorders>
              <w:top w:val="single" w:sz="6" w:space="0" w:color="000000"/>
              <w:left w:val="single" w:sz="6" w:space="0" w:color="000000"/>
              <w:bottom w:val="single" w:sz="6" w:space="0" w:color="000000"/>
              <w:right w:val="single" w:sz="6" w:space="0" w:color="000000"/>
            </w:tcBorders>
            <w:shd w:val="clear" w:color="auto" w:fill="FFFFFF"/>
          </w:tcPr>
          <w:p w14:paraId="3D91A6C8" w14:textId="25DBB67C"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196" w:type="dxa"/>
            <w:gridSpan w:val="2"/>
            <w:tcBorders>
              <w:top w:val="single" w:sz="6" w:space="0" w:color="000000"/>
              <w:left w:val="single" w:sz="6" w:space="0" w:color="000000"/>
              <w:bottom w:val="single" w:sz="6" w:space="0" w:color="000000"/>
              <w:right w:val="single" w:sz="6" w:space="0" w:color="000000"/>
            </w:tcBorders>
            <w:shd w:val="clear" w:color="auto" w:fill="FFFFFF"/>
          </w:tcPr>
          <w:p w14:paraId="17B82884"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68" w:type="dxa"/>
            <w:tcBorders>
              <w:top w:val="single" w:sz="6" w:space="0" w:color="000000"/>
              <w:left w:val="single" w:sz="6" w:space="0" w:color="000000"/>
              <w:bottom w:val="single" w:sz="6" w:space="0" w:color="000000"/>
              <w:right w:val="single" w:sz="6" w:space="0" w:color="000000"/>
            </w:tcBorders>
            <w:shd w:val="clear" w:color="auto" w:fill="FFFFFF"/>
          </w:tcPr>
          <w:p w14:paraId="0EF70BF9"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5E68EB89" w14:textId="77777777" w:rsidTr="005246CB">
        <w:trPr>
          <w:gridBefore w:val="1"/>
          <w:gridAfter w:val="1"/>
          <w:tblCellSpacing w:w="0" w:type="dxa"/>
        </w:trPr>
        <w:tc>
          <w:tcPr>
            <w:tcW w:w="560" w:type="dxa"/>
            <w:gridSpan w:val="2"/>
            <w:tcBorders>
              <w:top w:val="single" w:sz="6" w:space="0" w:color="000000"/>
              <w:left w:val="single" w:sz="6" w:space="0" w:color="000000"/>
              <w:bottom w:val="single" w:sz="6" w:space="0" w:color="000000"/>
              <w:right w:val="single" w:sz="6" w:space="0" w:color="000000"/>
            </w:tcBorders>
            <w:shd w:val="clear" w:color="auto" w:fill="FFFFFF"/>
          </w:tcPr>
          <w:p w14:paraId="7F6797FD" w14:textId="74B0D23A" w:rsidR="004A547A" w:rsidRPr="007D063B" w:rsidRDefault="004A547A" w:rsidP="004A547A">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О1-8</w:t>
            </w:r>
          </w:p>
        </w:tc>
        <w:tc>
          <w:tcPr>
            <w:tcW w:w="1844" w:type="dxa"/>
            <w:gridSpan w:val="2"/>
            <w:tcBorders>
              <w:top w:val="single" w:sz="6" w:space="0" w:color="000000"/>
              <w:left w:val="single" w:sz="6" w:space="0" w:color="000000"/>
              <w:bottom w:val="single" w:sz="6" w:space="0" w:color="000000"/>
              <w:right w:val="single" w:sz="6" w:space="0" w:color="000000"/>
            </w:tcBorders>
            <w:shd w:val="clear" w:color="auto" w:fill="FFFFFF"/>
          </w:tcPr>
          <w:p w14:paraId="443EAFAF" w14:textId="760AA273" w:rsidR="004A547A" w:rsidRPr="007D063B" w:rsidRDefault="004A547A" w:rsidP="004A547A">
            <w:pPr>
              <w:spacing w:before="120" w:after="0" w:line="240" w:lineRule="auto"/>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Подкрепени електронни услуги за предоставянето им в транзакционен режим</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14:paraId="33E6A045" w14:textId="72743D79"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По-слабо развити региони</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319F4CC9" w14:textId="68F07755"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w:t>
            </w:r>
          </w:p>
        </w:tc>
        <w:tc>
          <w:tcPr>
            <w:tcW w:w="723" w:type="dxa"/>
            <w:gridSpan w:val="2"/>
            <w:tcBorders>
              <w:top w:val="single" w:sz="6" w:space="0" w:color="000000"/>
              <w:left w:val="single" w:sz="6" w:space="0" w:color="000000"/>
              <w:bottom w:val="single" w:sz="6" w:space="0" w:color="000000"/>
              <w:right w:val="single" w:sz="6" w:space="0" w:color="000000"/>
            </w:tcBorders>
            <w:shd w:val="clear" w:color="auto" w:fill="FFFFFF"/>
          </w:tcPr>
          <w:p w14:paraId="47518D11" w14:textId="68EC0891"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850,00</w:t>
            </w:r>
          </w:p>
        </w:tc>
        <w:tc>
          <w:tcPr>
            <w:tcW w:w="695" w:type="dxa"/>
            <w:gridSpan w:val="2"/>
            <w:tcBorders>
              <w:top w:val="single" w:sz="6" w:space="0" w:color="000000"/>
              <w:left w:val="single" w:sz="6" w:space="0" w:color="000000"/>
              <w:bottom w:val="single" w:sz="6" w:space="0" w:color="000000"/>
              <w:right w:val="single" w:sz="6" w:space="0" w:color="000000"/>
            </w:tcBorders>
            <w:shd w:val="clear" w:color="auto" w:fill="FFFFFF"/>
          </w:tcPr>
          <w:p w14:paraId="1E9D9B0C"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566" w:type="dxa"/>
            <w:gridSpan w:val="2"/>
            <w:tcBorders>
              <w:top w:val="single" w:sz="6" w:space="0" w:color="000000"/>
              <w:left w:val="single" w:sz="6" w:space="0" w:color="000000"/>
              <w:bottom w:val="single" w:sz="6" w:space="0" w:color="000000"/>
              <w:right w:val="single" w:sz="6" w:space="0" w:color="000000"/>
            </w:tcBorders>
            <w:shd w:val="clear" w:color="auto" w:fill="FFFFFF"/>
          </w:tcPr>
          <w:p w14:paraId="1F51D4FB"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99" w:type="dxa"/>
            <w:gridSpan w:val="2"/>
            <w:tcBorders>
              <w:top w:val="single" w:sz="6" w:space="0" w:color="000000"/>
              <w:left w:val="single" w:sz="6" w:space="0" w:color="000000"/>
              <w:bottom w:val="single" w:sz="6" w:space="0" w:color="000000"/>
              <w:right w:val="single" w:sz="6" w:space="0" w:color="000000"/>
            </w:tcBorders>
            <w:shd w:val="clear" w:color="auto" w:fill="FFFFFF"/>
          </w:tcPr>
          <w:p w14:paraId="21646ED0" w14:textId="21E8102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3" w:type="dxa"/>
            <w:gridSpan w:val="2"/>
            <w:tcBorders>
              <w:top w:val="single" w:sz="6" w:space="0" w:color="000000"/>
              <w:left w:val="single" w:sz="6" w:space="0" w:color="000000"/>
              <w:bottom w:val="single" w:sz="6" w:space="0" w:color="000000"/>
              <w:right w:val="single" w:sz="6" w:space="0" w:color="000000"/>
            </w:tcBorders>
            <w:shd w:val="clear" w:color="auto" w:fill="FFFFFF"/>
          </w:tcPr>
          <w:p w14:paraId="24FBDBEF"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3"/>
            <w:tcBorders>
              <w:top w:val="single" w:sz="6" w:space="0" w:color="000000"/>
              <w:left w:val="single" w:sz="6" w:space="0" w:color="000000"/>
              <w:bottom w:val="single" w:sz="6" w:space="0" w:color="000000"/>
              <w:right w:val="single" w:sz="6" w:space="0" w:color="000000"/>
            </w:tcBorders>
            <w:shd w:val="clear" w:color="auto" w:fill="FFFFFF"/>
          </w:tcPr>
          <w:p w14:paraId="6D312667"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3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119B41AB" w14:textId="5EC0629C"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3" w:type="dxa"/>
            <w:gridSpan w:val="2"/>
            <w:tcBorders>
              <w:top w:val="single" w:sz="6" w:space="0" w:color="000000"/>
              <w:left w:val="single" w:sz="6" w:space="0" w:color="000000"/>
              <w:bottom w:val="single" w:sz="6" w:space="0" w:color="000000"/>
              <w:right w:val="single" w:sz="6" w:space="0" w:color="000000"/>
            </w:tcBorders>
            <w:shd w:val="clear" w:color="auto" w:fill="FFFFFF"/>
          </w:tcPr>
          <w:p w14:paraId="0C330787"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3"/>
            <w:tcBorders>
              <w:top w:val="single" w:sz="6" w:space="0" w:color="000000"/>
              <w:left w:val="single" w:sz="6" w:space="0" w:color="000000"/>
              <w:bottom w:val="single" w:sz="6" w:space="0" w:color="000000"/>
              <w:right w:val="single" w:sz="6" w:space="0" w:color="000000"/>
            </w:tcBorders>
            <w:shd w:val="clear" w:color="auto" w:fill="FFFFFF"/>
          </w:tcPr>
          <w:p w14:paraId="1CB487AF"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54C5FC8B" w14:textId="5794FFC6" w:rsidR="004A547A" w:rsidRPr="007D063B" w:rsidRDefault="00846588"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4A7654A2"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3899B985"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7C6F0804"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4A938673"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1899D381"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6053BAA7"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072C7AC1"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506DE8AC"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2383EEEB"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17717E72"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780CA36B"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17E62F11"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74A867EE"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7BA7FD9C"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76B93617"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3A5D0A44"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1E5F9A90"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54B94135"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62075F40"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3"/>
            <w:tcBorders>
              <w:top w:val="single" w:sz="6" w:space="0" w:color="000000"/>
              <w:left w:val="single" w:sz="6" w:space="0" w:color="000000"/>
              <w:bottom w:val="single" w:sz="6" w:space="0" w:color="000000"/>
              <w:right w:val="single" w:sz="6" w:space="0" w:color="000000"/>
            </w:tcBorders>
            <w:shd w:val="clear" w:color="auto" w:fill="FFFFFF"/>
          </w:tcPr>
          <w:p w14:paraId="4FDE01A7"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gridSpan w:val="2"/>
            <w:tcBorders>
              <w:top w:val="single" w:sz="6" w:space="0" w:color="000000"/>
              <w:left w:val="single" w:sz="6" w:space="0" w:color="000000"/>
              <w:bottom w:val="single" w:sz="6" w:space="0" w:color="000000"/>
              <w:right w:val="single" w:sz="6" w:space="0" w:color="000000"/>
            </w:tcBorders>
            <w:shd w:val="clear" w:color="auto" w:fill="FFFFFF"/>
          </w:tcPr>
          <w:p w14:paraId="12F2309F"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gridSpan w:val="2"/>
            <w:tcBorders>
              <w:top w:val="single" w:sz="6" w:space="0" w:color="000000"/>
              <w:left w:val="single" w:sz="6" w:space="0" w:color="000000"/>
              <w:bottom w:val="single" w:sz="6" w:space="0" w:color="000000"/>
              <w:right w:val="single" w:sz="6" w:space="0" w:color="000000"/>
            </w:tcBorders>
            <w:shd w:val="clear" w:color="auto" w:fill="FFFFFF"/>
          </w:tcPr>
          <w:p w14:paraId="70400C24"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410" w:type="dxa"/>
            <w:tcBorders>
              <w:top w:val="single" w:sz="6" w:space="0" w:color="000000"/>
              <w:left w:val="single" w:sz="6" w:space="0" w:color="000000"/>
              <w:bottom w:val="single" w:sz="6" w:space="0" w:color="000000"/>
              <w:right w:val="single" w:sz="6" w:space="0" w:color="000000"/>
            </w:tcBorders>
            <w:shd w:val="clear" w:color="auto" w:fill="FFFFFF"/>
          </w:tcPr>
          <w:p w14:paraId="641EACC0"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447" w:type="dxa"/>
            <w:gridSpan w:val="3"/>
            <w:tcBorders>
              <w:top w:val="single" w:sz="6" w:space="0" w:color="000000"/>
              <w:left w:val="single" w:sz="6" w:space="0" w:color="000000"/>
              <w:bottom w:val="single" w:sz="6" w:space="0" w:color="000000"/>
              <w:right w:val="single" w:sz="6" w:space="0" w:color="000000"/>
            </w:tcBorders>
            <w:shd w:val="clear" w:color="auto" w:fill="FFFFFF"/>
          </w:tcPr>
          <w:p w14:paraId="07D61C58" w14:textId="5B31F358"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191" w:type="dxa"/>
            <w:gridSpan w:val="2"/>
            <w:tcBorders>
              <w:top w:val="single" w:sz="6" w:space="0" w:color="000000"/>
              <w:left w:val="single" w:sz="6" w:space="0" w:color="000000"/>
              <w:bottom w:val="single" w:sz="6" w:space="0" w:color="000000"/>
              <w:right w:val="single" w:sz="6" w:space="0" w:color="000000"/>
            </w:tcBorders>
            <w:shd w:val="clear" w:color="auto" w:fill="FFFFFF"/>
          </w:tcPr>
          <w:p w14:paraId="3C0A003C"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95" w:type="dxa"/>
            <w:gridSpan w:val="3"/>
            <w:tcBorders>
              <w:top w:val="single" w:sz="6" w:space="0" w:color="000000"/>
              <w:left w:val="single" w:sz="6" w:space="0" w:color="000000"/>
              <w:bottom w:val="single" w:sz="6" w:space="0" w:color="000000"/>
              <w:right w:val="single" w:sz="6" w:space="0" w:color="000000"/>
            </w:tcBorders>
            <w:shd w:val="clear" w:color="auto" w:fill="FFFFFF"/>
          </w:tcPr>
          <w:p w14:paraId="66B7D456"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646" w:type="dxa"/>
            <w:gridSpan w:val="2"/>
            <w:tcBorders>
              <w:top w:val="single" w:sz="6" w:space="0" w:color="000000"/>
              <w:left w:val="single" w:sz="6" w:space="0" w:color="000000"/>
              <w:bottom w:val="single" w:sz="6" w:space="0" w:color="000000"/>
              <w:right w:val="single" w:sz="6" w:space="0" w:color="000000"/>
            </w:tcBorders>
            <w:shd w:val="clear" w:color="auto" w:fill="FFFFFF"/>
          </w:tcPr>
          <w:p w14:paraId="3559DF94" w14:textId="78F46D7D"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196" w:type="dxa"/>
            <w:gridSpan w:val="2"/>
            <w:tcBorders>
              <w:top w:val="single" w:sz="6" w:space="0" w:color="000000"/>
              <w:left w:val="single" w:sz="6" w:space="0" w:color="000000"/>
              <w:bottom w:val="single" w:sz="6" w:space="0" w:color="000000"/>
              <w:right w:val="single" w:sz="6" w:space="0" w:color="000000"/>
            </w:tcBorders>
            <w:shd w:val="clear" w:color="auto" w:fill="FFFFFF"/>
          </w:tcPr>
          <w:p w14:paraId="53E2FFAA"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c>
          <w:tcPr>
            <w:tcW w:w="168" w:type="dxa"/>
            <w:tcBorders>
              <w:top w:val="single" w:sz="6" w:space="0" w:color="000000"/>
              <w:left w:val="single" w:sz="6" w:space="0" w:color="000000"/>
              <w:bottom w:val="single" w:sz="6" w:space="0" w:color="000000"/>
              <w:right w:val="single" w:sz="6" w:space="0" w:color="000000"/>
            </w:tcBorders>
            <w:shd w:val="clear" w:color="auto" w:fill="FFFFFF"/>
          </w:tcPr>
          <w:p w14:paraId="467700DD" w14:textId="77777777" w:rsidR="004A547A" w:rsidRPr="007D063B" w:rsidRDefault="004A547A" w:rsidP="004A547A">
            <w:pPr>
              <w:spacing w:before="120" w:after="0" w:line="240" w:lineRule="auto"/>
              <w:jc w:val="center"/>
              <w:rPr>
                <w:rFonts w:ascii="Times New Roman" w:eastAsia="Times New Roman" w:hAnsi="Times New Roman" w:cs="Times New Roman"/>
                <w:color w:val="000000"/>
                <w:sz w:val="16"/>
                <w:szCs w:val="16"/>
                <w:lang w:eastAsia="bg-BG"/>
              </w:rPr>
            </w:pPr>
          </w:p>
        </w:tc>
      </w:tr>
    </w:tbl>
    <w:p w14:paraId="776E0608" w14:textId="77777777" w:rsidR="00CA2A1D" w:rsidRPr="007D063B" w:rsidRDefault="00CA2A1D" w:rsidP="009C6F83">
      <w:pPr>
        <w:shd w:val="clear" w:color="auto" w:fill="FFFFFF"/>
        <w:spacing w:before="240" w:after="120" w:line="240" w:lineRule="auto"/>
        <w:jc w:val="both"/>
        <w:rPr>
          <w:rFonts w:ascii="Times New Roman" w:eastAsia="Times New Roman" w:hAnsi="Times New Roman" w:cs="Times New Roman"/>
          <w:b/>
          <w:bCs/>
          <w:color w:val="000000"/>
          <w:sz w:val="24"/>
          <w:szCs w:val="24"/>
          <w:lang w:eastAsia="bg-BG"/>
        </w:rPr>
      </w:pPr>
    </w:p>
    <w:p w14:paraId="01018A83" w14:textId="77777777" w:rsidR="00CA2A1D" w:rsidRPr="007D063B" w:rsidRDefault="00CA2A1D">
      <w:pPr>
        <w:rPr>
          <w:rFonts w:ascii="Times New Roman" w:eastAsia="Times New Roman" w:hAnsi="Times New Roman" w:cs="Times New Roman"/>
          <w:b/>
          <w:bCs/>
          <w:color w:val="000000"/>
          <w:sz w:val="24"/>
          <w:szCs w:val="24"/>
          <w:lang w:eastAsia="bg-BG"/>
        </w:rPr>
      </w:pPr>
      <w:r w:rsidRPr="007D063B">
        <w:rPr>
          <w:rFonts w:ascii="Times New Roman" w:eastAsia="Times New Roman" w:hAnsi="Times New Roman" w:cs="Times New Roman"/>
          <w:b/>
          <w:bCs/>
          <w:color w:val="000000"/>
          <w:sz w:val="24"/>
          <w:szCs w:val="24"/>
          <w:lang w:eastAsia="bg-BG"/>
        </w:rPr>
        <w:br w:type="page"/>
      </w:r>
    </w:p>
    <w:p w14:paraId="48722180" w14:textId="73089719" w:rsidR="00D279B7" w:rsidRPr="007D063B" w:rsidRDefault="00D279B7" w:rsidP="00D279B7">
      <w:pPr>
        <w:pStyle w:val="Heading2"/>
        <w:rPr>
          <w:rFonts w:ascii="inherit" w:eastAsia="Times New Roman" w:hAnsi="inherit" w:cs="Times New Roman"/>
          <w:b/>
          <w:bCs/>
          <w:color w:val="000000"/>
          <w:sz w:val="24"/>
          <w:szCs w:val="24"/>
          <w:lang w:eastAsia="bg-BG"/>
        </w:rPr>
      </w:pPr>
      <w:bookmarkStart w:id="9" w:name="_Toc481594270"/>
      <w:r w:rsidRPr="007D063B">
        <w:rPr>
          <w:rFonts w:ascii="Times New Roman" w:eastAsia="Times New Roman" w:hAnsi="Times New Roman" w:cs="Times New Roman"/>
          <w:b/>
          <w:bCs/>
          <w:color w:val="000000"/>
          <w:sz w:val="24"/>
          <w:szCs w:val="24"/>
          <w:lang w:eastAsia="bg-BG"/>
        </w:rPr>
        <w:lastRenderedPageBreak/>
        <w:t>3.1   </w:t>
      </w:r>
      <w:r w:rsidRPr="007D063B">
        <w:rPr>
          <w:rFonts w:ascii="inherit" w:eastAsia="Times New Roman" w:hAnsi="inherit" w:cs="Times New Roman"/>
          <w:b/>
          <w:bCs/>
          <w:color w:val="000000"/>
          <w:sz w:val="24"/>
          <w:szCs w:val="24"/>
          <w:lang w:eastAsia="bg-BG"/>
        </w:rPr>
        <w:t>Преглед на изпълнението – приоритетна ос 2</w:t>
      </w:r>
      <w:bookmarkEnd w:id="9"/>
    </w:p>
    <w:p w14:paraId="175DB280" w14:textId="5A9FFB54" w:rsidR="003814F5" w:rsidRPr="007D063B" w:rsidRDefault="003814F5" w:rsidP="00C06BBC">
      <w:pPr>
        <w:shd w:val="clear" w:color="auto" w:fill="FFFFFF"/>
        <w:spacing w:before="120" w:after="0" w:line="240" w:lineRule="auto"/>
        <w:jc w:val="both"/>
        <w:rPr>
          <w:rFonts w:ascii="Times New Roman" w:eastAsia="Times New Roman" w:hAnsi="Times New Roman" w:cs="Times New Roman"/>
          <w:b/>
          <w:color w:val="0000FF"/>
          <w:sz w:val="24"/>
          <w:szCs w:val="24"/>
          <w:lang w:eastAsia="bg-BG"/>
        </w:rPr>
      </w:pP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855"/>
        <w:gridCol w:w="1632"/>
        <w:gridCol w:w="10547"/>
      </w:tblGrid>
      <w:tr w:rsidR="005C48BE" w:rsidRPr="007D063B" w14:paraId="55D89061" w14:textId="77777777" w:rsidTr="004D7E1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AD486E7" w14:textId="77777777" w:rsidR="004D7E1E" w:rsidRPr="007D063B" w:rsidRDefault="004D7E1E" w:rsidP="004D7E1E">
            <w:pPr>
              <w:spacing w:before="60" w:after="60" w:line="240" w:lineRule="auto"/>
              <w:ind w:right="195"/>
              <w:jc w:val="center"/>
              <w:rPr>
                <w:rFonts w:ascii="Times New Roman" w:eastAsia="Times New Roman" w:hAnsi="Times New Roman" w:cs="Times New Roman"/>
                <w:b/>
                <w:bCs/>
                <w:color w:val="000000"/>
                <w:lang w:eastAsia="bg-BG"/>
              </w:rPr>
            </w:pPr>
            <w:r w:rsidRPr="007D063B">
              <w:rPr>
                <w:rFonts w:ascii="Times New Roman" w:eastAsia="Times New Roman" w:hAnsi="Times New Roman" w:cs="Times New Roman"/>
                <w:b/>
                <w:bCs/>
                <w:color w:val="000000"/>
                <w:lang w:eastAsia="bg-BG"/>
              </w:rPr>
              <w:t>Идентификация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648035E" w14:textId="77777777" w:rsidR="004D7E1E" w:rsidRPr="007D063B" w:rsidRDefault="004D7E1E" w:rsidP="004D7E1E">
            <w:pPr>
              <w:spacing w:before="60" w:after="60" w:line="240" w:lineRule="auto"/>
              <w:ind w:right="195"/>
              <w:jc w:val="center"/>
              <w:rPr>
                <w:rFonts w:ascii="Times New Roman" w:eastAsia="Times New Roman" w:hAnsi="Times New Roman" w:cs="Times New Roman"/>
                <w:b/>
                <w:bCs/>
                <w:color w:val="000000"/>
                <w:lang w:eastAsia="bg-BG"/>
              </w:rPr>
            </w:pPr>
            <w:r w:rsidRPr="007D063B">
              <w:rPr>
                <w:rFonts w:ascii="Times New Roman" w:eastAsia="Times New Roman" w:hAnsi="Times New Roman" w:cs="Times New Roman"/>
                <w:b/>
                <w:bCs/>
                <w:color w:val="000000"/>
                <w:lang w:eastAsia="bg-BG"/>
              </w:rPr>
              <w:t>Приоритетна ос</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3B5F082" w14:textId="77777777" w:rsidR="004D7E1E" w:rsidRPr="007D063B" w:rsidRDefault="004D7E1E" w:rsidP="004D7E1E">
            <w:pPr>
              <w:spacing w:before="60" w:after="60" w:line="240" w:lineRule="auto"/>
              <w:ind w:right="195"/>
              <w:jc w:val="center"/>
              <w:rPr>
                <w:rFonts w:ascii="Times New Roman" w:eastAsia="Times New Roman" w:hAnsi="Times New Roman" w:cs="Times New Roman"/>
                <w:b/>
                <w:bCs/>
                <w:color w:val="000000"/>
                <w:lang w:eastAsia="bg-BG"/>
              </w:rPr>
            </w:pPr>
            <w:r w:rsidRPr="007D063B">
              <w:rPr>
                <w:rFonts w:ascii="Times New Roman" w:eastAsia="Times New Roman" w:hAnsi="Times New Roman" w:cs="Times New Roman"/>
                <w:b/>
                <w:bCs/>
                <w:color w:val="000000"/>
                <w:lang w:eastAsia="bg-BG"/>
              </w:rPr>
              <w:t>Ключова информация относно изпълнението на приоритетната ос с позоваване на ключови събития, значителни проблеми и стъпките, предприети за преодоляване на тези проблеми</w:t>
            </w:r>
          </w:p>
        </w:tc>
      </w:tr>
      <w:tr w:rsidR="005C48BE" w:rsidRPr="007D063B" w14:paraId="3AE8237B" w14:textId="77777777" w:rsidTr="00EA734F">
        <w:trPr>
          <w:trHeight w:val="3579"/>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67C3591A" w14:textId="77777777" w:rsidR="004D7E1E" w:rsidRPr="007D063B" w:rsidRDefault="004D7E1E" w:rsidP="004D7E1E">
            <w:pPr>
              <w:spacing w:before="60" w:after="60" w:line="240" w:lineRule="auto"/>
              <w:rPr>
                <w:rFonts w:ascii="Times New Roman" w:eastAsia="Times New Roman" w:hAnsi="Times New Roman" w:cs="Times New Roman"/>
                <w:i/>
                <w:iCs/>
                <w:color w:val="000000"/>
                <w:lang w:eastAsia="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4C3E3B9F" w14:textId="77777777" w:rsidR="004D7E1E" w:rsidRPr="007D063B" w:rsidRDefault="004D7E1E" w:rsidP="004D7E1E">
            <w:pPr>
              <w:spacing w:before="60" w:after="60" w:line="240" w:lineRule="auto"/>
              <w:ind w:right="195"/>
              <w:jc w:val="center"/>
              <w:rPr>
                <w:rFonts w:ascii="Times New Roman" w:eastAsia="Times New Roman" w:hAnsi="Times New Roman" w:cs="Times New Roman"/>
                <w:b/>
                <w:bCs/>
                <w:color w:val="000000"/>
                <w:lang w:eastAsia="bg-BG"/>
              </w:rPr>
            </w:pPr>
            <w:r w:rsidRPr="007D063B">
              <w:rPr>
                <w:rFonts w:ascii="Times New Roman" w:eastAsia="Times New Roman" w:hAnsi="Times New Roman" w:cs="Times New Roman"/>
                <w:b/>
                <w:bCs/>
                <w:color w:val="000000"/>
                <w:lang w:eastAsia="bg-BG"/>
              </w:rPr>
              <w:t>ПО 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3E9AD4B9" w14:textId="15EC5F95" w:rsidR="002060D1" w:rsidRPr="007D063B" w:rsidRDefault="002F289C" w:rsidP="004A681F">
            <w:pPr>
              <w:shd w:val="clear" w:color="auto" w:fill="FFFFFF"/>
              <w:spacing w:before="120" w:after="0" w:line="240" w:lineRule="auto"/>
              <w:jc w:val="both"/>
              <w:rPr>
                <w:rFonts w:ascii="Times New Roman" w:hAnsi="Times New Roman"/>
                <w:color w:val="000000"/>
                <w:szCs w:val="24"/>
                <w:lang w:eastAsia="bg-BG"/>
              </w:rPr>
            </w:pPr>
            <w:r w:rsidRPr="007D063B">
              <w:rPr>
                <w:rFonts w:ascii="Times New Roman" w:eastAsia="Times New Roman" w:hAnsi="Times New Roman" w:cs="Times New Roman"/>
                <w:iCs/>
                <w:color w:val="000000"/>
                <w:lang w:eastAsia="bg-BG"/>
              </w:rPr>
              <w:t>По ПО 2 през 2016 г. са обявени 4 процедури</w:t>
            </w:r>
            <w:r w:rsidR="002060D1" w:rsidRPr="007D063B">
              <w:rPr>
                <w:rFonts w:ascii="Times New Roman" w:eastAsia="Times New Roman" w:hAnsi="Times New Roman" w:cs="Times New Roman"/>
                <w:iCs/>
                <w:color w:val="000000"/>
                <w:lang w:eastAsia="bg-BG"/>
              </w:rPr>
              <w:t>. Получени</w:t>
            </w:r>
            <w:r w:rsidRPr="007D063B">
              <w:rPr>
                <w:rFonts w:ascii="Times New Roman" w:hAnsi="Times New Roman"/>
                <w:color w:val="000000"/>
                <w:szCs w:val="24"/>
                <w:lang w:eastAsia="bg-BG"/>
              </w:rPr>
              <w:t xml:space="preserve"> </w:t>
            </w:r>
            <w:r w:rsidR="00A51047" w:rsidRPr="007D063B">
              <w:rPr>
                <w:rFonts w:ascii="Times New Roman" w:hAnsi="Times New Roman"/>
                <w:color w:val="000000"/>
                <w:szCs w:val="24"/>
                <w:lang w:eastAsia="bg-BG"/>
              </w:rPr>
              <w:t xml:space="preserve">са </w:t>
            </w:r>
            <w:r w:rsidR="007936F3" w:rsidRPr="007D063B">
              <w:rPr>
                <w:rFonts w:ascii="Times New Roman" w:hAnsi="Times New Roman"/>
                <w:color w:val="000000"/>
                <w:szCs w:val="24"/>
                <w:lang w:eastAsia="bg-BG"/>
              </w:rPr>
              <w:t xml:space="preserve">20 </w:t>
            </w:r>
            <w:r w:rsidRPr="007D063B">
              <w:rPr>
                <w:rFonts w:ascii="Times New Roman" w:hAnsi="Times New Roman"/>
                <w:color w:val="000000"/>
                <w:szCs w:val="24"/>
                <w:lang w:eastAsia="bg-BG"/>
              </w:rPr>
              <w:t>проектни предложения.</w:t>
            </w:r>
            <w:r w:rsidR="004E7327" w:rsidRPr="007D063B">
              <w:rPr>
                <w:rFonts w:ascii="Times New Roman" w:hAnsi="Times New Roman"/>
                <w:color w:val="000000"/>
                <w:szCs w:val="24"/>
                <w:lang w:eastAsia="bg-BG"/>
              </w:rPr>
              <w:t xml:space="preserve"> Всички получени п</w:t>
            </w:r>
            <w:r w:rsidRPr="007D063B">
              <w:rPr>
                <w:rFonts w:ascii="Times New Roman" w:hAnsi="Times New Roman"/>
                <w:color w:val="000000"/>
                <w:szCs w:val="24"/>
                <w:lang w:eastAsia="bg-BG"/>
              </w:rPr>
              <w:t xml:space="preserve">роекти по процедури BG05SFOP001-2.002, BG05SFOP001-2.003, BG05SFOP001-2.004 са </w:t>
            </w:r>
            <w:r w:rsidR="004E7327" w:rsidRPr="007D063B">
              <w:rPr>
                <w:rFonts w:ascii="Times New Roman" w:hAnsi="Times New Roman"/>
                <w:color w:val="000000"/>
                <w:szCs w:val="24"/>
                <w:lang w:eastAsia="bg-BG"/>
              </w:rPr>
              <w:t xml:space="preserve">одобрени и са </w:t>
            </w:r>
            <w:r w:rsidRPr="007D063B">
              <w:rPr>
                <w:rFonts w:ascii="Times New Roman" w:hAnsi="Times New Roman"/>
                <w:color w:val="000000"/>
                <w:szCs w:val="24"/>
                <w:lang w:eastAsia="bg-BG"/>
              </w:rPr>
              <w:t>в изпълнение от края на 2016 г. По процедура BG05SFOP001-2.001 към края на 2016 г. 3 проекта са в изпълнение</w:t>
            </w:r>
            <w:r w:rsidR="004E7327" w:rsidRPr="007D063B">
              <w:rPr>
                <w:rFonts w:ascii="Times New Roman" w:hAnsi="Times New Roman"/>
                <w:color w:val="000000"/>
                <w:szCs w:val="24"/>
                <w:lang w:eastAsia="bg-BG"/>
              </w:rPr>
              <w:t xml:space="preserve"> (2 по ПО2</w:t>
            </w:r>
            <w:r w:rsidRPr="007D063B">
              <w:rPr>
                <w:rFonts w:ascii="Times New Roman" w:hAnsi="Times New Roman"/>
                <w:color w:val="000000"/>
                <w:szCs w:val="24"/>
                <w:lang w:eastAsia="bg-BG"/>
              </w:rPr>
              <w:t xml:space="preserve"> и 1 по ПО1 и ПО2)</w:t>
            </w:r>
            <w:r w:rsidR="004E7327" w:rsidRPr="007D063B">
              <w:rPr>
                <w:rFonts w:ascii="Times New Roman" w:hAnsi="Times New Roman"/>
                <w:color w:val="000000"/>
                <w:szCs w:val="24"/>
                <w:lang w:eastAsia="bg-BG"/>
              </w:rPr>
              <w:t>, а 10 са в оценка</w:t>
            </w:r>
            <w:r w:rsidRPr="007D063B">
              <w:rPr>
                <w:rFonts w:ascii="Times New Roman" w:hAnsi="Times New Roman"/>
                <w:color w:val="000000"/>
                <w:szCs w:val="24"/>
                <w:lang w:eastAsia="bg-BG"/>
              </w:rPr>
              <w:t>.</w:t>
            </w:r>
            <w:r w:rsidR="004E7327" w:rsidRPr="007D063B">
              <w:rPr>
                <w:rFonts w:ascii="Times New Roman" w:hAnsi="Times New Roman"/>
                <w:color w:val="000000"/>
                <w:szCs w:val="24"/>
                <w:lang w:eastAsia="bg-BG"/>
              </w:rPr>
              <w:t xml:space="preserve"> </w:t>
            </w:r>
          </w:p>
          <w:p w14:paraId="28D5A302" w14:textId="32489EBE" w:rsidR="002060D1" w:rsidRPr="007D063B" w:rsidRDefault="004E7327" w:rsidP="004A681F">
            <w:pPr>
              <w:shd w:val="clear" w:color="auto" w:fill="FFFFFF"/>
              <w:spacing w:before="120" w:after="0" w:line="240" w:lineRule="auto"/>
              <w:jc w:val="both"/>
              <w:rPr>
                <w:rFonts w:ascii="Times New Roman" w:hAnsi="Times New Roman"/>
                <w:color w:val="000000"/>
                <w:szCs w:val="24"/>
                <w:lang w:eastAsia="bg-BG"/>
              </w:rPr>
            </w:pPr>
            <w:r w:rsidRPr="007D063B">
              <w:rPr>
                <w:rFonts w:ascii="Times New Roman" w:hAnsi="Times New Roman"/>
                <w:color w:val="000000"/>
                <w:szCs w:val="24"/>
                <w:lang w:eastAsia="bg-BG"/>
              </w:rPr>
              <w:t xml:space="preserve">Като проблем по процедура BG05SFOP001-2.001 е отчетена ниската активност на МОСВ и МФ. Въпреки че </w:t>
            </w:r>
            <w:r w:rsidR="009A07F4" w:rsidRPr="007D063B">
              <w:rPr>
                <w:rFonts w:ascii="Times New Roman" w:hAnsi="Times New Roman"/>
                <w:color w:val="000000"/>
                <w:szCs w:val="24"/>
                <w:lang w:eastAsia="bg-BG"/>
              </w:rPr>
              <w:t>сроковете за допустимост на разходите по всички обявени процедури са преди датата на подаване на проектното предложение, повечето кандидати започват да изпълняват проектите си едва след сключване на договор за БФП. В допълнение, по процедура BG05SFOP001-2.001 повечето проекти бяха подадени през м. декември, което допълнително забавя изпълнението</w:t>
            </w:r>
            <w:r w:rsidRPr="007D063B">
              <w:rPr>
                <w:rFonts w:ascii="Times New Roman" w:hAnsi="Times New Roman"/>
                <w:color w:val="000000"/>
                <w:szCs w:val="24"/>
                <w:lang w:eastAsia="bg-BG"/>
              </w:rPr>
              <w:t xml:space="preserve"> </w:t>
            </w:r>
            <w:r w:rsidR="009A07F4" w:rsidRPr="007D063B">
              <w:rPr>
                <w:rFonts w:ascii="Times New Roman" w:hAnsi="Times New Roman"/>
                <w:color w:val="000000"/>
                <w:szCs w:val="24"/>
                <w:lang w:eastAsia="bg-BG"/>
              </w:rPr>
              <w:t>на ПК СРДА</w:t>
            </w:r>
            <w:r w:rsidR="00004D84" w:rsidRPr="007D063B">
              <w:rPr>
                <w:rFonts w:ascii="Times New Roman" w:hAnsi="Times New Roman"/>
                <w:color w:val="000000"/>
                <w:szCs w:val="24"/>
                <w:lang w:eastAsia="bg-BG"/>
              </w:rPr>
              <w:t>.</w:t>
            </w:r>
          </w:p>
          <w:p w14:paraId="28F2136A" w14:textId="5C5BEED1" w:rsidR="009E2AE9" w:rsidRPr="007D063B" w:rsidRDefault="001E13B2" w:rsidP="009E2AE9">
            <w:pPr>
              <w:shd w:val="clear" w:color="auto" w:fill="FFFFFF"/>
              <w:spacing w:before="120" w:after="0" w:line="240" w:lineRule="auto"/>
              <w:jc w:val="both"/>
              <w:rPr>
                <w:rFonts w:ascii="Times New Roman" w:hAnsi="Times New Roman"/>
                <w:color w:val="000000"/>
                <w:szCs w:val="24"/>
                <w:lang w:eastAsia="bg-BG"/>
              </w:rPr>
            </w:pPr>
            <w:r w:rsidRPr="007D063B">
              <w:rPr>
                <w:rFonts w:ascii="Times New Roman" w:hAnsi="Times New Roman"/>
                <w:color w:val="000000"/>
                <w:szCs w:val="24"/>
                <w:lang w:eastAsia="bg-BG"/>
              </w:rPr>
              <w:t>П</w:t>
            </w:r>
            <w:r w:rsidR="009E2AE9" w:rsidRPr="007D063B">
              <w:rPr>
                <w:rFonts w:ascii="Times New Roman" w:hAnsi="Times New Roman"/>
                <w:color w:val="000000"/>
                <w:szCs w:val="24"/>
                <w:lang w:eastAsia="bg-BG"/>
              </w:rPr>
              <w:t>роекти</w:t>
            </w:r>
            <w:r w:rsidRPr="007D063B">
              <w:rPr>
                <w:rFonts w:ascii="Times New Roman" w:hAnsi="Times New Roman"/>
                <w:color w:val="000000"/>
                <w:szCs w:val="24"/>
                <w:lang w:eastAsia="bg-BG"/>
              </w:rPr>
              <w:t>те</w:t>
            </w:r>
            <w:r w:rsidR="009E2AE9" w:rsidRPr="007D063B">
              <w:rPr>
                <w:rFonts w:ascii="Times New Roman" w:hAnsi="Times New Roman"/>
                <w:color w:val="000000"/>
                <w:szCs w:val="24"/>
                <w:lang w:eastAsia="bg-BG"/>
              </w:rPr>
              <w:t xml:space="preserve"> по </w:t>
            </w:r>
            <w:r w:rsidR="001F279F" w:rsidRPr="007D063B">
              <w:rPr>
                <w:rFonts w:ascii="Times New Roman" w:hAnsi="Times New Roman"/>
                <w:color w:val="000000"/>
                <w:szCs w:val="24"/>
                <w:lang w:eastAsia="bg-BG"/>
              </w:rPr>
              <w:t>ПО 2</w:t>
            </w:r>
            <w:r w:rsidR="009E2AE9" w:rsidRPr="007D063B">
              <w:rPr>
                <w:rFonts w:ascii="Times New Roman" w:hAnsi="Times New Roman"/>
                <w:color w:val="000000"/>
                <w:szCs w:val="24"/>
                <w:lang w:eastAsia="bg-BG"/>
              </w:rPr>
              <w:t xml:space="preserve"> са в начален етап на изпълнение. До края на 2016 г. по същество напредък има по проектите на ИПА (</w:t>
            </w:r>
            <w:r w:rsidR="009E2AE9" w:rsidRPr="007D063B">
              <w:rPr>
                <w:rFonts w:ascii="Times New Roman" w:hAnsi="Times New Roman"/>
                <w:color w:val="000000"/>
                <w:szCs w:val="24"/>
                <w:lang w:val="en-US" w:eastAsia="bg-BG"/>
              </w:rPr>
              <w:t>CAF</w:t>
            </w:r>
            <w:r w:rsidR="009E2AE9" w:rsidRPr="007D063B">
              <w:rPr>
                <w:rFonts w:ascii="Times New Roman" w:hAnsi="Times New Roman"/>
                <w:color w:val="000000"/>
                <w:szCs w:val="24"/>
                <w:lang w:eastAsia="bg-BG"/>
              </w:rPr>
              <w:t xml:space="preserve">) и ДИ, по които са започнали съответно обучение за консултанти по внедряването на CAF и обучение по терминология на ЕС на английски език. </w:t>
            </w:r>
          </w:p>
          <w:p w14:paraId="69DF902A" w14:textId="57248884" w:rsidR="009E2AE9" w:rsidRPr="007D063B" w:rsidRDefault="009E2AE9" w:rsidP="009E2AE9">
            <w:pPr>
              <w:shd w:val="clear" w:color="auto" w:fill="FFFFFF"/>
              <w:spacing w:after="0" w:line="240" w:lineRule="auto"/>
              <w:jc w:val="both"/>
              <w:rPr>
                <w:rFonts w:ascii="Times New Roman" w:hAnsi="Times New Roman"/>
                <w:color w:val="000000"/>
                <w:szCs w:val="24"/>
                <w:lang w:val="ru-RU" w:eastAsia="bg-BG"/>
              </w:rPr>
            </w:pPr>
            <w:r w:rsidRPr="007D063B">
              <w:rPr>
                <w:rFonts w:ascii="Times New Roman" w:hAnsi="Times New Roman"/>
                <w:color w:val="000000"/>
                <w:szCs w:val="24"/>
                <w:lang w:eastAsia="bg-BG"/>
              </w:rPr>
              <w:t>По проекта за обучения на ИПА е проведена ОП за възлагане на обученията</w:t>
            </w:r>
            <w:r w:rsidRPr="007D063B">
              <w:t xml:space="preserve"> </w:t>
            </w:r>
            <w:r w:rsidRPr="007D063B">
              <w:rPr>
                <w:rFonts w:ascii="Times New Roman" w:hAnsi="Times New Roman"/>
                <w:color w:val="000000"/>
                <w:szCs w:val="24"/>
                <w:lang w:eastAsia="bg-BG"/>
              </w:rPr>
              <w:t xml:space="preserve">за подобряване капацитета на българската администрация за участие в процеса на вземане на решения в ЕС, като </w:t>
            </w:r>
            <w:r w:rsidR="00594912" w:rsidRPr="007D063B">
              <w:rPr>
                <w:rFonts w:ascii="Times New Roman" w:hAnsi="Times New Roman"/>
                <w:color w:val="000000"/>
                <w:szCs w:val="24"/>
                <w:lang w:eastAsia="bg-BG"/>
              </w:rPr>
              <w:t xml:space="preserve">към края на 2016 </w:t>
            </w:r>
            <w:r w:rsidR="00221198" w:rsidRPr="007D063B">
              <w:rPr>
                <w:rFonts w:ascii="Times New Roman" w:hAnsi="Times New Roman"/>
                <w:color w:val="000000"/>
                <w:szCs w:val="24"/>
                <w:lang w:eastAsia="bg-BG"/>
              </w:rPr>
              <w:t>договорът с изпълнител</w:t>
            </w:r>
            <w:r w:rsidR="00594912" w:rsidRPr="007D063B">
              <w:rPr>
                <w:rFonts w:ascii="Times New Roman" w:hAnsi="Times New Roman"/>
                <w:color w:val="000000"/>
                <w:szCs w:val="24"/>
                <w:lang w:eastAsia="bg-BG"/>
              </w:rPr>
              <w:t xml:space="preserve"> все още не</w:t>
            </w:r>
            <w:r w:rsidR="00221198" w:rsidRPr="007D063B">
              <w:rPr>
                <w:rFonts w:ascii="Times New Roman" w:hAnsi="Times New Roman"/>
                <w:color w:val="000000"/>
                <w:szCs w:val="24"/>
                <w:lang w:eastAsia="bg-BG"/>
              </w:rPr>
              <w:t xml:space="preserve"> е сключен</w:t>
            </w:r>
            <w:r w:rsidR="00594912" w:rsidRPr="007D063B">
              <w:rPr>
                <w:rFonts w:ascii="Times New Roman" w:hAnsi="Times New Roman"/>
                <w:color w:val="000000"/>
                <w:szCs w:val="24"/>
                <w:lang w:eastAsia="bg-BG"/>
              </w:rPr>
              <w:t>.</w:t>
            </w:r>
            <w:r w:rsidRPr="007D063B">
              <w:rPr>
                <w:rFonts w:ascii="Times New Roman" w:hAnsi="Times New Roman"/>
                <w:color w:val="000000"/>
                <w:szCs w:val="24"/>
                <w:lang w:eastAsia="bg-BG"/>
              </w:rPr>
              <w:t xml:space="preserve">  </w:t>
            </w:r>
          </w:p>
          <w:p w14:paraId="3D6A87CA" w14:textId="214C58DF" w:rsidR="00577CE2" w:rsidRPr="007D063B" w:rsidRDefault="009E2AE9" w:rsidP="009A5E50">
            <w:pPr>
              <w:spacing w:before="60" w:after="60" w:line="240" w:lineRule="auto"/>
              <w:jc w:val="both"/>
              <w:rPr>
                <w:rFonts w:ascii="Times New Roman" w:eastAsia="Times New Roman" w:hAnsi="Times New Roman" w:cs="Times New Roman"/>
                <w:i/>
                <w:iCs/>
                <w:color w:val="000000"/>
                <w:lang w:eastAsia="bg-BG"/>
              </w:rPr>
            </w:pPr>
            <w:r w:rsidRPr="007D063B">
              <w:rPr>
                <w:rFonts w:ascii="Times New Roman" w:eastAsia="Times New Roman" w:hAnsi="Times New Roman" w:cs="Times New Roman"/>
                <w:iCs/>
                <w:color w:val="000000"/>
                <w:lang w:eastAsia="bg-BG"/>
              </w:rPr>
              <w:t xml:space="preserve">По процедура BG05SFOP001-1.001 от ИГРП 2015 г. от началото на 2016 г. по ПО2 е в изпълнение проект на НСИ за изграждане на </w:t>
            </w:r>
            <w:r w:rsidRPr="007D063B">
              <w:rPr>
                <w:rFonts w:ascii="Times New Roman" w:hAnsi="Times New Roman" w:cs="Times New Roman"/>
              </w:rPr>
              <w:t>информационна система за мониторинг</w:t>
            </w:r>
            <w:r w:rsidRPr="007D063B">
              <w:rPr>
                <w:rFonts w:ascii="Times New Roman" w:eastAsia="Times New Roman" w:hAnsi="Times New Roman" w:cs="Times New Roman"/>
                <w:iCs/>
                <w:color w:val="000000"/>
                <w:lang w:eastAsia="bg-BG"/>
              </w:rPr>
              <w:t xml:space="preserve">. Изпълнението </w:t>
            </w:r>
            <w:r w:rsidR="008E2A19" w:rsidRPr="007D063B">
              <w:rPr>
                <w:rFonts w:ascii="Times New Roman" w:eastAsia="Times New Roman" w:hAnsi="Times New Roman" w:cs="Times New Roman"/>
                <w:iCs/>
                <w:color w:val="000000"/>
                <w:lang w:eastAsia="bg-BG"/>
              </w:rPr>
              <w:t xml:space="preserve">по проекта към 2016 г. е незначително </w:t>
            </w:r>
            <w:r w:rsidRPr="007D063B">
              <w:rPr>
                <w:rFonts w:ascii="Times New Roman" w:eastAsia="Times New Roman" w:hAnsi="Times New Roman" w:cs="Times New Roman"/>
                <w:iCs/>
                <w:color w:val="000000"/>
                <w:lang w:eastAsia="bg-BG"/>
              </w:rPr>
              <w:t xml:space="preserve"> поради обжалване на ОП за възлагане на основната дейност, което наложи и повторно обявяване на поръчката.</w:t>
            </w:r>
          </w:p>
        </w:tc>
      </w:tr>
    </w:tbl>
    <w:p w14:paraId="3389B265" w14:textId="77777777" w:rsidR="00D66986" w:rsidRPr="007D063B" w:rsidRDefault="00D66986" w:rsidP="00A51047">
      <w:pPr>
        <w:rPr>
          <w:rFonts w:ascii="Times New Roman" w:eastAsia="Times New Roman" w:hAnsi="Times New Roman" w:cs="Times New Roman"/>
          <w:b/>
          <w:bCs/>
          <w:color w:val="000000"/>
          <w:sz w:val="24"/>
          <w:szCs w:val="24"/>
          <w:lang w:eastAsia="bg-BG"/>
        </w:rPr>
      </w:pPr>
    </w:p>
    <w:p w14:paraId="77203656" w14:textId="0C7FA38E" w:rsidR="00D279B7" w:rsidRPr="007D063B" w:rsidRDefault="00D279B7" w:rsidP="00D279B7">
      <w:pPr>
        <w:pStyle w:val="Heading2"/>
        <w:rPr>
          <w:rFonts w:ascii="inherit" w:eastAsia="Times New Roman" w:hAnsi="inherit" w:cs="Times New Roman"/>
          <w:b/>
          <w:bCs/>
          <w:color w:val="000000"/>
          <w:sz w:val="24"/>
          <w:szCs w:val="24"/>
          <w:lang w:eastAsia="bg-BG"/>
        </w:rPr>
      </w:pPr>
      <w:bookmarkStart w:id="10" w:name="_Toc481594271"/>
      <w:r w:rsidRPr="007D063B">
        <w:rPr>
          <w:rFonts w:ascii="Times New Roman" w:eastAsia="Times New Roman" w:hAnsi="Times New Roman" w:cs="Times New Roman"/>
          <w:b/>
          <w:bCs/>
          <w:color w:val="000000"/>
          <w:sz w:val="24"/>
          <w:szCs w:val="24"/>
          <w:lang w:eastAsia="bg-BG"/>
        </w:rPr>
        <w:t>3.2   </w:t>
      </w:r>
      <w:r w:rsidRPr="007D063B">
        <w:rPr>
          <w:rFonts w:ascii="inherit" w:eastAsia="Times New Roman" w:hAnsi="inherit" w:cs="Times New Roman"/>
          <w:b/>
          <w:bCs/>
          <w:color w:val="000000"/>
          <w:sz w:val="24"/>
          <w:szCs w:val="24"/>
          <w:lang w:eastAsia="bg-BG"/>
        </w:rPr>
        <w:t>Общи и специфични за програмата показатели (член 50, параграф 2 от Регламент (ЕС) № 1303/2013) – приоритетна ос 2</w:t>
      </w:r>
      <w:bookmarkEnd w:id="10"/>
    </w:p>
    <w:p w14:paraId="1F5565E2" w14:textId="77777777" w:rsidR="00B54C34" w:rsidRPr="007D063B" w:rsidRDefault="00B54C34" w:rsidP="00B54C34">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Данните за общите и специфичните за програмата показатели по инвестиционен приоритет, предавани в таблици 1—4 по-долу.</w:t>
      </w:r>
    </w:p>
    <w:p w14:paraId="2A32540A" w14:textId="77777777" w:rsidR="00B54C34" w:rsidRPr="007D063B" w:rsidRDefault="00B54C34" w:rsidP="00B54C34">
      <w:pPr>
        <w:shd w:val="clear" w:color="auto" w:fill="FFFFFF"/>
        <w:spacing w:before="120" w:after="120" w:line="240" w:lineRule="auto"/>
        <w:jc w:val="center"/>
        <w:rPr>
          <w:rFonts w:eastAsia="Times New Roman" w:cs="Times New Roman"/>
          <w:i/>
          <w:iCs/>
          <w:color w:val="000000"/>
          <w:sz w:val="24"/>
          <w:szCs w:val="24"/>
          <w:lang w:eastAsia="bg-BG"/>
        </w:rPr>
      </w:pPr>
    </w:p>
    <w:p w14:paraId="67CEBB4D" w14:textId="77777777" w:rsidR="00B54C34" w:rsidRPr="007D063B" w:rsidRDefault="00B54C34" w:rsidP="00B54C34">
      <w:pPr>
        <w:rPr>
          <w:rFonts w:ascii="inherit" w:eastAsia="Times New Roman" w:hAnsi="inherit" w:cs="Times New Roman"/>
          <w:i/>
          <w:iCs/>
          <w:color w:val="000000"/>
          <w:sz w:val="24"/>
          <w:szCs w:val="24"/>
          <w:lang w:eastAsia="bg-BG"/>
        </w:rPr>
      </w:pPr>
      <w:r w:rsidRPr="007D063B">
        <w:rPr>
          <w:rFonts w:ascii="inherit" w:eastAsia="Times New Roman" w:hAnsi="inherit" w:cs="Times New Roman"/>
          <w:i/>
          <w:iCs/>
          <w:color w:val="000000"/>
          <w:sz w:val="24"/>
          <w:szCs w:val="24"/>
          <w:lang w:eastAsia="bg-BG"/>
        </w:rPr>
        <w:br w:type="page"/>
      </w:r>
    </w:p>
    <w:p w14:paraId="00F4779B" w14:textId="77777777" w:rsidR="00B54C34" w:rsidRPr="007D063B" w:rsidRDefault="00B54C34" w:rsidP="00004D84">
      <w:pPr>
        <w:pStyle w:val="Heading3"/>
        <w:jc w:val="center"/>
        <w:rPr>
          <w:rFonts w:ascii="Times New Roman" w:eastAsia="Times New Roman" w:hAnsi="Times New Roman" w:cs="Times New Roman"/>
          <w:color w:val="000000"/>
          <w:lang w:eastAsia="bg-BG"/>
        </w:rPr>
      </w:pPr>
      <w:bookmarkStart w:id="11" w:name="_Toc481594272"/>
      <w:r w:rsidRPr="007D063B">
        <w:rPr>
          <w:rFonts w:ascii="inherit" w:eastAsia="Times New Roman" w:hAnsi="inherit" w:cs="Times New Roman"/>
          <w:i/>
          <w:iCs/>
          <w:color w:val="000000"/>
          <w:lang w:eastAsia="bg-BG"/>
        </w:rPr>
        <w:lastRenderedPageBreak/>
        <w:t>Таблица 2А</w:t>
      </w:r>
      <w:bookmarkEnd w:id="11"/>
    </w:p>
    <w:p w14:paraId="3D9D27BC" w14:textId="77777777" w:rsidR="00B54C34" w:rsidRPr="007D063B" w:rsidRDefault="00B54C34" w:rsidP="00B54C34">
      <w:pPr>
        <w:shd w:val="clear" w:color="auto" w:fill="FFFFFF"/>
        <w:spacing w:before="120" w:after="120" w:line="240" w:lineRule="auto"/>
        <w:jc w:val="center"/>
        <w:rPr>
          <w:rFonts w:ascii="Times New Roman" w:eastAsia="Times New Roman" w:hAnsi="Times New Roman" w:cs="Times New Roman"/>
          <w:color w:val="000000"/>
          <w:sz w:val="24"/>
          <w:szCs w:val="24"/>
          <w:lang w:eastAsia="bg-BG"/>
        </w:rPr>
      </w:pPr>
      <w:r w:rsidRPr="007D063B">
        <w:rPr>
          <w:rFonts w:ascii="inherit" w:eastAsia="Times New Roman" w:hAnsi="inherit" w:cs="Times New Roman"/>
          <w:b/>
          <w:bCs/>
          <w:color w:val="000000"/>
          <w:sz w:val="24"/>
          <w:szCs w:val="24"/>
          <w:lang w:eastAsia="bg-BG"/>
        </w:rPr>
        <w:t>Общи показатели за резултатите за ЕСФ (по приоритетна ос, инвестиционен приоритет и по категория регион). Данните за всички общи показатели за резултатите по ЕСФ (със и без целева стойност) се отчитат с разпределение по пол. По приоритетната ос за техническа помощ се отчитат само тези общи показатели, за които е определена целева стойност</w:t>
      </w:r>
      <w:r w:rsidRPr="007D063B">
        <w:rPr>
          <w:rFonts w:ascii="Times New Roman" w:eastAsia="Times New Roman" w:hAnsi="Times New Roman" w:cs="Times New Roman"/>
          <w:color w:val="000000"/>
          <w:sz w:val="24"/>
          <w:szCs w:val="24"/>
          <w:lang w:eastAsia="bg-BG"/>
        </w:rPr>
        <w:t> </w:t>
      </w:r>
      <w:hyperlink r:id="rId20" w:anchor="ntr4-L_2015038BG.01007201-E0004" w:history="1">
        <w:r w:rsidRPr="007D063B">
          <w:rPr>
            <w:rFonts w:ascii="inherit" w:eastAsia="Times New Roman" w:hAnsi="inherit" w:cs="Times New Roman"/>
            <w:color w:val="0000FF"/>
            <w:sz w:val="24"/>
            <w:szCs w:val="24"/>
            <w:u w:val="single"/>
            <w:lang w:eastAsia="bg-BG"/>
          </w:rPr>
          <w:t> (</w:t>
        </w:r>
        <w:r w:rsidRPr="007D063B">
          <w:rPr>
            <w:rFonts w:ascii="inherit" w:eastAsia="Times New Roman" w:hAnsi="inherit" w:cs="Times New Roman"/>
            <w:color w:val="0000FF"/>
            <w:sz w:val="17"/>
            <w:szCs w:val="17"/>
            <w:u w:val="single"/>
            <w:vertAlign w:val="superscript"/>
            <w:lang w:eastAsia="bg-BG"/>
          </w:rPr>
          <w:t>4</w:t>
        </w:r>
        <w:r w:rsidRPr="007D063B">
          <w:rPr>
            <w:rFonts w:ascii="inherit" w:eastAsia="Times New Roman" w:hAnsi="inherit" w:cs="Times New Roman"/>
            <w:color w:val="0000FF"/>
            <w:sz w:val="24"/>
            <w:szCs w:val="24"/>
            <w:u w:val="single"/>
            <w:lang w:eastAsia="bg-BG"/>
          </w:rPr>
          <w:t>)</w:t>
        </w:r>
      </w:hyperlink>
      <w:r w:rsidRPr="007D063B">
        <w:rPr>
          <w:rFonts w:ascii="Times New Roman" w:eastAsia="Times New Roman" w:hAnsi="Times New Roman" w:cs="Times New Roman"/>
          <w:color w:val="000000"/>
          <w:sz w:val="24"/>
          <w:szCs w:val="24"/>
          <w:lang w:eastAsia="bg-BG"/>
        </w:rPr>
        <w:t> </w:t>
      </w:r>
      <w:hyperlink r:id="rId21" w:anchor="ntr5-L_2015038BG.01007201-E0005" w:history="1">
        <w:r w:rsidRPr="007D063B">
          <w:rPr>
            <w:rFonts w:ascii="inherit" w:eastAsia="Times New Roman" w:hAnsi="inherit" w:cs="Times New Roman"/>
            <w:color w:val="0000FF"/>
            <w:sz w:val="24"/>
            <w:szCs w:val="24"/>
            <w:u w:val="single"/>
            <w:lang w:eastAsia="bg-BG"/>
          </w:rPr>
          <w:t> (</w:t>
        </w:r>
        <w:r w:rsidRPr="007D063B">
          <w:rPr>
            <w:rFonts w:ascii="inherit" w:eastAsia="Times New Roman" w:hAnsi="inherit" w:cs="Times New Roman"/>
            <w:color w:val="0000FF"/>
            <w:sz w:val="17"/>
            <w:szCs w:val="17"/>
            <w:u w:val="single"/>
            <w:vertAlign w:val="superscript"/>
            <w:lang w:eastAsia="bg-BG"/>
          </w:rPr>
          <w:t>5</w:t>
        </w:r>
        <w:r w:rsidRPr="007D063B">
          <w:rPr>
            <w:rFonts w:ascii="inherit" w:eastAsia="Times New Roman" w:hAnsi="inherit" w:cs="Times New Roman"/>
            <w:color w:val="0000FF"/>
            <w:sz w:val="24"/>
            <w:szCs w:val="24"/>
            <w:u w:val="single"/>
            <w:lang w:eastAsia="bg-BG"/>
          </w:rPr>
          <w:t>)</w:t>
        </w:r>
      </w:hyperlink>
    </w:p>
    <w:p w14:paraId="510A3A81" w14:textId="77777777" w:rsidR="00B54C34" w:rsidRPr="007D063B" w:rsidRDefault="00B54C34" w:rsidP="00B54C34">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Инвестиционен приоритет:</w:t>
      </w:r>
    </w:p>
    <w:p w14:paraId="107338B0" w14:textId="77777777" w:rsidR="00B54C34" w:rsidRPr="007D063B" w:rsidRDefault="00B54C34" w:rsidP="00B54C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xml:space="preserve">Инвестиционен приоритет № 11 </w:t>
      </w:r>
      <w:r w:rsidRPr="007D063B">
        <w:rPr>
          <w:rFonts w:ascii="Times New Roman" w:eastAsia="Times New Roman" w:hAnsi="Times New Roman" w:cs="Times New Roman"/>
          <w:color w:val="000000"/>
          <w:sz w:val="24"/>
          <w:szCs w:val="24"/>
          <w:lang w:val="en-US" w:eastAsia="bg-BG"/>
        </w:rPr>
        <w:t>i</w:t>
      </w:r>
      <w:r w:rsidRPr="007D063B">
        <w:rPr>
          <w:rFonts w:ascii="Times New Roman" w:eastAsia="Times New Roman" w:hAnsi="Times New Roman" w:cs="Times New Roman"/>
          <w:color w:val="000000"/>
          <w:sz w:val="24"/>
          <w:szCs w:val="24"/>
          <w:lang w:eastAsia="bg-BG"/>
        </w:rPr>
        <w:t>: Инвестиции в институционален капацитет и в ефикасността на публичните администрации и публичните услуги на национално, регионално и местно равнище с цел осъществяването на реформи и постигането на по-добро регулиране и добро управление</w:t>
      </w:r>
    </w:p>
    <w:p w14:paraId="2F5278E7" w14:textId="77777777" w:rsidR="00B54C34" w:rsidRPr="007D063B" w:rsidRDefault="00B54C34" w:rsidP="00B54C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Категория регион: По-слабо развити региони</w:t>
      </w:r>
    </w:p>
    <w:tbl>
      <w:tblPr>
        <w:tblW w:w="5018" w:type="pct"/>
        <w:jc w:val="center"/>
        <w:tblCellSpacing w:w="0"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left w:w="0" w:type="dxa"/>
          <w:right w:w="0" w:type="dxa"/>
        </w:tblCellMar>
        <w:tblLook w:val="04A0" w:firstRow="1" w:lastRow="0" w:firstColumn="1" w:lastColumn="0" w:noHBand="0" w:noVBand="1"/>
      </w:tblPr>
      <w:tblGrid>
        <w:gridCol w:w="704"/>
        <w:gridCol w:w="1281"/>
        <w:gridCol w:w="427"/>
        <w:gridCol w:w="996"/>
        <w:gridCol w:w="712"/>
        <w:gridCol w:w="992"/>
        <w:gridCol w:w="286"/>
        <w:gridCol w:w="426"/>
        <w:gridCol w:w="12"/>
        <w:gridCol w:w="275"/>
        <w:gridCol w:w="377"/>
        <w:gridCol w:w="51"/>
        <w:gridCol w:w="142"/>
        <w:gridCol w:w="284"/>
        <w:gridCol w:w="129"/>
        <w:gridCol w:w="13"/>
        <w:gridCol w:w="32"/>
        <w:gridCol w:w="277"/>
        <w:gridCol w:w="375"/>
        <w:gridCol w:w="27"/>
        <w:gridCol w:w="250"/>
        <w:gridCol w:w="319"/>
        <w:gridCol w:w="56"/>
        <w:gridCol w:w="277"/>
        <w:gridCol w:w="377"/>
        <w:gridCol w:w="277"/>
        <w:gridCol w:w="375"/>
        <w:gridCol w:w="59"/>
        <w:gridCol w:w="218"/>
        <w:gridCol w:w="351"/>
        <w:gridCol w:w="24"/>
        <w:gridCol w:w="277"/>
        <w:gridCol w:w="375"/>
        <w:gridCol w:w="35"/>
        <w:gridCol w:w="284"/>
        <w:gridCol w:w="142"/>
        <w:gridCol w:w="285"/>
        <w:gridCol w:w="426"/>
        <w:gridCol w:w="426"/>
        <w:gridCol w:w="426"/>
        <w:gridCol w:w="263"/>
        <w:gridCol w:w="353"/>
        <w:gridCol w:w="341"/>
        <w:gridCol w:w="51"/>
      </w:tblGrid>
      <w:tr w:rsidR="00B54C34" w:rsidRPr="007D063B" w14:paraId="10E83A3F" w14:textId="77777777" w:rsidTr="00450FF1">
        <w:trPr>
          <w:gridAfter w:val="1"/>
          <w:wAfter w:w="51" w:type="dxa"/>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09F4FBE8"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Идентификация</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1670996C"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Показател</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78BA892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Категория региони</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272D14A8"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Общ показател за изпълнението, използван като основа за определяне на целеви стойности</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077E496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Мерна единица за базовата и целевата стойност</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12D1A14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Целева стойност (2023 г.)</w:t>
            </w:r>
          </w:p>
          <w:p w14:paraId="0F24B327"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(Разпределението по пол е незадължително за целевата стойност)</w:t>
            </w:r>
          </w:p>
        </w:tc>
        <w:tc>
          <w:tcPr>
            <w:tcW w:w="7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DF9A5E7"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2014</w:t>
            </w:r>
          </w:p>
        </w:tc>
        <w:tc>
          <w:tcPr>
            <w:tcW w:w="65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D5E5461"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2015</w:t>
            </w:r>
          </w:p>
        </w:tc>
        <w:tc>
          <w:tcPr>
            <w:tcW w:w="650" w:type="dxa"/>
            <w:gridSpan w:val="6"/>
            <w:tcBorders>
              <w:top w:val="single" w:sz="6" w:space="0" w:color="000000"/>
              <w:left w:val="single" w:sz="6" w:space="0" w:color="000000"/>
              <w:bottom w:val="single" w:sz="6" w:space="0" w:color="000000"/>
              <w:right w:val="single" w:sz="6" w:space="0" w:color="000000"/>
            </w:tcBorders>
            <w:shd w:val="clear" w:color="auto" w:fill="FFFFFF"/>
            <w:hideMark/>
          </w:tcPr>
          <w:p w14:paraId="66D7CF53"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2016</w:t>
            </w:r>
          </w:p>
        </w:tc>
        <w:tc>
          <w:tcPr>
            <w:tcW w:w="65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03984F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2017</w:t>
            </w:r>
          </w:p>
        </w:tc>
        <w:tc>
          <w:tcPr>
            <w:tcW w:w="650"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39ADA03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2018</w:t>
            </w:r>
          </w:p>
        </w:tc>
        <w:tc>
          <w:tcPr>
            <w:tcW w:w="65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4E90EB7"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2019</w:t>
            </w:r>
          </w:p>
        </w:tc>
        <w:tc>
          <w:tcPr>
            <w:tcW w:w="65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BE66072"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2020</w:t>
            </w:r>
          </w:p>
        </w:tc>
        <w:tc>
          <w:tcPr>
            <w:tcW w:w="650"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200EA05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2021</w:t>
            </w:r>
          </w:p>
        </w:tc>
        <w:tc>
          <w:tcPr>
            <w:tcW w:w="65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C2A533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2022</w:t>
            </w:r>
          </w:p>
        </w:tc>
        <w:tc>
          <w:tcPr>
            <w:tcW w:w="744"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2EC8545B"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2023</w:t>
            </w:r>
          </w:p>
        </w:tc>
        <w:tc>
          <w:tcPr>
            <w:tcW w:w="1275"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658F103"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Кумулативна стойност</w:t>
            </w:r>
          </w:p>
          <w:p w14:paraId="2D22E4A5"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(автоматично изчислена)</w:t>
            </w:r>
          </w:p>
        </w:tc>
        <w:tc>
          <w:tcPr>
            <w:tcW w:w="9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EAA5EA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Съотношение на постиженията</w:t>
            </w:r>
          </w:p>
          <w:p w14:paraId="58FD851B"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Разпределение по пол (незадължително)</w:t>
            </w:r>
          </w:p>
        </w:tc>
      </w:tr>
      <w:tr w:rsidR="00B54C34" w:rsidRPr="007D063B" w14:paraId="2BB92D08" w14:textId="77777777" w:rsidTr="00450FF1">
        <w:trPr>
          <w:gridAfter w:val="1"/>
          <w:wAfter w:w="51" w:type="dxa"/>
          <w:tblCellSpacing w:w="0" w:type="dxa"/>
          <w:jc w:val="center"/>
        </w:trPr>
        <w:tc>
          <w:tcPr>
            <w:tcW w:w="5091" w:type="dxa"/>
            <w:gridSpan w:val="6"/>
            <w:tcBorders>
              <w:top w:val="single" w:sz="6" w:space="0" w:color="000000"/>
              <w:left w:val="single" w:sz="6" w:space="0" w:color="000000"/>
              <w:bottom w:val="single" w:sz="6" w:space="0" w:color="000000"/>
              <w:right w:val="single" w:sz="6" w:space="0" w:color="000000"/>
            </w:tcBorders>
            <w:shd w:val="clear" w:color="auto" w:fill="FFFFFF"/>
            <w:hideMark/>
          </w:tcPr>
          <w:p w14:paraId="0481FBDB" w14:textId="77777777" w:rsidR="00B54C34" w:rsidRPr="007D063B" w:rsidRDefault="00B54C34" w:rsidP="00450FF1">
            <w:pPr>
              <w:spacing w:before="120" w:after="0" w:line="240" w:lineRule="auto"/>
              <w:jc w:val="both"/>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color w:val="000000"/>
                <w:sz w:val="16"/>
                <w:szCs w:val="16"/>
                <w:lang w:eastAsia="bg-BG"/>
              </w:rPr>
              <w:t> </w:t>
            </w:r>
          </w:p>
        </w:tc>
        <w:tc>
          <w:tcPr>
            <w:tcW w:w="6667" w:type="dxa"/>
            <w:gridSpan w:val="31"/>
            <w:tcBorders>
              <w:top w:val="single" w:sz="6" w:space="0" w:color="000000"/>
              <w:left w:val="single" w:sz="6" w:space="0" w:color="000000"/>
              <w:bottom w:val="single" w:sz="6" w:space="0" w:color="000000"/>
              <w:right w:val="single" w:sz="6" w:space="0" w:color="000000"/>
            </w:tcBorders>
            <w:shd w:val="clear" w:color="auto" w:fill="FFFFFF"/>
            <w:hideMark/>
          </w:tcPr>
          <w:p w14:paraId="09A7B011"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lang w:eastAsia="bg-BG"/>
              </w:rPr>
            </w:pPr>
            <w:r w:rsidRPr="007D063B">
              <w:rPr>
                <w:rFonts w:ascii="Times New Roman" w:eastAsia="Times New Roman" w:hAnsi="Times New Roman" w:cs="Times New Roman"/>
                <w:b/>
                <w:bCs/>
                <w:color w:val="000000"/>
                <w:lang w:eastAsia="bg-BG"/>
              </w:rPr>
              <w:t>Годишна стойност</w:t>
            </w:r>
          </w:p>
        </w:tc>
        <w:tc>
          <w:tcPr>
            <w:tcW w:w="1275"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11A35C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58EA0B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r>
      <w:tr w:rsidR="00E133C6" w:rsidRPr="007D063B" w14:paraId="432B4C8E" w14:textId="77777777" w:rsidTr="00450FF1">
        <w:trPr>
          <w:trHeight w:val="380"/>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7A015DF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217E2F83" w14:textId="77777777" w:rsidR="00B54C34" w:rsidRPr="007D063B" w:rsidRDefault="00B54C34" w:rsidP="00450FF1">
            <w:pPr>
              <w:spacing w:before="120" w:after="0" w:line="240" w:lineRule="auto"/>
              <w:jc w:val="both"/>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color w:val="000000"/>
                <w:sz w:val="16"/>
                <w:szCs w:val="16"/>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00F16E5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49239AF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75FD8E0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1B3EE86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Общо</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576792DC"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B79E607"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E7A67CB"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8ECBB0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3CCECA3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642F6F73"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4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AD36AB8"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30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BB1C372"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DA3EBDF"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349C7C71"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725EB7E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6C1928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3B1FF447"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53EB257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F08AEE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0B2BA77F"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24C56E1B"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51DD9C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538643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7F6938F1"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02BA60C7"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431F6312"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26288CE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Общо</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7CB2187C"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7625172"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262" w:type="dxa"/>
            <w:tcBorders>
              <w:top w:val="single" w:sz="6" w:space="0" w:color="000000"/>
              <w:left w:val="single" w:sz="6" w:space="0" w:color="000000"/>
              <w:bottom w:val="single" w:sz="6" w:space="0" w:color="000000"/>
              <w:right w:val="single" w:sz="6" w:space="0" w:color="000000"/>
            </w:tcBorders>
            <w:shd w:val="clear" w:color="auto" w:fill="FFFFFF"/>
            <w:hideMark/>
          </w:tcPr>
          <w:p w14:paraId="71DB5AC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352" w:type="dxa"/>
            <w:tcBorders>
              <w:top w:val="single" w:sz="6" w:space="0" w:color="000000"/>
              <w:left w:val="single" w:sz="6" w:space="0" w:color="000000"/>
              <w:bottom w:val="single" w:sz="6" w:space="0" w:color="000000"/>
              <w:right w:val="single" w:sz="6" w:space="0" w:color="000000"/>
            </w:tcBorders>
            <w:shd w:val="clear" w:color="auto" w:fill="FFFFFF"/>
            <w:hideMark/>
          </w:tcPr>
          <w:p w14:paraId="07357DE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A2AB33F"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r>
      <w:tr w:rsidR="00E133C6" w:rsidRPr="007D063B" w14:paraId="0A1670E9" w14:textId="77777777" w:rsidTr="00450FF1">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6F24C72A"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70F97F74" w14:textId="77777777" w:rsidR="00450FF1" w:rsidRPr="007D063B" w:rsidRDefault="00450FF1"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Неактивни участници, които при напускане на операцията са започнали да търсят работа</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2E9B863E"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1F79D12A"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1F5A0D87"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5CC5C2A4"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29C8FC2D" w14:textId="77777777" w:rsidR="00450FF1" w:rsidRPr="007D063B" w:rsidRDefault="00450FF1" w:rsidP="00450FF1">
            <w:pPr>
              <w:spacing w:before="120" w:after="0" w:line="240" w:lineRule="auto"/>
              <w:jc w:val="center"/>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1E7F01B9" w14:textId="77777777" w:rsidR="00450FF1" w:rsidRPr="007D063B" w:rsidRDefault="00450FF1" w:rsidP="00450FF1">
            <w:pPr>
              <w:spacing w:before="120" w:after="0" w:line="240" w:lineRule="auto"/>
              <w:jc w:val="center"/>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971D29A" w14:textId="77777777" w:rsidR="00450FF1" w:rsidRPr="007D063B" w:rsidRDefault="00450FF1" w:rsidP="00450FF1">
            <w:pPr>
              <w:spacing w:before="120" w:after="0" w:line="240" w:lineRule="auto"/>
              <w:jc w:val="center"/>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val="en-US" w:eastAsia="bg-BG"/>
              </w:rPr>
              <w:t>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EA920DB" w14:textId="77777777" w:rsidR="00450FF1" w:rsidRPr="007D063B" w:rsidRDefault="00450FF1" w:rsidP="00450FF1">
            <w:pPr>
              <w:spacing w:before="120" w:after="0" w:line="240" w:lineRule="auto"/>
              <w:jc w:val="center"/>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val="en-US" w:eastAsia="bg-BG"/>
              </w:rPr>
              <w:t>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695E5343" w14:textId="1BCD9D9F"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62AD2C25" w14:textId="3A248EE4"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28837C7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74B49E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E5E3CB6"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004C1B9D"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02CC158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A61A39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3ECCF89C"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586A57C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2B57437"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06380114"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2D8E1E5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02F5B78"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3D4F40D"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4BA39CFE"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5ECAA94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1FCD871A"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2AC4B6A8"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7A00613"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115E5D6"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hideMark/>
          </w:tcPr>
          <w:p w14:paraId="301F21E7"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352" w:type="dxa"/>
            <w:tcBorders>
              <w:top w:val="single" w:sz="6" w:space="0" w:color="000000"/>
              <w:left w:val="single" w:sz="6" w:space="0" w:color="000000"/>
              <w:bottom w:val="single" w:sz="6" w:space="0" w:color="000000"/>
              <w:right w:val="single" w:sz="6" w:space="0" w:color="000000"/>
            </w:tcBorders>
            <w:shd w:val="clear" w:color="auto" w:fill="FFFFFF"/>
            <w:hideMark/>
          </w:tcPr>
          <w:p w14:paraId="3564689F"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80E5D19"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7AE92885" w14:textId="77777777" w:rsidTr="00450FF1">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19F6528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lastRenderedPageBreak/>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19C9654E" w14:textId="77777777" w:rsidR="00450FF1" w:rsidRPr="007D063B" w:rsidRDefault="00450FF1"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които при напускане на операцията са ангажирани с образование/обучение</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E402DC3"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5F28762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2E4A31C7"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6F64772E"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7C3D226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05D0169"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B0C041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704E1BC"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5154AFCE" w14:textId="72D1A956"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4B2A24" w:rsidRPr="007D063B">
              <w:rPr>
                <w:rFonts w:ascii="Times New Roman" w:eastAsia="Times New Roman" w:hAnsi="Times New Roman" w:cs="Times New Roman"/>
                <w:color w:val="000000"/>
                <w:sz w:val="24"/>
                <w:szCs w:val="24"/>
                <w:lang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38E948C1" w14:textId="705A2A65"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4B2A24" w:rsidRPr="007D063B">
              <w:rPr>
                <w:rFonts w:ascii="Times New Roman" w:eastAsia="Times New Roman" w:hAnsi="Times New Roman" w:cs="Times New Roman"/>
                <w:color w:val="000000"/>
                <w:sz w:val="24"/>
                <w:szCs w:val="24"/>
                <w:lang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6898E290"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C388EF8"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0D1A613"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75DCE28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35EBDED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4CFB63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1F8D4D78"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0AE1BC0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0F629D0"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4EAED3EC"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2404E9E4"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B8D8B8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02F4AC9"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2154BB17"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4A9A326D"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188D6DF8"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04C08BEE"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69C4CBDA"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DCD5259"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hideMark/>
          </w:tcPr>
          <w:p w14:paraId="08DCE63E"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352" w:type="dxa"/>
            <w:tcBorders>
              <w:top w:val="single" w:sz="6" w:space="0" w:color="000000"/>
              <w:left w:val="single" w:sz="6" w:space="0" w:color="000000"/>
              <w:bottom w:val="single" w:sz="6" w:space="0" w:color="000000"/>
              <w:right w:val="single" w:sz="6" w:space="0" w:color="000000"/>
            </w:tcBorders>
            <w:shd w:val="clear" w:color="auto" w:fill="FFFFFF"/>
            <w:hideMark/>
          </w:tcPr>
          <w:p w14:paraId="1D799E0F"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DB16E8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23B54EF6" w14:textId="77777777" w:rsidTr="00450FF1">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5DC47877"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554E5AB3" w14:textId="77777777" w:rsidR="00450FF1" w:rsidRPr="007D063B" w:rsidRDefault="00450FF1"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които при напускане на операцията получават квалификация</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9FA6D54"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5741035C"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742AC413"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27B0FD1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4BE9723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5D02157"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C9BF3A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5DE25FA"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6663D464" w14:textId="278A8829"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1ED7E1D0" w14:textId="089663BD"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5AFEA81A"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683C87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8AF0B1F"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2E4A8898"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7C66EB0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352A9FC"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654FDE9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441A5F74"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2CCCBDE"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45B5DE9D"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6D29F424"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D87F160"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343EA15"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3F780B5C"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7B58993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10F9E5AA"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DEC5DC8"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FD6B63E"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7B1A5AA3"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hideMark/>
          </w:tcPr>
          <w:p w14:paraId="3D14118E"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352" w:type="dxa"/>
            <w:tcBorders>
              <w:top w:val="single" w:sz="6" w:space="0" w:color="000000"/>
              <w:left w:val="single" w:sz="6" w:space="0" w:color="000000"/>
              <w:bottom w:val="single" w:sz="6" w:space="0" w:color="000000"/>
              <w:right w:val="single" w:sz="6" w:space="0" w:color="000000"/>
            </w:tcBorders>
            <w:shd w:val="clear" w:color="auto" w:fill="FFFFFF"/>
            <w:hideMark/>
          </w:tcPr>
          <w:p w14:paraId="45F2559E"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CCB70DA"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6EC92FF0" w14:textId="77777777" w:rsidTr="00450FF1">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7DA2FF44"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7127D3FA" w14:textId="77777777" w:rsidR="00450FF1" w:rsidRPr="007D063B" w:rsidRDefault="00450FF1"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които при напускане на операцията имат работа, включително като самостоятелно заети лица</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1FFC1CD3"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25EA9FFF"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3508CF35"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2E01E85D"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1A3C15E6"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0E20D16E"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C0F1745"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9FC6F49"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3446065B" w14:textId="046D0406" w:rsidR="00450FF1" w:rsidRPr="007D063B" w:rsidRDefault="004B2A2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r w:rsidR="00450FF1"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7D6EABCB" w14:textId="65400E54"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4B2A24" w:rsidRPr="007D063B">
              <w:rPr>
                <w:rFonts w:ascii="Times New Roman" w:eastAsia="Times New Roman" w:hAnsi="Times New Roman" w:cs="Times New Roman"/>
                <w:color w:val="000000"/>
                <w:sz w:val="24"/>
                <w:szCs w:val="24"/>
                <w:lang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19C189AD"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0CB804D"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A05C445"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1A474AAF"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3C08D738"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A35494C"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2949CD2A"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0F5094F5"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16F4689"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44F1ACD8"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0680A15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FBACD18"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C5ACB9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124035D9"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445E73D7"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768EC6CF"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E6DECE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A257358"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9C6B74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hideMark/>
          </w:tcPr>
          <w:p w14:paraId="677132F8"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352" w:type="dxa"/>
            <w:tcBorders>
              <w:top w:val="single" w:sz="6" w:space="0" w:color="000000"/>
              <w:left w:val="single" w:sz="6" w:space="0" w:color="000000"/>
              <w:bottom w:val="single" w:sz="6" w:space="0" w:color="000000"/>
              <w:right w:val="single" w:sz="6" w:space="0" w:color="000000"/>
            </w:tcBorders>
            <w:shd w:val="clear" w:color="auto" w:fill="FFFFFF"/>
            <w:hideMark/>
          </w:tcPr>
          <w:p w14:paraId="7CBD45AF"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427328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18615D82" w14:textId="77777777" w:rsidTr="00450FF1">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3741096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551311D5" w14:textId="77777777" w:rsidR="00450FF1" w:rsidRPr="007D063B" w:rsidRDefault="00450FF1"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в неравностойно положение, които при напускане на операцията са започнали да търсят работа, са ангажирани с образование/обучение, са получили квалификация, имат работа, включително като самостоятелно заети лица</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79FE88D"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2CA950B3"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7689B6F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1C3C4C8A"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50510FE4"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0DB7BCA"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F28C5AF"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A348120"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3B4A6518" w14:textId="0C7D1125"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30151399" w14:textId="350776DC"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339DB22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3C8F07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EBCEA35"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0071ADDA"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2427395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FCED05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0C1A6405"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6B7BD29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849F675"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1880A66C"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1A7D2E64"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F696BCC"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A59572A"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7071A8DE"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536838D8"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60599B65"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68AB653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125765B9"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DE62327"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hideMark/>
          </w:tcPr>
          <w:p w14:paraId="40DF6ACE"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352" w:type="dxa"/>
            <w:tcBorders>
              <w:top w:val="single" w:sz="6" w:space="0" w:color="000000"/>
              <w:left w:val="single" w:sz="6" w:space="0" w:color="000000"/>
              <w:bottom w:val="single" w:sz="6" w:space="0" w:color="000000"/>
              <w:right w:val="single" w:sz="6" w:space="0" w:color="000000"/>
            </w:tcBorders>
            <w:shd w:val="clear" w:color="auto" w:fill="FFFFFF"/>
            <w:hideMark/>
          </w:tcPr>
          <w:p w14:paraId="5611404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EDC66D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6D89DD00" w14:textId="77777777" w:rsidTr="00450FF1">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6A4D082F"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283FE99D" w14:textId="77777777" w:rsidR="00450FF1" w:rsidRPr="007D063B" w:rsidRDefault="00450FF1"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 xml:space="preserve">Участници, които в рамките на шест месеца след напускане на операцията </w:t>
            </w:r>
            <w:r w:rsidRPr="007D063B">
              <w:rPr>
                <w:rFonts w:ascii="Times New Roman" w:eastAsia="Times New Roman" w:hAnsi="Times New Roman" w:cs="Times New Roman"/>
                <w:b/>
                <w:i/>
                <w:iCs/>
                <w:color w:val="000000"/>
                <w:sz w:val="16"/>
                <w:szCs w:val="16"/>
                <w:lang w:eastAsia="bg-BG"/>
              </w:rPr>
              <w:lastRenderedPageBreak/>
              <w:t>имат работа, включително като самостоятелно заети лица</w:t>
            </w:r>
            <w:r w:rsidRPr="007D063B">
              <w:rPr>
                <w:rFonts w:ascii="Times New Roman" w:eastAsia="Times New Roman" w:hAnsi="Times New Roman" w:cs="Times New Roman"/>
                <w:b/>
                <w:color w:val="000000"/>
                <w:sz w:val="16"/>
                <w:szCs w:val="16"/>
                <w:lang w:eastAsia="bg-BG"/>
              </w:rPr>
              <w:t> </w:t>
            </w:r>
            <w:hyperlink r:id="rId22" w:anchor="ntr6-L_2015038BG.01007201-E0006" w:history="1">
              <w:r w:rsidRPr="007D063B">
                <w:rPr>
                  <w:rFonts w:ascii="Times New Roman" w:eastAsia="Times New Roman" w:hAnsi="Times New Roman" w:cs="Times New Roman"/>
                  <w:b/>
                  <w:color w:val="0000FF"/>
                  <w:sz w:val="16"/>
                  <w:szCs w:val="16"/>
                  <w:u w:val="single"/>
                  <w:lang w:eastAsia="bg-BG"/>
                </w:rPr>
                <w:t> (</w:t>
              </w:r>
              <w:r w:rsidRPr="007D063B">
                <w:rPr>
                  <w:rFonts w:ascii="Times New Roman" w:eastAsia="Times New Roman" w:hAnsi="Times New Roman" w:cs="Times New Roman"/>
                  <w:b/>
                  <w:color w:val="0000FF"/>
                  <w:sz w:val="16"/>
                  <w:szCs w:val="16"/>
                  <w:u w:val="single"/>
                  <w:vertAlign w:val="superscript"/>
                  <w:lang w:eastAsia="bg-BG"/>
                </w:rPr>
                <w:t>6</w:t>
              </w:r>
              <w:r w:rsidRPr="007D063B">
                <w:rPr>
                  <w:rFonts w:ascii="Times New Roman" w:eastAsia="Times New Roman" w:hAnsi="Times New Roman" w:cs="Times New Roman"/>
                  <w:b/>
                  <w:color w:val="0000FF"/>
                  <w:sz w:val="16"/>
                  <w:szCs w:val="16"/>
                  <w:u w:val="single"/>
                  <w:lang w:eastAsia="bg-BG"/>
                </w:rPr>
                <w:t>)</w:t>
              </w:r>
            </w:hyperlink>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6F1ED26"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lastRenderedPageBreak/>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7A239EB9"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438D09D5"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14BEF624"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7CF57AAC"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70701024"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628386E"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0099779"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2B04C9AF" w14:textId="638525EA" w:rsidR="00450FF1" w:rsidRPr="007D063B" w:rsidRDefault="00B4172E" w:rsidP="00D81944">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r w:rsidR="00450FF1"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71BA1869" w14:textId="060C7208"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4172E" w:rsidRPr="007D063B">
              <w:rPr>
                <w:rFonts w:ascii="Times New Roman" w:eastAsia="Times New Roman" w:hAnsi="Times New Roman" w:cs="Times New Roman"/>
                <w:color w:val="000000"/>
                <w:sz w:val="24"/>
                <w:szCs w:val="24"/>
                <w:lang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0B476C2F"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E0DFA40"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946456A"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67E1B704"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5937078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F293956"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5B8969EA"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41B10F66"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0A88A48"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1CCDB7E9"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1B1531A0"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71D81A6"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2036B75"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383E6383"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4C7C63A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5B08711C"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6DE81EC7"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7CF1AFCD"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EF240E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hideMark/>
          </w:tcPr>
          <w:p w14:paraId="0EB01038"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352" w:type="dxa"/>
            <w:tcBorders>
              <w:top w:val="single" w:sz="6" w:space="0" w:color="000000"/>
              <w:left w:val="single" w:sz="6" w:space="0" w:color="000000"/>
              <w:bottom w:val="single" w:sz="6" w:space="0" w:color="000000"/>
              <w:right w:val="single" w:sz="6" w:space="0" w:color="000000"/>
            </w:tcBorders>
            <w:shd w:val="clear" w:color="auto" w:fill="FFFFFF"/>
            <w:hideMark/>
          </w:tcPr>
          <w:p w14:paraId="136B0053"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AF82AAD"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69253018" w14:textId="77777777" w:rsidTr="00450FF1">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5CF0450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089428E2" w14:textId="77777777" w:rsidR="00450FF1" w:rsidRPr="007D063B" w:rsidRDefault="00450FF1"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чието положение на пазара на труда в рамките на шест месеца след напускане на операцията е по-добро</w:t>
            </w:r>
            <w:r w:rsidRPr="007D063B">
              <w:rPr>
                <w:rFonts w:ascii="Times New Roman" w:eastAsia="Times New Roman" w:hAnsi="Times New Roman" w:cs="Times New Roman"/>
                <w:b/>
                <w:color w:val="000000"/>
                <w:sz w:val="16"/>
                <w:szCs w:val="16"/>
                <w:lang w:eastAsia="bg-BG"/>
              </w:rPr>
              <w:t> </w:t>
            </w:r>
            <w:hyperlink r:id="rId23" w:anchor="ntr6-L_2015038BG.01007201-E0006" w:history="1">
              <w:r w:rsidRPr="007D063B">
                <w:rPr>
                  <w:rFonts w:ascii="Times New Roman" w:eastAsia="Times New Roman" w:hAnsi="Times New Roman" w:cs="Times New Roman"/>
                  <w:b/>
                  <w:color w:val="0000FF"/>
                  <w:sz w:val="16"/>
                  <w:szCs w:val="16"/>
                  <w:u w:val="single"/>
                  <w:lang w:eastAsia="bg-BG"/>
                </w:rPr>
                <w:t> (</w:t>
              </w:r>
              <w:r w:rsidRPr="007D063B">
                <w:rPr>
                  <w:rFonts w:ascii="Times New Roman" w:eastAsia="Times New Roman" w:hAnsi="Times New Roman" w:cs="Times New Roman"/>
                  <w:b/>
                  <w:color w:val="0000FF"/>
                  <w:sz w:val="16"/>
                  <w:szCs w:val="16"/>
                  <w:u w:val="single"/>
                  <w:vertAlign w:val="superscript"/>
                  <w:lang w:eastAsia="bg-BG"/>
                </w:rPr>
                <w:t>6</w:t>
              </w:r>
              <w:r w:rsidRPr="007D063B">
                <w:rPr>
                  <w:rFonts w:ascii="Times New Roman" w:eastAsia="Times New Roman" w:hAnsi="Times New Roman" w:cs="Times New Roman"/>
                  <w:b/>
                  <w:color w:val="0000FF"/>
                  <w:sz w:val="16"/>
                  <w:szCs w:val="16"/>
                  <w:u w:val="single"/>
                  <w:lang w:eastAsia="bg-BG"/>
                </w:rPr>
                <w:t>)</w:t>
              </w:r>
            </w:hyperlink>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6F120B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5B802826"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5E9131B0"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032C1EC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4EA4A894"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1DE42723"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4BE2D60"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EDF968A"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029EFDBC" w14:textId="267F3F3A"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4172E" w:rsidRPr="007D063B">
              <w:rPr>
                <w:rFonts w:ascii="Times New Roman" w:eastAsia="Times New Roman" w:hAnsi="Times New Roman" w:cs="Times New Roman"/>
                <w:color w:val="000000"/>
                <w:sz w:val="24"/>
                <w:szCs w:val="24"/>
                <w:lang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2878C15B" w14:textId="7AA94EE3"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4172E" w:rsidRPr="007D063B">
              <w:rPr>
                <w:rFonts w:ascii="Times New Roman" w:eastAsia="Times New Roman" w:hAnsi="Times New Roman" w:cs="Times New Roman"/>
                <w:color w:val="000000"/>
                <w:sz w:val="24"/>
                <w:szCs w:val="24"/>
                <w:lang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3B9E9268"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D638229"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D854BB0"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7DB5953F"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3A2B8AE6"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37C5A85"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44A9664D"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31C6647A"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309614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39E4D8A6"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1B583093"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14C29D5"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1ED8D3A"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114F8A1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33707729"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7C982739"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7425B2E9"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654D8290"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6996BA2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hideMark/>
          </w:tcPr>
          <w:p w14:paraId="566F92CD"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352" w:type="dxa"/>
            <w:tcBorders>
              <w:top w:val="single" w:sz="6" w:space="0" w:color="000000"/>
              <w:left w:val="single" w:sz="6" w:space="0" w:color="000000"/>
              <w:bottom w:val="single" w:sz="6" w:space="0" w:color="000000"/>
              <w:right w:val="single" w:sz="6" w:space="0" w:color="000000"/>
            </w:tcBorders>
            <w:shd w:val="clear" w:color="auto" w:fill="FFFFFF"/>
            <w:hideMark/>
          </w:tcPr>
          <w:p w14:paraId="115FA44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D2D2D07"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29FAE857" w14:textId="77777777" w:rsidTr="00450FF1">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52B2FEA8"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37E04920" w14:textId="77777777" w:rsidR="00450FF1" w:rsidRPr="007D063B" w:rsidRDefault="00450FF1"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на възраст над 54 години, които в рамките на шест месеца след напускане на операцията имат работа, включително като самостоятелно заети лица</w:t>
            </w:r>
            <w:r w:rsidRPr="007D063B">
              <w:rPr>
                <w:rFonts w:ascii="Times New Roman" w:eastAsia="Times New Roman" w:hAnsi="Times New Roman" w:cs="Times New Roman"/>
                <w:b/>
                <w:color w:val="000000"/>
                <w:sz w:val="16"/>
                <w:szCs w:val="16"/>
                <w:lang w:eastAsia="bg-BG"/>
              </w:rPr>
              <w:t> </w:t>
            </w:r>
            <w:hyperlink r:id="rId24" w:anchor="ntr6-L_2015038BG.01007201-E0006" w:history="1">
              <w:r w:rsidRPr="007D063B">
                <w:rPr>
                  <w:rFonts w:ascii="Times New Roman" w:eastAsia="Times New Roman" w:hAnsi="Times New Roman" w:cs="Times New Roman"/>
                  <w:b/>
                  <w:color w:val="0000FF"/>
                  <w:sz w:val="16"/>
                  <w:szCs w:val="16"/>
                  <w:u w:val="single"/>
                  <w:lang w:eastAsia="bg-BG"/>
                </w:rPr>
                <w:t> (</w:t>
              </w:r>
              <w:r w:rsidRPr="007D063B">
                <w:rPr>
                  <w:rFonts w:ascii="Times New Roman" w:eastAsia="Times New Roman" w:hAnsi="Times New Roman" w:cs="Times New Roman"/>
                  <w:b/>
                  <w:color w:val="0000FF"/>
                  <w:sz w:val="16"/>
                  <w:szCs w:val="16"/>
                  <w:u w:val="single"/>
                  <w:vertAlign w:val="superscript"/>
                  <w:lang w:eastAsia="bg-BG"/>
                </w:rPr>
                <w:t>6</w:t>
              </w:r>
              <w:r w:rsidRPr="007D063B">
                <w:rPr>
                  <w:rFonts w:ascii="Times New Roman" w:eastAsia="Times New Roman" w:hAnsi="Times New Roman" w:cs="Times New Roman"/>
                  <w:b/>
                  <w:color w:val="0000FF"/>
                  <w:sz w:val="16"/>
                  <w:szCs w:val="16"/>
                  <w:u w:val="single"/>
                  <w:lang w:eastAsia="bg-BG"/>
                </w:rPr>
                <w:t>)</w:t>
              </w:r>
            </w:hyperlink>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2621F27"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7951DC6D"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548249D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2556B975"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0B1591E0"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58A0615"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B1826F3"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89B1184"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4FFBDB9B" w14:textId="4C444ADB"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4172E" w:rsidRPr="007D063B">
              <w:rPr>
                <w:rFonts w:ascii="Times New Roman" w:eastAsia="Times New Roman" w:hAnsi="Times New Roman" w:cs="Times New Roman"/>
                <w:color w:val="000000"/>
                <w:sz w:val="24"/>
                <w:szCs w:val="24"/>
                <w:lang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0C249D4F" w14:textId="72F89F14"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4172E" w:rsidRPr="007D063B">
              <w:rPr>
                <w:rFonts w:ascii="Times New Roman" w:eastAsia="Times New Roman" w:hAnsi="Times New Roman" w:cs="Times New Roman"/>
                <w:color w:val="000000"/>
                <w:sz w:val="24"/>
                <w:szCs w:val="24"/>
                <w:lang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73B38490"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8F1703D"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16BAB99"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4AA30BCF"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6C08EE85"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DB35ADB"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54B144D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2FAA0E26"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9ED83D3"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17E6FC16"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1361A7F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4749B20"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86FD48C"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6539C1FE"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73D423E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2C71838C"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19D061CF"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6A4514C5"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773AA9D9"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hideMark/>
          </w:tcPr>
          <w:p w14:paraId="2092D355"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352" w:type="dxa"/>
            <w:tcBorders>
              <w:top w:val="single" w:sz="6" w:space="0" w:color="000000"/>
              <w:left w:val="single" w:sz="6" w:space="0" w:color="000000"/>
              <w:bottom w:val="single" w:sz="6" w:space="0" w:color="000000"/>
              <w:right w:val="single" w:sz="6" w:space="0" w:color="000000"/>
            </w:tcBorders>
            <w:shd w:val="clear" w:color="auto" w:fill="FFFFFF"/>
            <w:hideMark/>
          </w:tcPr>
          <w:p w14:paraId="3BC2342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4569E1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7C1633B0" w14:textId="77777777" w:rsidTr="00450FF1">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19B0163E"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13520AB0" w14:textId="77777777" w:rsidR="00450FF1" w:rsidRPr="007D063B" w:rsidRDefault="00450FF1"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в неравностойно положение, които в рамките на шест месеца след напускане на операцията имат работа, включително като самостоятелно заети лица</w:t>
            </w:r>
            <w:r w:rsidRPr="007D063B">
              <w:rPr>
                <w:rFonts w:ascii="Times New Roman" w:eastAsia="Times New Roman" w:hAnsi="Times New Roman" w:cs="Times New Roman"/>
                <w:b/>
                <w:color w:val="000000"/>
                <w:sz w:val="16"/>
                <w:szCs w:val="16"/>
                <w:lang w:eastAsia="bg-BG"/>
              </w:rPr>
              <w:t> </w:t>
            </w:r>
            <w:hyperlink r:id="rId25" w:anchor="ntr6-L_2015038BG.01007201-E0006" w:history="1">
              <w:r w:rsidRPr="007D063B">
                <w:rPr>
                  <w:rFonts w:ascii="Times New Roman" w:eastAsia="Times New Roman" w:hAnsi="Times New Roman" w:cs="Times New Roman"/>
                  <w:b/>
                  <w:color w:val="0000FF"/>
                  <w:sz w:val="16"/>
                  <w:szCs w:val="16"/>
                  <w:u w:val="single"/>
                  <w:lang w:eastAsia="bg-BG"/>
                </w:rPr>
                <w:t> (</w:t>
              </w:r>
              <w:r w:rsidRPr="007D063B">
                <w:rPr>
                  <w:rFonts w:ascii="Times New Roman" w:eastAsia="Times New Roman" w:hAnsi="Times New Roman" w:cs="Times New Roman"/>
                  <w:b/>
                  <w:color w:val="0000FF"/>
                  <w:sz w:val="16"/>
                  <w:szCs w:val="16"/>
                  <w:u w:val="single"/>
                  <w:vertAlign w:val="superscript"/>
                  <w:lang w:eastAsia="bg-BG"/>
                </w:rPr>
                <w:t>6</w:t>
              </w:r>
              <w:r w:rsidRPr="007D063B">
                <w:rPr>
                  <w:rFonts w:ascii="Times New Roman" w:eastAsia="Times New Roman" w:hAnsi="Times New Roman" w:cs="Times New Roman"/>
                  <w:b/>
                  <w:color w:val="0000FF"/>
                  <w:sz w:val="16"/>
                  <w:szCs w:val="16"/>
                  <w:u w:val="single"/>
                  <w:lang w:eastAsia="bg-BG"/>
                </w:rPr>
                <w:t>)</w:t>
              </w:r>
            </w:hyperlink>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D70C453"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7A287B7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7E148F57"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75CBEF05"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2B9D7ABE"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37AA277"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2B78819"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5ECEAE4"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1CFC156E" w14:textId="46FBB535" w:rsidR="00450FF1" w:rsidRPr="007D063B" w:rsidRDefault="00B4172E"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r w:rsidR="00450FF1"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0DCEE652" w14:textId="41637E4E"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4172E" w:rsidRPr="007D063B">
              <w:rPr>
                <w:rFonts w:ascii="Times New Roman" w:eastAsia="Times New Roman" w:hAnsi="Times New Roman" w:cs="Times New Roman"/>
                <w:color w:val="000000"/>
                <w:sz w:val="24"/>
                <w:szCs w:val="24"/>
                <w:lang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55668498"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8F9ACE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D6A48FE"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717F31E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37A97D73"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C3E703A"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02645DE8"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5F73321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154BD7F"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0AF6A3A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32F01FF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1065331"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AB25532"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167B2334"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0D0232AC"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285EAD7A"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331F59D"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EA86F23"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EBC6928"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hideMark/>
          </w:tcPr>
          <w:p w14:paraId="7D1AFC65"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352" w:type="dxa"/>
            <w:tcBorders>
              <w:top w:val="single" w:sz="6" w:space="0" w:color="000000"/>
              <w:left w:val="single" w:sz="6" w:space="0" w:color="000000"/>
              <w:bottom w:val="single" w:sz="6" w:space="0" w:color="000000"/>
              <w:right w:val="single" w:sz="6" w:space="0" w:color="000000"/>
            </w:tcBorders>
            <w:shd w:val="clear" w:color="auto" w:fill="FFFFFF"/>
            <w:hideMark/>
          </w:tcPr>
          <w:p w14:paraId="0F5198DE"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8623EF6" w14:textId="77777777" w:rsidR="00450FF1" w:rsidRPr="007D063B" w:rsidRDefault="00450FF1"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bl>
    <w:p w14:paraId="7AC9DC59" w14:textId="77777777" w:rsidR="00B54C34" w:rsidRPr="007D063B" w:rsidRDefault="00B54C34" w:rsidP="00B54C34">
      <w:pPr>
        <w:shd w:val="clear" w:color="auto" w:fill="FFFFFF"/>
        <w:spacing w:before="120" w:after="120" w:line="240" w:lineRule="auto"/>
        <w:jc w:val="center"/>
        <w:rPr>
          <w:rFonts w:ascii="inherit" w:eastAsia="Times New Roman" w:hAnsi="inherit" w:cs="Times New Roman"/>
          <w:i/>
          <w:iCs/>
          <w:color w:val="000000"/>
          <w:sz w:val="24"/>
          <w:szCs w:val="24"/>
          <w:lang w:eastAsia="bg-BG"/>
        </w:rPr>
      </w:pPr>
    </w:p>
    <w:p w14:paraId="2D173473" w14:textId="77777777" w:rsidR="00B54C34" w:rsidRPr="007D063B" w:rsidRDefault="00B54C34" w:rsidP="00B43484">
      <w:pPr>
        <w:pStyle w:val="Heading3"/>
        <w:jc w:val="center"/>
        <w:rPr>
          <w:rFonts w:ascii="Times New Roman" w:eastAsia="Times New Roman" w:hAnsi="Times New Roman" w:cs="Times New Roman"/>
          <w:color w:val="000000"/>
          <w:lang w:eastAsia="bg-BG"/>
        </w:rPr>
      </w:pPr>
      <w:bookmarkStart w:id="12" w:name="_Toc481594273"/>
      <w:r w:rsidRPr="007D063B">
        <w:rPr>
          <w:rFonts w:ascii="inherit" w:eastAsia="Times New Roman" w:hAnsi="inherit" w:cs="Times New Roman"/>
          <w:i/>
          <w:iCs/>
          <w:color w:val="000000"/>
          <w:lang w:eastAsia="bg-BG"/>
        </w:rPr>
        <w:t>Таблица 2В</w:t>
      </w:r>
      <w:bookmarkEnd w:id="12"/>
    </w:p>
    <w:p w14:paraId="6E43EBD4" w14:textId="77777777" w:rsidR="00B54C34" w:rsidRPr="007D063B" w:rsidRDefault="00B54C34" w:rsidP="00B54C34">
      <w:pPr>
        <w:shd w:val="clear" w:color="auto" w:fill="FFFFFF"/>
        <w:spacing w:before="120" w:after="120" w:line="240" w:lineRule="auto"/>
        <w:jc w:val="center"/>
        <w:rPr>
          <w:rFonts w:ascii="Times New Roman" w:eastAsia="Times New Roman" w:hAnsi="Times New Roman" w:cs="Times New Roman"/>
          <w:color w:val="000000"/>
          <w:sz w:val="24"/>
          <w:szCs w:val="24"/>
          <w:lang w:eastAsia="bg-BG"/>
        </w:rPr>
      </w:pPr>
      <w:r w:rsidRPr="007D063B">
        <w:rPr>
          <w:rFonts w:ascii="inherit" w:eastAsia="Times New Roman" w:hAnsi="inherit" w:cs="Times New Roman"/>
          <w:b/>
          <w:bCs/>
          <w:color w:val="000000"/>
          <w:sz w:val="24"/>
          <w:szCs w:val="24"/>
          <w:lang w:eastAsia="bg-BG"/>
        </w:rPr>
        <w:t>Специфични за програмата показатели за резултатите за ЕСФ (по приоритетна ос, инвестиционен приоритет и по категория регион, когато е приложимо); прилага се също за приоритетната ос за техническа помощ</w:t>
      </w:r>
    </w:p>
    <w:p w14:paraId="3EBB0BDE" w14:textId="77777777" w:rsidR="00B54C34" w:rsidRPr="007D063B" w:rsidRDefault="00B54C34" w:rsidP="00B54C34">
      <w:pPr>
        <w:shd w:val="clear" w:color="auto" w:fill="FFFFFF"/>
        <w:spacing w:before="120" w:after="120" w:line="240" w:lineRule="auto"/>
        <w:jc w:val="center"/>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lastRenderedPageBreak/>
        <w:t>(по отношение на ИМЗ и специфичните за програмата показатели за всяка приоритетна ос или част от нея, по която се предоставя подкрепа за ИМЗ, не се изисква разпределение по категория региони)</w:t>
      </w:r>
      <w:hyperlink r:id="rId26" w:anchor="ntr10-L_2015038BG.01007201-E0010" w:history="1">
        <w:r w:rsidRPr="007D063B">
          <w:rPr>
            <w:rFonts w:ascii="inherit" w:eastAsia="Times New Roman" w:hAnsi="inherit" w:cs="Times New Roman"/>
            <w:color w:val="0000FF"/>
            <w:sz w:val="24"/>
            <w:szCs w:val="24"/>
            <w:u w:val="single"/>
            <w:lang w:eastAsia="bg-BG"/>
          </w:rPr>
          <w:t> (</w:t>
        </w:r>
        <w:r w:rsidRPr="007D063B">
          <w:rPr>
            <w:rFonts w:ascii="inherit" w:eastAsia="Times New Roman" w:hAnsi="inherit" w:cs="Times New Roman"/>
            <w:color w:val="0000FF"/>
            <w:sz w:val="17"/>
            <w:szCs w:val="17"/>
            <w:u w:val="single"/>
            <w:vertAlign w:val="superscript"/>
            <w:lang w:eastAsia="bg-BG"/>
          </w:rPr>
          <w:t>10</w:t>
        </w:r>
        <w:r w:rsidRPr="007D063B">
          <w:rPr>
            <w:rFonts w:ascii="inherit" w:eastAsia="Times New Roman" w:hAnsi="inherit" w:cs="Times New Roman"/>
            <w:color w:val="0000FF"/>
            <w:sz w:val="24"/>
            <w:szCs w:val="24"/>
            <w:u w:val="single"/>
            <w:lang w:eastAsia="bg-BG"/>
          </w:rPr>
          <w:t>)</w:t>
        </w:r>
      </w:hyperlink>
    </w:p>
    <w:p w14:paraId="28C31433" w14:textId="77777777" w:rsidR="00B54C34" w:rsidRPr="007D063B" w:rsidRDefault="00B54C34" w:rsidP="00B54C34">
      <w:pPr>
        <w:shd w:val="clear" w:color="auto" w:fill="FFFFFF"/>
        <w:spacing w:before="120" w:after="0" w:line="240" w:lineRule="auto"/>
        <w:jc w:val="both"/>
        <w:rPr>
          <w:rFonts w:ascii="Times New Roman" w:eastAsia="Times New Roman" w:hAnsi="Times New Roman" w:cs="Times New Roman"/>
          <w:color w:val="000000"/>
          <w:sz w:val="24"/>
          <w:szCs w:val="24"/>
          <w:lang w:val="ru-RU" w:eastAsia="bg-BG"/>
        </w:rPr>
      </w:pPr>
      <w:r w:rsidRPr="007D063B">
        <w:rPr>
          <w:rFonts w:ascii="Times New Roman" w:eastAsia="Times New Roman" w:hAnsi="Times New Roman" w:cs="Times New Roman"/>
          <w:color w:val="000000"/>
          <w:sz w:val="24"/>
          <w:szCs w:val="24"/>
          <w:lang w:eastAsia="bg-BG"/>
        </w:rPr>
        <w:t>Инвестиционен приоритет:</w:t>
      </w:r>
      <w:r w:rsidRPr="007D063B">
        <w:rPr>
          <w:rFonts w:ascii="Times New Roman" w:eastAsia="Times New Roman" w:hAnsi="Times New Roman" w:cs="Times New Roman"/>
          <w:color w:val="000000"/>
          <w:sz w:val="24"/>
          <w:szCs w:val="24"/>
          <w:lang w:val="ru-RU" w:eastAsia="bg-BG"/>
        </w:rPr>
        <w:t xml:space="preserve"> </w:t>
      </w:r>
    </w:p>
    <w:p w14:paraId="5EEAA61E" w14:textId="77777777" w:rsidR="00B54C34" w:rsidRPr="007D063B" w:rsidRDefault="00B54C34" w:rsidP="00B54C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xml:space="preserve">Инвестиционен приоритет № 11 </w:t>
      </w:r>
      <w:r w:rsidRPr="007D063B">
        <w:rPr>
          <w:rFonts w:ascii="Times New Roman" w:eastAsia="Times New Roman" w:hAnsi="Times New Roman" w:cs="Times New Roman"/>
          <w:color w:val="000000"/>
          <w:sz w:val="24"/>
          <w:szCs w:val="24"/>
          <w:lang w:val="en-US" w:eastAsia="bg-BG"/>
        </w:rPr>
        <w:t>i</w:t>
      </w:r>
      <w:r w:rsidRPr="007D063B">
        <w:rPr>
          <w:rFonts w:ascii="Times New Roman" w:eastAsia="Times New Roman" w:hAnsi="Times New Roman" w:cs="Times New Roman"/>
          <w:color w:val="000000"/>
          <w:sz w:val="24"/>
          <w:szCs w:val="24"/>
          <w:lang w:eastAsia="bg-BG"/>
        </w:rPr>
        <w:t>: Инвестиции в институционален капацитет и в ефикасността на публичните администрации и публичните услуги на национално, регионално и местно равнище с цел осъществяването на реформи и постигането на по-добро регулиране и добро управление</w:t>
      </w:r>
    </w:p>
    <w:p w14:paraId="6AF3B293" w14:textId="77777777" w:rsidR="00B54C34" w:rsidRPr="007D063B" w:rsidRDefault="00B54C34" w:rsidP="00B54C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Категория регион: По-слабо развити региони</w:t>
      </w:r>
    </w:p>
    <w:tbl>
      <w:tblPr>
        <w:tblW w:w="5157" w:type="pct"/>
        <w:jc w:val="center"/>
        <w:tblCellSpacing w:w="0"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left w:w="0" w:type="dxa"/>
          <w:right w:w="0" w:type="dxa"/>
        </w:tblCellMar>
        <w:tblLook w:val="04A0" w:firstRow="1" w:lastRow="0" w:firstColumn="1" w:lastColumn="0" w:noHBand="0" w:noVBand="1"/>
      </w:tblPr>
      <w:tblGrid>
        <w:gridCol w:w="560"/>
        <w:gridCol w:w="1706"/>
        <w:gridCol w:w="612"/>
        <w:gridCol w:w="834"/>
        <w:gridCol w:w="541"/>
        <w:gridCol w:w="570"/>
        <w:gridCol w:w="854"/>
        <w:gridCol w:w="428"/>
        <w:gridCol w:w="495"/>
        <w:gridCol w:w="211"/>
        <w:gridCol w:w="110"/>
        <w:gridCol w:w="104"/>
        <w:gridCol w:w="232"/>
        <w:gridCol w:w="211"/>
        <w:gridCol w:w="110"/>
        <w:gridCol w:w="104"/>
        <w:gridCol w:w="232"/>
        <w:gridCol w:w="211"/>
        <w:gridCol w:w="110"/>
        <w:gridCol w:w="104"/>
        <w:gridCol w:w="232"/>
        <w:gridCol w:w="211"/>
        <w:gridCol w:w="110"/>
        <w:gridCol w:w="104"/>
        <w:gridCol w:w="232"/>
        <w:gridCol w:w="211"/>
        <w:gridCol w:w="110"/>
        <w:gridCol w:w="104"/>
        <w:gridCol w:w="232"/>
        <w:gridCol w:w="211"/>
        <w:gridCol w:w="110"/>
        <w:gridCol w:w="104"/>
        <w:gridCol w:w="232"/>
        <w:gridCol w:w="211"/>
        <w:gridCol w:w="110"/>
        <w:gridCol w:w="104"/>
        <w:gridCol w:w="232"/>
        <w:gridCol w:w="211"/>
        <w:gridCol w:w="110"/>
        <w:gridCol w:w="104"/>
        <w:gridCol w:w="232"/>
        <w:gridCol w:w="211"/>
        <w:gridCol w:w="110"/>
        <w:gridCol w:w="104"/>
        <w:gridCol w:w="232"/>
        <w:gridCol w:w="211"/>
        <w:gridCol w:w="110"/>
        <w:gridCol w:w="104"/>
        <w:gridCol w:w="272"/>
        <w:gridCol w:w="122"/>
        <w:gridCol w:w="52"/>
        <w:gridCol w:w="55"/>
        <w:gridCol w:w="266"/>
        <w:gridCol w:w="570"/>
        <w:gridCol w:w="200"/>
      </w:tblGrid>
      <w:tr w:rsidR="00E7155D" w:rsidRPr="007D063B" w14:paraId="5E25AF1C" w14:textId="77777777" w:rsidTr="005A1442">
        <w:trPr>
          <w:tblCellSpacing w:w="0" w:type="dxa"/>
          <w:jc w:val="center"/>
        </w:trPr>
        <w:tc>
          <w:tcPr>
            <w:tcW w:w="193" w:type="pct"/>
            <w:tcBorders>
              <w:top w:val="single" w:sz="6" w:space="0" w:color="000000"/>
              <w:left w:val="single" w:sz="6" w:space="0" w:color="000000"/>
              <w:bottom w:val="single" w:sz="6" w:space="0" w:color="000000"/>
              <w:right w:val="single" w:sz="6" w:space="0" w:color="000000"/>
            </w:tcBorders>
            <w:shd w:val="clear" w:color="auto" w:fill="FFFFFF"/>
            <w:hideMark/>
          </w:tcPr>
          <w:p w14:paraId="22169DE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Идентификация</w:t>
            </w:r>
          </w:p>
        </w:tc>
        <w:tc>
          <w:tcPr>
            <w:tcW w:w="589" w:type="pct"/>
            <w:tcBorders>
              <w:top w:val="single" w:sz="6" w:space="0" w:color="000000"/>
              <w:left w:val="single" w:sz="6" w:space="0" w:color="000000"/>
              <w:bottom w:val="single" w:sz="6" w:space="0" w:color="000000"/>
              <w:right w:val="single" w:sz="6" w:space="0" w:color="000000"/>
            </w:tcBorders>
            <w:shd w:val="clear" w:color="auto" w:fill="FFFFFF"/>
            <w:hideMark/>
          </w:tcPr>
          <w:p w14:paraId="58B45AF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Показател</w:t>
            </w:r>
          </w:p>
        </w:tc>
        <w:tc>
          <w:tcPr>
            <w:tcW w:w="211" w:type="pct"/>
            <w:tcBorders>
              <w:top w:val="single" w:sz="6" w:space="0" w:color="000000"/>
              <w:left w:val="single" w:sz="6" w:space="0" w:color="000000"/>
              <w:bottom w:val="single" w:sz="6" w:space="0" w:color="000000"/>
              <w:right w:val="single" w:sz="6" w:space="0" w:color="000000"/>
            </w:tcBorders>
            <w:shd w:val="clear" w:color="auto" w:fill="FFFFFF"/>
            <w:hideMark/>
          </w:tcPr>
          <w:p w14:paraId="1A13A55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ЕСФ/ИМЗ</w:t>
            </w:r>
          </w:p>
        </w:tc>
        <w:tc>
          <w:tcPr>
            <w:tcW w:w="288" w:type="pct"/>
            <w:tcBorders>
              <w:top w:val="single" w:sz="6" w:space="0" w:color="000000"/>
              <w:left w:val="single" w:sz="6" w:space="0" w:color="000000"/>
              <w:bottom w:val="single" w:sz="6" w:space="0" w:color="000000"/>
              <w:right w:val="single" w:sz="6" w:space="0" w:color="000000"/>
            </w:tcBorders>
            <w:shd w:val="clear" w:color="auto" w:fill="FFFFFF"/>
            <w:hideMark/>
          </w:tcPr>
          <w:p w14:paraId="7EBA664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Категория региони (когато е уместно)</w:t>
            </w:r>
          </w:p>
        </w:tc>
        <w:tc>
          <w:tcPr>
            <w:tcW w:w="187" w:type="pct"/>
            <w:tcBorders>
              <w:top w:val="single" w:sz="6" w:space="0" w:color="000000"/>
              <w:left w:val="single" w:sz="6" w:space="0" w:color="000000"/>
              <w:bottom w:val="single" w:sz="6" w:space="0" w:color="000000"/>
              <w:right w:val="single" w:sz="6" w:space="0" w:color="000000"/>
            </w:tcBorders>
            <w:shd w:val="clear" w:color="auto" w:fill="FFFFFF"/>
            <w:hideMark/>
          </w:tcPr>
          <w:p w14:paraId="4FF3693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Мерна единица за показател</w:t>
            </w:r>
          </w:p>
        </w:tc>
        <w:tc>
          <w:tcPr>
            <w:tcW w:w="197" w:type="pct"/>
            <w:tcBorders>
              <w:top w:val="single" w:sz="6" w:space="0" w:color="000000"/>
              <w:left w:val="single" w:sz="6" w:space="0" w:color="000000"/>
              <w:bottom w:val="single" w:sz="6" w:space="0" w:color="000000"/>
              <w:right w:val="single" w:sz="6" w:space="0" w:color="000000"/>
            </w:tcBorders>
            <w:shd w:val="clear" w:color="auto" w:fill="FFFFFF"/>
            <w:hideMark/>
          </w:tcPr>
          <w:p w14:paraId="4817791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Мерна единица за базовата и целевата стойност</w:t>
            </w:r>
          </w:p>
        </w:tc>
        <w:tc>
          <w:tcPr>
            <w:tcW w:w="61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78DE7C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Целева стойност (2023 г.)</w:t>
            </w:r>
          </w:p>
        </w:tc>
        <w:tc>
          <w:tcPr>
            <w:tcW w:w="227"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14:paraId="2A00ED5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2014</w:t>
            </w:r>
          </w:p>
        </w:tc>
        <w:tc>
          <w:tcPr>
            <w:tcW w:w="227"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14:paraId="009E2A1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2015</w:t>
            </w:r>
          </w:p>
        </w:tc>
        <w:tc>
          <w:tcPr>
            <w:tcW w:w="227"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14:paraId="4EC1045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2016</w:t>
            </w:r>
          </w:p>
        </w:tc>
        <w:tc>
          <w:tcPr>
            <w:tcW w:w="227"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14:paraId="5DCFD3C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2017</w:t>
            </w:r>
          </w:p>
        </w:tc>
        <w:tc>
          <w:tcPr>
            <w:tcW w:w="227"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14:paraId="08FD10C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2018</w:t>
            </w:r>
          </w:p>
        </w:tc>
        <w:tc>
          <w:tcPr>
            <w:tcW w:w="227"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14:paraId="6F7969B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2019</w:t>
            </w:r>
          </w:p>
        </w:tc>
        <w:tc>
          <w:tcPr>
            <w:tcW w:w="227"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14:paraId="1FD8D5D7" w14:textId="77777777" w:rsidR="00B54C34" w:rsidRPr="007D063B" w:rsidRDefault="00B54C34" w:rsidP="00450FF1">
            <w:pPr>
              <w:spacing w:before="60" w:after="60" w:line="240" w:lineRule="auto"/>
              <w:ind w:right="195"/>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2020</w:t>
            </w:r>
          </w:p>
        </w:tc>
        <w:tc>
          <w:tcPr>
            <w:tcW w:w="227"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14:paraId="5C905C77" w14:textId="77777777" w:rsidR="00B54C34" w:rsidRPr="007D063B" w:rsidRDefault="00B54C34" w:rsidP="00450FF1">
            <w:pPr>
              <w:spacing w:before="60" w:after="60" w:line="240" w:lineRule="auto"/>
              <w:ind w:right="195"/>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2021</w:t>
            </w:r>
          </w:p>
        </w:tc>
        <w:tc>
          <w:tcPr>
            <w:tcW w:w="227"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14:paraId="29382663" w14:textId="77777777" w:rsidR="00B54C34" w:rsidRPr="007D063B" w:rsidRDefault="00B54C34" w:rsidP="00450FF1">
            <w:pPr>
              <w:spacing w:before="60" w:after="60" w:line="240" w:lineRule="auto"/>
              <w:ind w:right="195"/>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2022</w:t>
            </w:r>
          </w:p>
        </w:tc>
        <w:tc>
          <w:tcPr>
            <w:tcW w:w="241"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14:paraId="6A255FAE" w14:textId="77777777" w:rsidR="00B54C34" w:rsidRPr="007D063B" w:rsidRDefault="00B54C34" w:rsidP="00450FF1">
            <w:pPr>
              <w:spacing w:before="60" w:after="60" w:line="240" w:lineRule="auto"/>
              <w:ind w:right="195"/>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2023</w:t>
            </w:r>
          </w:p>
        </w:tc>
        <w:tc>
          <w:tcPr>
            <w:tcW w:w="79"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6D48D7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5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3452193" w14:textId="77777777" w:rsidR="00B54C34" w:rsidRPr="007D063B" w:rsidRDefault="00B54C34" w:rsidP="00450FF1">
            <w:pPr>
              <w:spacing w:before="60" w:after="60" w:line="240" w:lineRule="auto"/>
              <w:ind w:right="195"/>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Съотношение на постиженията</w:t>
            </w:r>
          </w:p>
        </w:tc>
      </w:tr>
      <w:tr w:rsidR="00B54C34" w:rsidRPr="007D063B" w14:paraId="449EF939" w14:textId="77777777" w:rsidTr="005A1442">
        <w:trPr>
          <w:tblCellSpacing w:w="0" w:type="dxa"/>
          <w:jc w:val="center"/>
        </w:trPr>
        <w:tc>
          <w:tcPr>
            <w:tcW w:w="2279" w:type="pct"/>
            <w:gridSpan w:val="9"/>
            <w:tcBorders>
              <w:top w:val="single" w:sz="6" w:space="0" w:color="000000"/>
              <w:left w:val="single" w:sz="6" w:space="0" w:color="000000"/>
              <w:bottom w:val="single" w:sz="6" w:space="0" w:color="000000"/>
              <w:right w:val="single" w:sz="6" w:space="0" w:color="000000"/>
            </w:tcBorders>
            <w:shd w:val="clear" w:color="auto" w:fill="FFFFFF"/>
            <w:hideMark/>
          </w:tcPr>
          <w:p w14:paraId="37B384B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83" w:type="pct"/>
            <w:gridSpan w:val="40"/>
            <w:tcBorders>
              <w:top w:val="single" w:sz="6" w:space="0" w:color="000000"/>
              <w:left w:val="single" w:sz="6" w:space="0" w:color="000000"/>
              <w:bottom w:val="single" w:sz="6" w:space="0" w:color="000000"/>
              <w:right w:val="single" w:sz="6" w:space="0" w:color="000000"/>
            </w:tcBorders>
            <w:shd w:val="clear" w:color="auto" w:fill="FFFFFF"/>
            <w:hideMark/>
          </w:tcPr>
          <w:p w14:paraId="7CF63FD5" w14:textId="77777777" w:rsidR="00B54C34" w:rsidRPr="007D063B" w:rsidRDefault="00B54C34" w:rsidP="00450FF1">
            <w:pPr>
              <w:spacing w:before="60" w:after="6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Годишна стойност</w:t>
            </w:r>
          </w:p>
        </w:tc>
        <w:tc>
          <w:tcPr>
            <w:tcW w:w="79"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DFBBDC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5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DAD18D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E133C6" w:rsidRPr="007D063B" w14:paraId="7C9EEBB9" w14:textId="77777777" w:rsidTr="005A1442">
        <w:trPr>
          <w:tblCellSpacing w:w="0" w:type="dxa"/>
          <w:jc w:val="center"/>
        </w:trPr>
        <w:tc>
          <w:tcPr>
            <w:tcW w:w="193" w:type="pct"/>
            <w:tcBorders>
              <w:top w:val="single" w:sz="6" w:space="0" w:color="000000"/>
              <w:left w:val="single" w:sz="6" w:space="0" w:color="000000"/>
              <w:bottom w:val="single" w:sz="6" w:space="0" w:color="000000"/>
              <w:right w:val="single" w:sz="6" w:space="0" w:color="000000"/>
            </w:tcBorders>
            <w:shd w:val="clear" w:color="auto" w:fill="FFFFFF"/>
            <w:hideMark/>
          </w:tcPr>
          <w:p w14:paraId="2648990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89" w:type="pct"/>
            <w:tcBorders>
              <w:top w:val="single" w:sz="6" w:space="0" w:color="000000"/>
              <w:left w:val="single" w:sz="6" w:space="0" w:color="000000"/>
              <w:bottom w:val="single" w:sz="6" w:space="0" w:color="000000"/>
              <w:right w:val="single" w:sz="6" w:space="0" w:color="000000"/>
            </w:tcBorders>
            <w:shd w:val="clear" w:color="auto" w:fill="FFFFFF"/>
            <w:hideMark/>
          </w:tcPr>
          <w:p w14:paraId="4A23F70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11" w:type="pct"/>
            <w:tcBorders>
              <w:top w:val="single" w:sz="6" w:space="0" w:color="000000"/>
              <w:left w:val="single" w:sz="6" w:space="0" w:color="000000"/>
              <w:bottom w:val="single" w:sz="6" w:space="0" w:color="000000"/>
              <w:right w:val="single" w:sz="6" w:space="0" w:color="000000"/>
            </w:tcBorders>
            <w:shd w:val="clear" w:color="auto" w:fill="FFFFFF"/>
            <w:hideMark/>
          </w:tcPr>
          <w:p w14:paraId="60C81AE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88" w:type="pct"/>
            <w:tcBorders>
              <w:top w:val="single" w:sz="6" w:space="0" w:color="000000"/>
              <w:left w:val="single" w:sz="6" w:space="0" w:color="000000"/>
              <w:bottom w:val="single" w:sz="6" w:space="0" w:color="000000"/>
              <w:right w:val="single" w:sz="6" w:space="0" w:color="000000"/>
            </w:tcBorders>
            <w:shd w:val="clear" w:color="auto" w:fill="FFFFFF"/>
            <w:hideMark/>
          </w:tcPr>
          <w:p w14:paraId="77BC466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7" w:type="pct"/>
            <w:tcBorders>
              <w:top w:val="single" w:sz="6" w:space="0" w:color="000000"/>
              <w:left w:val="single" w:sz="6" w:space="0" w:color="000000"/>
              <w:bottom w:val="single" w:sz="6" w:space="0" w:color="000000"/>
              <w:right w:val="single" w:sz="6" w:space="0" w:color="000000"/>
            </w:tcBorders>
            <w:shd w:val="clear" w:color="auto" w:fill="FFFFFF"/>
            <w:hideMark/>
          </w:tcPr>
          <w:p w14:paraId="0CE6231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7" w:type="pct"/>
            <w:tcBorders>
              <w:top w:val="single" w:sz="6" w:space="0" w:color="000000"/>
              <w:left w:val="single" w:sz="6" w:space="0" w:color="000000"/>
              <w:bottom w:val="single" w:sz="6" w:space="0" w:color="000000"/>
              <w:right w:val="single" w:sz="6" w:space="0" w:color="000000"/>
            </w:tcBorders>
            <w:shd w:val="clear" w:color="auto" w:fill="FFFFFF"/>
            <w:hideMark/>
          </w:tcPr>
          <w:p w14:paraId="73DC96B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1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08E221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11"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7BF079B"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а</w:t>
            </w:r>
          </w:p>
        </w:tc>
        <w:tc>
          <w:tcPr>
            <w:tcW w:w="116"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69375C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в</w:t>
            </w:r>
          </w:p>
        </w:tc>
        <w:tc>
          <w:tcPr>
            <w:tcW w:w="111"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21A8DDE" w14:textId="3D03225C" w:rsidR="00B54C34" w:rsidRPr="007D063B" w:rsidRDefault="008E2A19"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А</w:t>
            </w:r>
          </w:p>
        </w:tc>
        <w:tc>
          <w:tcPr>
            <w:tcW w:w="116"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FC13C1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в</w:t>
            </w:r>
          </w:p>
        </w:tc>
        <w:tc>
          <w:tcPr>
            <w:tcW w:w="111"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32A176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а</w:t>
            </w:r>
          </w:p>
        </w:tc>
        <w:tc>
          <w:tcPr>
            <w:tcW w:w="116"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0D12309"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в</w:t>
            </w:r>
          </w:p>
        </w:tc>
        <w:tc>
          <w:tcPr>
            <w:tcW w:w="111"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239EEE7"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а</w:t>
            </w:r>
          </w:p>
        </w:tc>
        <w:tc>
          <w:tcPr>
            <w:tcW w:w="116"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38EFD91"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в</w:t>
            </w:r>
          </w:p>
        </w:tc>
        <w:tc>
          <w:tcPr>
            <w:tcW w:w="111"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FA281DB"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а</w:t>
            </w:r>
          </w:p>
        </w:tc>
        <w:tc>
          <w:tcPr>
            <w:tcW w:w="116"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85CBB2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в</w:t>
            </w:r>
          </w:p>
        </w:tc>
        <w:tc>
          <w:tcPr>
            <w:tcW w:w="111"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8838B2C"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а</w:t>
            </w:r>
          </w:p>
        </w:tc>
        <w:tc>
          <w:tcPr>
            <w:tcW w:w="116"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97EFAF1"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в</w:t>
            </w:r>
          </w:p>
        </w:tc>
        <w:tc>
          <w:tcPr>
            <w:tcW w:w="111"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76DAED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а</w:t>
            </w:r>
          </w:p>
        </w:tc>
        <w:tc>
          <w:tcPr>
            <w:tcW w:w="116"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5DA40C9"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в</w:t>
            </w:r>
          </w:p>
        </w:tc>
        <w:tc>
          <w:tcPr>
            <w:tcW w:w="111"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0F41318"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а</w:t>
            </w:r>
          </w:p>
        </w:tc>
        <w:tc>
          <w:tcPr>
            <w:tcW w:w="116"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E8D62C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в</w:t>
            </w:r>
          </w:p>
        </w:tc>
        <w:tc>
          <w:tcPr>
            <w:tcW w:w="111"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11324DC"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а</w:t>
            </w:r>
          </w:p>
        </w:tc>
        <w:tc>
          <w:tcPr>
            <w:tcW w:w="116"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67A1173"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в</w:t>
            </w:r>
          </w:p>
        </w:tc>
        <w:tc>
          <w:tcPr>
            <w:tcW w:w="111"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3FC104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а</w:t>
            </w:r>
          </w:p>
        </w:tc>
        <w:tc>
          <w:tcPr>
            <w:tcW w:w="130"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808CFF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в</w:t>
            </w:r>
          </w:p>
        </w:tc>
        <w:tc>
          <w:tcPr>
            <w:tcW w:w="79"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51F8A6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5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60D706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692B0A4B" w14:textId="77777777" w:rsidTr="005A1442">
        <w:tblPrEx>
          <w:tblBorders>
            <w:top w:val="single" w:sz="2" w:space="0" w:color="000000"/>
            <w:left w:val="single" w:sz="2" w:space="0" w:color="000000"/>
            <w:bottom w:val="single" w:sz="2" w:space="0" w:color="000000"/>
            <w:right w:val="single" w:sz="2" w:space="0" w:color="000000"/>
          </w:tblBorders>
        </w:tblPrEx>
        <w:trPr>
          <w:tblCellSpacing w:w="0" w:type="dxa"/>
          <w:jc w:val="center"/>
        </w:trPr>
        <w:tc>
          <w:tcPr>
            <w:tcW w:w="193" w:type="pct"/>
            <w:tcBorders>
              <w:top w:val="single" w:sz="2" w:space="0" w:color="000000"/>
              <w:left w:val="single" w:sz="2" w:space="0" w:color="000000"/>
              <w:bottom w:val="single" w:sz="2" w:space="0" w:color="000000"/>
              <w:right w:val="single" w:sz="2" w:space="0" w:color="000000"/>
            </w:tcBorders>
            <w:shd w:val="clear" w:color="auto" w:fill="FFFFFF"/>
            <w:hideMark/>
          </w:tcPr>
          <w:p w14:paraId="77C6083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89" w:type="pct"/>
            <w:tcBorders>
              <w:top w:val="single" w:sz="2" w:space="0" w:color="000000"/>
              <w:left w:val="single" w:sz="2" w:space="0" w:color="000000"/>
              <w:bottom w:val="single" w:sz="2" w:space="0" w:color="000000"/>
              <w:right w:val="single" w:sz="2" w:space="0" w:color="000000"/>
            </w:tcBorders>
            <w:shd w:val="clear" w:color="auto" w:fill="FFFFFF"/>
            <w:hideMark/>
          </w:tcPr>
          <w:p w14:paraId="033661D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11" w:type="pct"/>
            <w:tcBorders>
              <w:top w:val="single" w:sz="2" w:space="0" w:color="000000"/>
              <w:left w:val="single" w:sz="2" w:space="0" w:color="000000"/>
              <w:bottom w:val="single" w:sz="2" w:space="0" w:color="000000"/>
              <w:right w:val="single" w:sz="2" w:space="0" w:color="000000"/>
            </w:tcBorders>
            <w:shd w:val="clear" w:color="auto" w:fill="FFFFFF"/>
            <w:hideMark/>
          </w:tcPr>
          <w:p w14:paraId="5853C3E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88" w:type="pct"/>
            <w:tcBorders>
              <w:top w:val="single" w:sz="2" w:space="0" w:color="000000"/>
              <w:left w:val="single" w:sz="2" w:space="0" w:color="000000"/>
              <w:bottom w:val="single" w:sz="2" w:space="0" w:color="000000"/>
              <w:right w:val="single" w:sz="2" w:space="0" w:color="000000"/>
            </w:tcBorders>
            <w:shd w:val="clear" w:color="auto" w:fill="FFFFFF"/>
            <w:hideMark/>
          </w:tcPr>
          <w:p w14:paraId="208E5B9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7" w:type="pct"/>
            <w:tcBorders>
              <w:top w:val="single" w:sz="2" w:space="0" w:color="000000"/>
              <w:left w:val="single" w:sz="2" w:space="0" w:color="000000"/>
              <w:bottom w:val="single" w:sz="2" w:space="0" w:color="000000"/>
              <w:right w:val="single" w:sz="2" w:space="0" w:color="000000"/>
            </w:tcBorders>
            <w:shd w:val="clear" w:color="auto" w:fill="FFFFFF"/>
            <w:hideMark/>
          </w:tcPr>
          <w:p w14:paraId="105D94D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7" w:type="pct"/>
            <w:tcBorders>
              <w:top w:val="single" w:sz="2" w:space="0" w:color="000000"/>
              <w:left w:val="single" w:sz="2" w:space="0" w:color="000000"/>
              <w:bottom w:val="single" w:sz="2" w:space="0" w:color="000000"/>
              <w:right w:val="single" w:sz="2" w:space="0" w:color="000000"/>
            </w:tcBorders>
            <w:shd w:val="clear" w:color="auto" w:fill="FFFFFF"/>
            <w:hideMark/>
          </w:tcPr>
          <w:p w14:paraId="7122D64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95" w:type="pct"/>
            <w:tcBorders>
              <w:top w:val="single" w:sz="2" w:space="0" w:color="000000"/>
              <w:left w:val="single" w:sz="2" w:space="0" w:color="000000"/>
              <w:bottom w:val="single" w:sz="2" w:space="0" w:color="000000"/>
              <w:right w:val="single" w:sz="2" w:space="0" w:color="000000"/>
            </w:tcBorders>
            <w:shd w:val="clear" w:color="auto" w:fill="FFFFFF"/>
            <w:hideMark/>
          </w:tcPr>
          <w:p w14:paraId="6083AFD8"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148" w:type="pct"/>
            <w:tcBorders>
              <w:top w:val="single" w:sz="2" w:space="0" w:color="000000"/>
              <w:left w:val="single" w:sz="2" w:space="0" w:color="000000"/>
              <w:bottom w:val="single" w:sz="2" w:space="0" w:color="000000"/>
              <w:right w:val="single" w:sz="2" w:space="0" w:color="000000"/>
            </w:tcBorders>
            <w:shd w:val="clear" w:color="auto" w:fill="FFFFFF"/>
            <w:hideMark/>
          </w:tcPr>
          <w:p w14:paraId="36FDDF17"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71" w:type="pct"/>
            <w:tcBorders>
              <w:top w:val="single" w:sz="2" w:space="0" w:color="000000"/>
              <w:left w:val="single" w:sz="2" w:space="0" w:color="000000"/>
              <w:bottom w:val="single" w:sz="2" w:space="0" w:color="000000"/>
              <w:right w:val="single" w:sz="2" w:space="0" w:color="000000"/>
            </w:tcBorders>
            <w:shd w:val="clear" w:color="auto" w:fill="FFFFFF"/>
            <w:hideMark/>
          </w:tcPr>
          <w:p w14:paraId="4464453B"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73" w:type="pct"/>
            <w:tcBorders>
              <w:top w:val="single" w:sz="2" w:space="0" w:color="000000"/>
              <w:left w:val="single" w:sz="2" w:space="0" w:color="000000"/>
              <w:bottom w:val="single" w:sz="2" w:space="0" w:color="000000"/>
              <w:right w:val="single" w:sz="2" w:space="0" w:color="000000"/>
            </w:tcBorders>
            <w:shd w:val="clear" w:color="auto" w:fill="FFFFFF"/>
            <w:hideMark/>
          </w:tcPr>
          <w:p w14:paraId="55C0B409"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74" w:type="pct"/>
            <w:gridSpan w:val="2"/>
            <w:tcBorders>
              <w:top w:val="single" w:sz="2" w:space="0" w:color="000000"/>
              <w:left w:val="single" w:sz="2" w:space="0" w:color="000000"/>
              <w:bottom w:val="single" w:sz="2" w:space="0" w:color="000000"/>
              <w:right w:val="single" w:sz="2" w:space="0" w:color="000000"/>
            </w:tcBorders>
            <w:shd w:val="clear" w:color="auto" w:fill="FFFFFF"/>
            <w:hideMark/>
          </w:tcPr>
          <w:p w14:paraId="5CC7A1AC"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80" w:type="pct"/>
            <w:tcBorders>
              <w:top w:val="single" w:sz="2" w:space="0" w:color="000000"/>
              <w:left w:val="single" w:sz="2" w:space="0" w:color="000000"/>
              <w:bottom w:val="single" w:sz="2" w:space="0" w:color="000000"/>
              <w:right w:val="single" w:sz="2" w:space="0" w:color="000000"/>
            </w:tcBorders>
            <w:shd w:val="clear" w:color="auto" w:fill="FFFFFF"/>
            <w:hideMark/>
          </w:tcPr>
          <w:p w14:paraId="71922C9B"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73" w:type="pct"/>
            <w:tcBorders>
              <w:top w:val="single" w:sz="2" w:space="0" w:color="000000"/>
              <w:left w:val="single" w:sz="2" w:space="0" w:color="000000"/>
              <w:bottom w:val="single" w:sz="2" w:space="0" w:color="000000"/>
              <w:right w:val="single" w:sz="2" w:space="0" w:color="000000"/>
            </w:tcBorders>
            <w:shd w:val="clear" w:color="auto" w:fill="FFFFFF"/>
            <w:hideMark/>
          </w:tcPr>
          <w:p w14:paraId="0FC63072"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74" w:type="pct"/>
            <w:gridSpan w:val="2"/>
            <w:tcBorders>
              <w:top w:val="single" w:sz="2" w:space="0" w:color="000000"/>
              <w:left w:val="single" w:sz="2" w:space="0" w:color="000000"/>
              <w:bottom w:val="single" w:sz="2" w:space="0" w:color="000000"/>
              <w:right w:val="single" w:sz="2" w:space="0" w:color="000000"/>
            </w:tcBorders>
            <w:shd w:val="clear" w:color="auto" w:fill="FFFFFF"/>
            <w:hideMark/>
          </w:tcPr>
          <w:p w14:paraId="413D3BE3"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80" w:type="pct"/>
            <w:tcBorders>
              <w:top w:val="single" w:sz="2" w:space="0" w:color="000000"/>
              <w:left w:val="single" w:sz="2" w:space="0" w:color="000000"/>
              <w:bottom w:val="single" w:sz="2" w:space="0" w:color="000000"/>
              <w:right w:val="single" w:sz="2" w:space="0" w:color="000000"/>
            </w:tcBorders>
            <w:shd w:val="clear" w:color="auto" w:fill="FFFFFF"/>
            <w:hideMark/>
          </w:tcPr>
          <w:p w14:paraId="652F4F53"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73" w:type="pct"/>
            <w:tcBorders>
              <w:top w:val="single" w:sz="2" w:space="0" w:color="000000"/>
              <w:left w:val="single" w:sz="2" w:space="0" w:color="000000"/>
              <w:bottom w:val="single" w:sz="2" w:space="0" w:color="000000"/>
              <w:right w:val="single" w:sz="2" w:space="0" w:color="000000"/>
            </w:tcBorders>
            <w:shd w:val="clear" w:color="auto" w:fill="FFFFFF"/>
            <w:hideMark/>
          </w:tcPr>
          <w:p w14:paraId="6303178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74" w:type="pct"/>
            <w:gridSpan w:val="2"/>
            <w:tcBorders>
              <w:top w:val="single" w:sz="2" w:space="0" w:color="000000"/>
              <w:left w:val="single" w:sz="2" w:space="0" w:color="000000"/>
              <w:bottom w:val="single" w:sz="2" w:space="0" w:color="000000"/>
              <w:right w:val="single" w:sz="2" w:space="0" w:color="000000"/>
            </w:tcBorders>
            <w:shd w:val="clear" w:color="auto" w:fill="FFFFFF"/>
            <w:hideMark/>
          </w:tcPr>
          <w:p w14:paraId="08AA002B"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80" w:type="pct"/>
            <w:tcBorders>
              <w:top w:val="single" w:sz="2" w:space="0" w:color="000000"/>
              <w:left w:val="single" w:sz="2" w:space="0" w:color="000000"/>
              <w:bottom w:val="single" w:sz="2" w:space="0" w:color="000000"/>
              <w:right w:val="single" w:sz="2" w:space="0" w:color="000000"/>
            </w:tcBorders>
            <w:shd w:val="clear" w:color="auto" w:fill="FFFFFF"/>
            <w:hideMark/>
          </w:tcPr>
          <w:p w14:paraId="7CD52398"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73" w:type="pct"/>
            <w:tcBorders>
              <w:top w:val="single" w:sz="2" w:space="0" w:color="000000"/>
              <w:left w:val="single" w:sz="2" w:space="0" w:color="000000"/>
              <w:bottom w:val="single" w:sz="2" w:space="0" w:color="000000"/>
              <w:right w:val="single" w:sz="2" w:space="0" w:color="000000"/>
            </w:tcBorders>
            <w:shd w:val="clear" w:color="auto" w:fill="FFFFFF"/>
            <w:hideMark/>
          </w:tcPr>
          <w:p w14:paraId="17C38458"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74" w:type="pct"/>
            <w:gridSpan w:val="2"/>
            <w:tcBorders>
              <w:top w:val="single" w:sz="2" w:space="0" w:color="000000"/>
              <w:left w:val="single" w:sz="2" w:space="0" w:color="000000"/>
              <w:bottom w:val="single" w:sz="2" w:space="0" w:color="000000"/>
              <w:right w:val="single" w:sz="2" w:space="0" w:color="000000"/>
            </w:tcBorders>
            <w:shd w:val="clear" w:color="auto" w:fill="FFFFFF"/>
            <w:hideMark/>
          </w:tcPr>
          <w:p w14:paraId="42B8DCD7"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80" w:type="pct"/>
            <w:tcBorders>
              <w:top w:val="single" w:sz="2" w:space="0" w:color="000000"/>
              <w:left w:val="single" w:sz="2" w:space="0" w:color="000000"/>
              <w:bottom w:val="single" w:sz="2" w:space="0" w:color="000000"/>
              <w:right w:val="single" w:sz="2" w:space="0" w:color="000000"/>
            </w:tcBorders>
            <w:shd w:val="clear" w:color="auto" w:fill="FFFFFF"/>
            <w:hideMark/>
          </w:tcPr>
          <w:p w14:paraId="48FCF8C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73" w:type="pct"/>
            <w:tcBorders>
              <w:top w:val="single" w:sz="2" w:space="0" w:color="000000"/>
              <w:left w:val="single" w:sz="2" w:space="0" w:color="000000"/>
              <w:bottom w:val="single" w:sz="2" w:space="0" w:color="000000"/>
              <w:right w:val="single" w:sz="2" w:space="0" w:color="000000"/>
            </w:tcBorders>
            <w:shd w:val="clear" w:color="auto" w:fill="FFFFFF"/>
            <w:hideMark/>
          </w:tcPr>
          <w:p w14:paraId="2BE0A783"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74" w:type="pct"/>
            <w:gridSpan w:val="2"/>
            <w:tcBorders>
              <w:top w:val="single" w:sz="2" w:space="0" w:color="000000"/>
              <w:left w:val="single" w:sz="2" w:space="0" w:color="000000"/>
              <w:bottom w:val="single" w:sz="2" w:space="0" w:color="000000"/>
              <w:right w:val="single" w:sz="2" w:space="0" w:color="000000"/>
            </w:tcBorders>
            <w:shd w:val="clear" w:color="auto" w:fill="FFFFFF"/>
            <w:hideMark/>
          </w:tcPr>
          <w:p w14:paraId="64870F6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80" w:type="pct"/>
            <w:tcBorders>
              <w:top w:val="single" w:sz="2" w:space="0" w:color="000000"/>
              <w:left w:val="single" w:sz="2" w:space="0" w:color="000000"/>
              <w:bottom w:val="single" w:sz="2" w:space="0" w:color="000000"/>
              <w:right w:val="single" w:sz="2" w:space="0" w:color="000000"/>
            </w:tcBorders>
            <w:shd w:val="clear" w:color="auto" w:fill="FFFFFF"/>
            <w:hideMark/>
          </w:tcPr>
          <w:p w14:paraId="2C67A35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73" w:type="pct"/>
            <w:tcBorders>
              <w:top w:val="single" w:sz="2" w:space="0" w:color="000000"/>
              <w:left w:val="single" w:sz="2" w:space="0" w:color="000000"/>
              <w:bottom w:val="single" w:sz="2" w:space="0" w:color="000000"/>
              <w:right w:val="single" w:sz="2" w:space="0" w:color="000000"/>
            </w:tcBorders>
            <w:shd w:val="clear" w:color="auto" w:fill="FFFFFF"/>
            <w:hideMark/>
          </w:tcPr>
          <w:p w14:paraId="1EF1F2CF"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74" w:type="pct"/>
            <w:gridSpan w:val="2"/>
            <w:tcBorders>
              <w:top w:val="single" w:sz="2" w:space="0" w:color="000000"/>
              <w:left w:val="single" w:sz="2" w:space="0" w:color="000000"/>
              <w:bottom w:val="single" w:sz="2" w:space="0" w:color="000000"/>
              <w:right w:val="single" w:sz="2" w:space="0" w:color="000000"/>
            </w:tcBorders>
            <w:shd w:val="clear" w:color="auto" w:fill="FFFFFF"/>
            <w:hideMark/>
          </w:tcPr>
          <w:p w14:paraId="42FCBD8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80" w:type="pct"/>
            <w:tcBorders>
              <w:top w:val="single" w:sz="2" w:space="0" w:color="000000"/>
              <w:left w:val="single" w:sz="2" w:space="0" w:color="000000"/>
              <w:bottom w:val="single" w:sz="2" w:space="0" w:color="000000"/>
              <w:right w:val="single" w:sz="2" w:space="0" w:color="000000"/>
            </w:tcBorders>
            <w:shd w:val="clear" w:color="auto" w:fill="FFFFFF"/>
            <w:hideMark/>
          </w:tcPr>
          <w:p w14:paraId="74FEAA38"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73" w:type="pct"/>
            <w:tcBorders>
              <w:top w:val="single" w:sz="2" w:space="0" w:color="000000"/>
              <w:left w:val="single" w:sz="2" w:space="0" w:color="000000"/>
              <w:bottom w:val="single" w:sz="2" w:space="0" w:color="000000"/>
              <w:right w:val="single" w:sz="2" w:space="0" w:color="000000"/>
            </w:tcBorders>
            <w:shd w:val="clear" w:color="auto" w:fill="FFFFFF"/>
            <w:hideMark/>
          </w:tcPr>
          <w:p w14:paraId="68D5149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74" w:type="pct"/>
            <w:gridSpan w:val="2"/>
            <w:tcBorders>
              <w:top w:val="single" w:sz="2" w:space="0" w:color="000000"/>
              <w:left w:val="single" w:sz="2" w:space="0" w:color="000000"/>
              <w:bottom w:val="single" w:sz="2" w:space="0" w:color="000000"/>
              <w:right w:val="single" w:sz="2" w:space="0" w:color="000000"/>
            </w:tcBorders>
            <w:shd w:val="clear" w:color="auto" w:fill="FFFFFF"/>
            <w:hideMark/>
          </w:tcPr>
          <w:p w14:paraId="5182B9A5"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80" w:type="pct"/>
            <w:tcBorders>
              <w:top w:val="single" w:sz="2" w:space="0" w:color="000000"/>
              <w:left w:val="single" w:sz="2" w:space="0" w:color="000000"/>
              <w:bottom w:val="single" w:sz="2" w:space="0" w:color="000000"/>
              <w:right w:val="single" w:sz="2" w:space="0" w:color="000000"/>
            </w:tcBorders>
            <w:shd w:val="clear" w:color="auto" w:fill="FFFFFF"/>
            <w:hideMark/>
          </w:tcPr>
          <w:p w14:paraId="1F18C6E9"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73" w:type="pct"/>
            <w:tcBorders>
              <w:top w:val="single" w:sz="2" w:space="0" w:color="000000"/>
              <w:left w:val="single" w:sz="2" w:space="0" w:color="000000"/>
              <w:bottom w:val="single" w:sz="2" w:space="0" w:color="000000"/>
              <w:right w:val="single" w:sz="2" w:space="0" w:color="000000"/>
            </w:tcBorders>
            <w:shd w:val="clear" w:color="auto" w:fill="FFFFFF"/>
            <w:hideMark/>
          </w:tcPr>
          <w:p w14:paraId="1493959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74" w:type="pct"/>
            <w:gridSpan w:val="2"/>
            <w:tcBorders>
              <w:top w:val="single" w:sz="2" w:space="0" w:color="000000"/>
              <w:left w:val="single" w:sz="2" w:space="0" w:color="000000"/>
              <w:bottom w:val="single" w:sz="2" w:space="0" w:color="000000"/>
              <w:right w:val="single" w:sz="2" w:space="0" w:color="000000"/>
            </w:tcBorders>
            <w:shd w:val="clear" w:color="auto" w:fill="FFFFFF"/>
            <w:hideMark/>
          </w:tcPr>
          <w:p w14:paraId="7CDD82A3"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80" w:type="pct"/>
            <w:tcBorders>
              <w:top w:val="single" w:sz="2" w:space="0" w:color="000000"/>
              <w:left w:val="single" w:sz="2" w:space="0" w:color="000000"/>
              <w:bottom w:val="single" w:sz="2" w:space="0" w:color="000000"/>
              <w:right w:val="single" w:sz="2" w:space="0" w:color="000000"/>
            </w:tcBorders>
            <w:shd w:val="clear" w:color="auto" w:fill="FFFFFF"/>
            <w:hideMark/>
          </w:tcPr>
          <w:p w14:paraId="58E9927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73" w:type="pct"/>
            <w:tcBorders>
              <w:top w:val="single" w:sz="2" w:space="0" w:color="000000"/>
              <w:left w:val="single" w:sz="2" w:space="0" w:color="000000"/>
              <w:bottom w:val="single" w:sz="2" w:space="0" w:color="000000"/>
              <w:right w:val="single" w:sz="2" w:space="0" w:color="000000"/>
            </w:tcBorders>
            <w:shd w:val="clear" w:color="auto" w:fill="FFFFFF"/>
            <w:hideMark/>
          </w:tcPr>
          <w:p w14:paraId="13A3A9D5"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74" w:type="pct"/>
            <w:gridSpan w:val="2"/>
            <w:tcBorders>
              <w:top w:val="single" w:sz="2" w:space="0" w:color="000000"/>
              <w:left w:val="single" w:sz="2" w:space="0" w:color="000000"/>
              <w:bottom w:val="single" w:sz="2" w:space="0" w:color="000000"/>
              <w:right w:val="single" w:sz="2" w:space="0" w:color="000000"/>
            </w:tcBorders>
            <w:shd w:val="clear" w:color="auto" w:fill="FFFFFF"/>
            <w:hideMark/>
          </w:tcPr>
          <w:p w14:paraId="08B70D6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80" w:type="pct"/>
            <w:tcBorders>
              <w:top w:val="single" w:sz="2" w:space="0" w:color="000000"/>
              <w:left w:val="single" w:sz="2" w:space="0" w:color="000000"/>
              <w:bottom w:val="single" w:sz="2" w:space="0" w:color="000000"/>
              <w:right w:val="single" w:sz="2" w:space="0" w:color="000000"/>
            </w:tcBorders>
            <w:shd w:val="clear" w:color="auto" w:fill="FFFFFF"/>
            <w:hideMark/>
          </w:tcPr>
          <w:p w14:paraId="7188C9C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73" w:type="pct"/>
            <w:tcBorders>
              <w:top w:val="single" w:sz="2" w:space="0" w:color="000000"/>
              <w:left w:val="single" w:sz="2" w:space="0" w:color="000000"/>
              <w:bottom w:val="single" w:sz="2" w:space="0" w:color="000000"/>
              <w:right w:val="single" w:sz="2" w:space="0" w:color="000000"/>
            </w:tcBorders>
            <w:shd w:val="clear" w:color="auto" w:fill="FFFFFF"/>
            <w:hideMark/>
          </w:tcPr>
          <w:p w14:paraId="27B2CAF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74" w:type="pct"/>
            <w:gridSpan w:val="2"/>
            <w:tcBorders>
              <w:top w:val="single" w:sz="2" w:space="0" w:color="000000"/>
              <w:left w:val="single" w:sz="2" w:space="0" w:color="000000"/>
              <w:bottom w:val="single" w:sz="2" w:space="0" w:color="000000"/>
              <w:right w:val="single" w:sz="2" w:space="0" w:color="000000"/>
            </w:tcBorders>
            <w:shd w:val="clear" w:color="auto" w:fill="FFFFFF"/>
            <w:hideMark/>
          </w:tcPr>
          <w:p w14:paraId="112030A2"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94" w:type="pct"/>
            <w:tcBorders>
              <w:top w:val="single" w:sz="2" w:space="0" w:color="000000"/>
              <w:left w:val="single" w:sz="2" w:space="0" w:color="000000"/>
              <w:bottom w:val="single" w:sz="2" w:space="0" w:color="000000"/>
              <w:right w:val="single" w:sz="2" w:space="0" w:color="000000"/>
            </w:tcBorders>
            <w:shd w:val="clear" w:color="auto" w:fill="FFFFFF"/>
            <w:hideMark/>
          </w:tcPr>
          <w:p w14:paraId="1AF6695B"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42" w:type="pct"/>
            <w:tcBorders>
              <w:top w:val="single" w:sz="2" w:space="0" w:color="000000"/>
              <w:left w:val="single" w:sz="2" w:space="0" w:color="000000"/>
              <w:bottom w:val="single" w:sz="2" w:space="0" w:color="000000"/>
              <w:right w:val="single" w:sz="2" w:space="0" w:color="000000"/>
            </w:tcBorders>
            <w:shd w:val="clear" w:color="auto" w:fill="FFFFFF"/>
            <w:hideMark/>
          </w:tcPr>
          <w:p w14:paraId="7A348BD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 w:type="pct"/>
            <w:tcBorders>
              <w:top w:val="single" w:sz="2" w:space="0" w:color="000000"/>
              <w:left w:val="single" w:sz="2" w:space="0" w:color="000000"/>
              <w:bottom w:val="single" w:sz="2" w:space="0" w:color="000000"/>
              <w:right w:val="single" w:sz="2" w:space="0" w:color="000000"/>
            </w:tcBorders>
            <w:shd w:val="clear" w:color="auto" w:fill="FFFFFF"/>
            <w:hideMark/>
          </w:tcPr>
          <w:p w14:paraId="4CE6AC3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 w:type="pct"/>
            <w:tcBorders>
              <w:top w:val="single" w:sz="2" w:space="0" w:color="000000"/>
              <w:left w:val="single" w:sz="2" w:space="0" w:color="000000"/>
              <w:bottom w:val="single" w:sz="2" w:space="0" w:color="000000"/>
              <w:right w:val="single" w:sz="2" w:space="0" w:color="000000"/>
            </w:tcBorders>
            <w:shd w:val="clear" w:color="auto" w:fill="FFFFFF"/>
            <w:hideMark/>
          </w:tcPr>
          <w:p w14:paraId="486ADC9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92" w:type="pct"/>
            <w:tcBorders>
              <w:top w:val="single" w:sz="2" w:space="0" w:color="000000"/>
              <w:left w:val="single" w:sz="2" w:space="0" w:color="000000"/>
              <w:bottom w:val="single" w:sz="2" w:space="0" w:color="000000"/>
              <w:right w:val="single" w:sz="2" w:space="0" w:color="000000"/>
            </w:tcBorders>
            <w:shd w:val="clear" w:color="auto" w:fill="FFFFFF"/>
            <w:hideMark/>
          </w:tcPr>
          <w:p w14:paraId="469DF97B"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197" w:type="pct"/>
            <w:tcBorders>
              <w:top w:val="single" w:sz="2" w:space="0" w:color="000000"/>
              <w:left w:val="single" w:sz="2" w:space="0" w:color="000000"/>
              <w:bottom w:val="single" w:sz="2" w:space="0" w:color="000000"/>
              <w:right w:val="single" w:sz="2" w:space="0" w:color="000000"/>
            </w:tcBorders>
            <w:shd w:val="clear" w:color="auto" w:fill="FFFFFF"/>
            <w:hideMark/>
          </w:tcPr>
          <w:p w14:paraId="3578AEF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70" w:type="pct"/>
            <w:tcBorders>
              <w:top w:val="single" w:sz="2" w:space="0" w:color="000000"/>
              <w:left w:val="single" w:sz="2" w:space="0" w:color="000000"/>
              <w:bottom w:val="single" w:sz="2" w:space="0" w:color="000000"/>
              <w:right w:val="single" w:sz="2" w:space="0" w:color="000000"/>
            </w:tcBorders>
            <w:shd w:val="clear" w:color="auto" w:fill="FFFFFF"/>
            <w:hideMark/>
          </w:tcPr>
          <w:p w14:paraId="71DDE87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r>
      <w:tr w:rsidR="003B73DC" w:rsidRPr="007D063B" w14:paraId="41E6F0F5" w14:textId="77777777" w:rsidTr="005A1442">
        <w:trPr>
          <w:tblCellSpacing w:w="0" w:type="dxa"/>
          <w:jc w:val="center"/>
        </w:trPr>
        <w:tc>
          <w:tcPr>
            <w:tcW w:w="193" w:type="pct"/>
            <w:tcBorders>
              <w:top w:val="single" w:sz="6" w:space="0" w:color="000000"/>
              <w:left w:val="single" w:sz="6" w:space="0" w:color="000000"/>
              <w:bottom w:val="single" w:sz="6" w:space="0" w:color="000000"/>
              <w:right w:val="single" w:sz="6" w:space="0" w:color="000000"/>
            </w:tcBorders>
            <w:shd w:val="clear" w:color="auto" w:fill="FFFFFF"/>
          </w:tcPr>
          <w:p w14:paraId="177EEC8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R2-1</w:t>
            </w:r>
          </w:p>
        </w:tc>
        <w:tc>
          <w:tcPr>
            <w:tcW w:w="589" w:type="pct"/>
            <w:tcBorders>
              <w:top w:val="single" w:sz="6" w:space="0" w:color="000000"/>
              <w:left w:val="single" w:sz="6" w:space="0" w:color="000000"/>
              <w:bottom w:val="single" w:sz="6" w:space="0" w:color="000000"/>
              <w:right w:val="single" w:sz="6" w:space="0" w:color="000000"/>
            </w:tcBorders>
            <w:shd w:val="clear" w:color="auto" w:fill="FFFFFF"/>
          </w:tcPr>
          <w:p w14:paraId="7B44106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 подкрепени администрации, прилагащи механизми за организационно развитие и управление ориентирано към</w:t>
            </w:r>
          </w:p>
        </w:tc>
        <w:tc>
          <w:tcPr>
            <w:tcW w:w="211" w:type="pct"/>
            <w:tcBorders>
              <w:top w:val="single" w:sz="6" w:space="0" w:color="000000"/>
              <w:left w:val="single" w:sz="6" w:space="0" w:color="000000"/>
              <w:bottom w:val="single" w:sz="6" w:space="0" w:color="000000"/>
              <w:right w:val="single" w:sz="6" w:space="0" w:color="000000"/>
            </w:tcBorders>
            <w:shd w:val="clear" w:color="auto" w:fill="FFFFFF"/>
          </w:tcPr>
          <w:p w14:paraId="7D35AC0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ЕСФ</w:t>
            </w:r>
          </w:p>
        </w:tc>
        <w:tc>
          <w:tcPr>
            <w:tcW w:w="288" w:type="pct"/>
            <w:tcBorders>
              <w:top w:val="single" w:sz="6" w:space="0" w:color="000000"/>
              <w:left w:val="single" w:sz="6" w:space="0" w:color="000000"/>
              <w:bottom w:val="single" w:sz="6" w:space="0" w:color="000000"/>
              <w:right w:val="single" w:sz="6" w:space="0" w:color="000000"/>
            </w:tcBorders>
            <w:shd w:val="clear" w:color="auto" w:fill="FFFFFF"/>
          </w:tcPr>
          <w:p w14:paraId="0F14C74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По-слабо развити региони</w:t>
            </w:r>
          </w:p>
        </w:tc>
        <w:tc>
          <w:tcPr>
            <w:tcW w:w="187" w:type="pct"/>
            <w:tcBorders>
              <w:top w:val="single" w:sz="6" w:space="0" w:color="000000"/>
              <w:left w:val="single" w:sz="6" w:space="0" w:color="000000"/>
              <w:bottom w:val="single" w:sz="6" w:space="0" w:color="000000"/>
              <w:right w:val="single" w:sz="6" w:space="0" w:color="000000"/>
            </w:tcBorders>
            <w:shd w:val="clear" w:color="auto" w:fill="FFFFFF"/>
          </w:tcPr>
          <w:p w14:paraId="2B2DE70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w:t>
            </w:r>
          </w:p>
        </w:tc>
        <w:tc>
          <w:tcPr>
            <w:tcW w:w="197" w:type="pct"/>
            <w:tcBorders>
              <w:top w:val="single" w:sz="6" w:space="0" w:color="000000"/>
              <w:left w:val="single" w:sz="6" w:space="0" w:color="000000"/>
              <w:bottom w:val="single" w:sz="6" w:space="0" w:color="000000"/>
              <w:right w:val="single" w:sz="6" w:space="0" w:color="000000"/>
            </w:tcBorders>
            <w:shd w:val="clear" w:color="auto" w:fill="FFFFFF"/>
          </w:tcPr>
          <w:p w14:paraId="1B05CC0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w:t>
            </w:r>
          </w:p>
        </w:tc>
        <w:tc>
          <w:tcPr>
            <w:tcW w:w="295" w:type="pct"/>
            <w:tcBorders>
              <w:top w:val="single" w:sz="6" w:space="0" w:color="000000"/>
              <w:left w:val="single" w:sz="6" w:space="0" w:color="000000"/>
              <w:bottom w:val="single" w:sz="6" w:space="0" w:color="000000"/>
              <w:right w:val="single" w:sz="6" w:space="0" w:color="000000"/>
            </w:tcBorders>
            <w:shd w:val="clear" w:color="auto" w:fill="FFFFFF"/>
          </w:tcPr>
          <w:p w14:paraId="48709DA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400,00</w:t>
            </w:r>
          </w:p>
        </w:tc>
        <w:tc>
          <w:tcPr>
            <w:tcW w:w="148" w:type="pct"/>
            <w:tcBorders>
              <w:top w:val="single" w:sz="6" w:space="0" w:color="000000"/>
              <w:left w:val="single" w:sz="6" w:space="0" w:color="000000"/>
              <w:bottom w:val="single" w:sz="6" w:space="0" w:color="000000"/>
              <w:right w:val="single" w:sz="6" w:space="0" w:color="000000"/>
            </w:tcBorders>
            <w:shd w:val="clear" w:color="auto" w:fill="FFFFFF"/>
          </w:tcPr>
          <w:p w14:paraId="235DE91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71" w:type="pct"/>
            <w:tcBorders>
              <w:top w:val="single" w:sz="6" w:space="0" w:color="000000"/>
              <w:left w:val="single" w:sz="6" w:space="0" w:color="000000"/>
              <w:bottom w:val="single" w:sz="6" w:space="0" w:color="000000"/>
              <w:right w:val="single" w:sz="6" w:space="0" w:color="000000"/>
            </w:tcBorders>
            <w:shd w:val="clear" w:color="auto" w:fill="FFFFFF"/>
          </w:tcPr>
          <w:p w14:paraId="64C3D8C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485FC6F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1D61FEC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5377DF7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38C5143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7BA5C4C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217B83C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1A7B2FA7" w14:textId="70026D7C" w:rsidR="00B54C34" w:rsidRPr="007D063B" w:rsidRDefault="00450FF1"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02DFE2A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6206D0F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3A8CA68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40DE268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2578981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1E700AD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4B5CBB7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3F8F8FA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0186DCF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2DD7239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317DB62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3EC2723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44A3867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506AA8D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26DB6A7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4A90197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152DD9F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1B0F127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2C43911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37219B2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1F4A472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7F98025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94" w:type="pct"/>
            <w:tcBorders>
              <w:top w:val="single" w:sz="6" w:space="0" w:color="000000"/>
              <w:left w:val="single" w:sz="6" w:space="0" w:color="000000"/>
              <w:bottom w:val="single" w:sz="6" w:space="0" w:color="000000"/>
              <w:right w:val="single" w:sz="6" w:space="0" w:color="000000"/>
            </w:tcBorders>
            <w:shd w:val="clear" w:color="auto" w:fill="FFFFFF"/>
          </w:tcPr>
          <w:p w14:paraId="059EFB1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2" w:type="pct"/>
            <w:tcBorders>
              <w:top w:val="single" w:sz="6" w:space="0" w:color="000000"/>
              <w:left w:val="single" w:sz="6" w:space="0" w:color="000000"/>
              <w:bottom w:val="single" w:sz="6" w:space="0" w:color="000000"/>
              <w:right w:val="single" w:sz="6" w:space="0" w:color="000000"/>
            </w:tcBorders>
            <w:shd w:val="clear" w:color="auto" w:fill="FFFFFF"/>
          </w:tcPr>
          <w:p w14:paraId="3F140E8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 w:type="pct"/>
            <w:tcBorders>
              <w:top w:val="single" w:sz="6" w:space="0" w:color="000000"/>
              <w:left w:val="single" w:sz="6" w:space="0" w:color="000000"/>
              <w:bottom w:val="single" w:sz="6" w:space="0" w:color="000000"/>
              <w:right w:val="single" w:sz="6" w:space="0" w:color="000000"/>
            </w:tcBorders>
            <w:shd w:val="clear" w:color="auto" w:fill="FFFFFF"/>
          </w:tcPr>
          <w:p w14:paraId="7F7D409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 w:type="pct"/>
            <w:tcBorders>
              <w:top w:val="single" w:sz="6" w:space="0" w:color="000000"/>
              <w:left w:val="single" w:sz="6" w:space="0" w:color="000000"/>
              <w:bottom w:val="single" w:sz="6" w:space="0" w:color="000000"/>
              <w:right w:val="single" w:sz="6" w:space="0" w:color="000000"/>
            </w:tcBorders>
            <w:shd w:val="clear" w:color="auto" w:fill="FFFFFF"/>
          </w:tcPr>
          <w:p w14:paraId="0323662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92" w:type="pct"/>
            <w:tcBorders>
              <w:top w:val="single" w:sz="6" w:space="0" w:color="000000"/>
              <w:left w:val="single" w:sz="6" w:space="0" w:color="000000"/>
              <w:bottom w:val="single" w:sz="6" w:space="0" w:color="000000"/>
              <w:right w:val="single" w:sz="6" w:space="0" w:color="000000"/>
            </w:tcBorders>
            <w:shd w:val="clear" w:color="auto" w:fill="FFFFFF"/>
          </w:tcPr>
          <w:p w14:paraId="0013A24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197" w:type="pct"/>
            <w:tcBorders>
              <w:top w:val="single" w:sz="6" w:space="0" w:color="000000"/>
              <w:left w:val="single" w:sz="6" w:space="0" w:color="000000"/>
              <w:bottom w:val="single" w:sz="6" w:space="0" w:color="000000"/>
              <w:right w:val="single" w:sz="6" w:space="0" w:color="000000"/>
            </w:tcBorders>
            <w:shd w:val="clear" w:color="auto" w:fill="FFFFFF"/>
          </w:tcPr>
          <w:p w14:paraId="0C45D7D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0" w:type="pct"/>
            <w:tcBorders>
              <w:top w:val="single" w:sz="6" w:space="0" w:color="000000"/>
              <w:left w:val="single" w:sz="6" w:space="0" w:color="000000"/>
              <w:bottom w:val="single" w:sz="6" w:space="0" w:color="000000"/>
              <w:right w:val="single" w:sz="6" w:space="0" w:color="000000"/>
            </w:tcBorders>
            <w:shd w:val="clear" w:color="auto" w:fill="FFFFFF"/>
          </w:tcPr>
          <w:p w14:paraId="6E760D3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46D4ABFE" w14:textId="77777777" w:rsidTr="005A1442">
        <w:trPr>
          <w:tblCellSpacing w:w="0" w:type="dxa"/>
          <w:jc w:val="center"/>
        </w:trPr>
        <w:tc>
          <w:tcPr>
            <w:tcW w:w="193" w:type="pct"/>
            <w:tcBorders>
              <w:top w:val="single" w:sz="6" w:space="0" w:color="000000"/>
              <w:left w:val="single" w:sz="6" w:space="0" w:color="000000"/>
              <w:bottom w:val="single" w:sz="6" w:space="0" w:color="000000"/>
              <w:right w:val="single" w:sz="6" w:space="0" w:color="000000"/>
            </w:tcBorders>
            <w:shd w:val="clear" w:color="auto" w:fill="FFFFFF"/>
          </w:tcPr>
          <w:p w14:paraId="53B6B8C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R2-2</w:t>
            </w:r>
          </w:p>
        </w:tc>
        <w:tc>
          <w:tcPr>
            <w:tcW w:w="589" w:type="pct"/>
            <w:tcBorders>
              <w:top w:val="single" w:sz="6" w:space="0" w:color="000000"/>
              <w:left w:val="single" w:sz="6" w:space="0" w:color="000000"/>
              <w:bottom w:val="single" w:sz="6" w:space="0" w:color="000000"/>
              <w:right w:val="single" w:sz="6" w:space="0" w:color="000000"/>
            </w:tcBorders>
            <w:shd w:val="clear" w:color="auto" w:fill="FFFFFF"/>
          </w:tcPr>
          <w:p w14:paraId="23DA7E1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Служители от администрацията, успешно преминали обучения с получаване на сертификат</w:t>
            </w:r>
          </w:p>
        </w:tc>
        <w:tc>
          <w:tcPr>
            <w:tcW w:w="211" w:type="pct"/>
            <w:tcBorders>
              <w:top w:val="single" w:sz="6" w:space="0" w:color="000000"/>
              <w:left w:val="single" w:sz="6" w:space="0" w:color="000000"/>
              <w:bottom w:val="single" w:sz="6" w:space="0" w:color="000000"/>
              <w:right w:val="single" w:sz="6" w:space="0" w:color="000000"/>
            </w:tcBorders>
            <w:shd w:val="clear" w:color="auto" w:fill="FFFFFF"/>
          </w:tcPr>
          <w:p w14:paraId="1024C24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ЕСФ</w:t>
            </w:r>
          </w:p>
        </w:tc>
        <w:tc>
          <w:tcPr>
            <w:tcW w:w="288" w:type="pct"/>
            <w:tcBorders>
              <w:top w:val="single" w:sz="6" w:space="0" w:color="000000"/>
              <w:left w:val="single" w:sz="6" w:space="0" w:color="000000"/>
              <w:bottom w:val="single" w:sz="6" w:space="0" w:color="000000"/>
              <w:right w:val="single" w:sz="6" w:space="0" w:color="000000"/>
            </w:tcBorders>
            <w:shd w:val="clear" w:color="auto" w:fill="FFFFFF"/>
          </w:tcPr>
          <w:p w14:paraId="6D3DE9E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По-слабо развити региони</w:t>
            </w:r>
          </w:p>
        </w:tc>
        <w:tc>
          <w:tcPr>
            <w:tcW w:w="187" w:type="pct"/>
            <w:tcBorders>
              <w:top w:val="single" w:sz="6" w:space="0" w:color="000000"/>
              <w:left w:val="single" w:sz="6" w:space="0" w:color="000000"/>
              <w:bottom w:val="single" w:sz="6" w:space="0" w:color="000000"/>
              <w:right w:val="single" w:sz="6" w:space="0" w:color="000000"/>
            </w:tcBorders>
            <w:shd w:val="clear" w:color="auto" w:fill="FFFFFF"/>
          </w:tcPr>
          <w:p w14:paraId="7B43CB30" w14:textId="0F1190A6" w:rsidR="00B54C34" w:rsidRPr="007D063B" w:rsidRDefault="00441B0D"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Дял</w:t>
            </w:r>
          </w:p>
        </w:tc>
        <w:tc>
          <w:tcPr>
            <w:tcW w:w="197" w:type="pct"/>
            <w:tcBorders>
              <w:top w:val="single" w:sz="6" w:space="0" w:color="000000"/>
              <w:left w:val="single" w:sz="6" w:space="0" w:color="000000"/>
              <w:bottom w:val="single" w:sz="6" w:space="0" w:color="000000"/>
              <w:right w:val="single" w:sz="6" w:space="0" w:color="000000"/>
            </w:tcBorders>
            <w:shd w:val="clear" w:color="auto" w:fill="FFFFFF"/>
          </w:tcPr>
          <w:p w14:paraId="72D6E326" w14:textId="6C0C077B" w:rsidR="00B54C34" w:rsidRPr="007D063B" w:rsidRDefault="00441B0D"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Дял</w:t>
            </w:r>
          </w:p>
        </w:tc>
        <w:tc>
          <w:tcPr>
            <w:tcW w:w="295" w:type="pct"/>
            <w:tcBorders>
              <w:top w:val="single" w:sz="6" w:space="0" w:color="000000"/>
              <w:left w:val="single" w:sz="6" w:space="0" w:color="000000"/>
              <w:bottom w:val="single" w:sz="6" w:space="0" w:color="000000"/>
              <w:right w:val="single" w:sz="6" w:space="0" w:color="000000"/>
            </w:tcBorders>
            <w:shd w:val="clear" w:color="auto" w:fill="FFFFFF"/>
          </w:tcPr>
          <w:p w14:paraId="38D52C9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85,00</w:t>
            </w:r>
          </w:p>
        </w:tc>
        <w:tc>
          <w:tcPr>
            <w:tcW w:w="148" w:type="pct"/>
            <w:tcBorders>
              <w:top w:val="single" w:sz="6" w:space="0" w:color="000000"/>
              <w:left w:val="single" w:sz="6" w:space="0" w:color="000000"/>
              <w:bottom w:val="single" w:sz="6" w:space="0" w:color="000000"/>
              <w:right w:val="single" w:sz="6" w:space="0" w:color="000000"/>
            </w:tcBorders>
            <w:shd w:val="clear" w:color="auto" w:fill="FFFFFF"/>
          </w:tcPr>
          <w:p w14:paraId="651CFD4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71" w:type="pct"/>
            <w:tcBorders>
              <w:top w:val="single" w:sz="6" w:space="0" w:color="000000"/>
              <w:left w:val="single" w:sz="6" w:space="0" w:color="000000"/>
              <w:bottom w:val="single" w:sz="6" w:space="0" w:color="000000"/>
              <w:right w:val="single" w:sz="6" w:space="0" w:color="000000"/>
            </w:tcBorders>
            <w:shd w:val="clear" w:color="auto" w:fill="FFFFFF"/>
          </w:tcPr>
          <w:p w14:paraId="242CF41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6B9C0C4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5C8F493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7FF9C6B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2C49F3C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2C19552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62E5C1A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23429B0E" w14:textId="735C7970" w:rsidR="00B54C34" w:rsidRPr="007D063B" w:rsidRDefault="008137A3"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100 %</w:t>
            </w: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4D431FD5" w14:textId="048ABD02"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23290D9D" w14:textId="263CC628"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78FC14B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79B320F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6804B35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1761FEE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257DCBE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66031AE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202CEC0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7667EB5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0BBD1D5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711A475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182F1D0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6278B84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4C41905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0A4B6E0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0AC948F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670091E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1BE94B6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5FFE0F5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309EAE6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5294A72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94" w:type="pct"/>
            <w:tcBorders>
              <w:top w:val="single" w:sz="6" w:space="0" w:color="000000"/>
              <w:left w:val="single" w:sz="6" w:space="0" w:color="000000"/>
              <w:bottom w:val="single" w:sz="6" w:space="0" w:color="000000"/>
              <w:right w:val="single" w:sz="6" w:space="0" w:color="000000"/>
            </w:tcBorders>
            <w:shd w:val="clear" w:color="auto" w:fill="FFFFFF"/>
          </w:tcPr>
          <w:p w14:paraId="2BDDCDA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2" w:type="pct"/>
            <w:tcBorders>
              <w:top w:val="single" w:sz="6" w:space="0" w:color="000000"/>
              <w:left w:val="single" w:sz="6" w:space="0" w:color="000000"/>
              <w:bottom w:val="single" w:sz="6" w:space="0" w:color="000000"/>
              <w:right w:val="single" w:sz="6" w:space="0" w:color="000000"/>
            </w:tcBorders>
            <w:shd w:val="clear" w:color="auto" w:fill="FFFFFF"/>
          </w:tcPr>
          <w:p w14:paraId="7726450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 w:type="pct"/>
            <w:tcBorders>
              <w:top w:val="single" w:sz="6" w:space="0" w:color="000000"/>
              <w:left w:val="single" w:sz="6" w:space="0" w:color="000000"/>
              <w:bottom w:val="single" w:sz="6" w:space="0" w:color="000000"/>
              <w:right w:val="single" w:sz="6" w:space="0" w:color="000000"/>
            </w:tcBorders>
            <w:shd w:val="clear" w:color="auto" w:fill="FFFFFF"/>
          </w:tcPr>
          <w:p w14:paraId="1232BF1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 w:type="pct"/>
            <w:tcBorders>
              <w:top w:val="single" w:sz="6" w:space="0" w:color="000000"/>
              <w:left w:val="single" w:sz="6" w:space="0" w:color="000000"/>
              <w:bottom w:val="single" w:sz="6" w:space="0" w:color="000000"/>
              <w:right w:val="single" w:sz="6" w:space="0" w:color="000000"/>
            </w:tcBorders>
            <w:shd w:val="clear" w:color="auto" w:fill="FFFFFF"/>
          </w:tcPr>
          <w:p w14:paraId="3FDA7D6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92" w:type="pct"/>
            <w:tcBorders>
              <w:top w:val="single" w:sz="6" w:space="0" w:color="000000"/>
              <w:left w:val="single" w:sz="6" w:space="0" w:color="000000"/>
              <w:bottom w:val="single" w:sz="6" w:space="0" w:color="000000"/>
              <w:right w:val="single" w:sz="6" w:space="0" w:color="000000"/>
            </w:tcBorders>
            <w:shd w:val="clear" w:color="auto" w:fill="FFFFFF"/>
          </w:tcPr>
          <w:p w14:paraId="3C097EEF" w14:textId="003C548F" w:rsidR="00B54C34" w:rsidRPr="007D063B" w:rsidRDefault="00C627CF"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117,65</w:t>
            </w:r>
          </w:p>
        </w:tc>
        <w:tc>
          <w:tcPr>
            <w:tcW w:w="197" w:type="pct"/>
            <w:tcBorders>
              <w:top w:val="single" w:sz="6" w:space="0" w:color="000000"/>
              <w:left w:val="single" w:sz="6" w:space="0" w:color="000000"/>
              <w:bottom w:val="single" w:sz="6" w:space="0" w:color="000000"/>
              <w:right w:val="single" w:sz="6" w:space="0" w:color="000000"/>
            </w:tcBorders>
            <w:shd w:val="clear" w:color="auto" w:fill="FFFFFF"/>
          </w:tcPr>
          <w:p w14:paraId="5357583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0" w:type="pct"/>
            <w:tcBorders>
              <w:top w:val="single" w:sz="6" w:space="0" w:color="000000"/>
              <w:left w:val="single" w:sz="6" w:space="0" w:color="000000"/>
              <w:bottom w:val="single" w:sz="6" w:space="0" w:color="000000"/>
              <w:right w:val="single" w:sz="6" w:space="0" w:color="000000"/>
            </w:tcBorders>
            <w:shd w:val="clear" w:color="auto" w:fill="FFFFFF"/>
          </w:tcPr>
          <w:p w14:paraId="58E0E59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583B375A" w14:textId="77777777" w:rsidTr="005A1442">
        <w:trPr>
          <w:tblCellSpacing w:w="0" w:type="dxa"/>
          <w:jc w:val="center"/>
        </w:trPr>
        <w:tc>
          <w:tcPr>
            <w:tcW w:w="193" w:type="pct"/>
            <w:tcBorders>
              <w:top w:val="single" w:sz="6" w:space="0" w:color="000000"/>
              <w:left w:val="single" w:sz="6" w:space="0" w:color="000000"/>
              <w:bottom w:val="single" w:sz="6" w:space="0" w:color="000000"/>
              <w:right w:val="single" w:sz="6" w:space="0" w:color="000000"/>
            </w:tcBorders>
            <w:shd w:val="clear" w:color="auto" w:fill="FFFFFF"/>
          </w:tcPr>
          <w:p w14:paraId="67D71CD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R2-3</w:t>
            </w:r>
          </w:p>
        </w:tc>
        <w:tc>
          <w:tcPr>
            <w:tcW w:w="589" w:type="pct"/>
            <w:tcBorders>
              <w:top w:val="single" w:sz="6" w:space="0" w:color="000000"/>
              <w:left w:val="single" w:sz="6" w:space="0" w:color="000000"/>
              <w:bottom w:val="single" w:sz="6" w:space="0" w:color="000000"/>
              <w:right w:val="single" w:sz="6" w:space="0" w:color="000000"/>
            </w:tcBorders>
            <w:shd w:val="clear" w:color="auto" w:fill="FFFFFF"/>
          </w:tcPr>
          <w:p w14:paraId="42796D3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 xml:space="preserve">Брой подкрепени администрации въвели механизми за управление на </w:t>
            </w:r>
            <w:r w:rsidRPr="007D063B">
              <w:rPr>
                <w:rFonts w:ascii="Times New Roman" w:hAnsi="Times New Roman" w:cs="Times New Roman"/>
                <w:sz w:val="16"/>
                <w:szCs w:val="16"/>
              </w:rPr>
              <w:lastRenderedPageBreak/>
              <w:t>кариерата</w:t>
            </w:r>
          </w:p>
        </w:tc>
        <w:tc>
          <w:tcPr>
            <w:tcW w:w="211" w:type="pct"/>
            <w:tcBorders>
              <w:top w:val="single" w:sz="6" w:space="0" w:color="000000"/>
              <w:left w:val="single" w:sz="6" w:space="0" w:color="000000"/>
              <w:bottom w:val="single" w:sz="6" w:space="0" w:color="000000"/>
              <w:right w:val="single" w:sz="6" w:space="0" w:color="000000"/>
            </w:tcBorders>
            <w:shd w:val="clear" w:color="auto" w:fill="FFFFFF"/>
          </w:tcPr>
          <w:p w14:paraId="475EE6E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lastRenderedPageBreak/>
              <w:t>ЕСФ</w:t>
            </w:r>
          </w:p>
        </w:tc>
        <w:tc>
          <w:tcPr>
            <w:tcW w:w="288" w:type="pct"/>
            <w:tcBorders>
              <w:top w:val="single" w:sz="6" w:space="0" w:color="000000"/>
              <w:left w:val="single" w:sz="6" w:space="0" w:color="000000"/>
              <w:bottom w:val="single" w:sz="6" w:space="0" w:color="000000"/>
              <w:right w:val="single" w:sz="6" w:space="0" w:color="000000"/>
            </w:tcBorders>
            <w:shd w:val="clear" w:color="auto" w:fill="FFFFFF"/>
          </w:tcPr>
          <w:p w14:paraId="1ECC767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По-слабо развити региони</w:t>
            </w:r>
          </w:p>
        </w:tc>
        <w:tc>
          <w:tcPr>
            <w:tcW w:w="187" w:type="pct"/>
            <w:tcBorders>
              <w:top w:val="single" w:sz="6" w:space="0" w:color="000000"/>
              <w:left w:val="single" w:sz="6" w:space="0" w:color="000000"/>
              <w:bottom w:val="single" w:sz="6" w:space="0" w:color="000000"/>
              <w:right w:val="single" w:sz="6" w:space="0" w:color="000000"/>
            </w:tcBorders>
            <w:shd w:val="clear" w:color="auto" w:fill="FFFFFF"/>
          </w:tcPr>
          <w:p w14:paraId="24EAAC6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w:t>
            </w:r>
          </w:p>
        </w:tc>
        <w:tc>
          <w:tcPr>
            <w:tcW w:w="197" w:type="pct"/>
            <w:tcBorders>
              <w:top w:val="single" w:sz="6" w:space="0" w:color="000000"/>
              <w:left w:val="single" w:sz="6" w:space="0" w:color="000000"/>
              <w:bottom w:val="single" w:sz="6" w:space="0" w:color="000000"/>
              <w:right w:val="single" w:sz="6" w:space="0" w:color="000000"/>
            </w:tcBorders>
            <w:shd w:val="clear" w:color="auto" w:fill="FFFFFF"/>
          </w:tcPr>
          <w:p w14:paraId="59E56D3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w:t>
            </w:r>
          </w:p>
        </w:tc>
        <w:tc>
          <w:tcPr>
            <w:tcW w:w="295" w:type="pct"/>
            <w:tcBorders>
              <w:top w:val="single" w:sz="6" w:space="0" w:color="000000"/>
              <w:left w:val="single" w:sz="6" w:space="0" w:color="000000"/>
              <w:bottom w:val="single" w:sz="6" w:space="0" w:color="000000"/>
              <w:right w:val="single" w:sz="6" w:space="0" w:color="000000"/>
            </w:tcBorders>
            <w:shd w:val="clear" w:color="auto" w:fill="FFFFFF"/>
          </w:tcPr>
          <w:p w14:paraId="519CE4B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50,00</w:t>
            </w:r>
          </w:p>
        </w:tc>
        <w:tc>
          <w:tcPr>
            <w:tcW w:w="148" w:type="pct"/>
            <w:tcBorders>
              <w:top w:val="single" w:sz="6" w:space="0" w:color="000000"/>
              <w:left w:val="single" w:sz="6" w:space="0" w:color="000000"/>
              <w:bottom w:val="single" w:sz="6" w:space="0" w:color="000000"/>
              <w:right w:val="single" w:sz="6" w:space="0" w:color="000000"/>
            </w:tcBorders>
            <w:shd w:val="clear" w:color="auto" w:fill="FFFFFF"/>
          </w:tcPr>
          <w:p w14:paraId="0AFE869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71" w:type="pct"/>
            <w:tcBorders>
              <w:top w:val="single" w:sz="6" w:space="0" w:color="000000"/>
              <w:left w:val="single" w:sz="6" w:space="0" w:color="000000"/>
              <w:bottom w:val="single" w:sz="6" w:space="0" w:color="000000"/>
              <w:right w:val="single" w:sz="6" w:space="0" w:color="000000"/>
            </w:tcBorders>
            <w:shd w:val="clear" w:color="auto" w:fill="FFFFFF"/>
          </w:tcPr>
          <w:p w14:paraId="617D0C7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155510D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7B74FF5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5274C5F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64DC277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6CE3E98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7E8301A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02E3A8F5" w14:textId="282F2C4E" w:rsidR="00B54C34" w:rsidRPr="007D063B" w:rsidRDefault="00450FF1"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72D57C8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0316D90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1E90C2E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3290E35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7B6E7AE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586D411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7266D51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6E0A977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2762B49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10B6A30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499A0B4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35AF8FA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2B2743A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1C5C124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1336CE4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3893ECA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1DEBB13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75FA7B4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2558F72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610ED71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115F004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049A52A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94" w:type="pct"/>
            <w:tcBorders>
              <w:top w:val="single" w:sz="6" w:space="0" w:color="000000"/>
              <w:left w:val="single" w:sz="6" w:space="0" w:color="000000"/>
              <w:bottom w:val="single" w:sz="6" w:space="0" w:color="000000"/>
              <w:right w:val="single" w:sz="6" w:space="0" w:color="000000"/>
            </w:tcBorders>
            <w:shd w:val="clear" w:color="auto" w:fill="FFFFFF"/>
          </w:tcPr>
          <w:p w14:paraId="2F608BC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2" w:type="pct"/>
            <w:tcBorders>
              <w:top w:val="single" w:sz="6" w:space="0" w:color="000000"/>
              <w:left w:val="single" w:sz="6" w:space="0" w:color="000000"/>
              <w:bottom w:val="single" w:sz="6" w:space="0" w:color="000000"/>
              <w:right w:val="single" w:sz="6" w:space="0" w:color="000000"/>
            </w:tcBorders>
            <w:shd w:val="clear" w:color="auto" w:fill="FFFFFF"/>
          </w:tcPr>
          <w:p w14:paraId="25DE5DD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 w:type="pct"/>
            <w:tcBorders>
              <w:top w:val="single" w:sz="6" w:space="0" w:color="000000"/>
              <w:left w:val="single" w:sz="6" w:space="0" w:color="000000"/>
              <w:bottom w:val="single" w:sz="6" w:space="0" w:color="000000"/>
              <w:right w:val="single" w:sz="6" w:space="0" w:color="000000"/>
            </w:tcBorders>
            <w:shd w:val="clear" w:color="auto" w:fill="FFFFFF"/>
          </w:tcPr>
          <w:p w14:paraId="5EC26B6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 w:type="pct"/>
            <w:tcBorders>
              <w:top w:val="single" w:sz="6" w:space="0" w:color="000000"/>
              <w:left w:val="single" w:sz="6" w:space="0" w:color="000000"/>
              <w:bottom w:val="single" w:sz="6" w:space="0" w:color="000000"/>
              <w:right w:val="single" w:sz="6" w:space="0" w:color="000000"/>
            </w:tcBorders>
            <w:shd w:val="clear" w:color="auto" w:fill="FFFFFF"/>
          </w:tcPr>
          <w:p w14:paraId="639E282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92" w:type="pct"/>
            <w:tcBorders>
              <w:top w:val="single" w:sz="6" w:space="0" w:color="000000"/>
              <w:left w:val="single" w:sz="6" w:space="0" w:color="000000"/>
              <w:bottom w:val="single" w:sz="6" w:space="0" w:color="000000"/>
              <w:right w:val="single" w:sz="6" w:space="0" w:color="000000"/>
            </w:tcBorders>
            <w:shd w:val="clear" w:color="auto" w:fill="FFFFFF"/>
          </w:tcPr>
          <w:p w14:paraId="457737A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197" w:type="pct"/>
            <w:tcBorders>
              <w:top w:val="single" w:sz="6" w:space="0" w:color="000000"/>
              <w:left w:val="single" w:sz="6" w:space="0" w:color="000000"/>
              <w:bottom w:val="single" w:sz="6" w:space="0" w:color="000000"/>
              <w:right w:val="single" w:sz="6" w:space="0" w:color="000000"/>
            </w:tcBorders>
            <w:shd w:val="clear" w:color="auto" w:fill="FFFFFF"/>
          </w:tcPr>
          <w:p w14:paraId="09A0146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0" w:type="pct"/>
            <w:tcBorders>
              <w:top w:val="single" w:sz="6" w:space="0" w:color="000000"/>
              <w:left w:val="single" w:sz="6" w:space="0" w:color="000000"/>
              <w:bottom w:val="single" w:sz="6" w:space="0" w:color="000000"/>
              <w:right w:val="single" w:sz="6" w:space="0" w:color="000000"/>
            </w:tcBorders>
            <w:shd w:val="clear" w:color="auto" w:fill="FFFFFF"/>
          </w:tcPr>
          <w:p w14:paraId="5D3BBFD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41E0E550" w14:textId="77777777" w:rsidTr="005A1442">
        <w:trPr>
          <w:tblCellSpacing w:w="0" w:type="dxa"/>
          <w:jc w:val="center"/>
        </w:trPr>
        <w:tc>
          <w:tcPr>
            <w:tcW w:w="193" w:type="pct"/>
            <w:tcBorders>
              <w:top w:val="single" w:sz="6" w:space="0" w:color="000000"/>
              <w:left w:val="single" w:sz="6" w:space="0" w:color="000000"/>
              <w:bottom w:val="single" w:sz="6" w:space="0" w:color="000000"/>
              <w:right w:val="single" w:sz="6" w:space="0" w:color="000000"/>
            </w:tcBorders>
            <w:shd w:val="clear" w:color="auto" w:fill="FFFFFF"/>
          </w:tcPr>
          <w:p w14:paraId="72C763E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R2-4</w:t>
            </w:r>
          </w:p>
        </w:tc>
        <w:tc>
          <w:tcPr>
            <w:tcW w:w="589" w:type="pct"/>
            <w:tcBorders>
              <w:top w:val="single" w:sz="6" w:space="0" w:color="000000"/>
              <w:left w:val="single" w:sz="6" w:space="0" w:color="000000"/>
              <w:bottom w:val="single" w:sz="6" w:space="0" w:color="000000"/>
              <w:right w:val="single" w:sz="6" w:space="0" w:color="000000"/>
            </w:tcBorders>
            <w:shd w:val="clear" w:color="auto" w:fill="FFFFFF"/>
          </w:tcPr>
          <w:p w14:paraId="665006C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Отправени препоръки от НПО и мрежи от НПО към процеса на формиране, осъществяване и мониторинг на политики</w:t>
            </w:r>
          </w:p>
        </w:tc>
        <w:tc>
          <w:tcPr>
            <w:tcW w:w="211" w:type="pct"/>
            <w:tcBorders>
              <w:top w:val="single" w:sz="6" w:space="0" w:color="000000"/>
              <w:left w:val="single" w:sz="6" w:space="0" w:color="000000"/>
              <w:bottom w:val="single" w:sz="6" w:space="0" w:color="000000"/>
              <w:right w:val="single" w:sz="6" w:space="0" w:color="000000"/>
            </w:tcBorders>
            <w:shd w:val="clear" w:color="auto" w:fill="FFFFFF"/>
          </w:tcPr>
          <w:p w14:paraId="27200DB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ЕСФ</w:t>
            </w:r>
          </w:p>
        </w:tc>
        <w:tc>
          <w:tcPr>
            <w:tcW w:w="288" w:type="pct"/>
            <w:tcBorders>
              <w:top w:val="single" w:sz="6" w:space="0" w:color="000000"/>
              <w:left w:val="single" w:sz="6" w:space="0" w:color="000000"/>
              <w:bottom w:val="single" w:sz="6" w:space="0" w:color="000000"/>
              <w:right w:val="single" w:sz="6" w:space="0" w:color="000000"/>
            </w:tcBorders>
            <w:shd w:val="clear" w:color="auto" w:fill="FFFFFF"/>
          </w:tcPr>
          <w:p w14:paraId="13BB7CD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По-слабо развити региони</w:t>
            </w:r>
          </w:p>
        </w:tc>
        <w:tc>
          <w:tcPr>
            <w:tcW w:w="187" w:type="pct"/>
            <w:tcBorders>
              <w:top w:val="single" w:sz="6" w:space="0" w:color="000000"/>
              <w:left w:val="single" w:sz="6" w:space="0" w:color="000000"/>
              <w:bottom w:val="single" w:sz="6" w:space="0" w:color="000000"/>
              <w:right w:val="single" w:sz="6" w:space="0" w:color="000000"/>
            </w:tcBorders>
            <w:shd w:val="clear" w:color="auto" w:fill="FFFFFF"/>
          </w:tcPr>
          <w:p w14:paraId="1AB085D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w:t>
            </w:r>
          </w:p>
        </w:tc>
        <w:tc>
          <w:tcPr>
            <w:tcW w:w="197" w:type="pct"/>
            <w:tcBorders>
              <w:top w:val="single" w:sz="6" w:space="0" w:color="000000"/>
              <w:left w:val="single" w:sz="6" w:space="0" w:color="000000"/>
              <w:bottom w:val="single" w:sz="6" w:space="0" w:color="000000"/>
              <w:right w:val="single" w:sz="6" w:space="0" w:color="000000"/>
            </w:tcBorders>
            <w:shd w:val="clear" w:color="auto" w:fill="FFFFFF"/>
          </w:tcPr>
          <w:p w14:paraId="010B651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w:t>
            </w:r>
          </w:p>
        </w:tc>
        <w:tc>
          <w:tcPr>
            <w:tcW w:w="295" w:type="pct"/>
            <w:tcBorders>
              <w:top w:val="single" w:sz="6" w:space="0" w:color="000000"/>
              <w:left w:val="single" w:sz="6" w:space="0" w:color="000000"/>
              <w:bottom w:val="single" w:sz="6" w:space="0" w:color="000000"/>
              <w:right w:val="single" w:sz="6" w:space="0" w:color="000000"/>
            </w:tcBorders>
            <w:shd w:val="clear" w:color="auto" w:fill="FFFFFF"/>
          </w:tcPr>
          <w:p w14:paraId="2D330BD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400,00</w:t>
            </w:r>
          </w:p>
        </w:tc>
        <w:tc>
          <w:tcPr>
            <w:tcW w:w="148" w:type="pct"/>
            <w:tcBorders>
              <w:top w:val="single" w:sz="6" w:space="0" w:color="000000"/>
              <w:left w:val="single" w:sz="6" w:space="0" w:color="000000"/>
              <w:bottom w:val="single" w:sz="6" w:space="0" w:color="000000"/>
              <w:right w:val="single" w:sz="6" w:space="0" w:color="000000"/>
            </w:tcBorders>
            <w:shd w:val="clear" w:color="auto" w:fill="FFFFFF"/>
          </w:tcPr>
          <w:p w14:paraId="1A59E5B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71" w:type="pct"/>
            <w:tcBorders>
              <w:top w:val="single" w:sz="6" w:space="0" w:color="000000"/>
              <w:left w:val="single" w:sz="6" w:space="0" w:color="000000"/>
              <w:bottom w:val="single" w:sz="6" w:space="0" w:color="000000"/>
              <w:right w:val="single" w:sz="6" w:space="0" w:color="000000"/>
            </w:tcBorders>
            <w:shd w:val="clear" w:color="auto" w:fill="FFFFFF"/>
          </w:tcPr>
          <w:p w14:paraId="05CE5BB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58A1161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36DA598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71AA2D8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28A1231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48CC89E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69D3BE4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7B38B08A" w14:textId="34C3625C" w:rsidR="00B54C34" w:rsidRPr="007D063B" w:rsidRDefault="00450FF1"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48D9A82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6114AA1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70CF4BD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5B9C619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195A02B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2D277DF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5F18A29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4F2201E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66AFB13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7D2F657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1E53C30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0E6D735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17EF2A0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4D2CECD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4F86F62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079F292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7FFA092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363E8E3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18E2947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47678EA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3" w:type="pct"/>
            <w:tcBorders>
              <w:top w:val="single" w:sz="6" w:space="0" w:color="000000"/>
              <w:left w:val="single" w:sz="6" w:space="0" w:color="000000"/>
              <w:bottom w:val="single" w:sz="6" w:space="0" w:color="000000"/>
              <w:right w:val="single" w:sz="6" w:space="0" w:color="000000"/>
            </w:tcBorders>
            <w:shd w:val="clear" w:color="auto" w:fill="FFFFFF"/>
          </w:tcPr>
          <w:p w14:paraId="6AD941B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gridSpan w:val="2"/>
            <w:tcBorders>
              <w:top w:val="single" w:sz="6" w:space="0" w:color="000000"/>
              <w:left w:val="single" w:sz="6" w:space="0" w:color="000000"/>
              <w:bottom w:val="single" w:sz="6" w:space="0" w:color="000000"/>
              <w:right w:val="single" w:sz="6" w:space="0" w:color="000000"/>
            </w:tcBorders>
            <w:shd w:val="clear" w:color="auto" w:fill="FFFFFF"/>
          </w:tcPr>
          <w:p w14:paraId="2BBACC2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94" w:type="pct"/>
            <w:tcBorders>
              <w:top w:val="single" w:sz="6" w:space="0" w:color="000000"/>
              <w:left w:val="single" w:sz="6" w:space="0" w:color="000000"/>
              <w:bottom w:val="single" w:sz="6" w:space="0" w:color="000000"/>
              <w:right w:val="single" w:sz="6" w:space="0" w:color="000000"/>
            </w:tcBorders>
            <w:shd w:val="clear" w:color="auto" w:fill="FFFFFF"/>
          </w:tcPr>
          <w:p w14:paraId="38375A9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2" w:type="pct"/>
            <w:tcBorders>
              <w:top w:val="single" w:sz="6" w:space="0" w:color="000000"/>
              <w:left w:val="single" w:sz="6" w:space="0" w:color="000000"/>
              <w:bottom w:val="single" w:sz="6" w:space="0" w:color="000000"/>
              <w:right w:val="single" w:sz="6" w:space="0" w:color="000000"/>
            </w:tcBorders>
            <w:shd w:val="clear" w:color="auto" w:fill="FFFFFF"/>
          </w:tcPr>
          <w:p w14:paraId="3E9A81C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 w:type="pct"/>
            <w:tcBorders>
              <w:top w:val="single" w:sz="6" w:space="0" w:color="000000"/>
              <w:left w:val="single" w:sz="6" w:space="0" w:color="000000"/>
              <w:bottom w:val="single" w:sz="6" w:space="0" w:color="000000"/>
              <w:right w:val="single" w:sz="6" w:space="0" w:color="000000"/>
            </w:tcBorders>
            <w:shd w:val="clear" w:color="auto" w:fill="FFFFFF"/>
          </w:tcPr>
          <w:p w14:paraId="4871C15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 w:type="pct"/>
            <w:tcBorders>
              <w:top w:val="single" w:sz="6" w:space="0" w:color="000000"/>
              <w:left w:val="single" w:sz="6" w:space="0" w:color="000000"/>
              <w:bottom w:val="single" w:sz="6" w:space="0" w:color="000000"/>
              <w:right w:val="single" w:sz="6" w:space="0" w:color="000000"/>
            </w:tcBorders>
            <w:shd w:val="clear" w:color="auto" w:fill="FFFFFF"/>
          </w:tcPr>
          <w:p w14:paraId="4F128E0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92" w:type="pct"/>
            <w:tcBorders>
              <w:top w:val="single" w:sz="6" w:space="0" w:color="000000"/>
              <w:left w:val="single" w:sz="6" w:space="0" w:color="000000"/>
              <w:bottom w:val="single" w:sz="6" w:space="0" w:color="000000"/>
              <w:right w:val="single" w:sz="6" w:space="0" w:color="000000"/>
            </w:tcBorders>
            <w:shd w:val="clear" w:color="auto" w:fill="FFFFFF"/>
          </w:tcPr>
          <w:p w14:paraId="15DF8C9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197" w:type="pct"/>
            <w:tcBorders>
              <w:top w:val="single" w:sz="6" w:space="0" w:color="000000"/>
              <w:left w:val="single" w:sz="6" w:space="0" w:color="000000"/>
              <w:bottom w:val="single" w:sz="6" w:space="0" w:color="000000"/>
              <w:right w:val="single" w:sz="6" w:space="0" w:color="000000"/>
            </w:tcBorders>
            <w:shd w:val="clear" w:color="auto" w:fill="FFFFFF"/>
          </w:tcPr>
          <w:p w14:paraId="3C20715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0" w:type="pct"/>
            <w:tcBorders>
              <w:top w:val="single" w:sz="6" w:space="0" w:color="000000"/>
              <w:left w:val="single" w:sz="6" w:space="0" w:color="000000"/>
              <w:bottom w:val="single" w:sz="6" w:space="0" w:color="000000"/>
              <w:right w:val="single" w:sz="6" w:space="0" w:color="000000"/>
            </w:tcBorders>
            <w:shd w:val="clear" w:color="auto" w:fill="FFFFFF"/>
          </w:tcPr>
          <w:p w14:paraId="43A8E83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B54C34" w:rsidRPr="007D063B" w14:paraId="34D50BC7" w14:textId="77777777" w:rsidTr="00696F3D">
        <w:trPr>
          <w:tblCellSpacing w:w="0" w:type="dxa"/>
          <w:jc w:val="center"/>
        </w:trPr>
        <w:tc>
          <w:tcPr>
            <w:tcW w:w="5000" w:type="pct"/>
            <w:gridSpan w:val="55"/>
            <w:shd w:val="clear" w:color="auto" w:fill="FFFFFF"/>
            <w:vAlign w:val="center"/>
            <w:hideMark/>
          </w:tcPr>
          <w:p w14:paraId="7B98ED50" w14:textId="77777777" w:rsidR="00B54C34" w:rsidRPr="007D063B" w:rsidRDefault="00B54C34" w:rsidP="00450FF1">
            <w:pPr>
              <w:spacing w:after="0" w:line="240" w:lineRule="auto"/>
              <w:jc w:val="center"/>
              <w:rPr>
                <w:rFonts w:ascii="Times New Roman" w:eastAsia="Times New Roman" w:hAnsi="Times New Roman" w:cs="Times New Roman"/>
                <w:color w:val="000000"/>
                <w:sz w:val="16"/>
                <w:szCs w:val="16"/>
                <w:lang w:eastAsia="bg-BG"/>
              </w:rPr>
            </w:pPr>
          </w:p>
        </w:tc>
      </w:tr>
    </w:tbl>
    <w:p w14:paraId="6C31928E" w14:textId="77777777" w:rsidR="00B54C34" w:rsidRPr="007D063B" w:rsidRDefault="00B54C34" w:rsidP="00B54C34">
      <w:pPr>
        <w:shd w:val="clear" w:color="auto" w:fill="FFFFFF"/>
        <w:spacing w:before="120" w:after="120" w:line="240" w:lineRule="auto"/>
        <w:jc w:val="center"/>
        <w:rPr>
          <w:rFonts w:ascii="inherit" w:eastAsia="Times New Roman" w:hAnsi="inherit" w:cs="Times New Roman"/>
          <w:i/>
          <w:iCs/>
          <w:color w:val="000000"/>
          <w:sz w:val="24"/>
          <w:szCs w:val="24"/>
          <w:lang w:eastAsia="bg-BG"/>
        </w:rPr>
      </w:pPr>
    </w:p>
    <w:p w14:paraId="44D03371" w14:textId="77777777" w:rsidR="00B54C34" w:rsidRPr="007D063B" w:rsidRDefault="00B54C34" w:rsidP="00B43484">
      <w:pPr>
        <w:pStyle w:val="Heading3"/>
        <w:jc w:val="center"/>
        <w:rPr>
          <w:rFonts w:ascii="Times New Roman" w:eastAsia="Times New Roman" w:hAnsi="Times New Roman" w:cs="Times New Roman"/>
          <w:color w:val="000000"/>
          <w:lang w:eastAsia="bg-BG"/>
        </w:rPr>
      </w:pPr>
      <w:bookmarkStart w:id="13" w:name="_Toc481594274"/>
      <w:r w:rsidRPr="007D063B">
        <w:rPr>
          <w:rFonts w:ascii="inherit" w:eastAsia="Times New Roman" w:hAnsi="inherit" w:cs="Times New Roman"/>
          <w:i/>
          <w:iCs/>
          <w:color w:val="000000"/>
          <w:lang w:eastAsia="bg-BG"/>
        </w:rPr>
        <w:t>Таблица 4А</w:t>
      </w:r>
      <w:bookmarkEnd w:id="13"/>
    </w:p>
    <w:p w14:paraId="02525896" w14:textId="77777777" w:rsidR="00B54C34" w:rsidRPr="007D063B" w:rsidRDefault="00B54C34" w:rsidP="00B54C34">
      <w:pPr>
        <w:shd w:val="clear" w:color="auto" w:fill="FFFFFF"/>
        <w:spacing w:before="120" w:after="120" w:line="240" w:lineRule="auto"/>
        <w:jc w:val="center"/>
        <w:rPr>
          <w:rFonts w:ascii="Times New Roman" w:eastAsia="Times New Roman" w:hAnsi="Times New Roman" w:cs="Times New Roman"/>
          <w:color w:val="000000"/>
          <w:sz w:val="24"/>
          <w:szCs w:val="24"/>
          <w:lang w:eastAsia="bg-BG"/>
        </w:rPr>
      </w:pPr>
      <w:r w:rsidRPr="007D063B">
        <w:rPr>
          <w:rFonts w:ascii="inherit" w:eastAsia="Times New Roman" w:hAnsi="inherit" w:cs="Times New Roman"/>
          <w:b/>
          <w:bCs/>
          <w:color w:val="000000"/>
          <w:sz w:val="24"/>
          <w:szCs w:val="24"/>
          <w:lang w:eastAsia="bg-BG"/>
        </w:rPr>
        <w:t>Общи показатели за изпълнение за ЕСФ (по приоритетна ос, инвестиционен приоритет, категория регион). За инициативата за младежка заетост, за всяка приоритетна ос или част от нея не се изисква разпределение по категория региони</w:t>
      </w:r>
      <w:r w:rsidRPr="007D063B">
        <w:rPr>
          <w:rFonts w:ascii="Times New Roman" w:eastAsia="Times New Roman" w:hAnsi="Times New Roman" w:cs="Times New Roman"/>
          <w:color w:val="000000"/>
          <w:sz w:val="24"/>
          <w:szCs w:val="24"/>
          <w:lang w:eastAsia="bg-BG"/>
        </w:rPr>
        <w:t> </w:t>
      </w:r>
      <w:hyperlink r:id="rId27" w:anchor="ntr13-L_2015038BG.01007201-E0013" w:history="1">
        <w:r w:rsidRPr="007D063B">
          <w:rPr>
            <w:rFonts w:ascii="inherit" w:eastAsia="Times New Roman" w:hAnsi="inherit" w:cs="Times New Roman"/>
            <w:color w:val="0000FF"/>
            <w:sz w:val="24"/>
            <w:szCs w:val="24"/>
            <w:u w:val="single"/>
            <w:lang w:eastAsia="bg-BG"/>
          </w:rPr>
          <w:t> (</w:t>
        </w:r>
        <w:r w:rsidRPr="007D063B">
          <w:rPr>
            <w:rFonts w:ascii="inherit" w:eastAsia="Times New Roman" w:hAnsi="inherit" w:cs="Times New Roman"/>
            <w:color w:val="0000FF"/>
            <w:sz w:val="17"/>
            <w:szCs w:val="17"/>
            <w:u w:val="single"/>
            <w:vertAlign w:val="superscript"/>
            <w:lang w:eastAsia="bg-BG"/>
          </w:rPr>
          <w:t>13</w:t>
        </w:r>
        <w:r w:rsidRPr="007D063B">
          <w:rPr>
            <w:rFonts w:ascii="inherit" w:eastAsia="Times New Roman" w:hAnsi="inherit" w:cs="Times New Roman"/>
            <w:color w:val="0000FF"/>
            <w:sz w:val="24"/>
            <w:szCs w:val="24"/>
            <w:u w:val="single"/>
            <w:lang w:eastAsia="bg-BG"/>
          </w:rPr>
          <w:t>)</w:t>
        </w:r>
      </w:hyperlink>
    </w:p>
    <w:p w14:paraId="2C1D2080" w14:textId="77777777" w:rsidR="00B54C34" w:rsidRPr="007D063B" w:rsidRDefault="00B54C34" w:rsidP="00B54C34">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Инвестиционен приоритет:</w:t>
      </w:r>
    </w:p>
    <w:p w14:paraId="74749635" w14:textId="599D8389" w:rsidR="00B54C34" w:rsidRPr="007D063B" w:rsidRDefault="00B54C34" w:rsidP="00B54C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xml:space="preserve">Инвестиционен приоритет № 11 </w:t>
      </w:r>
      <w:r w:rsidRPr="007D063B">
        <w:rPr>
          <w:rFonts w:ascii="Times New Roman" w:eastAsia="Times New Roman" w:hAnsi="Times New Roman" w:cs="Times New Roman"/>
          <w:color w:val="000000"/>
          <w:sz w:val="24"/>
          <w:szCs w:val="24"/>
          <w:lang w:val="en-US" w:eastAsia="bg-BG"/>
        </w:rPr>
        <w:t>i</w:t>
      </w:r>
      <w:r w:rsidRPr="007D063B">
        <w:rPr>
          <w:rFonts w:ascii="Times New Roman" w:eastAsia="Times New Roman" w:hAnsi="Times New Roman" w:cs="Times New Roman"/>
          <w:color w:val="000000"/>
          <w:sz w:val="24"/>
          <w:szCs w:val="24"/>
          <w:lang w:eastAsia="bg-BG"/>
        </w:rPr>
        <w:t>: Инвестиции в институционален капацитет и в ефикасността на публичните администрации и публичните услуги на национално, регионално и местно равнище с цел осъществяването на реформи и постигането на по-добро регулиране и добро управление</w:t>
      </w:r>
    </w:p>
    <w:p w14:paraId="0ACBFDDB" w14:textId="7F6E092E" w:rsidR="00450FF1" w:rsidRPr="007D063B" w:rsidRDefault="00450FF1" w:rsidP="00450FF1">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Категория регион: По-слабо развити региони</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left w:w="0" w:type="dxa"/>
          <w:right w:w="0" w:type="dxa"/>
        </w:tblCellMar>
        <w:tblLook w:val="04A0" w:firstRow="1" w:lastRow="0" w:firstColumn="1" w:lastColumn="0" w:noHBand="0" w:noVBand="1"/>
      </w:tblPr>
      <w:tblGrid>
        <w:gridCol w:w="1271"/>
        <w:gridCol w:w="1423"/>
        <w:gridCol w:w="713"/>
        <w:gridCol w:w="556"/>
        <w:gridCol w:w="306"/>
        <w:gridCol w:w="312"/>
        <w:gridCol w:w="351"/>
        <w:gridCol w:w="359"/>
        <w:gridCol w:w="351"/>
        <w:gridCol w:w="359"/>
        <w:gridCol w:w="351"/>
        <w:gridCol w:w="359"/>
        <w:gridCol w:w="351"/>
        <w:gridCol w:w="359"/>
        <w:gridCol w:w="351"/>
        <w:gridCol w:w="359"/>
        <w:gridCol w:w="351"/>
        <w:gridCol w:w="359"/>
        <w:gridCol w:w="351"/>
        <w:gridCol w:w="359"/>
        <w:gridCol w:w="351"/>
        <w:gridCol w:w="359"/>
        <w:gridCol w:w="351"/>
        <w:gridCol w:w="359"/>
        <w:gridCol w:w="351"/>
        <w:gridCol w:w="458"/>
        <w:gridCol w:w="533"/>
        <w:gridCol w:w="292"/>
        <w:gridCol w:w="300"/>
        <w:gridCol w:w="587"/>
        <w:gridCol w:w="320"/>
        <w:gridCol w:w="222"/>
      </w:tblGrid>
      <w:tr w:rsidR="001A0909" w:rsidRPr="007D063B" w14:paraId="3FE37238" w14:textId="77777777" w:rsidTr="001A0909">
        <w:trPr>
          <w:tblCellSpacing w:w="0" w:type="dxa"/>
        </w:trPr>
        <w:tc>
          <w:tcPr>
            <w:tcW w:w="453" w:type="pct"/>
            <w:tcBorders>
              <w:top w:val="single" w:sz="6" w:space="0" w:color="000000"/>
              <w:left w:val="single" w:sz="6" w:space="0" w:color="000000"/>
              <w:bottom w:val="single" w:sz="6" w:space="0" w:color="000000"/>
              <w:right w:val="single" w:sz="6" w:space="0" w:color="000000"/>
            </w:tcBorders>
            <w:shd w:val="clear" w:color="auto" w:fill="FFFFFF"/>
            <w:hideMark/>
          </w:tcPr>
          <w:p w14:paraId="6F60F21F" w14:textId="77777777" w:rsidR="001A0909" w:rsidRPr="007D063B" w:rsidRDefault="001A0909" w:rsidP="001A0909">
            <w:pPr>
              <w:spacing w:before="60" w:after="60" w:line="240" w:lineRule="auto"/>
              <w:ind w:right="195"/>
              <w:jc w:val="center"/>
              <w:rPr>
                <w:rFonts w:ascii="Times New Roman" w:eastAsia="Times New Roman" w:hAnsi="Times New Roman" w:cs="Times New Roman"/>
                <w:color w:val="000000"/>
                <w:sz w:val="20"/>
                <w:szCs w:val="20"/>
                <w:lang w:eastAsia="bg-BG"/>
              </w:rPr>
            </w:pPr>
            <w:r w:rsidRPr="007D063B">
              <w:rPr>
                <w:rFonts w:ascii="Times New Roman" w:eastAsia="Times New Roman" w:hAnsi="Times New Roman" w:cs="Times New Roman"/>
                <w:color w:val="000000"/>
                <w:sz w:val="20"/>
                <w:szCs w:val="20"/>
                <w:lang w:eastAsia="bg-BG"/>
              </w:rPr>
              <w:t xml:space="preserve">Категория регион: </w:t>
            </w:r>
          </w:p>
          <w:p w14:paraId="753587D2" w14:textId="77777777" w:rsidR="001A0909" w:rsidRPr="007D063B" w:rsidRDefault="001A0909" w:rsidP="001A0909">
            <w:pPr>
              <w:spacing w:before="60" w:after="60" w:line="240" w:lineRule="auto"/>
              <w:ind w:right="195"/>
              <w:jc w:val="center"/>
              <w:rPr>
                <w:rFonts w:ascii="Times New Roman" w:eastAsia="Times New Roman" w:hAnsi="Times New Roman" w:cs="Times New Roman"/>
                <w:color w:val="000000"/>
                <w:sz w:val="20"/>
                <w:szCs w:val="20"/>
                <w:lang w:eastAsia="bg-BG"/>
              </w:rPr>
            </w:pPr>
            <w:r w:rsidRPr="007D063B">
              <w:rPr>
                <w:rFonts w:ascii="Times New Roman" w:eastAsia="Times New Roman" w:hAnsi="Times New Roman" w:cs="Times New Roman"/>
                <w:color w:val="000000"/>
                <w:sz w:val="20"/>
                <w:szCs w:val="20"/>
                <w:lang w:eastAsia="bg-BG"/>
              </w:rPr>
              <w:t>По-слабо развити региони</w:t>
            </w:r>
          </w:p>
          <w:p w14:paraId="21A8672C"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Показател Идентификация</w:t>
            </w: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548ABB68"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Показател (наименование на показателя)</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69445600"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Категория региони (когато е уместно)</w:t>
            </w:r>
          </w:p>
        </w:tc>
        <w:tc>
          <w:tcPr>
            <w:tcW w:w="41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DA43A4D"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Целева стойност (2023 г.)</w:t>
            </w:r>
          </w:p>
          <w:p w14:paraId="205DA94A"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Разпределението по пол е незадължително (за целевата стойност)</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434458A"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2014</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45C87D1" w14:textId="77777777" w:rsidR="001A0909" w:rsidRPr="007D063B" w:rsidRDefault="001A0909" w:rsidP="00726A65">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2015</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CD317BF" w14:textId="77777777" w:rsidR="001A0909" w:rsidRPr="007D063B" w:rsidRDefault="001A0909" w:rsidP="00726A65">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2016</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942C46B"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2017</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1760208"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2018</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738B97C"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2019</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63095F2"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2020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0F56531"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2021</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137E171"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2022</w:t>
            </w:r>
          </w:p>
        </w:tc>
        <w:tc>
          <w:tcPr>
            <w:tcW w:w="287"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7D08151"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2023</w:t>
            </w:r>
          </w:p>
        </w:tc>
        <w:tc>
          <w:tcPr>
            <w:tcW w:w="401"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4FDF564"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Кумулативна стойност (автоматично изчислена)</w:t>
            </w:r>
          </w:p>
        </w:tc>
        <w:tc>
          <w:tcPr>
            <w:tcW w:w="403"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DBBC5A2"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Съотношение на постиженията</w:t>
            </w:r>
          </w:p>
          <w:p w14:paraId="5799BC8E"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Разпределение по пол (незадължително)</w:t>
            </w:r>
          </w:p>
        </w:tc>
      </w:tr>
      <w:tr w:rsidR="001A0909" w:rsidRPr="007D063B" w14:paraId="69011491" w14:textId="77777777" w:rsidTr="001A0909">
        <w:trPr>
          <w:tblCellSpacing w:w="0" w:type="dxa"/>
        </w:trPr>
        <w:tc>
          <w:tcPr>
            <w:tcW w:w="453"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3A1B7FF"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E1C697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30693B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8" w:type="pct"/>
            <w:tcBorders>
              <w:top w:val="single" w:sz="6" w:space="0" w:color="000000"/>
              <w:left w:val="single" w:sz="6" w:space="0" w:color="000000"/>
              <w:bottom w:val="single" w:sz="6" w:space="0" w:color="000000"/>
              <w:right w:val="single" w:sz="6" w:space="0" w:color="000000"/>
            </w:tcBorders>
            <w:shd w:val="clear" w:color="auto" w:fill="FFFFFF"/>
            <w:hideMark/>
          </w:tcPr>
          <w:p w14:paraId="0E5D574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tcBorders>
              <w:top w:val="single" w:sz="6" w:space="0" w:color="000000"/>
              <w:left w:val="single" w:sz="6" w:space="0" w:color="000000"/>
              <w:bottom w:val="single" w:sz="6" w:space="0" w:color="000000"/>
              <w:right w:val="single" w:sz="6" w:space="0" w:color="000000"/>
            </w:tcBorders>
            <w:shd w:val="clear" w:color="auto" w:fill="FFFFFF"/>
            <w:hideMark/>
          </w:tcPr>
          <w:p w14:paraId="2DEB08E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tcBorders>
              <w:top w:val="single" w:sz="6" w:space="0" w:color="000000"/>
              <w:left w:val="single" w:sz="6" w:space="0" w:color="000000"/>
              <w:bottom w:val="single" w:sz="6" w:space="0" w:color="000000"/>
              <w:right w:val="single" w:sz="6" w:space="0" w:color="000000"/>
            </w:tcBorders>
            <w:shd w:val="clear" w:color="auto" w:fill="FFFFFF"/>
            <w:hideMark/>
          </w:tcPr>
          <w:p w14:paraId="2CC251C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65" w:type="pct"/>
            <w:gridSpan w:val="20"/>
            <w:tcBorders>
              <w:top w:val="single" w:sz="6" w:space="0" w:color="000000"/>
              <w:left w:val="single" w:sz="6" w:space="0" w:color="000000"/>
              <w:bottom w:val="single" w:sz="6" w:space="0" w:color="000000"/>
              <w:right w:val="single" w:sz="6" w:space="0" w:color="000000"/>
            </w:tcBorders>
            <w:shd w:val="clear" w:color="auto" w:fill="FFFFFF"/>
            <w:hideMark/>
          </w:tcPr>
          <w:p w14:paraId="35C8056D" w14:textId="77777777" w:rsidR="001A0909" w:rsidRPr="007D063B" w:rsidRDefault="001A0909" w:rsidP="00726A65">
            <w:pPr>
              <w:spacing w:before="60" w:after="60" w:line="240" w:lineRule="auto"/>
              <w:ind w:right="195"/>
              <w:jc w:val="center"/>
              <w:rPr>
                <w:rFonts w:ascii="Times New Roman" w:eastAsia="Times New Roman" w:hAnsi="Times New Roman" w:cs="Times New Roman"/>
                <w:b/>
                <w:bCs/>
                <w:color w:val="000000"/>
                <w:lang w:eastAsia="bg-BG"/>
              </w:rPr>
            </w:pPr>
            <w:r w:rsidRPr="007D063B">
              <w:rPr>
                <w:rFonts w:ascii="Times New Roman" w:eastAsia="Times New Roman" w:hAnsi="Times New Roman" w:cs="Times New Roman"/>
                <w:b/>
                <w:bCs/>
                <w:color w:val="000000"/>
                <w:lang w:eastAsia="bg-BG"/>
              </w:rPr>
              <w:t>Годишна стойност</w:t>
            </w:r>
          </w:p>
        </w:tc>
        <w:tc>
          <w:tcPr>
            <w:tcW w:w="190" w:type="pct"/>
            <w:tcBorders>
              <w:top w:val="single" w:sz="6" w:space="0" w:color="000000"/>
              <w:left w:val="single" w:sz="6" w:space="0" w:color="000000"/>
              <w:bottom w:val="single" w:sz="6" w:space="0" w:color="000000"/>
              <w:right w:val="single" w:sz="6" w:space="0" w:color="000000"/>
            </w:tcBorders>
            <w:shd w:val="clear" w:color="auto" w:fill="FFFFFF"/>
            <w:hideMark/>
          </w:tcPr>
          <w:p w14:paraId="5585010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4" w:type="pct"/>
            <w:tcBorders>
              <w:top w:val="single" w:sz="6" w:space="0" w:color="000000"/>
              <w:left w:val="single" w:sz="6" w:space="0" w:color="000000"/>
              <w:bottom w:val="single" w:sz="6" w:space="0" w:color="000000"/>
              <w:right w:val="single" w:sz="6" w:space="0" w:color="000000"/>
            </w:tcBorders>
            <w:shd w:val="clear" w:color="auto" w:fill="FFFFFF"/>
            <w:hideMark/>
          </w:tcPr>
          <w:p w14:paraId="6A85995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7" w:type="pct"/>
            <w:tcBorders>
              <w:top w:val="single" w:sz="6" w:space="0" w:color="000000"/>
              <w:left w:val="single" w:sz="6" w:space="0" w:color="000000"/>
              <w:bottom w:val="single" w:sz="6" w:space="0" w:color="000000"/>
              <w:right w:val="single" w:sz="6" w:space="0" w:color="000000"/>
            </w:tcBorders>
            <w:shd w:val="clear" w:color="auto" w:fill="FFFFFF"/>
            <w:hideMark/>
          </w:tcPr>
          <w:p w14:paraId="2257E3F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09" w:type="pct"/>
            <w:tcBorders>
              <w:top w:val="single" w:sz="6" w:space="0" w:color="000000"/>
              <w:left w:val="single" w:sz="6" w:space="0" w:color="000000"/>
              <w:bottom w:val="single" w:sz="6" w:space="0" w:color="000000"/>
              <w:right w:val="single" w:sz="6" w:space="0" w:color="000000"/>
            </w:tcBorders>
            <w:shd w:val="clear" w:color="auto" w:fill="FFFFFF"/>
            <w:hideMark/>
          </w:tcPr>
          <w:p w14:paraId="20D03F6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4" w:type="pct"/>
            <w:tcBorders>
              <w:top w:val="single" w:sz="6" w:space="0" w:color="000000"/>
              <w:left w:val="single" w:sz="6" w:space="0" w:color="000000"/>
              <w:bottom w:val="single" w:sz="6" w:space="0" w:color="000000"/>
              <w:right w:val="single" w:sz="6" w:space="0" w:color="000000"/>
            </w:tcBorders>
            <w:shd w:val="clear" w:color="auto" w:fill="FFFFFF"/>
            <w:hideMark/>
          </w:tcPr>
          <w:p w14:paraId="701D751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80" w:type="pct"/>
            <w:tcBorders>
              <w:top w:val="single" w:sz="6" w:space="0" w:color="000000"/>
              <w:left w:val="single" w:sz="6" w:space="0" w:color="000000"/>
              <w:bottom w:val="single" w:sz="6" w:space="0" w:color="000000"/>
              <w:right w:val="single" w:sz="6" w:space="0" w:color="000000"/>
            </w:tcBorders>
            <w:shd w:val="clear" w:color="auto" w:fill="FFFFFF"/>
            <w:hideMark/>
          </w:tcPr>
          <w:p w14:paraId="3521B3F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r>
      <w:tr w:rsidR="00E133C6" w:rsidRPr="007D063B" w14:paraId="726A0787"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7EEDB8"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5728D07" w14:textId="77777777" w:rsidR="001A0909" w:rsidRPr="007D063B" w:rsidRDefault="001A0909" w:rsidP="001A0909">
            <w:pPr>
              <w:spacing w:after="0" w:line="240" w:lineRule="auto"/>
              <w:rPr>
                <w:rFonts w:ascii="Times New Roman" w:eastAsia="Times New Roman" w:hAnsi="Times New Roman" w:cs="Times New Roman"/>
                <w:color w:val="000000"/>
                <w:sz w:val="16"/>
                <w:szCs w:val="16"/>
                <w:lang w:eastAsia="bg-BG"/>
              </w:rPr>
            </w:pP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990F92"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98" w:type="pct"/>
            <w:tcBorders>
              <w:top w:val="single" w:sz="6" w:space="0" w:color="000000"/>
              <w:left w:val="single" w:sz="6" w:space="0" w:color="000000"/>
              <w:bottom w:val="single" w:sz="6" w:space="0" w:color="000000"/>
              <w:right w:val="single" w:sz="6" w:space="0" w:color="000000"/>
            </w:tcBorders>
            <w:shd w:val="clear" w:color="auto" w:fill="FFFFFF"/>
            <w:hideMark/>
          </w:tcPr>
          <w:p w14:paraId="48F73F90"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Об</w:t>
            </w:r>
            <w:r w:rsidRPr="007D063B">
              <w:rPr>
                <w:rFonts w:ascii="Times New Roman" w:eastAsia="Times New Roman" w:hAnsi="Times New Roman" w:cs="Times New Roman"/>
                <w:b/>
                <w:bCs/>
                <w:color w:val="000000"/>
                <w:sz w:val="16"/>
                <w:szCs w:val="16"/>
                <w:lang w:eastAsia="bg-BG"/>
              </w:rPr>
              <w:lastRenderedPageBreak/>
              <w:t>що</w:t>
            </w:r>
          </w:p>
        </w:tc>
        <w:tc>
          <w:tcPr>
            <w:tcW w:w="109" w:type="pct"/>
            <w:tcBorders>
              <w:top w:val="single" w:sz="6" w:space="0" w:color="000000"/>
              <w:left w:val="single" w:sz="6" w:space="0" w:color="000000"/>
              <w:bottom w:val="single" w:sz="6" w:space="0" w:color="000000"/>
              <w:right w:val="single" w:sz="6" w:space="0" w:color="000000"/>
            </w:tcBorders>
            <w:shd w:val="clear" w:color="auto" w:fill="FFFFFF"/>
            <w:hideMark/>
          </w:tcPr>
          <w:p w14:paraId="504E43E3"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lastRenderedPageBreak/>
              <w:t>М</w:t>
            </w:r>
          </w:p>
        </w:tc>
        <w:tc>
          <w:tcPr>
            <w:tcW w:w="111" w:type="pct"/>
            <w:tcBorders>
              <w:top w:val="single" w:sz="6" w:space="0" w:color="000000"/>
              <w:left w:val="single" w:sz="6" w:space="0" w:color="000000"/>
              <w:bottom w:val="single" w:sz="6" w:space="0" w:color="000000"/>
              <w:right w:val="single" w:sz="6" w:space="0" w:color="000000"/>
            </w:tcBorders>
            <w:shd w:val="clear" w:color="auto" w:fill="FFFFFF"/>
            <w:hideMark/>
          </w:tcPr>
          <w:p w14:paraId="658F4DBB"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45A5D8D9"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067CD57A"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7E165839" w14:textId="77777777" w:rsidR="001A0909" w:rsidRPr="007D063B" w:rsidRDefault="001A0909" w:rsidP="00726A65">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3A4377AC" w14:textId="77777777" w:rsidR="001A0909" w:rsidRPr="007D063B" w:rsidRDefault="001A0909" w:rsidP="00726A65">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4952C9CA" w14:textId="77777777" w:rsidR="001A0909" w:rsidRPr="007D063B" w:rsidRDefault="001A0909" w:rsidP="00726A65">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08142F17"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095F3DA1"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25CC0CC7"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2012E61E"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1012CCBE"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3C453F35"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4796B835"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7C25AEEE"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4CB4CCF5"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4F27AD71"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4035AB1B"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65F20997"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1166DD72"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324A0DFF"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62" w:type="pct"/>
            <w:tcBorders>
              <w:top w:val="single" w:sz="6" w:space="0" w:color="000000"/>
              <w:left w:val="single" w:sz="6" w:space="0" w:color="000000"/>
              <w:bottom w:val="single" w:sz="6" w:space="0" w:color="000000"/>
              <w:right w:val="single" w:sz="6" w:space="0" w:color="000000"/>
            </w:tcBorders>
            <w:shd w:val="clear" w:color="auto" w:fill="FFFFFF"/>
            <w:hideMark/>
          </w:tcPr>
          <w:p w14:paraId="5E07B039"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90" w:type="pct"/>
            <w:tcBorders>
              <w:top w:val="single" w:sz="6" w:space="0" w:color="000000"/>
              <w:left w:val="single" w:sz="6" w:space="0" w:color="000000"/>
              <w:bottom w:val="single" w:sz="6" w:space="0" w:color="000000"/>
              <w:right w:val="single" w:sz="6" w:space="0" w:color="000000"/>
            </w:tcBorders>
            <w:shd w:val="clear" w:color="auto" w:fill="FFFFFF"/>
            <w:hideMark/>
          </w:tcPr>
          <w:p w14:paraId="68006A93"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Об</w:t>
            </w:r>
            <w:r w:rsidRPr="007D063B">
              <w:rPr>
                <w:rFonts w:ascii="Times New Roman" w:eastAsia="Times New Roman" w:hAnsi="Times New Roman" w:cs="Times New Roman"/>
                <w:b/>
                <w:bCs/>
                <w:color w:val="000000"/>
                <w:sz w:val="16"/>
                <w:szCs w:val="16"/>
                <w:lang w:eastAsia="bg-BG"/>
              </w:rPr>
              <w:lastRenderedPageBreak/>
              <w:t>що</w:t>
            </w:r>
          </w:p>
        </w:tc>
        <w:tc>
          <w:tcPr>
            <w:tcW w:w="104" w:type="pct"/>
            <w:tcBorders>
              <w:top w:val="single" w:sz="6" w:space="0" w:color="000000"/>
              <w:left w:val="single" w:sz="6" w:space="0" w:color="000000"/>
              <w:bottom w:val="single" w:sz="6" w:space="0" w:color="000000"/>
              <w:right w:val="single" w:sz="6" w:space="0" w:color="000000"/>
            </w:tcBorders>
            <w:shd w:val="clear" w:color="auto" w:fill="FFFFFF"/>
            <w:hideMark/>
          </w:tcPr>
          <w:p w14:paraId="73056A82"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lastRenderedPageBreak/>
              <w:t>М</w:t>
            </w:r>
          </w:p>
        </w:tc>
        <w:tc>
          <w:tcPr>
            <w:tcW w:w="107" w:type="pct"/>
            <w:tcBorders>
              <w:top w:val="single" w:sz="6" w:space="0" w:color="000000"/>
              <w:left w:val="single" w:sz="6" w:space="0" w:color="000000"/>
              <w:bottom w:val="single" w:sz="6" w:space="0" w:color="000000"/>
              <w:right w:val="single" w:sz="6" w:space="0" w:color="000000"/>
            </w:tcBorders>
            <w:shd w:val="clear" w:color="auto" w:fill="FFFFFF"/>
            <w:hideMark/>
          </w:tcPr>
          <w:p w14:paraId="31D3E6A7"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209" w:type="pct"/>
            <w:tcBorders>
              <w:top w:val="single" w:sz="6" w:space="0" w:color="000000"/>
              <w:left w:val="single" w:sz="6" w:space="0" w:color="000000"/>
              <w:bottom w:val="single" w:sz="6" w:space="0" w:color="000000"/>
              <w:right w:val="single" w:sz="6" w:space="0" w:color="000000"/>
            </w:tcBorders>
            <w:shd w:val="clear" w:color="auto" w:fill="FFFFFF"/>
            <w:hideMark/>
          </w:tcPr>
          <w:p w14:paraId="29445E06"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Общ</w:t>
            </w:r>
            <w:r w:rsidRPr="007D063B">
              <w:rPr>
                <w:rFonts w:ascii="Times New Roman" w:eastAsia="Times New Roman" w:hAnsi="Times New Roman" w:cs="Times New Roman"/>
                <w:b/>
                <w:bCs/>
                <w:color w:val="000000"/>
                <w:sz w:val="16"/>
                <w:szCs w:val="16"/>
                <w:lang w:eastAsia="bg-BG"/>
              </w:rPr>
              <w:lastRenderedPageBreak/>
              <w:t>о</w:t>
            </w:r>
          </w:p>
        </w:tc>
        <w:tc>
          <w:tcPr>
            <w:tcW w:w="114" w:type="pct"/>
            <w:tcBorders>
              <w:top w:val="single" w:sz="6" w:space="0" w:color="000000"/>
              <w:left w:val="single" w:sz="6" w:space="0" w:color="000000"/>
              <w:bottom w:val="single" w:sz="6" w:space="0" w:color="000000"/>
              <w:right w:val="single" w:sz="6" w:space="0" w:color="000000"/>
            </w:tcBorders>
            <w:shd w:val="clear" w:color="auto" w:fill="FFFFFF"/>
            <w:hideMark/>
          </w:tcPr>
          <w:p w14:paraId="3ED7DF5A"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lastRenderedPageBreak/>
              <w:t>М</w:t>
            </w:r>
          </w:p>
        </w:tc>
        <w:tc>
          <w:tcPr>
            <w:tcW w:w="80" w:type="pct"/>
            <w:tcBorders>
              <w:top w:val="single" w:sz="6" w:space="0" w:color="000000"/>
              <w:left w:val="single" w:sz="6" w:space="0" w:color="000000"/>
              <w:bottom w:val="single" w:sz="6" w:space="0" w:color="000000"/>
              <w:right w:val="single" w:sz="6" w:space="0" w:color="000000"/>
            </w:tcBorders>
            <w:shd w:val="clear" w:color="auto" w:fill="FFFFFF"/>
            <w:hideMark/>
          </w:tcPr>
          <w:p w14:paraId="7AA04AFF" w14:textId="77777777" w:rsidR="001A0909" w:rsidRPr="007D063B" w:rsidRDefault="001A0909" w:rsidP="001A0909">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r>
      <w:tr w:rsidR="00E133C6" w:rsidRPr="007D063B" w14:paraId="7A087581" w14:textId="77777777" w:rsidTr="001A0909">
        <w:trPr>
          <w:tblCellSpacing w:w="0" w:type="dxa"/>
        </w:trPr>
        <w:tc>
          <w:tcPr>
            <w:tcW w:w="453"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8AFBFA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39583C04"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Безработни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90330D6"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A752AE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BFAC8DC"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EF898E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20FC9B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2BA308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BE348C3" w14:textId="04C5C12B" w:rsidR="001A0909" w:rsidRPr="007D063B" w:rsidRDefault="001A0909" w:rsidP="00726A65">
            <w:pPr>
              <w:spacing w:before="120" w:after="0" w:line="240" w:lineRule="auto"/>
              <w:jc w:val="center"/>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96B2567" w14:textId="31903F53" w:rsidR="001A0909" w:rsidRPr="007D063B" w:rsidRDefault="001A0909" w:rsidP="00726A65">
            <w:pPr>
              <w:spacing w:before="120" w:after="0" w:line="240" w:lineRule="auto"/>
              <w:jc w:val="center"/>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E869B9D" w14:textId="05DA2F8B" w:rsidR="001A0909" w:rsidRPr="007D063B" w:rsidRDefault="001A0909" w:rsidP="00726A65">
            <w:pPr>
              <w:spacing w:before="120" w:after="0" w:line="240" w:lineRule="auto"/>
              <w:jc w:val="center"/>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D0C9C8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7DE576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7CC4BF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38AD6A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059F75F"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673D98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56C8D4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07474A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EAAC87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8D9226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D095A2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AD36AE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BB7C06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35D35F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9ED0D7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6297C6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09702F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C58AADF"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0A0064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61CB75F"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6B35D2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15FA5F86"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190D0B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1BA50508"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Безработни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24BECEFD"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177389"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B82E6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9D81062"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F974F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08064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E50179" w14:textId="77777777" w:rsidR="001A0909" w:rsidRPr="007D063B" w:rsidRDefault="001A0909" w:rsidP="00726A65">
            <w:pPr>
              <w:spacing w:after="0" w:line="240" w:lineRule="auto"/>
              <w:jc w:val="center"/>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7763D38" w14:textId="77777777" w:rsidR="001A0909" w:rsidRPr="007D063B" w:rsidRDefault="001A0909" w:rsidP="00726A65">
            <w:pPr>
              <w:spacing w:after="0" w:line="240" w:lineRule="auto"/>
              <w:jc w:val="center"/>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E178B60" w14:textId="77777777" w:rsidR="001A0909" w:rsidRPr="007D063B" w:rsidRDefault="001A0909" w:rsidP="00726A65">
            <w:pPr>
              <w:spacing w:after="0" w:line="240" w:lineRule="auto"/>
              <w:jc w:val="center"/>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84AA96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52CCB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841D3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626CB2"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FF0EA1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8505C5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F2C74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D4A51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9CD842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52784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2DCD53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CEBA8D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B848F9"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3D44A5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2354CFD"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1D76E2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0A90198"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AEE5A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AC4147"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51414B"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D42C7D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r>
      <w:tr w:rsidR="00E133C6" w:rsidRPr="007D063B" w14:paraId="2E06D89A"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12F6348"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5200A58F"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Трайно безработни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DDC4812"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6C5D4A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E7CA75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F2BD0A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EF064D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758911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BC25600" w14:textId="1E5E998D" w:rsidR="001A0909" w:rsidRPr="007D063B" w:rsidRDefault="001A0909" w:rsidP="00726A65">
            <w:pPr>
              <w:spacing w:before="120" w:after="0" w:line="240" w:lineRule="auto"/>
              <w:jc w:val="center"/>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96A1E82" w14:textId="2E357696" w:rsidR="001A0909" w:rsidRPr="007D063B" w:rsidRDefault="001A0909" w:rsidP="00726A65">
            <w:pPr>
              <w:spacing w:before="120" w:after="0" w:line="240" w:lineRule="auto"/>
              <w:jc w:val="center"/>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7213945" w14:textId="54133374" w:rsidR="001A0909" w:rsidRPr="007D063B" w:rsidRDefault="001A0909" w:rsidP="00726A65">
            <w:pPr>
              <w:spacing w:before="120" w:after="0" w:line="240" w:lineRule="auto"/>
              <w:jc w:val="center"/>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09ECFF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79C8CD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BD4261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4C52DB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B77D9F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FF2993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8EC0EA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2FAB6F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74A189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09D4FA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E05F03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4DC73E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85802B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36C37F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9ABB54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B5647A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8068F0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EA8F6F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3169D1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595933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63E45C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27D89B9A"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7B05D77"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23FE900C"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Трайно безработни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77E8F2D3"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B87A0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62DE4E9"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B3A957"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C74619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D1E3A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A1693A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F2AF9F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C3FDC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FEA8F2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483CF27"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FAEACC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B28706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96C9B72"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6944CA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4CFC7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E7DD5EB"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C8461E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DABAF7B"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E77EB1B"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835A7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F31E057"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7785F6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FF06DD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B2F49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5E787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40096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FB599A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D4381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77B7F2"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r>
      <w:tr w:rsidR="00E133C6" w:rsidRPr="007D063B" w14:paraId="01BB942A"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D630D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231DB142"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Неактивни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525E713"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A1EA34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46B0A2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97048F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3ABEF5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608CA4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A449CB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53D2F0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7415CB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18E64B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EB9CB7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8BE928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208352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FEB4F5C"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1507FD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845726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B420F8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05B02B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E8476DC"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AD08ED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E05B64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C2EEDF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F6C796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F79EEE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3CF249C"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CBC1E8F"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7ED1C0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E592EB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E619A6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16CB07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1E5D51F8"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42FC03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06ECBC5F"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Неактивни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43034534"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F82BAA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540501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F4C987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8828DA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806FB9"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14AC6F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CBF41B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0485FAD"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8B15D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D1901B"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922A1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D6646E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7BA870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9DBB8B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49364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CB3B1F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4BFDDF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FB27F1B"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C301C2"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2725E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1E4D74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323443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FBC24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758D34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5AEB26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9FEB7D7"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BDF833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B9426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351B18"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r>
      <w:tr w:rsidR="00E133C6" w:rsidRPr="007D063B" w14:paraId="7A095F1C"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D1E604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11612F36"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Неактивни, неангажирани с образование или обучение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85CD7CC"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CCF9B4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383E6E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63E011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3BD7D2C"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777A6F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44D7BD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B93E73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4198D6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352AE9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601A31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7DA6BF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16CCEE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64B3F0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FBDBCB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CFDBC2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D271D4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09BC83F"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35DF86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710116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E78E29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E9A18A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8B03E9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C5E201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201E82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E33D2D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52B940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3DB14A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6B34BE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77336C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36139316"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92A7D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193CAD1B"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Неактивни, неангажирани с образование или обучение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C9B6C8"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075E58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5F45CB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94BF8D"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785687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405EB8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28B63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E41E19"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0637A2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50FDA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520F72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B7094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4ECE99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FCB755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B6273A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FCE6E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33F0B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AA71F9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873755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068644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DB554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625C3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781C9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EECD33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E70F94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F18912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C8670E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CA4E8B7"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D8075D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34BBC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r>
      <w:tr w:rsidR="00E133C6" w:rsidRPr="007D063B" w14:paraId="60114344"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FE80C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699ECDDF"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Заети, включително самостоятелно заети</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0C4CC8B8"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tcBorders>
              <w:top w:val="single" w:sz="6" w:space="0" w:color="000000"/>
              <w:left w:val="single" w:sz="6" w:space="0" w:color="000000"/>
              <w:bottom w:val="single" w:sz="6" w:space="0" w:color="000000"/>
              <w:right w:val="single" w:sz="6" w:space="0" w:color="000000"/>
            </w:tcBorders>
            <w:shd w:val="clear" w:color="auto" w:fill="FFFFFF"/>
            <w:hideMark/>
          </w:tcPr>
          <w:p w14:paraId="78BCF31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tcBorders>
              <w:top w:val="single" w:sz="6" w:space="0" w:color="000000"/>
              <w:left w:val="single" w:sz="6" w:space="0" w:color="000000"/>
              <w:bottom w:val="single" w:sz="6" w:space="0" w:color="000000"/>
              <w:right w:val="single" w:sz="6" w:space="0" w:color="000000"/>
            </w:tcBorders>
            <w:shd w:val="clear" w:color="auto" w:fill="FFFFFF"/>
            <w:hideMark/>
          </w:tcPr>
          <w:p w14:paraId="03C7893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tcBorders>
              <w:top w:val="single" w:sz="6" w:space="0" w:color="000000"/>
              <w:left w:val="single" w:sz="6" w:space="0" w:color="000000"/>
              <w:bottom w:val="single" w:sz="6" w:space="0" w:color="000000"/>
              <w:right w:val="single" w:sz="6" w:space="0" w:color="000000"/>
            </w:tcBorders>
            <w:shd w:val="clear" w:color="auto" w:fill="FFFFFF"/>
            <w:hideMark/>
          </w:tcPr>
          <w:p w14:paraId="18E6AE6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64BDBFE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5E78890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512E295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72F4A6E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2EB2C906" w14:textId="44911244"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7</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1BD6C984" w14:textId="21ABC8F4"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13</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9FD9AB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3125C03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04CC8D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6CC2A4E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023DB50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14565F2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508D28F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5268AB3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47D855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2E71606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4E8D1F2C"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16F1B23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514E38D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tcBorders>
              <w:top w:val="single" w:sz="6" w:space="0" w:color="000000"/>
              <w:left w:val="single" w:sz="6" w:space="0" w:color="000000"/>
              <w:bottom w:val="single" w:sz="6" w:space="0" w:color="000000"/>
              <w:right w:val="single" w:sz="6" w:space="0" w:color="000000"/>
            </w:tcBorders>
            <w:shd w:val="clear" w:color="auto" w:fill="FFFFFF"/>
            <w:hideMark/>
          </w:tcPr>
          <w:p w14:paraId="40E7D35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tcBorders>
              <w:top w:val="single" w:sz="6" w:space="0" w:color="000000"/>
              <w:left w:val="single" w:sz="6" w:space="0" w:color="000000"/>
              <w:bottom w:val="single" w:sz="6" w:space="0" w:color="000000"/>
              <w:right w:val="single" w:sz="6" w:space="0" w:color="000000"/>
            </w:tcBorders>
            <w:shd w:val="clear" w:color="auto" w:fill="FFFFFF"/>
            <w:hideMark/>
          </w:tcPr>
          <w:p w14:paraId="18A4A4A1" w14:textId="45BA82F3"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20</w:t>
            </w:r>
          </w:p>
        </w:tc>
        <w:tc>
          <w:tcPr>
            <w:tcW w:w="104" w:type="pct"/>
            <w:tcBorders>
              <w:top w:val="single" w:sz="6" w:space="0" w:color="000000"/>
              <w:left w:val="single" w:sz="6" w:space="0" w:color="000000"/>
              <w:bottom w:val="single" w:sz="6" w:space="0" w:color="000000"/>
              <w:right w:val="single" w:sz="6" w:space="0" w:color="000000"/>
            </w:tcBorders>
            <w:shd w:val="clear" w:color="auto" w:fill="FFFFFF"/>
            <w:hideMark/>
          </w:tcPr>
          <w:p w14:paraId="7F4C620B" w14:textId="03D88788"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7</w:t>
            </w:r>
          </w:p>
        </w:tc>
        <w:tc>
          <w:tcPr>
            <w:tcW w:w="107" w:type="pct"/>
            <w:tcBorders>
              <w:top w:val="single" w:sz="6" w:space="0" w:color="000000"/>
              <w:left w:val="single" w:sz="6" w:space="0" w:color="000000"/>
              <w:bottom w:val="single" w:sz="6" w:space="0" w:color="000000"/>
              <w:right w:val="single" w:sz="6" w:space="0" w:color="000000"/>
            </w:tcBorders>
            <w:shd w:val="clear" w:color="auto" w:fill="FFFFFF"/>
            <w:hideMark/>
          </w:tcPr>
          <w:p w14:paraId="305A2A9F" w14:textId="288C4B6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13</w:t>
            </w:r>
          </w:p>
        </w:tc>
        <w:tc>
          <w:tcPr>
            <w:tcW w:w="209" w:type="pct"/>
            <w:tcBorders>
              <w:top w:val="single" w:sz="6" w:space="0" w:color="000000"/>
              <w:left w:val="single" w:sz="6" w:space="0" w:color="000000"/>
              <w:bottom w:val="single" w:sz="6" w:space="0" w:color="000000"/>
              <w:right w:val="single" w:sz="6" w:space="0" w:color="000000"/>
            </w:tcBorders>
            <w:shd w:val="clear" w:color="auto" w:fill="FFFFFF"/>
          </w:tcPr>
          <w:p w14:paraId="0E21DB86" w14:textId="3573B491"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114" w:type="pct"/>
            <w:tcBorders>
              <w:top w:val="single" w:sz="6" w:space="0" w:color="000000"/>
              <w:left w:val="single" w:sz="6" w:space="0" w:color="000000"/>
              <w:bottom w:val="single" w:sz="6" w:space="0" w:color="000000"/>
              <w:right w:val="single" w:sz="6" w:space="0" w:color="000000"/>
            </w:tcBorders>
            <w:shd w:val="clear" w:color="auto" w:fill="FFFFFF"/>
          </w:tcPr>
          <w:p w14:paraId="43EF5B47" w14:textId="32E2F585"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80" w:type="pct"/>
            <w:tcBorders>
              <w:top w:val="single" w:sz="6" w:space="0" w:color="000000"/>
              <w:left w:val="single" w:sz="6" w:space="0" w:color="000000"/>
              <w:bottom w:val="single" w:sz="6" w:space="0" w:color="000000"/>
              <w:right w:val="single" w:sz="6" w:space="0" w:color="000000"/>
            </w:tcBorders>
            <w:shd w:val="clear" w:color="auto" w:fill="FFFFFF"/>
          </w:tcPr>
          <w:p w14:paraId="508D8417" w14:textId="47F1B6CC"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r>
      <w:tr w:rsidR="00E133C6" w:rsidRPr="007D063B" w14:paraId="7FBFAA9C"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4E6A89"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0859D3A7"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На възраст под 25 години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91964E3"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E4053A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4D5D27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9F7B37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EAC915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D5121A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C84FC7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4D5C07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74646C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E1682E2" w14:textId="419DF96C"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4</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0A7E73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45E6EB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5CA49BC"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C7B704F"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6907DB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0328D7F"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E6B22B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F1ECD5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BB7A7A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FA72B2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B2F324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CA9007F"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A84EA2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817576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280A23F" w14:textId="6DB9956B"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4</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BDD1B9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C781505" w14:textId="5119CEDD"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4</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5CB3E4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1200A7F"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53F7D8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6840C1F3"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7012B9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02F12E20"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На възраст под 25 години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79832A02"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EF8B4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BBE4F8B"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EFE8F4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6CB02A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531066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CE5E9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C0F151B"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9A96F4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1E885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260C55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7ECD9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A18B18"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6210E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2E56A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1BE8F52"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68D0A0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BC705E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39B0A8"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3AD2AD"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B1392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9EA3BD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A06D3E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FBA66B"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2C59E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F8280B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C918982"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3655189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799C526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7D134B68"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r>
      <w:tr w:rsidR="00E133C6" w:rsidRPr="007D063B" w14:paraId="03885218"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75D7A2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7823A25F"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На възраст над 54 години</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0A191AEA"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tcBorders>
              <w:top w:val="single" w:sz="6" w:space="0" w:color="000000"/>
              <w:left w:val="single" w:sz="6" w:space="0" w:color="000000"/>
              <w:bottom w:val="single" w:sz="6" w:space="0" w:color="000000"/>
              <w:right w:val="single" w:sz="6" w:space="0" w:color="000000"/>
            </w:tcBorders>
            <w:shd w:val="clear" w:color="auto" w:fill="FFFFFF"/>
            <w:hideMark/>
          </w:tcPr>
          <w:p w14:paraId="002A34F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tcBorders>
              <w:top w:val="single" w:sz="6" w:space="0" w:color="000000"/>
              <w:left w:val="single" w:sz="6" w:space="0" w:color="000000"/>
              <w:bottom w:val="single" w:sz="6" w:space="0" w:color="000000"/>
              <w:right w:val="single" w:sz="6" w:space="0" w:color="000000"/>
            </w:tcBorders>
            <w:shd w:val="clear" w:color="auto" w:fill="FFFFFF"/>
            <w:hideMark/>
          </w:tcPr>
          <w:p w14:paraId="6E3F874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tcBorders>
              <w:top w:val="single" w:sz="6" w:space="0" w:color="000000"/>
              <w:left w:val="single" w:sz="6" w:space="0" w:color="000000"/>
              <w:bottom w:val="single" w:sz="6" w:space="0" w:color="000000"/>
              <w:right w:val="single" w:sz="6" w:space="0" w:color="000000"/>
            </w:tcBorders>
            <w:shd w:val="clear" w:color="auto" w:fill="FFFFFF"/>
            <w:hideMark/>
          </w:tcPr>
          <w:p w14:paraId="16369A6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47CEF66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69D0A19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03D4109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798C8E6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203FC55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4982257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20E4536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72602B9F"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6E765C1C"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4DB886FF"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3B1FC2F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4C87983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08E7FE1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470C102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34D4607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5284925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42EECB6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5DFEFACC"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9E85B0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tcBorders>
              <w:top w:val="single" w:sz="6" w:space="0" w:color="000000"/>
              <w:left w:val="single" w:sz="6" w:space="0" w:color="000000"/>
              <w:bottom w:val="single" w:sz="6" w:space="0" w:color="000000"/>
              <w:right w:val="single" w:sz="6" w:space="0" w:color="000000"/>
            </w:tcBorders>
            <w:shd w:val="clear" w:color="auto" w:fill="FFFFFF"/>
            <w:hideMark/>
          </w:tcPr>
          <w:p w14:paraId="01F8B2C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tcBorders>
              <w:top w:val="single" w:sz="6" w:space="0" w:color="000000"/>
              <w:left w:val="single" w:sz="6" w:space="0" w:color="000000"/>
              <w:bottom w:val="single" w:sz="6" w:space="0" w:color="000000"/>
              <w:right w:val="single" w:sz="6" w:space="0" w:color="000000"/>
            </w:tcBorders>
            <w:shd w:val="clear" w:color="auto" w:fill="FFFFFF"/>
            <w:hideMark/>
          </w:tcPr>
          <w:p w14:paraId="3CEF153F"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tcBorders>
              <w:top w:val="single" w:sz="6" w:space="0" w:color="000000"/>
              <w:left w:val="single" w:sz="6" w:space="0" w:color="000000"/>
              <w:bottom w:val="single" w:sz="6" w:space="0" w:color="000000"/>
              <w:right w:val="single" w:sz="6" w:space="0" w:color="000000"/>
            </w:tcBorders>
            <w:shd w:val="clear" w:color="auto" w:fill="FFFFFF"/>
            <w:hideMark/>
          </w:tcPr>
          <w:p w14:paraId="3B0ED80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tcBorders>
              <w:top w:val="single" w:sz="6" w:space="0" w:color="000000"/>
              <w:left w:val="single" w:sz="6" w:space="0" w:color="000000"/>
              <w:bottom w:val="single" w:sz="6" w:space="0" w:color="000000"/>
              <w:right w:val="single" w:sz="6" w:space="0" w:color="000000"/>
            </w:tcBorders>
            <w:shd w:val="clear" w:color="auto" w:fill="FFFFFF"/>
            <w:hideMark/>
          </w:tcPr>
          <w:p w14:paraId="4382294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tcBorders>
              <w:top w:val="single" w:sz="6" w:space="0" w:color="000000"/>
              <w:left w:val="single" w:sz="6" w:space="0" w:color="000000"/>
              <w:bottom w:val="single" w:sz="6" w:space="0" w:color="000000"/>
              <w:right w:val="single" w:sz="6" w:space="0" w:color="000000"/>
            </w:tcBorders>
            <w:shd w:val="clear" w:color="auto" w:fill="FFFFFF"/>
            <w:hideMark/>
          </w:tcPr>
          <w:p w14:paraId="7375A2F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tcBorders>
              <w:top w:val="single" w:sz="6" w:space="0" w:color="000000"/>
              <w:left w:val="single" w:sz="6" w:space="0" w:color="000000"/>
              <w:bottom w:val="single" w:sz="6" w:space="0" w:color="000000"/>
              <w:right w:val="single" w:sz="6" w:space="0" w:color="000000"/>
            </w:tcBorders>
            <w:shd w:val="clear" w:color="auto" w:fill="FFFFFF"/>
            <w:hideMark/>
          </w:tcPr>
          <w:p w14:paraId="02F9BD5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tcBorders>
              <w:top w:val="single" w:sz="6" w:space="0" w:color="000000"/>
              <w:left w:val="single" w:sz="6" w:space="0" w:color="000000"/>
              <w:bottom w:val="single" w:sz="6" w:space="0" w:color="000000"/>
              <w:right w:val="single" w:sz="6" w:space="0" w:color="000000"/>
            </w:tcBorders>
            <w:shd w:val="clear" w:color="auto" w:fill="FFFFFF"/>
            <w:hideMark/>
          </w:tcPr>
          <w:p w14:paraId="41E183C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0F9F0CD7"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FC21812"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74222A9A"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 xml:space="preserve">Над 54 години, които са безработни, включително трайно безработни, или неактивни, неангажирани с образование или </w:t>
            </w:r>
            <w:r w:rsidRPr="007D063B">
              <w:rPr>
                <w:rFonts w:ascii="Times New Roman" w:eastAsia="Times New Roman" w:hAnsi="Times New Roman" w:cs="Times New Roman"/>
                <w:b/>
                <w:bCs/>
                <w:i/>
                <w:iCs/>
                <w:color w:val="000000"/>
                <w:sz w:val="16"/>
                <w:szCs w:val="16"/>
                <w:lang w:eastAsia="bg-BG"/>
              </w:rPr>
              <w:lastRenderedPageBreak/>
              <w:t>обучение</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5DC93B66"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lastRenderedPageBreak/>
              <w:t>По-слабо развити региони</w:t>
            </w:r>
          </w:p>
        </w:tc>
        <w:tc>
          <w:tcPr>
            <w:tcW w:w="198" w:type="pct"/>
            <w:tcBorders>
              <w:top w:val="single" w:sz="6" w:space="0" w:color="000000"/>
              <w:left w:val="single" w:sz="6" w:space="0" w:color="000000"/>
              <w:bottom w:val="single" w:sz="6" w:space="0" w:color="000000"/>
              <w:right w:val="single" w:sz="6" w:space="0" w:color="000000"/>
            </w:tcBorders>
            <w:shd w:val="clear" w:color="auto" w:fill="FFFFFF"/>
            <w:hideMark/>
          </w:tcPr>
          <w:p w14:paraId="0BF88FC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tcBorders>
              <w:top w:val="single" w:sz="6" w:space="0" w:color="000000"/>
              <w:left w:val="single" w:sz="6" w:space="0" w:color="000000"/>
              <w:bottom w:val="single" w:sz="6" w:space="0" w:color="000000"/>
              <w:right w:val="single" w:sz="6" w:space="0" w:color="000000"/>
            </w:tcBorders>
            <w:shd w:val="clear" w:color="auto" w:fill="FFFFFF"/>
            <w:hideMark/>
          </w:tcPr>
          <w:p w14:paraId="59B1537C"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tcBorders>
              <w:top w:val="single" w:sz="6" w:space="0" w:color="000000"/>
              <w:left w:val="single" w:sz="6" w:space="0" w:color="000000"/>
              <w:bottom w:val="single" w:sz="6" w:space="0" w:color="000000"/>
              <w:right w:val="single" w:sz="6" w:space="0" w:color="000000"/>
            </w:tcBorders>
            <w:shd w:val="clear" w:color="auto" w:fill="FFFFFF"/>
            <w:hideMark/>
          </w:tcPr>
          <w:p w14:paraId="02DC95B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6369376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567EFF5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6115F7A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22C9CB9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3293E2C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6E6FC95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518C727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141000F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450102D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52D7553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29ECE7A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00801F9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4E483AC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4404694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7847541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63727A0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39C15AC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49C5640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349A6C0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tcBorders>
              <w:top w:val="single" w:sz="6" w:space="0" w:color="000000"/>
              <w:left w:val="single" w:sz="6" w:space="0" w:color="000000"/>
              <w:bottom w:val="single" w:sz="6" w:space="0" w:color="000000"/>
              <w:right w:val="single" w:sz="6" w:space="0" w:color="000000"/>
            </w:tcBorders>
            <w:shd w:val="clear" w:color="auto" w:fill="FFFFFF"/>
            <w:hideMark/>
          </w:tcPr>
          <w:p w14:paraId="232F377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tcBorders>
              <w:top w:val="single" w:sz="6" w:space="0" w:color="000000"/>
              <w:left w:val="single" w:sz="6" w:space="0" w:color="000000"/>
              <w:bottom w:val="single" w:sz="6" w:space="0" w:color="000000"/>
              <w:right w:val="single" w:sz="6" w:space="0" w:color="000000"/>
            </w:tcBorders>
            <w:shd w:val="clear" w:color="auto" w:fill="FFFFFF"/>
            <w:hideMark/>
          </w:tcPr>
          <w:p w14:paraId="656E96E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tcBorders>
              <w:top w:val="single" w:sz="6" w:space="0" w:color="000000"/>
              <w:left w:val="single" w:sz="6" w:space="0" w:color="000000"/>
              <w:bottom w:val="single" w:sz="6" w:space="0" w:color="000000"/>
              <w:right w:val="single" w:sz="6" w:space="0" w:color="000000"/>
            </w:tcBorders>
            <w:shd w:val="clear" w:color="auto" w:fill="FFFFFF"/>
            <w:hideMark/>
          </w:tcPr>
          <w:p w14:paraId="5EA1211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tcBorders>
              <w:top w:val="single" w:sz="6" w:space="0" w:color="000000"/>
              <w:left w:val="single" w:sz="6" w:space="0" w:color="000000"/>
              <w:bottom w:val="single" w:sz="6" w:space="0" w:color="000000"/>
              <w:right w:val="single" w:sz="6" w:space="0" w:color="000000"/>
            </w:tcBorders>
            <w:shd w:val="clear" w:color="auto" w:fill="FFFFFF"/>
            <w:hideMark/>
          </w:tcPr>
          <w:p w14:paraId="667F807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tcBorders>
              <w:top w:val="single" w:sz="6" w:space="0" w:color="000000"/>
              <w:left w:val="single" w:sz="6" w:space="0" w:color="000000"/>
              <w:bottom w:val="single" w:sz="6" w:space="0" w:color="000000"/>
              <w:right w:val="single" w:sz="6" w:space="0" w:color="000000"/>
            </w:tcBorders>
            <w:shd w:val="clear" w:color="auto" w:fill="FFFFFF"/>
            <w:hideMark/>
          </w:tcPr>
          <w:p w14:paraId="4471356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tcBorders>
              <w:top w:val="single" w:sz="6" w:space="0" w:color="000000"/>
              <w:left w:val="single" w:sz="6" w:space="0" w:color="000000"/>
              <w:bottom w:val="single" w:sz="6" w:space="0" w:color="000000"/>
              <w:right w:val="single" w:sz="6" w:space="0" w:color="000000"/>
            </w:tcBorders>
            <w:shd w:val="clear" w:color="auto" w:fill="FFFFFF"/>
            <w:hideMark/>
          </w:tcPr>
          <w:p w14:paraId="461A327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tcBorders>
              <w:top w:val="single" w:sz="6" w:space="0" w:color="000000"/>
              <w:left w:val="single" w:sz="6" w:space="0" w:color="000000"/>
              <w:bottom w:val="single" w:sz="6" w:space="0" w:color="000000"/>
              <w:right w:val="single" w:sz="6" w:space="0" w:color="000000"/>
            </w:tcBorders>
            <w:shd w:val="clear" w:color="auto" w:fill="FFFFFF"/>
            <w:hideMark/>
          </w:tcPr>
          <w:p w14:paraId="760DEF3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2D91B2DC"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3BC5152"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4A889FFD"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С основно образование (ISCED 1) или прогимназиален етап на основното образование (ISCED 2)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66E87A5"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956C3E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0A5107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7755F8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CDE7DA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E87780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E14E19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21F1C1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E86A8E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F0B79D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64F177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343CD3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B250F3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7C5DFC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D27194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002A5C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09E47B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332067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12E7B3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F39B61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40C34C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352742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D3E507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AA282D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782F54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608B06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66388A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37E3B7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CBC4B6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EA57BF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2C733714"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876CC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6B64D360"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С основно образование (ISCED 1) или прогимназиален етап на основното образование (ISCED 2)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60DF5D9"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09D55E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F66BF9"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E98E122"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A01BF99"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020404D"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4F9D37"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4F3F9D"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04854C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EA5CD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F7B309"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9C5CCD"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A0F9F7"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A25C3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B94C0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A68767"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FA552C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64BC3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7962909"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B0EC92"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70A6FB"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8C2D47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55D6E49"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5CC1E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88B86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11630D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5B71C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29C84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3F5EAF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C44F4E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r>
      <w:tr w:rsidR="00E133C6" w:rsidRPr="007D063B" w14:paraId="335E40F4"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B14BDED"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45C707C3"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със средно образование (ISCED 3) или образование след средното образование (ISCED 4)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F81956F"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94EBC1C"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C93508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A84C9B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33A812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679F76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0143D4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37E812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72D011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48FC65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AB8E28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1D7369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856787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857D10F"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BFC11E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047A28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7323C0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D35BA7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13F9D4F"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082A20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E8E1D6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D0B3A9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2D24BA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8AC247F"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F01012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495AD3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D235A2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047042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F763E0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6367CC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67F5A7CC"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1EE95E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78F885EB"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Със средно образование (ISCED 3) или образование след средното образование (ISCED 4)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71367683"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6D806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0E35F7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DD1F14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A213E3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5D1B5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6EE1A57"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775579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BAF2457"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911CC3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D40CB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F85479"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8CD5BD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48C4DB"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B4F488"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15B942"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070E72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5FA1C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CDF908"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D7620D"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ED964C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4FB7718"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14769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215378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00C967"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03B629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14108C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6F990C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F351BF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37FC6A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r>
      <w:tr w:rsidR="00E133C6" w:rsidRPr="007D063B" w14:paraId="510C33A5"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332BD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042635DF"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С висше образование (ISCED 5 до 8)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8ED6029"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58EEEE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770880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31F92D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D52211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2CB81E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442ACD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CEDA9F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49E5E38" w14:textId="1E48715A"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7</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A915CFE" w14:textId="2016BE12"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13</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5A93D2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89C334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B67D50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9653EA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C21217F"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E0EF20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E670DA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283416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07079F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6049E8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A425CB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EEA95E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885306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89DF07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E1E453F" w14:textId="1F09CCC9"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20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A5330B8" w14:textId="13E69ACC"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7</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480CA7A" w14:textId="0676C4C2"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13</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BE476A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6A981D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FE721E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7DD3EE02"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261888"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3C880035"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С висше образование (ISCED 5 до 8)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487CD32F"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7BE9B6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5D66E8"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41C90B"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ECA810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C43E0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88BBE8D"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19E94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185D7B"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EC71319"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63470A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D1ECC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75D77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7D831D8"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FD1318"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D261A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FF906A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F811D7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755491B"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DE284F2"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13269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BC06D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5EF80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D5D74B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55454F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F4D886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7712D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F199A4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40015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8029E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r>
      <w:tr w:rsidR="00E133C6" w:rsidRPr="007D063B" w14:paraId="4FB8B736"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65ECF4B"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3E4340CB"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които живеят в безработни домакинства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5198FB4"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0AAABB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E8A04E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FEA52E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B7B4AF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3F8113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EBA48B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B859D5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FF1868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FC3530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355B0F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972401C"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F121FE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55DCCEF"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A8BD0B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0D2682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2F3579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C7351F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F1CF12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45B953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878667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DFF333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25C1B2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28B333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13787D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A63F17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73252D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0A002C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5985B6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0F630BF"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43140370"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596E1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0DE06370"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които живеят в безработни домакинства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74536A78"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F2872E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CDFFB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2D6B3A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1B676F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FFEBA2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38042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204C0A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5FE179"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599CC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0E0432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7CAA4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9E06D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7A43A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181F857"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22114E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2C6A3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F2A61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BDA23A9"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96CE6D"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67A291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87ADC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B2365C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803F74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B3342C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95A529"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FEDD9D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2CB76B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296CB69"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E064F1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r>
      <w:tr w:rsidR="00E133C6" w:rsidRPr="007D063B" w14:paraId="4F208447"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1D4A55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05D90482"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които живеят в безработни домакинства с деца на издръжка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18E9E5B"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75DEC9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949328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824DD5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94CC44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1119D1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BC3A2D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B4BE4A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98EE75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A4E52F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9D2B84F"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3F586F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D478A8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C99F38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920220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0C6A29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F5937B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CBBBA7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8EDC75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505397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47A2A1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DACFC4F"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05841A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4DAC31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77AF7A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37BF22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504866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9A4C98C"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1D4FF8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35C186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17CE7683"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7F6A5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0C205212"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които живеят в безработни домакинства с деца на издръжка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EF93FAD"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B0CA018"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66A72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327C60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E5F21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84F828"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730EFEB"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B70FEF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F1EF1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6F443D"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B99B90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5CAF8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5C63099"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4328B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E7E954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30BA1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6048F7"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DC1D8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4665A68"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5A6F36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D4123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2CC1F2D"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BD4CE9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06A7D7"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06197E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0E6179"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1BE3AE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E6468B"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22D3D27"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8FE84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r>
      <w:tr w:rsidR="00E133C6" w:rsidRPr="007D063B" w14:paraId="1B5F5A1D"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A53217"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6A7F8687"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които живеят в едночленно домакинство с деца на издръжка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958D1A5"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F6F704C"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133E6C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F2951F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F3A12E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1F3D4C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2378EB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86BF9CC"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15ADAC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588E68E" w14:textId="2BDA0C2A"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2</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001A7A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A88C7B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C62BDD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319498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C25AB6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C2CC06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BDEB65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A060FE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59D0B2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4C0AE4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EEAC9F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052B8F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08F747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A74AA3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8B1D7EB" w14:textId="622E36F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2</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9B51C1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403E118" w14:textId="7DD309D0"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2</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3DF32C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4ABED1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2B2407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7C7D05CB"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10D85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05473D5F"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които живеят в едночленно домакинство с деца на издръжка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190A23DB"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50E40D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ED9EEA9"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9A5CDF2"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8DA7CD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0F3A888"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E95493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0278F37"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8ADF397"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466D40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7E1DBA7"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EB462D8"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40D5C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552C6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99606E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B927878"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247D2B"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E2B1E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2D028F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BF4B3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B64B0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368997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ED4E7DD"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8CFDD8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717DF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FB7B3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B22C0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4F832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671FA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135EAC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r>
      <w:tr w:rsidR="00E133C6" w:rsidRPr="007D063B" w14:paraId="24F0611D"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35448B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337653A5"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Мигранти, участници с произход от друга държава, малцинства (включително маргинализирани общности като ромите)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D73BF80"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C86742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D23EB0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5FBDE4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A8B443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BC5374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7E60F8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FEDC5F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FD0897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E369A4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FC9A65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5FECD3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B12A11F"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4BC17AC"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EE5138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52AE73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9F4828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440E15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812A8F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EE7FEA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520B25F"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267A36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CF5804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1475BB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9975F1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F27D1B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5A63E7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5B6356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A2BFE7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4CE2F1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6BD70DA0"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CA6962"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543991E4"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 xml:space="preserve">Мигранти, участници с произход от друга държава, малцинства </w:t>
            </w:r>
            <w:r w:rsidRPr="007D063B">
              <w:rPr>
                <w:rFonts w:ascii="Times New Roman" w:eastAsia="Times New Roman" w:hAnsi="Times New Roman" w:cs="Times New Roman"/>
                <w:b/>
                <w:bCs/>
                <w:i/>
                <w:iCs/>
                <w:color w:val="000000"/>
                <w:sz w:val="16"/>
                <w:szCs w:val="16"/>
                <w:lang w:eastAsia="bg-BG"/>
              </w:rPr>
              <w:lastRenderedPageBreak/>
              <w:t>(включително маргинализирани общности като ромите)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3F9EC7FF"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6B584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6258E8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9DAA85D"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79DC4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203E66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ABFFF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87D08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C5748B9"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B8DA2D9"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AD16CD"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250AA9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BAE117D"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E1DB0D"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9D584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4FFAA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508DE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607C3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8ACEC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D2C99D7"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316A14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634ED6B"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784DB3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D9BEEB"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27E083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80E5E27"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3EEA2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AA9371B"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8B3B9F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F2D4B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r>
      <w:tr w:rsidR="00E133C6" w:rsidRPr="007D063B" w14:paraId="3B83C693"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32A637"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161F65D3"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с увреждания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D91FAF6"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45588C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06C48B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52DED2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DEF706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5B899C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5EF55B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9B7DD5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DB4261C"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326B42C"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EDAD81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CA00D7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3309F4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B5AA6E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FC0E1E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5A71E6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7472EC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0D9CFA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EFFE0D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9620B5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15939D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70D641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7C4D46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514CF9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A6D278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892452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E72C9B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4B183A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914F94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4AC27E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5FD12BF4"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65C05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5F9048EE"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с увреждания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4ABA50"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DA5F7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28D07E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774570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3B468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E0EE3C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C45C8B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C32434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F4C3EC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B12454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F8393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BB7C1F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39898B7"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0276D9D"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3A4DE4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F107A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BEF45B"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3B12F9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F7B4FE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B44207"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655F7D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B1198C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1F8B9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E3B3CF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9F3F3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548757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7CE8229"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64406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0688C7"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ABA155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r>
      <w:tr w:rsidR="00E133C6" w:rsidRPr="007D063B" w14:paraId="453A5A10"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9013D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10553383"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Други хора в неравностойно положение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FA5E25C"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9E9BEF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750A20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B6520F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1AE7A9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DA120E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97762E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419376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66FCA0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9A562C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8CC358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D2E5AD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65F483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063221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620266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A6DE09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44CAF0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CE4958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8488BE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22AB63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B9D2B6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796FCEF"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67259F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BF1CCA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6458CAC"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532601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89C9E9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B7C804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25164C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794096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30CCFAC2"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9DEBE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476F0F4C"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Други хора в неравностойно положение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0AAABA6B"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2BE4C3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80019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ECB30D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41C85A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40860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62880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08FA9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8327DD"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39D000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91810D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B4A2C2B"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78D4C5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2B6232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06EA97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690DF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494FE9"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C8B8AA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53809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E79CD3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C3A4E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99B1D6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EC38AD9"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B29AE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4ED2AF9"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9963587"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2902FD2"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875278"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273B4DD"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BEE5202"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r>
      <w:tr w:rsidR="00E133C6" w:rsidRPr="007D063B" w14:paraId="40670F90"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2BCAAD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5AF29CB9"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Бездомни или засегнати от изключване от жилищно настаняване</w:t>
            </w:r>
            <w:r w:rsidRPr="007D063B">
              <w:rPr>
                <w:rFonts w:ascii="Times New Roman" w:eastAsia="Times New Roman" w:hAnsi="Times New Roman" w:cs="Times New Roman"/>
                <w:b/>
                <w:bCs/>
                <w:color w:val="000000"/>
                <w:sz w:val="16"/>
                <w:szCs w:val="16"/>
                <w:lang w:eastAsia="bg-BG"/>
              </w:rPr>
              <w:t> </w:t>
            </w:r>
            <w:hyperlink r:id="rId28" w:anchor="ntr14-L_2015038BG.01007201-E0014" w:history="1">
              <w:r w:rsidRPr="007D063B">
                <w:rPr>
                  <w:rFonts w:ascii="Times New Roman" w:eastAsia="Times New Roman" w:hAnsi="Times New Roman" w:cs="Times New Roman"/>
                  <w:color w:val="0000FF"/>
                  <w:sz w:val="16"/>
                  <w:szCs w:val="16"/>
                  <w:u w:val="single"/>
                  <w:lang w:eastAsia="bg-BG"/>
                </w:rPr>
                <w:t> (</w:t>
              </w:r>
              <w:r w:rsidRPr="007D063B">
                <w:rPr>
                  <w:rFonts w:ascii="Times New Roman" w:eastAsia="Times New Roman" w:hAnsi="Times New Roman" w:cs="Times New Roman"/>
                  <w:color w:val="0000FF"/>
                  <w:sz w:val="16"/>
                  <w:szCs w:val="16"/>
                  <w:u w:val="single"/>
                  <w:vertAlign w:val="superscript"/>
                  <w:lang w:eastAsia="bg-BG"/>
                </w:rPr>
                <w:t>14</w:t>
              </w:r>
              <w:r w:rsidRPr="007D063B">
                <w:rPr>
                  <w:rFonts w:ascii="Times New Roman" w:eastAsia="Times New Roman" w:hAnsi="Times New Roman" w:cs="Times New Roman"/>
                  <w:color w:val="0000FF"/>
                  <w:sz w:val="16"/>
                  <w:szCs w:val="16"/>
                  <w:u w:val="single"/>
                  <w:lang w:eastAsia="bg-BG"/>
                </w:rPr>
                <w:t>)</w:t>
              </w:r>
            </w:hyperlink>
            <w:r w:rsidRPr="007D063B">
              <w:rPr>
                <w:rFonts w:ascii="Times New Roman" w:eastAsia="Times New Roman" w:hAnsi="Times New Roman" w:cs="Times New Roman"/>
                <w:b/>
                <w:bCs/>
                <w:i/>
                <w:iCs/>
                <w:color w:val="000000"/>
                <w:sz w:val="16"/>
                <w:szCs w:val="16"/>
                <w:lang w:eastAsia="bg-BG"/>
              </w:rPr>
              <w:t>(ЕСФ)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8733BE7"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7CDC67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C4389E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60DAE5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5E545F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7BB290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22269E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D46AEB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BA8B75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28E1B7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0C040C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A81F40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67A787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36B7C1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D844D8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7A01A3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419F9A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38B87C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AE4F71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CE9369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9DFAF3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550EC8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C8DD47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81C137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823DEA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32264E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9857B0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0CECE7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8D2460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5D53BE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4ED616E4"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CCE592"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6B8FFF35"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Бездомни или засегнати от изключване от жилищно настаняване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0E3E870C"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FCF955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9A0734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747598"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CFFE2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F56891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5D53C0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6C8CEB"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F66EBE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A76247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162A23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FF59A1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24CE67"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0F224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EA1F37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6065D52"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36F00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FA20857"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26D15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A3ABBD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A4620D2"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F65E4B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30424D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04FB6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2E89D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6A2C7B"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3959C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36F5A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D79C108"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2EF3BC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r>
      <w:tr w:rsidR="00E133C6" w:rsidRPr="007D063B" w14:paraId="53583C70"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39067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54BAC532"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Лица, които живеят в селските райони</w:t>
            </w:r>
            <w:hyperlink r:id="rId29" w:anchor="ntr14-L_2015038BG.01007201-E0014" w:history="1">
              <w:r w:rsidRPr="007D063B">
                <w:rPr>
                  <w:rFonts w:ascii="Times New Roman" w:eastAsia="Times New Roman" w:hAnsi="Times New Roman" w:cs="Times New Roman"/>
                  <w:color w:val="0000FF"/>
                  <w:sz w:val="16"/>
                  <w:szCs w:val="16"/>
                  <w:u w:val="single"/>
                  <w:lang w:eastAsia="bg-BG"/>
                </w:rPr>
                <w:t> (</w:t>
              </w:r>
              <w:r w:rsidRPr="007D063B">
                <w:rPr>
                  <w:rFonts w:ascii="Times New Roman" w:eastAsia="Times New Roman" w:hAnsi="Times New Roman" w:cs="Times New Roman"/>
                  <w:color w:val="0000FF"/>
                  <w:sz w:val="16"/>
                  <w:szCs w:val="16"/>
                  <w:u w:val="single"/>
                  <w:vertAlign w:val="superscript"/>
                  <w:lang w:eastAsia="bg-BG"/>
                </w:rPr>
                <w:t>14</w:t>
              </w:r>
              <w:r w:rsidRPr="007D063B">
                <w:rPr>
                  <w:rFonts w:ascii="Times New Roman" w:eastAsia="Times New Roman" w:hAnsi="Times New Roman" w:cs="Times New Roman"/>
                  <w:color w:val="0000FF"/>
                  <w:sz w:val="16"/>
                  <w:szCs w:val="16"/>
                  <w:u w:val="single"/>
                  <w:lang w:eastAsia="bg-BG"/>
                </w:rPr>
                <w:t>)</w:t>
              </w:r>
            </w:hyperlink>
            <w:r w:rsidRPr="007D063B">
              <w:rPr>
                <w:rFonts w:ascii="Times New Roman" w:eastAsia="Times New Roman" w:hAnsi="Times New Roman" w:cs="Times New Roman"/>
                <w:color w:val="000000"/>
                <w:sz w:val="16"/>
                <w:szCs w:val="16"/>
                <w:lang w:eastAsia="bg-BG"/>
              </w:rPr>
              <w:t> </w:t>
            </w:r>
            <w:r w:rsidRPr="007D063B">
              <w:rPr>
                <w:rFonts w:ascii="Times New Roman" w:eastAsia="Times New Roman" w:hAnsi="Times New Roman" w:cs="Times New Roman"/>
                <w:b/>
                <w:bCs/>
                <w:i/>
                <w:iCs/>
                <w:color w:val="000000"/>
                <w:sz w:val="16"/>
                <w:szCs w:val="16"/>
                <w:lang w:eastAsia="bg-BG"/>
              </w:rPr>
              <w:t>(ЕСФ)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C2BFC90"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E84DB4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9DD312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5B2558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58882D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10F9D8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F1A81A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6ECE66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9506F5D" w14:textId="54A2A698" w:rsidR="001A0909" w:rsidRPr="007D063B" w:rsidRDefault="002C55BA"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1</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DCD0A1F" w14:textId="517644DC" w:rsidR="001A0909" w:rsidRPr="007D063B" w:rsidRDefault="002C55BA"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1</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E09F7B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F71FB8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2CA68A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A1D412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F5A673C"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A376DB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B790EAC"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E34CCB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A9ED92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AFDA86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0332FB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6BA82A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C34291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8189A4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2E3E15F" w14:textId="196BDEE8" w:rsidR="001A0909" w:rsidRPr="007D063B" w:rsidRDefault="002C55BA"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2</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B49E748" w14:textId="1B50AFC5"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002C55BA" w:rsidRPr="007D063B">
              <w:rPr>
                <w:rFonts w:ascii="Times New Roman" w:eastAsia="Times New Roman" w:hAnsi="Times New Roman" w:cs="Times New Roman"/>
                <w:color w:val="000000"/>
                <w:sz w:val="24"/>
                <w:szCs w:val="24"/>
                <w:lang w:val="en-US" w:eastAsia="bg-BG"/>
              </w:rPr>
              <w:t>1</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D3A92F8" w14:textId="09E0ED49"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002C55BA" w:rsidRPr="007D063B">
              <w:rPr>
                <w:rFonts w:ascii="Times New Roman" w:eastAsia="Times New Roman" w:hAnsi="Times New Roman" w:cs="Times New Roman"/>
                <w:color w:val="000000"/>
                <w:sz w:val="24"/>
                <w:szCs w:val="24"/>
                <w:lang w:val="en-US" w:eastAsia="bg-BG"/>
              </w:rPr>
              <w:t>1</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B24F77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436024C"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8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702D95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0F09C3DC"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B13751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3480F756"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Лица, които живеят в селските райони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529D6666"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B6E2DD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E0B82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060C3B"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7101FA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09A486B"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9D8FE0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496EFA4"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D746C4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69AEE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F6719ED"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5A5C4F"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29419EB"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6B3105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865D0D"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ACA33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FDAF72"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F40930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B55AC51"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0C0766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8BBC49"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C33F6B"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64DDD6"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6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9F3F38"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493770"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E0935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81274E"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0CDA5E3"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C61EB68"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8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90A4A8"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r>
      <w:tr w:rsidR="001A0909" w:rsidRPr="007D063B" w14:paraId="4B84325C"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4AB8819"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4390CAE6"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Брой проекти, изцяло или частично изпълнявани от социални партньори или НПО</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24C4ACA7"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41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8204701" w14:textId="0A5C030F"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B5846" w:rsidRPr="007D063B">
              <w:rPr>
                <w:rFonts w:ascii="Times New Roman" w:eastAsia="Times New Roman" w:hAnsi="Times New Roman" w:cs="Times New Roman"/>
                <w:color w:val="000000"/>
                <w:sz w:val="24"/>
                <w:szCs w:val="24"/>
                <w:lang w:eastAsia="bg-BG"/>
              </w:rPr>
              <w:t>350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950BE0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996725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BACB01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1</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AEC6FA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B84E2F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404E518"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AD593C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E91F1E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FFA443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0F180A9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tcBorders>
              <w:top w:val="single" w:sz="6" w:space="0" w:color="000000"/>
              <w:left w:val="single" w:sz="6" w:space="0" w:color="000000"/>
              <w:bottom w:val="single" w:sz="6" w:space="0" w:color="000000"/>
              <w:right w:val="single" w:sz="6" w:space="0" w:color="000000"/>
            </w:tcBorders>
            <w:shd w:val="clear" w:color="auto" w:fill="FFFFFF"/>
            <w:hideMark/>
          </w:tcPr>
          <w:p w14:paraId="285BDC9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72A3F2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1</w:t>
            </w:r>
          </w:p>
        </w:tc>
        <w:tc>
          <w:tcPr>
            <w:tcW w:w="403"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AC4D09E" w14:textId="06EE13D2"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B5846" w:rsidRPr="007D063B">
              <w:rPr>
                <w:rFonts w:ascii="Times New Roman" w:eastAsia="Times New Roman" w:hAnsi="Times New Roman" w:cs="Times New Roman"/>
                <w:color w:val="000000"/>
                <w:sz w:val="24"/>
                <w:szCs w:val="24"/>
                <w:lang w:eastAsia="bg-BG"/>
              </w:rPr>
              <w:t>0</w:t>
            </w:r>
          </w:p>
        </w:tc>
      </w:tr>
      <w:tr w:rsidR="001A0909" w:rsidRPr="007D063B" w14:paraId="0B1E099B"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98CE205"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1CC79131"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Брой проекти, посветени на трайното участие и напредъка на жените в заетостта</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2F19C132"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41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A155E1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0C6E09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8A3951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69C6EA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A4DAC7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0DE737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0FFE64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4323A6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5F6C6D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73664D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7CC7844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tcBorders>
              <w:top w:val="single" w:sz="6" w:space="0" w:color="000000"/>
              <w:left w:val="single" w:sz="6" w:space="0" w:color="000000"/>
              <w:bottom w:val="single" w:sz="6" w:space="0" w:color="000000"/>
              <w:right w:val="single" w:sz="6" w:space="0" w:color="000000"/>
            </w:tcBorders>
            <w:shd w:val="clear" w:color="auto" w:fill="FFFFFF"/>
            <w:hideMark/>
          </w:tcPr>
          <w:p w14:paraId="0D2AF23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39AC7AD"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03"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3EB0B52"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r>
      <w:tr w:rsidR="001A0909" w:rsidRPr="007D063B" w14:paraId="402D5D2E"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A63375C"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6B4F72CD"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Брой проекти, насочени към публичните администрации или публичните услуги на национално, регионално или местно равнище</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61F40D05"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41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AA45E0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EB8B50C"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F065A2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1BDB7B4" w14:textId="510CA708" w:rsidR="001A0909" w:rsidRPr="007D063B" w:rsidRDefault="002C55BA"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10</w:t>
            </w:r>
            <w:r w:rsidR="001A0909"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63D41F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717945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EA1B22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C3B798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0B0F15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F27D8F9"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06BB82A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tcBorders>
              <w:top w:val="single" w:sz="6" w:space="0" w:color="000000"/>
              <w:left w:val="single" w:sz="6" w:space="0" w:color="000000"/>
              <w:bottom w:val="single" w:sz="6" w:space="0" w:color="000000"/>
              <w:right w:val="single" w:sz="6" w:space="0" w:color="000000"/>
            </w:tcBorders>
            <w:shd w:val="clear" w:color="auto" w:fill="FFFFFF"/>
            <w:hideMark/>
          </w:tcPr>
          <w:p w14:paraId="629105D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09A88AF" w14:textId="46FEB732" w:rsidR="001A0909" w:rsidRPr="007D063B" w:rsidRDefault="002C55BA"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10</w:t>
            </w:r>
          </w:p>
        </w:tc>
        <w:tc>
          <w:tcPr>
            <w:tcW w:w="403"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37A918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r>
      <w:tr w:rsidR="001A0909" w:rsidRPr="007D063B" w14:paraId="17956EC1" w14:textId="77777777" w:rsidTr="001A0909">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5C7AAA" w14:textId="77777777" w:rsidR="001A0909" w:rsidRPr="007D063B" w:rsidRDefault="001A0909" w:rsidP="001A0909">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21DA9424"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Брой на микро-, малките и средните подкрепени предприятия, (включително кооперативните предприятия и предприятията на социалната икономика)</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5971EE63" w14:textId="77777777" w:rsidR="001A0909" w:rsidRPr="007D063B" w:rsidRDefault="001A0909" w:rsidP="001A0909">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41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2D3267B"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978005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BB20AA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84ED18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2C8F85F"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2ECFD3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8BA5935"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FFD0B4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9A5EE5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DB57A1E"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561A83B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tcBorders>
              <w:top w:val="single" w:sz="6" w:space="0" w:color="000000"/>
              <w:left w:val="single" w:sz="6" w:space="0" w:color="000000"/>
              <w:bottom w:val="single" w:sz="6" w:space="0" w:color="000000"/>
              <w:right w:val="single" w:sz="6" w:space="0" w:color="000000"/>
            </w:tcBorders>
            <w:shd w:val="clear" w:color="auto" w:fill="FFFFFF"/>
            <w:hideMark/>
          </w:tcPr>
          <w:p w14:paraId="523B49B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787A33C"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03"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98DFFA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r>
      <w:tr w:rsidR="001A0909" w:rsidRPr="007D063B" w14:paraId="0E48BFCE" w14:textId="77777777" w:rsidTr="001A0909">
        <w:trPr>
          <w:tblCellSpacing w:w="0" w:type="dxa"/>
        </w:trPr>
        <w:tc>
          <w:tcPr>
            <w:tcW w:w="959"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AC6A7B8" w14:textId="77777777" w:rsidR="001A0909" w:rsidRPr="007D063B" w:rsidRDefault="001A0909" w:rsidP="001A0909">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Общ брой на участниците</w:t>
            </w:r>
            <w:r w:rsidRPr="007D063B">
              <w:rPr>
                <w:rFonts w:ascii="Times New Roman" w:eastAsia="Times New Roman" w:hAnsi="Times New Roman" w:cs="Times New Roman"/>
                <w:b/>
                <w:bCs/>
                <w:color w:val="000000"/>
                <w:sz w:val="16"/>
                <w:szCs w:val="16"/>
                <w:lang w:eastAsia="bg-BG"/>
              </w:rPr>
              <w:t> </w:t>
            </w:r>
            <w:hyperlink r:id="rId30" w:anchor="ntr15-L_2015038BG.01007201-E0015" w:history="1">
              <w:r w:rsidRPr="007D063B">
                <w:rPr>
                  <w:rFonts w:ascii="Times New Roman" w:eastAsia="Times New Roman" w:hAnsi="Times New Roman" w:cs="Times New Roman"/>
                  <w:color w:val="0000FF"/>
                  <w:sz w:val="16"/>
                  <w:szCs w:val="16"/>
                  <w:u w:val="single"/>
                  <w:lang w:eastAsia="bg-BG"/>
                </w:rPr>
                <w:t> (</w:t>
              </w:r>
              <w:r w:rsidRPr="007D063B">
                <w:rPr>
                  <w:rFonts w:ascii="Times New Roman" w:eastAsia="Times New Roman" w:hAnsi="Times New Roman" w:cs="Times New Roman"/>
                  <w:color w:val="0000FF"/>
                  <w:sz w:val="16"/>
                  <w:szCs w:val="16"/>
                  <w:u w:val="single"/>
                  <w:vertAlign w:val="superscript"/>
                  <w:lang w:eastAsia="bg-BG"/>
                </w:rPr>
                <w:t>15</w:t>
              </w:r>
              <w:r w:rsidRPr="007D063B">
                <w:rPr>
                  <w:rFonts w:ascii="Times New Roman" w:eastAsia="Times New Roman" w:hAnsi="Times New Roman" w:cs="Times New Roman"/>
                  <w:color w:val="0000FF"/>
                  <w:sz w:val="16"/>
                  <w:szCs w:val="16"/>
                  <w:u w:val="single"/>
                  <w:lang w:eastAsia="bg-BG"/>
                </w:rPr>
                <w:t>)</w:t>
              </w:r>
            </w:hyperlink>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121D343C" w14:textId="77777777" w:rsidR="001A0909" w:rsidRPr="007D063B" w:rsidRDefault="001A0909" w:rsidP="001A0909">
            <w:pPr>
              <w:spacing w:before="60" w:after="60" w:line="240" w:lineRule="auto"/>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41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56994FA"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E84F09F"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D0FC747"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15C9528" w14:textId="498B0BFC" w:rsidR="001A0909" w:rsidRPr="007D063B" w:rsidRDefault="002C55BA"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20</w:t>
            </w:r>
            <w:r w:rsidR="001A0909"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7D2F95F"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3B58330"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5767B7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D6B527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9471E41"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86095F4"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5C659286"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2" w:type="pct"/>
            <w:tcBorders>
              <w:top w:val="single" w:sz="6" w:space="0" w:color="000000"/>
              <w:left w:val="single" w:sz="6" w:space="0" w:color="000000"/>
              <w:bottom w:val="single" w:sz="6" w:space="0" w:color="000000"/>
              <w:right w:val="single" w:sz="6" w:space="0" w:color="000000"/>
            </w:tcBorders>
            <w:shd w:val="clear" w:color="auto" w:fill="FFFFFF"/>
            <w:hideMark/>
          </w:tcPr>
          <w:p w14:paraId="3FB2F333"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F28C12B" w14:textId="0360578C" w:rsidR="001A0909" w:rsidRPr="007D063B" w:rsidRDefault="002C55BA"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20</w:t>
            </w:r>
          </w:p>
        </w:tc>
        <w:tc>
          <w:tcPr>
            <w:tcW w:w="403"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987800F" w14:textId="77777777" w:rsidR="001A0909" w:rsidRPr="007D063B" w:rsidRDefault="001A0909" w:rsidP="001A090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r>
    </w:tbl>
    <w:p w14:paraId="3B6333CE" w14:textId="331850E2" w:rsidR="001A0909" w:rsidRPr="007D063B" w:rsidRDefault="001A0909" w:rsidP="00450FF1">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bg-BG"/>
        </w:rPr>
      </w:pPr>
    </w:p>
    <w:p w14:paraId="46E3B68F" w14:textId="77777777" w:rsidR="002C55BA" w:rsidRPr="007D063B" w:rsidRDefault="002C55BA" w:rsidP="00450FF1">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bg-BG"/>
        </w:rPr>
      </w:pPr>
    </w:p>
    <w:p w14:paraId="7DC1F202" w14:textId="77777777" w:rsidR="00B54C34" w:rsidRPr="007D063B" w:rsidRDefault="00B54C34" w:rsidP="00B54C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bg-BG"/>
        </w:rPr>
      </w:pPr>
    </w:p>
    <w:p w14:paraId="146E239A" w14:textId="77777777" w:rsidR="00B54C34" w:rsidRPr="007D063B" w:rsidRDefault="00B54C34" w:rsidP="00B54C34">
      <w:pPr>
        <w:rPr>
          <w:rFonts w:ascii="inherit" w:eastAsia="Times New Roman" w:hAnsi="inherit" w:cs="Times New Roman"/>
          <w:i/>
          <w:iCs/>
          <w:color w:val="000000"/>
          <w:sz w:val="24"/>
          <w:szCs w:val="24"/>
          <w:lang w:eastAsia="bg-BG"/>
        </w:rPr>
      </w:pPr>
      <w:r w:rsidRPr="007D063B">
        <w:rPr>
          <w:rFonts w:ascii="inherit" w:eastAsia="Times New Roman" w:hAnsi="inherit" w:cs="Times New Roman"/>
          <w:i/>
          <w:iCs/>
          <w:color w:val="000000"/>
          <w:sz w:val="24"/>
          <w:szCs w:val="24"/>
          <w:lang w:eastAsia="bg-BG"/>
        </w:rPr>
        <w:br w:type="page"/>
      </w:r>
    </w:p>
    <w:p w14:paraId="60587B92" w14:textId="77777777" w:rsidR="00B54C34" w:rsidRPr="007D063B" w:rsidRDefault="00B54C34" w:rsidP="00B43484">
      <w:pPr>
        <w:pStyle w:val="Heading3"/>
        <w:jc w:val="center"/>
        <w:rPr>
          <w:rFonts w:ascii="Times New Roman" w:eastAsia="Times New Roman" w:hAnsi="Times New Roman" w:cs="Times New Roman"/>
          <w:color w:val="000000"/>
          <w:lang w:eastAsia="bg-BG"/>
        </w:rPr>
      </w:pPr>
      <w:bookmarkStart w:id="14" w:name="_Toc481594275"/>
      <w:r w:rsidRPr="007D063B">
        <w:rPr>
          <w:rFonts w:ascii="inherit" w:eastAsia="Times New Roman" w:hAnsi="inherit" w:cs="Times New Roman"/>
          <w:i/>
          <w:iCs/>
          <w:color w:val="000000"/>
          <w:lang w:eastAsia="bg-BG"/>
        </w:rPr>
        <w:lastRenderedPageBreak/>
        <w:t>Таблица 4Б</w:t>
      </w:r>
      <w:bookmarkEnd w:id="14"/>
    </w:p>
    <w:p w14:paraId="3D898BD2" w14:textId="77777777" w:rsidR="00B54C34" w:rsidRPr="007D063B" w:rsidRDefault="00B54C34" w:rsidP="00B54C34">
      <w:pPr>
        <w:shd w:val="clear" w:color="auto" w:fill="FFFFFF"/>
        <w:spacing w:before="120" w:after="120" w:line="240" w:lineRule="auto"/>
        <w:jc w:val="center"/>
        <w:rPr>
          <w:rFonts w:ascii="Times New Roman" w:eastAsia="Times New Roman" w:hAnsi="Times New Roman" w:cs="Times New Roman"/>
          <w:color w:val="000000"/>
          <w:sz w:val="24"/>
          <w:szCs w:val="24"/>
          <w:lang w:eastAsia="bg-BG"/>
        </w:rPr>
      </w:pPr>
      <w:r w:rsidRPr="007D063B">
        <w:rPr>
          <w:rFonts w:ascii="inherit" w:eastAsia="Times New Roman" w:hAnsi="inherit" w:cs="Times New Roman"/>
          <w:b/>
          <w:bCs/>
          <w:color w:val="000000"/>
          <w:sz w:val="24"/>
          <w:szCs w:val="24"/>
          <w:lang w:eastAsia="bg-BG"/>
        </w:rPr>
        <w:t>Общи специфични за програмата показатели за изпълнение за ЕСФ (по приоритетна ос, инвестиционен приоритет, категория регион; прилага се също така и за приоритетните оси за техническа помощ.) За инициативата за младежка заетост, за всяка приоритетна ос или част от нея не се изисква разделение по категория региони</w:t>
      </w:r>
      <w:r w:rsidRPr="007D063B">
        <w:rPr>
          <w:rFonts w:ascii="Times New Roman" w:eastAsia="Times New Roman" w:hAnsi="Times New Roman" w:cs="Times New Roman"/>
          <w:color w:val="000000"/>
          <w:sz w:val="24"/>
          <w:szCs w:val="24"/>
          <w:lang w:eastAsia="bg-BG"/>
        </w:rPr>
        <w:t> </w:t>
      </w:r>
      <w:hyperlink r:id="rId31" w:anchor="ntr16-L_2015038BG.01007201-E0016" w:history="1">
        <w:r w:rsidRPr="007D063B">
          <w:rPr>
            <w:rFonts w:ascii="inherit" w:eastAsia="Times New Roman" w:hAnsi="inherit" w:cs="Times New Roman"/>
            <w:color w:val="0000FF"/>
            <w:sz w:val="24"/>
            <w:szCs w:val="24"/>
            <w:u w:val="single"/>
            <w:lang w:eastAsia="bg-BG"/>
          </w:rPr>
          <w:t> (</w:t>
        </w:r>
        <w:r w:rsidRPr="007D063B">
          <w:rPr>
            <w:rFonts w:ascii="inherit" w:eastAsia="Times New Roman" w:hAnsi="inherit" w:cs="Times New Roman"/>
            <w:color w:val="0000FF"/>
            <w:sz w:val="17"/>
            <w:szCs w:val="17"/>
            <w:u w:val="single"/>
            <w:vertAlign w:val="superscript"/>
            <w:lang w:eastAsia="bg-BG"/>
          </w:rPr>
          <w:t>16</w:t>
        </w:r>
        <w:r w:rsidRPr="007D063B">
          <w:rPr>
            <w:rFonts w:ascii="inherit" w:eastAsia="Times New Roman" w:hAnsi="inherit" w:cs="Times New Roman"/>
            <w:color w:val="0000FF"/>
            <w:sz w:val="24"/>
            <w:szCs w:val="24"/>
            <w:u w:val="single"/>
            <w:lang w:eastAsia="bg-BG"/>
          </w:rPr>
          <w:t>)</w:t>
        </w:r>
      </w:hyperlink>
    </w:p>
    <w:p w14:paraId="60C5D3D3" w14:textId="77777777" w:rsidR="00B54C34" w:rsidRPr="007D063B" w:rsidRDefault="00B54C34" w:rsidP="00B54C34">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Инвестиционен приоритет:</w:t>
      </w:r>
    </w:p>
    <w:p w14:paraId="205C2C02" w14:textId="77777777" w:rsidR="00B54C34" w:rsidRPr="007D063B" w:rsidRDefault="00B54C34" w:rsidP="00B54C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en-US" w:eastAsia="bg-BG"/>
        </w:rPr>
      </w:pPr>
    </w:p>
    <w:tbl>
      <w:tblPr>
        <w:tblW w:w="5014" w:type="pct"/>
        <w:tblCellSpacing w:w="0" w:type="dxa"/>
        <w:tblBorders>
          <w:top w:val="single" w:sz="2" w:space="0" w:color="000000"/>
          <w:left w:val="single" w:sz="2" w:space="0" w:color="000000"/>
          <w:bottom w:val="single" w:sz="2" w:space="0" w:color="000000"/>
          <w:right w:val="single" w:sz="2" w:space="0" w:color="000000"/>
        </w:tblBorders>
        <w:shd w:val="clear" w:color="auto" w:fill="FFFFFF"/>
        <w:tblLayout w:type="fixed"/>
        <w:tblCellMar>
          <w:left w:w="0" w:type="dxa"/>
          <w:right w:w="0" w:type="dxa"/>
        </w:tblCellMar>
        <w:tblLook w:val="04A0" w:firstRow="1" w:lastRow="0" w:firstColumn="1" w:lastColumn="0" w:noHBand="0" w:noVBand="1"/>
      </w:tblPr>
      <w:tblGrid>
        <w:gridCol w:w="562"/>
        <w:gridCol w:w="1848"/>
        <w:gridCol w:w="853"/>
        <w:gridCol w:w="427"/>
        <w:gridCol w:w="725"/>
        <w:gridCol w:w="697"/>
        <w:gridCol w:w="568"/>
        <w:gridCol w:w="301"/>
        <w:gridCol w:w="154"/>
        <w:gridCol w:w="156"/>
        <w:gridCol w:w="331"/>
        <w:gridCol w:w="153"/>
        <w:gridCol w:w="155"/>
        <w:gridCol w:w="183"/>
        <w:gridCol w:w="225"/>
        <w:gridCol w:w="229"/>
        <w:gridCol w:w="183"/>
        <w:gridCol w:w="225"/>
        <w:gridCol w:w="229"/>
        <w:gridCol w:w="183"/>
        <w:gridCol w:w="225"/>
        <w:gridCol w:w="229"/>
        <w:gridCol w:w="183"/>
        <w:gridCol w:w="225"/>
        <w:gridCol w:w="229"/>
        <w:gridCol w:w="183"/>
        <w:gridCol w:w="225"/>
        <w:gridCol w:w="229"/>
        <w:gridCol w:w="183"/>
        <w:gridCol w:w="225"/>
        <w:gridCol w:w="229"/>
        <w:gridCol w:w="183"/>
        <w:gridCol w:w="225"/>
        <w:gridCol w:w="229"/>
        <w:gridCol w:w="183"/>
        <w:gridCol w:w="225"/>
        <w:gridCol w:w="411"/>
        <w:gridCol w:w="448"/>
        <w:gridCol w:w="191"/>
        <w:gridCol w:w="165"/>
        <w:gridCol w:w="30"/>
        <w:gridCol w:w="647"/>
        <w:gridCol w:w="196"/>
        <w:gridCol w:w="168"/>
      </w:tblGrid>
      <w:tr w:rsidR="002036BB" w:rsidRPr="007D063B" w14:paraId="71569F3C" w14:textId="77777777" w:rsidTr="005246CB">
        <w:trPr>
          <w:tblCellSpacing w:w="0" w:type="dxa"/>
        </w:trPr>
        <w:tc>
          <w:tcPr>
            <w:tcW w:w="268" w:type="dxa"/>
            <w:tcBorders>
              <w:top w:val="single" w:sz="2" w:space="0" w:color="000000"/>
              <w:left w:val="single" w:sz="2" w:space="0" w:color="000000"/>
              <w:bottom w:val="single" w:sz="2" w:space="0" w:color="000000"/>
              <w:right w:val="single" w:sz="2" w:space="0" w:color="000000"/>
            </w:tcBorders>
            <w:shd w:val="clear" w:color="auto" w:fill="FFFFFF"/>
            <w:hideMark/>
          </w:tcPr>
          <w:p w14:paraId="0B1100DA" w14:textId="77777777" w:rsidR="00B54C34" w:rsidRPr="007D063B" w:rsidRDefault="00B54C34" w:rsidP="00F92145">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Идентификация</w:t>
            </w:r>
          </w:p>
        </w:tc>
        <w:tc>
          <w:tcPr>
            <w:tcW w:w="885" w:type="dxa"/>
            <w:tcBorders>
              <w:top w:val="single" w:sz="2" w:space="0" w:color="000000"/>
              <w:left w:val="single" w:sz="2" w:space="0" w:color="000000"/>
              <w:bottom w:val="single" w:sz="2" w:space="0" w:color="000000"/>
              <w:right w:val="single" w:sz="2" w:space="0" w:color="000000"/>
            </w:tcBorders>
            <w:shd w:val="clear" w:color="auto" w:fill="FFFFFF"/>
            <w:hideMark/>
          </w:tcPr>
          <w:p w14:paraId="265A608C" w14:textId="77777777" w:rsidR="00B54C34" w:rsidRPr="007D063B" w:rsidRDefault="00B54C34" w:rsidP="00F92145">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Показател (наименование на показателя)</w:t>
            </w:r>
          </w:p>
        </w:tc>
        <w:tc>
          <w:tcPr>
            <w:tcW w:w="408" w:type="dxa"/>
            <w:tcBorders>
              <w:top w:val="single" w:sz="2" w:space="0" w:color="000000"/>
              <w:left w:val="single" w:sz="2" w:space="0" w:color="000000"/>
              <w:bottom w:val="single" w:sz="2" w:space="0" w:color="000000"/>
              <w:right w:val="single" w:sz="2" w:space="0" w:color="000000"/>
            </w:tcBorders>
            <w:shd w:val="clear" w:color="auto" w:fill="FFFFFF"/>
            <w:hideMark/>
          </w:tcPr>
          <w:p w14:paraId="74369AEC" w14:textId="77777777" w:rsidR="00B54C34" w:rsidRPr="007D063B" w:rsidRDefault="00B54C34" w:rsidP="00F92145">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Категория региони (когато е уместно)</w:t>
            </w:r>
          </w:p>
        </w:tc>
        <w:tc>
          <w:tcPr>
            <w:tcW w:w="204" w:type="dxa"/>
            <w:tcBorders>
              <w:top w:val="single" w:sz="2" w:space="0" w:color="000000"/>
              <w:left w:val="single" w:sz="2" w:space="0" w:color="000000"/>
              <w:bottom w:val="single" w:sz="2" w:space="0" w:color="000000"/>
              <w:right w:val="single" w:sz="2" w:space="0" w:color="000000"/>
            </w:tcBorders>
            <w:shd w:val="clear" w:color="auto" w:fill="FFFFFF"/>
            <w:hideMark/>
          </w:tcPr>
          <w:p w14:paraId="6DE2352F" w14:textId="77777777" w:rsidR="00B54C34" w:rsidRPr="007D063B" w:rsidRDefault="00B54C34" w:rsidP="00F92145">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Мерна единица</w:t>
            </w:r>
          </w:p>
        </w:tc>
        <w:tc>
          <w:tcPr>
            <w:tcW w:w="952"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14:paraId="1A1F4A2E" w14:textId="77777777" w:rsidR="00B54C34" w:rsidRPr="007D063B" w:rsidRDefault="00B54C34" w:rsidP="00F92145">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Целева стойност (2023 г.)</w:t>
            </w:r>
          </w:p>
        </w:tc>
        <w:tc>
          <w:tcPr>
            <w:tcW w:w="276"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14:paraId="3D6D9529" w14:textId="77777777" w:rsidR="00B54C34" w:rsidRPr="007D063B" w:rsidRDefault="00B54C34" w:rsidP="00F92145">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2014</w:t>
            </w:r>
          </w:p>
        </w:tc>
        <w:tc>
          <w:tcPr>
            <w:tcW w:w="305"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14:paraId="3000268E" w14:textId="77777777" w:rsidR="00B54C34" w:rsidRPr="007D063B" w:rsidRDefault="00B54C34" w:rsidP="00F92145">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2015</w:t>
            </w:r>
          </w:p>
        </w:tc>
        <w:tc>
          <w:tcPr>
            <w:tcW w:w="305"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14:paraId="10D3D534" w14:textId="77777777" w:rsidR="00B54C34" w:rsidRPr="007D063B" w:rsidRDefault="00B54C34" w:rsidP="00F92145">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2016</w:t>
            </w:r>
          </w:p>
        </w:tc>
        <w:tc>
          <w:tcPr>
            <w:tcW w:w="305"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14:paraId="29A6E789" w14:textId="77777777" w:rsidR="00B54C34" w:rsidRPr="007D063B" w:rsidRDefault="00B54C34" w:rsidP="00F92145">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2017</w:t>
            </w:r>
          </w:p>
        </w:tc>
        <w:tc>
          <w:tcPr>
            <w:tcW w:w="305"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14:paraId="030D3CBA" w14:textId="77777777" w:rsidR="00B54C34" w:rsidRPr="007D063B" w:rsidRDefault="00B54C34" w:rsidP="00F92145">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2018</w:t>
            </w:r>
          </w:p>
        </w:tc>
        <w:tc>
          <w:tcPr>
            <w:tcW w:w="305"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14:paraId="2DDF69C3" w14:textId="77777777" w:rsidR="00B54C34" w:rsidRPr="007D063B" w:rsidRDefault="00B54C34" w:rsidP="00F92145">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2019</w:t>
            </w:r>
          </w:p>
        </w:tc>
        <w:tc>
          <w:tcPr>
            <w:tcW w:w="305"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14:paraId="6EE92E8A" w14:textId="77777777" w:rsidR="00B54C34" w:rsidRPr="007D063B" w:rsidRDefault="00B54C34" w:rsidP="00F92145">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2020</w:t>
            </w:r>
          </w:p>
        </w:tc>
        <w:tc>
          <w:tcPr>
            <w:tcW w:w="305"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14:paraId="02AB46AB" w14:textId="77777777" w:rsidR="00B54C34" w:rsidRPr="007D063B" w:rsidRDefault="00B54C34" w:rsidP="00F92145">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2021</w:t>
            </w:r>
          </w:p>
        </w:tc>
        <w:tc>
          <w:tcPr>
            <w:tcW w:w="305"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14:paraId="7FC2BC33" w14:textId="77777777" w:rsidR="00B54C34" w:rsidRPr="007D063B" w:rsidRDefault="00B54C34" w:rsidP="00F92145">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2022</w:t>
            </w:r>
          </w:p>
        </w:tc>
        <w:tc>
          <w:tcPr>
            <w:tcW w:w="407" w:type="dxa"/>
            <w:gridSpan w:val="4"/>
            <w:tcBorders>
              <w:top w:val="single" w:sz="2" w:space="0" w:color="000000"/>
              <w:left w:val="single" w:sz="2" w:space="0" w:color="000000"/>
              <w:bottom w:val="single" w:sz="2" w:space="0" w:color="000000"/>
              <w:right w:val="single" w:sz="2" w:space="0" w:color="000000"/>
            </w:tcBorders>
            <w:shd w:val="clear" w:color="auto" w:fill="FFFFFF"/>
            <w:hideMark/>
          </w:tcPr>
          <w:p w14:paraId="6CBAE591" w14:textId="77777777" w:rsidR="00B54C34" w:rsidRPr="007D063B" w:rsidRDefault="00B54C34" w:rsidP="00F92145">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2023</w:t>
            </w:r>
          </w:p>
        </w:tc>
        <w:tc>
          <w:tcPr>
            <w:tcW w:w="385"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14:paraId="5905D1F4" w14:textId="77777777" w:rsidR="00B54C34" w:rsidRPr="007D063B" w:rsidRDefault="00B54C34" w:rsidP="00F92145">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Кумулативна стойност (автоматично изчислена)</w:t>
            </w:r>
          </w:p>
        </w:tc>
        <w:tc>
          <w:tcPr>
            <w:tcW w:w="499" w:type="dxa"/>
            <w:gridSpan w:val="4"/>
            <w:tcBorders>
              <w:top w:val="single" w:sz="2" w:space="0" w:color="000000"/>
              <w:left w:val="single" w:sz="2" w:space="0" w:color="000000"/>
              <w:bottom w:val="single" w:sz="2" w:space="0" w:color="000000"/>
              <w:right w:val="single" w:sz="2" w:space="0" w:color="000000"/>
            </w:tcBorders>
            <w:shd w:val="clear" w:color="auto" w:fill="FFFFFF"/>
            <w:hideMark/>
          </w:tcPr>
          <w:p w14:paraId="4F54553B" w14:textId="77777777" w:rsidR="00B54C34" w:rsidRPr="007D063B" w:rsidRDefault="00B54C34" w:rsidP="00F92145">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Съотношение на постиженията</w:t>
            </w:r>
          </w:p>
        </w:tc>
      </w:tr>
      <w:tr w:rsidR="002036BB" w:rsidRPr="007D063B" w14:paraId="32CE88DA" w14:textId="77777777" w:rsidTr="005246CB">
        <w:tblPrEx>
          <w:tblBorders>
            <w:top w:val="single" w:sz="6" w:space="0" w:color="000000"/>
            <w:left w:val="single" w:sz="6" w:space="0" w:color="000000"/>
            <w:bottom w:val="single" w:sz="6" w:space="0" w:color="000000"/>
            <w:right w:val="single" w:sz="6" w:space="0" w:color="000000"/>
          </w:tblBorders>
        </w:tblPrEx>
        <w:trPr>
          <w:tblCellSpacing w:w="0" w:type="dxa"/>
        </w:trPr>
        <w:tc>
          <w:tcPr>
            <w:tcW w:w="560" w:type="dxa"/>
            <w:tcBorders>
              <w:top w:val="single" w:sz="6" w:space="0" w:color="000000"/>
              <w:left w:val="single" w:sz="6" w:space="0" w:color="000000"/>
              <w:bottom w:val="single" w:sz="6" w:space="0" w:color="000000"/>
              <w:right w:val="single" w:sz="6" w:space="0" w:color="000000"/>
            </w:tcBorders>
            <w:shd w:val="clear" w:color="auto" w:fill="FFFFFF"/>
            <w:hideMark/>
          </w:tcPr>
          <w:p w14:paraId="65C96C2B" w14:textId="77777777" w:rsidR="00B54C34" w:rsidRPr="007D063B" w:rsidRDefault="00B54C34" w:rsidP="00F92145">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1844" w:type="dxa"/>
            <w:tcBorders>
              <w:top w:val="single" w:sz="6" w:space="0" w:color="000000"/>
              <w:left w:val="single" w:sz="6" w:space="0" w:color="000000"/>
              <w:bottom w:val="single" w:sz="6" w:space="0" w:color="000000"/>
              <w:right w:val="single" w:sz="6" w:space="0" w:color="000000"/>
            </w:tcBorders>
            <w:shd w:val="clear" w:color="auto" w:fill="FFFFFF"/>
            <w:hideMark/>
          </w:tcPr>
          <w:p w14:paraId="7B47A5CE" w14:textId="77777777" w:rsidR="00B54C34" w:rsidRPr="007D063B" w:rsidRDefault="00B54C34" w:rsidP="00F92145">
            <w:pPr>
              <w:spacing w:before="120" w:after="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hideMark/>
          </w:tcPr>
          <w:p w14:paraId="06B0B72A"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46F8C51"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98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666D2E6" w14:textId="77777777" w:rsidR="00B54C34" w:rsidRPr="007D063B" w:rsidRDefault="00B54C34" w:rsidP="00F92145">
            <w:pPr>
              <w:spacing w:before="120" w:after="0" w:line="240" w:lineRule="auto"/>
              <w:jc w:val="center"/>
              <w:rPr>
                <w:rFonts w:ascii="Times New Roman" w:hAnsi="Times New Roman" w:cs="Times New Roman"/>
                <w:sz w:val="16"/>
                <w:szCs w:val="16"/>
              </w:rPr>
            </w:pPr>
          </w:p>
        </w:tc>
        <w:tc>
          <w:tcPr>
            <w:tcW w:w="6521" w:type="dxa"/>
            <w:gridSpan w:val="30"/>
            <w:tcBorders>
              <w:top w:val="single" w:sz="6" w:space="0" w:color="000000"/>
              <w:left w:val="single" w:sz="6" w:space="0" w:color="000000"/>
              <w:bottom w:val="single" w:sz="6" w:space="0" w:color="000000"/>
              <w:right w:val="single" w:sz="6" w:space="0" w:color="000000"/>
            </w:tcBorders>
            <w:shd w:val="clear" w:color="auto" w:fill="FFFFFF"/>
            <w:hideMark/>
          </w:tcPr>
          <w:p w14:paraId="31B5825E" w14:textId="77777777" w:rsidR="00B54C34" w:rsidRPr="007D063B" w:rsidRDefault="00B54C34" w:rsidP="00F92145">
            <w:pPr>
              <w:spacing w:before="60" w:after="60" w:line="240" w:lineRule="auto"/>
              <w:ind w:right="195"/>
              <w:jc w:val="center"/>
              <w:rPr>
                <w:rFonts w:ascii="Times New Roman" w:hAnsi="Times New Roman" w:cs="Times New Roman"/>
                <w:sz w:val="16"/>
                <w:szCs w:val="16"/>
              </w:rPr>
            </w:pPr>
            <w:r w:rsidRPr="007D063B">
              <w:rPr>
                <w:rFonts w:ascii="Times New Roman" w:hAnsi="Times New Roman" w:cs="Times New Roman"/>
                <w:sz w:val="16"/>
                <w:szCs w:val="16"/>
              </w:rPr>
              <w:t>Годишна стойност</w:t>
            </w:r>
          </w:p>
        </w:tc>
        <w:tc>
          <w:tcPr>
            <w:tcW w:w="803"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B572E90" w14:textId="77777777" w:rsidR="00B54C34" w:rsidRPr="007D063B" w:rsidRDefault="00B54C34" w:rsidP="00F92145">
            <w:pPr>
              <w:spacing w:before="120" w:after="0" w:line="240" w:lineRule="auto"/>
              <w:jc w:val="center"/>
              <w:rPr>
                <w:rFonts w:ascii="Times New Roman" w:hAnsi="Times New Roman" w:cs="Times New Roman"/>
                <w:sz w:val="16"/>
                <w:szCs w:val="16"/>
              </w:rPr>
            </w:pPr>
          </w:p>
        </w:tc>
        <w:tc>
          <w:tcPr>
            <w:tcW w:w="1040"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7AA1F8B1" w14:textId="77777777" w:rsidR="00B54C34" w:rsidRPr="007D063B" w:rsidRDefault="00B54C34" w:rsidP="00F92145">
            <w:pPr>
              <w:spacing w:before="120" w:after="0" w:line="240" w:lineRule="auto"/>
              <w:jc w:val="center"/>
              <w:rPr>
                <w:rFonts w:ascii="Times New Roman" w:hAnsi="Times New Roman" w:cs="Times New Roman"/>
                <w:sz w:val="16"/>
                <w:szCs w:val="16"/>
              </w:rPr>
            </w:pPr>
          </w:p>
        </w:tc>
      </w:tr>
      <w:tr w:rsidR="003B73DC" w:rsidRPr="007D063B" w14:paraId="0D6B32A5" w14:textId="77777777" w:rsidTr="005246CB">
        <w:trPr>
          <w:tblCellSpacing w:w="0" w:type="dxa"/>
        </w:trPr>
        <w:tc>
          <w:tcPr>
            <w:tcW w:w="268" w:type="dxa"/>
            <w:tcBorders>
              <w:top w:val="single" w:sz="2" w:space="0" w:color="000000"/>
              <w:left w:val="single" w:sz="2" w:space="0" w:color="000000"/>
              <w:bottom w:val="single" w:sz="2" w:space="0" w:color="000000"/>
              <w:right w:val="single" w:sz="2" w:space="0" w:color="000000"/>
            </w:tcBorders>
            <w:shd w:val="clear" w:color="auto" w:fill="FFFFFF"/>
          </w:tcPr>
          <w:p w14:paraId="172DFBF7" w14:textId="77777777" w:rsidR="00B54C34" w:rsidRPr="007D063B" w:rsidRDefault="00B54C34" w:rsidP="00F92145">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CO20</w:t>
            </w:r>
          </w:p>
        </w:tc>
        <w:tc>
          <w:tcPr>
            <w:tcW w:w="885" w:type="dxa"/>
            <w:tcBorders>
              <w:top w:val="single" w:sz="2" w:space="0" w:color="000000"/>
              <w:left w:val="single" w:sz="2" w:space="0" w:color="000000"/>
              <w:bottom w:val="single" w:sz="2" w:space="0" w:color="000000"/>
              <w:right w:val="single" w:sz="2" w:space="0" w:color="000000"/>
            </w:tcBorders>
            <w:shd w:val="clear" w:color="auto" w:fill="FFFFFF"/>
          </w:tcPr>
          <w:p w14:paraId="5A27E5C1" w14:textId="77777777" w:rsidR="00B54C34" w:rsidRPr="007D063B" w:rsidRDefault="00B54C34" w:rsidP="00F92145">
            <w:pPr>
              <w:spacing w:before="120" w:after="0" w:line="240" w:lineRule="auto"/>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 проекти, изцяло или частично изпълнени от социални партньори или неправителствен и организации</w:t>
            </w:r>
          </w:p>
        </w:tc>
        <w:tc>
          <w:tcPr>
            <w:tcW w:w="408" w:type="dxa"/>
            <w:tcBorders>
              <w:top w:val="single" w:sz="2" w:space="0" w:color="000000"/>
              <w:left w:val="single" w:sz="2" w:space="0" w:color="000000"/>
              <w:bottom w:val="single" w:sz="2" w:space="0" w:color="000000"/>
              <w:right w:val="single" w:sz="2" w:space="0" w:color="000000"/>
            </w:tcBorders>
            <w:shd w:val="clear" w:color="auto" w:fill="FFFFFF"/>
          </w:tcPr>
          <w:p w14:paraId="47A611B4" w14:textId="77777777" w:rsidR="00B54C34" w:rsidRPr="007D063B" w:rsidRDefault="00B54C34" w:rsidP="00F9214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204" w:type="dxa"/>
            <w:tcBorders>
              <w:top w:val="single" w:sz="2" w:space="0" w:color="000000"/>
              <w:left w:val="single" w:sz="2" w:space="0" w:color="000000"/>
              <w:bottom w:val="single" w:sz="2" w:space="0" w:color="000000"/>
              <w:right w:val="single" w:sz="2" w:space="0" w:color="000000"/>
            </w:tcBorders>
            <w:shd w:val="clear" w:color="auto" w:fill="FFFFFF"/>
          </w:tcPr>
          <w:p w14:paraId="4901F225" w14:textId="77777777" w:rsidR="00B54C34" w:rsidRPr="007D063B" w:rsidRDefault="00B54C34" w:rsidP="00F9214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Брой</w:t>
            </w:r>
          </w:p>
        </w:tc>
        <w:tc>
          <w:tcPr>
            <w:tcW w:w="347" w:type="dxa"/>
            <w:tcBorders>
              <w:top w:val="single" w:sz="2" w:space="0" w:color="000000"/>
              <w:left w:val="single" w:sz="2" w:space="0" w:color="000000"/>
              <w:bottom w:val="single" w:sz="2" w:space="0" w:color="000000"/>
              <w:right w:val="single" w:sz="2" w:space="0" w:color="000000"/>
            </w:tcBorders>
            <w:shd w:val="clear" w:color="auto" w:fill="FFFFFF"/>
          </w:tcPr>
          <w:p w14:paraId="6AB3416B"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350.00</w:t>
            </w:r>
          </w:p>
        </w:tc>
        <w:tc>
          <w:tcPr>
            <w:tcW w:w="333" w:type="dxa"/>
            <w:tcBorders>
              <w:top w:val="single" w:sz="2" w:space="0" w:color="000000"/>
              <w:left w:val="single" w:sz="2" w:space="0" w:color="000000"/>
              <w:bottom w:val="single" w:sz="2" w:space="0" w:color="000000"/>
              <w:right w:val="single" w:sz="2" w:space="0" w:color="000000"/>
            </w:tcBorders>
            <w:shd w:val="clear" w:color="auto" w:fill="FFFFFF"/>
          </w:tcPr>
          <w:p w14:paraId="79E186C0"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71" w:type="dxa"/>
            <w:tcBorders>
              <w:top w:val="single" w:sz="2" w:space="0" w:color="000000"/>
              <w:left w:val="single" w:sz="2" w:space="0" w:color="000000"/>
              <w:bottom w:val="single" w:sz="2" w:space="0" w:color="000000"/>
              <w:right w:val="single" w:sz="2" w:space="0" w:color="000000"/>
            </w:tcBorders>
            <w:shd w:val="clear" w:color="auto" w:fill="FFFFFF"/>
          </w:tcPr>
          <w:p w14:paraId="5BFB6EA2"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43" w:type="dxa"/>
            <w:tcBorders>
              <w:top w:val="single" w:sz="2" w:space="0" w:color="000000"/>
              <w:left w:val="single" w:sz="2" w:space="0" w:color="000000"/>
              <w:bottom w:val="single" w:sz="2" w:space="0" w:color="000000"/>
              <w:right w:val="single" w:sz="2" w:space="0" w:color="000000"/>
            </w:tcBorders>
            <w:shd w:val="clear" w:color="auto" w:fill="FFFFFF"/>
          </w:tcPr>
          <w:p w14:paraId="57D0127E"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73" w:type="dxa"/>
            <w:tcBorders>
              <w:top w:val="single" w:sz="2" w:space="0" w:color="000000"/>
              <w:left w:val="single" w:sz="2" w:space="0" w:color="000000"/>
              <w:bottom w:val="single" w:sz="2" w:space="0" w:color="000000"/>
              <w:right w:val="single" w:sz="2" w:space="0" w:color="000000"/>
            </w:tcBorders>
            <w:shd w:val="clear" w:color="auto" w:fill="FFFFFF"/>
          </w:tcPr>
          <w:p w14:paraId="64625D37"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74" w:type="dxa"/>
            <w:tcBorders>
              <w:top w:val="single" w:sz="2" w:space="0" w:color="000000"/>
              <w:left w:val="single" w:sz="2" w:space="0" w:color="000000"/>
              <w:bottom w:val="single" w:sz="2" w:space="0" w:color="000000"/>
              <w:right w:val="single" w:sz="2" w:space="0" w:color="000000"/>
            </w:tcBorders>
            <w:shd w:val="clear" w:color="auto" w:fill="FFFFFF"/>
          </w:tcPr>
          <w:p w14:paraId="2C9EE0F9"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57" w:type="dxa"/>
            <w:tcBorders>
              <w:top w:val="single" w:sz="2" w:space="0" w:color="000000"/>
              <w:left w:val="single" w:sz="2" w:space="0" w:color="000000"/>
              <w:bottom w:val="single" w:sz="2" w:space="0" w:color="000000"/>
              <w:right w:val="single" w:sz="2" w:space="0" w:color="000000"/>
            </w:tcBorders>
            <w:shd w:val="clear" w:color="auto" w:fill="FFFFFF"/>
          </w:tcPr>
          <w:p w14:paraId="662969B3"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73" w:type="dxa"/>
            <w:tcBorders>
              <w:top w:val="single" w:sz="2" w:space="0" w:color="000000"/>
              <w:left w:val="single" w:sz="2" w:space="0" w:color="000000"/>
              <w:bottom w:val="single" w:sz="2" w:space="0" w:color="000000"/>
              <w:right w:val="single" w:sz="2" w:space="0" w:color="000000"/>
            </w:tcBorders>
            <w:shd w:val="clear" w:color="auto" w:fill="FFFFFF"/>
          </w:tcPr>
          <w:p w14:paraId="5DC8EF89"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74" w:type="dxa"/>
            <w:tcBorders>
              <w:top w:val="single" w:sz="2" w:space="0" w:color="000000"/>
              <w:left w:val="single" w:sz="2" w:space="0" w:color="000000"/>
              <w:bottom w:val="single" w:sz="2" w:space="0" w:color="000000"/>
              <w:right w:val="single" w:sz="2" w:space="0" w:color="000000"/>
            </w:tcBorders>
            <w:shd w:val="clear" w:color="auto" w:fill="FFFFFF"/>
          </w:tcPr>
          <w:p w14:paraId="009A501D"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87" w:type="dxa"/>
            <w:tcBorders>
              <w:top w:val="single" w:sz="2" w:space="0" w:color="000000"/>
              <w:left w:val="single" w:sz="2" w:space="0" w:color="000000"/>
              <w:bottom w:val="single" w:sz="2" w:space="0" w:color="000000"/>
              <w:right w:val="single" w:sz="2" w:space="0" w:color="000000"/>
            </w:tcBorders>
            <w:shd w:val="clear" w:color="auto" w:fill="FFFFFF"/>
          </w:tcPr>
          <w:p w14:paraId="3B0006E2" w14:textId="067CF682" w:rsidR="00B54C34" w:rsidRPr="007D063B" w:rsidRDefault="00450FF1" w:rsidP="00F92145">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108" w:type="dxa"/>
            <w:tcBorders>
              <w:top w:val="single" w:sz="2" w:space="0" w:color="000000"/>
              <w:left w:val="single" w:sz="2" w:space="0" w:color="000000"/>
              <w:bottom w:val="single" w:sz="2" w:space="0" w:color="000000"/>
              <w:right w:val="single" w:sz="2" w:space="0" w:color="000000"/>
            </w:tcBorders>
            <w:shd w:val="clear" w:color="auto" w:fill="FFFFFF"/>
          </w:tcPr>
          <w:p w14:paraId="0B14D53C"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09" w:type="dxa"/>
            <w:tcBorders>
              <w:top w:val="single" w:sz="2" w:space="0" w:color="000000"/>
              <w:left w:val="single" w:sz="2" w:space="0" w:color="000000"/>
              <w:bottom w:val="single" w:sz="2" w:space="0" w:color="000000"/>
              <w:right w:val="single" w:sz="2" w:space="0" w:color="000000"/>
            </w:tcBorders>
            <w:shd w:val="clear" w:color="auto" w:fill="FFFFFF"/>
          </w:tcPr>
          <w:p w14:paraId="39452887"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87" w:type="dxa"/>
            <w:tcBorders>
              <w:top w:val="single" w:sz="2" w:space="0" w:color="000000"/>
              <w:left w:val="single" w:sz="2" w:space="0" w:color="000000"/>
              <w:bottom w:val="single" w:sz="2" w:space="0" w:color="000000"/>
              <w:right w:val="single" w:sz="2" w:space="0" w:color="000000"/>
            </w:tcBorders>
            <w:shd w:val="clear" w:color="auto" w:fill="FFFFFF"/>
          </w:tcPr>
          <w:p w14:paraId="2D3092B1"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08" w:type="dxa"/>
            <w:tcBorders>
              <w:top w:val="single" w:sz="2" w:space="0" w:color="000000"/>
              <w:left w:val="single" w:sz="2" w:space="0" w:color="000000"/>
              <w:bottom w:val="single" w:sz="2" w:space="0" w:color="000000"/>
              <w:right w:val="single" w:sz="2" w:space="0" w:color="000000"/>
            </w:tcBorders>
            <w:shd w:val="clear" w:color="auto" w:fill="FFFFFF"/>
          </w:tcPr>
          <w:p w14:paraId="3B786D5D"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09" w:type="dxa"/>
            <w:tcBorders>
              <w:top w:val="single" w:sz="2" w:space="0" w:color="000000"/>
              <w:left w:val="single" w:sz="2" w:space="0" w:color="000000"/>
              <w:bottom w:val="single" w:sz="2" w:space="0" w:color="000000"/>
              <w:right w:val="single" w:sz="2" w:space="0" w:color="000000"/>
            </w:tcBorders>
            <w:shd w:val="clear" w:color="auto" w:fill="FFFFFF"/>
          </w:tcPr>
          <w:p w14:paraId="16085331"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87" w:type="dxa"/>
            <w:tcBorders>
              <w:top w:val="single" w:sz="2" w:space="0" w:color="000000"/>
              <w:left w:val="single" w:sz="2" w:space="0" w:color="000000"/>
              <w:bottom w:val="single" w:sz="2" w:space="0" w:color="000000"/>
              <w:right w:val="single" w:sz="2" w:space="0" w:color="000000"/>
            </w:tcBorders>
            <w:shd w:val="clear" w:color="auto" w:fill="FFFFFF"/>
          </w:tcPr>
          <w:p w14:paraId="586C4070"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08" w:type="dxa"/>
            <w:tcBorders>
              <w:top w:val="single" w:sz="2" w:space="0" w:color="000000"/>
              <w:left w:val="single" w:sz="2" w:space="0" w:color="000000"/>
              <w:bottom w:val="single" w:sz="2" w:space="0" w:color="000000"/>
              <w:right w:val="single" w:sz="2" w:space="0" w:color="000000"/>
            </w:tcBorders>
            <w:shd w:val="clear" w:color="auto" w:fill="FFFFFF"/>
          </w:tcPr>
          <w:p w14:paraId="4BF0E706"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09" w:type="dxa"/>
            <w:tcBorders>
              <w:top w:val="single" w:sz="2" w:space="0" w:color="000000"/>
              <w:left w:val="single" w:sz="2" w:space="0" w:color="000000"/>
              <w:bottom w:val="single" w:sz="2" w:space="0" w:color="000000"/>
              <w:right w:val="single" w:sz="2" w:space="0" w:color="000000"/>
            </w:tcBorders>
            <w:shd w:val="clear" w:color="auto" w:fill="FFFFFF"/>
          </w:tcPr>
          <w:p w14:paraId="73DB9EF4"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87" w:type="dxa"/>
            <w:tcBorders>
              <w:top w:val="single" w:sz="2" w:space="0" w:color="000000"/>
              <w:left w:val="single" w:sz="2" w:space="0" w:color="000000"/>
              <w:bottom w:val="single" w:sz="2" w:space="0" w:color="000000"/>
              <w:right w:val="single" w:sz="2" w:space="0" w:color="000000"/>
            </w:tcBorders>
            <w:shd w:val="clear" w:color="auto" w:fill="FFFFFF"/>
          </w:tcPr>
          <w:p w14:paraId="4B6DE54F"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08" w:type="dxa"/>
            <w:tcBorders>
              <w:top w:val="single" w:sz="2" w:space="0" w:color="000000"/>
              <w:left w:val="single" w:sz="2" w:space="0" w:color="000000"/>
              <w:bottom w:val="single" w:sz="2" w:space="0" w:color="000000"/>
              <w:right w:val="single" w:sz="2" w:space="0" w:color="000000"/>
            </w:tcBorders>
            <w:shd w:val="clear" w:color="auto" w:fill="FFFFFF"/>
          </w:tcPr>
          <w:p w14:paraId="5202EC7A"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09" w:type="dxa"/>
            <w:tcBorders>
              <w:top w:val="single" w:sz="2" w:space="0" w:color="000000"/>
              <w:left w:val="single" w:sz="2" w:space="0" w:color="000000"/>
              <w:bottom w:val="single" w:sz="2" w:space="0" w:color="000000"/>
              <w:right w:val="single" w:sz="2" w:space="0" w:color="000000"/>
            </w:tcBorders>
            <w:shd w:val="clear" w:color="auto" w:fill="FFFFFF"/>
          </w:tcPr>
          <w:p w14:paraId="5536E9EC"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87" w:type="dxa"/>
            <w:tcBorders>
              <w:top w:val="single" w:sz="2" w:space="0" w:color="000000"/>
              <w:left w:val="single" w:sz="2" w:space="0" w:color="000000"/>
              <w:bottom w:val="single" w:sz="2" w:space="0" w:color="000000"/>
              <w:right w:val="single" w:sz="2" w:space="0" w:color="000000"/>
            </w:tcBorders>
            <w:shd w:val="clear" w:color="auto" w:fill="FFFFFF"/>
          </w:tcPr>
          <w:p w14:paraId="36B8E843"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08" w:type="dxa"/>
            <w:tcBorders>
              <w:top w:val="single" w:sz="2" w:space="0" w:color="000000"/>
              <w:left w:val="single" w:sz="2" w:space="0" w:color="000000"/>
              <w:bottom w:val="single" w:sz="2" w:space="0" w:color="000000"/>
              <w:right w:val="single" w:sz="2" w:space="0" w:color="000000"/>
            </w:tcBorders>
            <w:shd w:val="clear" w:color="auto" w:fill="FFFFFF"/>
          </w:tcPr>
          <w:p w14:paraId="6EB330E6"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09" w:type="dxa"/>
            <w:tcBorders>
              <w:top w:val="single" w:sz="2" w:space="0" w:color="000000"/>
              <w:left w:val="single" w:sz="2" w:space="0" w:color="000000"/>
              <w:bottom w:val="single" w:sz="2" w:space="0" w:color="000000"/>
              <w:right w:val="single" w:sz="2" w:space="0" w:color="000000"/>
            </w:tcBorders>
            <w:shd w:val="clear" w:color="auto" w:fill="FFFFFF"/>
          </w:tcPr>
          <w:p w14:paraId="6B67CA3C"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87" w:type="dxa"/>
            <w:tcBorders>
              <w:top w:val="single" w:sz="2" w:space="0" w:color="000000"/>
              <w:left w:val="single" w:sz="2" w:space="0" w:color="000000"/>
              <w:bottom w:val="single" w:sz="2" w:space="0" w:color="000000"/>
              <w:right w:val="single" w:sz="2" w:space="0" w:color="000000"/>
            </w:tcBorders>
            <w:shd w:val="clear" w:color="auto" w:fill="FFFFFF"/>
          </w:tcPr>
          <w:p w14:paraId="07C6422E"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08" w:type="dxa"/>
            <w:tcBorders>
              <w:top w:val="single" w:sz="2" w:space="0" w:color="000000"/>
              <w:left w:val="single" w:sz="2" w:space="0" w:color="000000"/>
              <w:bottom w:val="single" w:sz="2" w:space="0" w:color="000000"/>
              <w:right w:val="single" w:sz="2" w:space="0" w:color="000000"/>
            </w:tcBorders>
            <w:shd w:val="clear" w:color="auto" w:fill="FFFFFF"/>
          </w:tcPr>
          <w:p w14:paraId="5BE5A538"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09" w:type="dxa"/>
            <w:tcBorders>
              <w:top w:val="single" w:sz="2" w:space="0" w:color="000000"/>
              <w:left w:val="single" w:sz="2" w:space="0" w:color="000000"/>
              <w:bottom w:val="single" w:sz="2" w:space="0" w:color="000000"/>
              <w:right w:val="single" w:sz="2" w:space="0" w:color="000000"/>
            </w:tcBorders>
            <w:shd w:val="clear" w:color="auto" w:fill="FFFFFF"/>
          </w:tcPr>
          <w:p w14:paraId="14002C43"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87" w:type="dxa"/>
            <w:tcBorders>
              <w:top w:val="single" w:sz="2" w:space="0" w:color="000000"/>
              <w:left w:val="single" w:sz="2" w:space="0" w:color="000000"/>
              <w:bottom w:val="single" w:sz="2" w:space="0" w:color="000000"/>
              <w:right w:val="single" w:sz="2" w:space="0" w:color="000000"/>
            </w:tcBorders>
            <w:shd w:val="clear" w:color="auto" w:fill="FFFFFF"/>
          </w:tcPr>
          <w:p w14:paraId="65AED4CA"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08" w:type="dxa"/>
            <w:tcBorders>
              <w:top w:val="single" w:sz="2" w:space="0" w:color="000000"/>
              <w:left w:val="single" w:sz="2" w:space="0" w:color="000000"/>
              <w:bottom w:val="single" w:sz="2" w:space="0" w:color="000000"/>
              <w:right w:val="single" w:sz="2" w:space="0" w:color="000000"/>
            </w:tcBorders>
            <w:shd w:val="clear" w:color="auto" w:fill="FFFFFF"/>
          </w:tcPr>
          <w:p w14:paraId="7F262A09"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09" w:type="dxa"/>
            <w:tcBorders>
              <w:top w:val="single" w:sz="2" w:space="0" w:color="000000"/>
              <w:left w:val="single" w:sz="2" w:space="0" w:color="000000"/>
              <w:bottom w:val="single" w:sz="2" w:space="0" w:color="000000"/>
              <w:right w:val="single" w:sz="2" w:space="0" w:color="000000"/>
            </w:tcBorders>
            <w:shd w:val="clear" w:color="auto" w:fill="FFFFFF"/>
          </w:tcPr>
          <w:p w14:paraId="7627A79B"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87" w:type="dxa"/>
            <w:tcBorders>
              <w:top w:val="single" w:sz="2" w:space="0" w:color="000000"/>
              <w:left w:val="single" w:sz="2" w:space="0" w:color="000000"/>
              <w:bottom w:val="single" w:sz="2" w:space="0" w:color="000000"/>
              <w:right w:val="single" w:sz="2" w:space="0" w:color="000000"/>
            </w:tcBorders>
            <w:shd w:val="clear" w:color="auto" w:fill="FFFFFF"/>
          </w:tcPr>
          <w:p w14:paraId="6A55EDC0"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08" w:type="dxa"/>
            <w:tcBorders>
              <w:top w:val="single" w:sz="2" w:space="0" w:color="000000"/>
              <w:left w:val="single" w:sz="2" w:space="0" w:color="000000"/>
              <w:bottom w:val="single" w:sz="2" w:space="0" w:color="000000"/>
              <w:right w:val="single" w:sz="2" w:space="0" w:color="000000"/>
            </w:tcBorders>
            <w:shd w:val="clear" w:color="auto" w:fill="FFFFFF"/>
          </w:tcPr>
          <w:p w14:paraId="7D8ED61B"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96" w:type="dxa"/>
            <w:tcBorders>
              <w:top w:val="single" w:sz="2" w:space="0" w:color="000000"/>
              <w:left w:val="single" w:sz="2" w:space="0" w:color="000000"/>
              <w:bottom w:val="single" w:sz="2" w:space="0" w:color="000000"/>
              <w:right w:val="single" w:sz="2" w:space="0" w:color="000000"/>
            </w:tcBorders>
            <w:shd w:val="clear" w:color="auto" w:fill="FFFFFF"/>
          </w:tcPr>
          <w:p w14:paraId="6BB8D792"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14" w:type="dxa"/>
            <w:tcBorders>
              <w:top w:val="single" w:sz="2" w:space="0" w:color="000000"/>
              <w:left w:val="single" w:sz="2" w:space="0" w:color="000000"/>
              <w:bottom w:val="single" w:sz="2" w:space="0" w:color="000000"/>
              <w:right w:val="single" w:sz="2" w:space="0" w:color="000000"/>
            </w:tcBorders>
            <w:shd w:val="clear" w:color="auto" w:fill="FFFFFF"/>
          </w:tcPr>
          <w:p w14:paraId="2D32EF5B"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91" w:type="dxa"/>
            <w:tcBorders>
              <w:top w:val="single" w:sz="2" w:space="0" w:color="000000"/>
              <w:left w:val="single" w:sz="2" w:space="0" w:color="000000"/>
              <w:bottom w:val="single" w:sz="2" w:space="0" w:color="000000"/>
              <w:right w:val="single" w:sz="2" w:space="0" w:color="000000"/>
            </w:tcBorders>
            <w:shd w:val="clear" w:color="auto" w:fill="FFFFFF"/>
          </w:tcPr>
          <w:p w14:paraId="16153E84"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93" w:type="dxa"/>
            <w:gridSpan w:val="2"/>
            <w:tcBorders>
              <w:top w:val="single" w:sz="2" w:space="0" w:color="000000"/>
              <w:left w:val="single" w:sz="2" w:space="0" w:color="000000"/>
              <w:bottom w:val="single" w:sz="2" w:space="0" w:color="000000"/>
              <w:right w:val="single" w:sz="2" w:space="0" w:color="000000"/>
            </w:tcBorders>
            <w:shd w:val="clear" w:color="auto" w:fill="FFFFFF"/>
          </w:tcPr>
          <w:p w14:paraId="480C1A3B"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310" w:type="dxa"/>
            <w:tcBorders>
              <w:top w:val="single" w:sz="2" w:space="0" w:color="000000"/>
              <w:left w:val="single" w:sz="2" w:space="0" w:color="000000"/>
              <w:bottom w:val="single" w:sz="2" w:space="0" w:color="000000"/>
              <w:right w:val="single" w:sz="2" w:space="0" w:color="000000"/>
            </w:tcBorders>
            <w:shd w:val="clear" w:color="auto" w:fill="FFFFFF"/>
          </w:tcPr>
          <w:p w14:paraId="13571FD4"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94" w:type="dxa"/>
            <w:tcBorders>
              <w:top w:val="single" w:sz="2" w:space="0" w:color="000000"/>
              <w:left w:val="single" w:sz="2" w:space="0" w:color="000000"/>
              <w:bottom w:val="single" w:sz="2" w:space="0" w:color="000000"/>
              <w:right w:val="single" w:sz="2" w:space="0" w:color="000000"/>
            </w:tcBorders>
            <w:shd w:val="clear" w:color="auto" w:fill="FFFFFF"/>
          </w:tcPr>
          <w:p w14:paraId="106CCC0E"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80" w:type="dxa"/>
            <w:tcBorders>
              <w:top w:val="single" w:sz="2" w:space="0" w:color="000000"/>
              <w:left w:val="single" w:sz="2" w:space="0" w:color="000000"/>
              <w:bottom w:val="single" w:sz="2" w:space="0" w:color="000000"/>
              <w:right w:val="single" w:sz="2" w:space="0" w:color="000000"/>
            </w:tcBorders>
            <w:shd w:val="clear" w:color="auto" w:fill="FFFFFF"/>
          </w:tcPr>
          <w:p w14:paraId="38DCE5DD"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0A660656" w14:textId="77777777" w:rsidTr="005246CB">
        <w:tblPrEx>
          <w:tblBorders>
            <w:top w:val="single" w:sz="6" w:space="0" w:color="000000"/>
            <w:left w:val="single" w:sz="6" w:space="0" w:color="000000"/>
            <w:bottom w:val="single" w:sz="6" w:space="0" w:color="000000"/>
            <w:right w:val="single" w:sz="6" w:space="0" w:color="000000"/>
          </w:tblBorders>
        </w:tblPrEx>
        <w:trPr>
          <w:tblCellSpacing w:w="0" w:type="dxa"/>
        </w:trPr>
        <w:tc>
          <w:tcPr>
            <w:tcW w:w="560" w:type="dxa"/>
            <w:tcBorders>
              <w:top w:val="single" w:sz="6" w:space="0" w:color="000000"/>
              <w:left w:val="single" w:sz="6" w:space="0" w:color="000000"/>
              <w:bottom w:val="single" w:sz="6" w:space="0" w:color="000000"/>
              <w:right w:val="single" w:sz="6" w:space="0" w:color="000000"/>
            </w:tcBorders>
            <w:shd w:val="clear" w:color="auto" w:fill="FFFFFF"/>
          </w:tcPr>
          <w:p w14:paraId="648291DF" w14:textId="77777777" w:rsidR="00B54C34" w:rsidRPr="007D063B" w:rsidRDefault="00B54C34" w:rsidP="00F92145">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O2-1</w:t>
            </w: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14:paraId="0022FF1E" w14:textId="77777777" w:rsidR="00B54C34" w:rsidRPr="007D063B" w:rsidRDefault="00B54C34" w:rsidP="00F92145">
            <w:pPr>
              <w:spacing w:before="120" w:after="0" w:line="240" w:lineRule="auto"/>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Администрации, подкрепени за въвеждане на системи за управление на качеството</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14:paraId="59A1D2FA" w14:textId="77777777" w:rsidR="00B54C34" w:rsidRPr="007D063B" w:rsidRDefault="00B54C34" w:rsidP="00F9214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Pr>
          <w:p w14:paraId="302799B0" w14:textId="77777777" w:rsidR="00B54C34" w:rsidRPr="007D063B" w:rsidRDefault="00B54C34" w:rsidP="00F9214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Брой</w:t>
            </w:r>
          </w:p>
        </w:tc>
        <w:tc>
          <w:tcPr>
            <w:tcW w:w="723" w:type="dxa"/>
            <w:tcBorders>
              <w:top w:val="single" w:sz="6" w:space="0" w:color="000000"/>
              <w:left w:val="single" w:sz="6" w:space="0" w:color="000000"/>
              <w:bottom w:val="single" w:sz="6" w:space="0" w:color="000000"/>
              <w:right w:val="single" w:sz="6" w:space="0" w:color="000000"/>
            </w:tcBorders>
            <w:shd w:val="clear" w:color="auto" w:fill="FFFFFF"/>
          </w:tcPr>
          <w:p w14:paraId="7A3FC721"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144,00</w:t>
            </w:r>
          </w:p>
        </w:tc>
        <w:tc>
          <w:tcPr>
            <w:tcW w:w="695" w:type="dxa"/>
            <w:tcBorders>
              <w:top w:val="single" w:sz="6" w:space="0" w:color="000000"/>
              <w:left w:val="single" w:sz="6" w:space="0" w:color="000000"/>
              <w:bottom w:val="single" w:sz="6" w:space="0" w:color="000000"/>
              <w:right w:val="single" w:sz="6" w:space="0" w:color="000000"/>
            </w:tcBorders>
            <w:shd w:val="clear" w:color="auto" w:fill="FFFFFF"/>
          </w:tcPr>
          <w:p w14:paraId="7BC74727"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566" w:type="dxa"/>
            <w:tcBorders>
              <w:top w:val="single" w:sz="6" w:space="0" w:color="000000"/>
              <w:left w:val="single" w:sz="6" w:space="0" w:color="000000"/>
              <w:bottom w:val="single" w:sz="6" w:space="0" w:color="000000"/>
              <w:right w:val="single" w:sz="6" w:space="0" w:color="000000"/>
            </w:tcBorders>
            <w:shd w:val="clear" w:color="auto" w:fill="FFFFFF"/>
          </w:tcPr>
          <w:p w14:paraId="2701A146"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99" w:type="dxa"/>
            <w:tcBorders>
              <w:top w:val="single" w:sz="6" w:space="0" w:color="000000"/>
              <w:left w:val="single" w:sz="6" w:space="0" w:color="000000"/>
              <w:bottom w:val="single" w:sz="6" w:space="0" w:color="000000"/>
              <w:right w:val="single" w:sz="6" w:space="0" w:color="000000"/>
            </w:tcBorders>
            <w:shd w:val="clear" w:color="auto" w:fill="FFFFFF"/>
          </w:tcPr>
          <w:p w14:paraId="0494C8E2"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5AEB4065"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tcBorders>
              <w:top w:val="single" w:sz="6" w:space="0" w:color="000000"/>
              <w:left w:val="single" w:sz="6" w:space="0" w:color="000000"/>
              <w:bottom w:val="single" w:sz="6" w:space="0" w:color="000000"/>
              <w:right w:val="single" w:sz="6" w:space="0" w:color="000000"/>
            </w:tcBorders>
            <w:shd w:val="clear" w:color="auto" w:fill="FFFFFF"/>
          </w:tcPr>
          <w:p w14:paraId="0E1248AC"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329" w:type="dxa"/>
            <w:tcBorders>
              <w:top w:val="single" w:sz="6" w:space="0" w:color="000000"/>
              <w:left w:val="single" w:sz="6" w:space="0" w:color="000000"/>
              <w:bottom w:val="single" w:sz="6" w:space="0" w:color="000000"/>
              <w:right w:val="single" w:sz="6" w:space="0" w:color="000000"/>
            </w:tcBorders>
            <w:shd w:val="clear" w:color="auto" w:fill="FFFFFF"/>
          </w:tcPr>
          <w:p w14:paraId="6E7AAA20"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72DD7DF1"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tcBorders>
              <w:top w:val="single" w:sz="6" w:space="0" w:color="000000"/>
              <w:left w:val="single" w:sz="6" w:space="0" w:color="000000"/>
              <w:bottom w:val="single" w:sz="6" w:space="0" w:color="000000"/>
              <w:right w:val="single" w:sz="6" w:space="0" w:color="000000"/>
            </w:tcBorders>
            <w:shd w:val="clear" w:color="auto" w:fill="FFFFFF"/>
          </w:tcPr>
          <w:p w14:paraId="36356B2E"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3A5D9B74" w14:textId="03099AB8" w:rsidR="00B54C34" w:rsidRPr="007D063B" w:rsidRDefault="00450FF1" w:rsidP="00F92145">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34217F84"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0425C4A5"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37F5B1AD"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67AE1B7A"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1D610B29"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2EF5F6B1"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2D05B320"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4EB5AFC3"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2B249D37"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36B0047F"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19A95AD9"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110F0117"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07A9830F"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0D1596AB"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1041C4CA"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4627225E"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665E57B3"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4C5748EA"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4B951F82"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32E6AAA6"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562D75C6"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290C141C"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410" w:type="dxa"/>
            <w:tcBorders>
              <w:top w:val="single" w:sz="6" w:space="0" w:color="000000"/>
              <w:left w:val="single" w:sz="6" w:space="0" w:color="000000"/>
              <w:bottom w:val="single" w:sz="6" w:space="0" w:color="000000"/>
              <w:right w:val="single" w:sz="6" w:space="0" w:color="000000"/>
            </w:tcBorders>
            <w:shd w:val="clear" w:color="auto" w:fill="FFFFFF"/>
          </w:tcPr>
          <w:p w14:paraId="4F6C2E38"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447" w:type="dxa"/>
            <w:tcBorders>
              <w:top w:val="single" w:sz="6" w:space="0" w:color="000000"/>
              <w:left w:val="single" w:sz="6" w:space="0" w:color="000000"/>
              <w:bottom w:val="single" w:sz="6" w:space="0" w:color="000000"/>
              <w:right w:val="single" w:sz="6" w:space="0" w:color="000000"/>
            </w:tcBorders>
            <w:shd w:val="clear" w:color="auto" w:fill="FFFFFF"/>
          </w:tcPr>
          <w:p w14:paraId="0435EF17"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191" w:type="dxa"/>
            <w:tcBorders>
              <w:top w:val="single" w:sz="6" w:space="0" w:color="000000"/>
              <w:left w:val="single" w:sz="6" w:space="0" w:color="000000"/>
              <w:bottom w:val="single" w:sz="6" w:space="0" w:color="000000"/>
              <w:right w:val="single" w:sz="6" w:space="0" w:color="000000"/>
            </w:tcBorders>
            <w:shd w:val="clear" w:color="auto" w:fill="FFFFFF"/>
          </w:tcPr>
          <w:p w14:paraId="2422098B"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95" w:type="dxa"/>
            <w:gridSpan w:val="2"/>
            <w:tcBorders>
              <w:top w:val="single" w:sz="6" w:space="0" w:color="000000"/>
              <w:left w:val="single" w:sz="6" w:space="0" w:color="000000"/>
              <w:bottom w:val="single" w:sz="6" w:space="0" w:color="000000"/>
              <w:right w:val="single" w:sz="6" w:space="0" w:color="000000"/>
            </w:tcBorders>
            <w:shd w:val="clear" w:color="auto" w:fill="FFFFFF"/>
          </w:tcPr>
          <w:p w14:paraId="48D4D836"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646" w:type="dxa"/>
            <w:tcBorders>
              <w:top w:val="single" w:sz="6" w:space="0" w:color="000000"/>
              <w:left w:val="single" w:sz="6" w:space="0" w:color="000000"/>
              <w:bottom w:val="single" w:sz="6" w:space="0" w:color="000000"/>
              <w:right w:val="single" w:sz="6" w:space="0" w:color="000000"/>
            </w:tcBorders>
            <w:shd w:val="clear" w:color="auto" w:fill="FFFFFF"/>
          </w:tcPr>
          <w:p w14:paraId="28776ABB"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196" w:type="dxa"/>
            <w:tcBorders>
              <w:top w:val="single" w:sz="6" w:space="0" w:color="000000"/>
              <w:left w:val="single" w:sz="6" w:space="0" w:color="000000"/>
              <w:bottom w:val="single" w:sz="6" w:space="0" w:color="000000"/>
              <w:right w:val="single" w:sz="6" w:space="0" w:color="000000"/>
            </w:tcBorders>
            <w:shd w:val="clear" w:color="auto" w:fill="FFFFFF"/>
          </w:tcPr>
          <w:p w14:paraId="08465CFB"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68" w:type="dxa"/>
            <w:tcBorders>
              <w:top w:val="single" w:sz="6" w:space="0" w:color="000000"/>
              <w:left w:val="single" w:sz="6" w:space="0" w:color="000000"/>
              <w:bottom w:val="single" w:sz="6" w:space="0" w:color="000000"/>
              <w:right w:val="single" w:sz="6" w:space="0" w:color="000000"/>
            </w:tcBorders>
            <w:shd w:val="clear" w:color="auto" w:fill="FFFFFF"/>
          </w:tcPr>
          <w:p w14:paraId="0E69C2E2"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63B3FB6C" w14:textId="77777777" w:rsidTr="005246CB">
        <w:tblPrEx>
          <w:tblBorders>
            <w:top w:val="single" w:sz="6" w:space="0" w:color="000000"/>
            <w:left w:val="single" w:sz="6" w:space="0" w:color="000000"/>
            <w:bottom w:val="single" w:sz="6" w:space="0" w:color="000000"/>
            <w:right w:val="single" w:sz="6" w:space="0" w:color="000000"/>
          </w:tblBorders>
        </w:tblPrEx>
        <w:trPr>
          <w:tblCellSpacing w:w="0" w:type="dxa"/>
        </w:trPr>
        <w:tc>
          <w:tcPr>
            <w:tcW w:w="560" w:type="dxa"/>
            <w:tcBorders>
              <w:top w:val="single" w:sz="6" w:space="0" w:color="000000"/>
              <w:left w:val="single" w:sz="6" w:space="0" w:color="000000"/>
              <w:bottom w:val="single" w:sz="6" w:space="0" w:color="000000"/>
              <w:right w:val="single" w:sz="6" w:space="0" w:color="000000"/>
            </w:tcBorders>
            <w:shd w:val="clear" w:color="auto" w:fill="FFFFFF"/>
          </w:tcPr>
          <w:p w14:paraId="070DC77E" w14:textId="77777777" w:rsidR="00B54C34" w:rsidRPr="007D063B" w:rsidRDefault="00B54C34" w:rsidP="00F92145">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O2-2</w:t>
            </w: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14:paraId="36AAF3BB" w14:textId="77777777" w:rsidR="00B54C34" w:rsidRPr="007D063B" w:rsidRDefault="00B54C34" w:rsidP="00F92145">
            <w:pPr>
              <w:spacing w:before="120" w:after="0" w:line="240" w:lineRule="auto"/>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 извършени функционални прегледи по сектори/политик и</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14:paraId="5755274C" w14:textId="77777777" w:rsidR="00B54C34" w:rsidRPr="007D063B" w:rsidRDefault="00B54C34" w:rsidP="00F9214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Pr>
          <w:p w14:paraId="78D16AB1" w14:textId="77777777" w:rsidR="00B54C34" w:rsidRPr="007D063B" w:rsidRDefault="00B54C34" w:rsidP="00F9214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Брой</w:t>
            </w:r>
          </w:p>
        </w:tc>
        <w:tc>
          <w:tcPr>
            <w:tcW w:w="723" w:type="dxa"/>
            <w:tcBorders>
              <w:top w:val="single" w:sz="6" w:space="0" w:color="000000"/>
              <w:left w:val="single" w:sz="6" w:space="0" w:color="000000"/>
              <w:bottom w:val="single" w:sz="6" w:space="0" w:color="000000"/>
              <w:right w:val="single" w:sz="6" w:space="0" w:color="000000"/>
            </w:tcBorders>
            <w:shd w:val="clear" w:color="auto" w:fill="FFFFFF"/>
          </w:tcPr>
          <w:p w14:paraId="14F71193"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10,00</w:t>
            </w:r>
          </w:p>
        </w:tc>
        <w:tc>
          <w:tcPr>
            <w:tcW w:w="695" w:type="dxa"/>
            <w:tcBorders>
              <w:top w:val="single" w:sz="6" w:space="0" w:color="000000"/>
              <w:left w:val="single" w:sz="6" w:space="0" w:color="000000"/>
              <w:bottom w:val="single" w:sz="6" w:space="0" w:color="000000"/>
              <w:right w:val="single" w:sz="6" w:space="0" w:color="000000"/>
            </w:tcBorders>
            <w:shd w:val="clear" w:color="auto" w:fill="FFFFFF"/>
          </w:tcPr>
          <w:p w14:paraId="6569DEE2"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566" w:type="dxa"/>
            <w:tcBorders>
              <w:top w:val="single" w:sz="6" w:space="0" w:color="000000"/>
              <w:left w:val="single" w:sz="6" w:space="0" w:color="000000"/>
              <w:bottom w:val="single" w:sz="6" w:space="0" w:color="000000"/>
              <w:right w:val="single" w:sz="6" w:space="0" w:color="000000"/>
            </w:tcBorders>
            <w:shd w:val="clear" w:color="auto" w:fill="FFFFFF"/>
          </w:tcPr>
          <w:p w14:paraId="299883EE"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99" w:type="dxa"/>
            <w:tcBorders>
              <w:top w:val="single" w:sz="6" w:space="0" w:color="000000"/>
              <w:left w:val="single" w:sz="6" w:space="0" w:color="000000"/>
              <w:bottom w:val="single" w:sz="6" w:space="0" w:color="000000"/>
              <w:right w:val="single" w:sz="6" w:space="0" w:color="000000"/>
            </w:tcBorders>
            <w:shd w:val="clear" w:color="auto" w:fill="FFFFFF"/>
          </w:tcPr>
          <w:p w14:paraId="5B0A16A7"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2D13F2AA"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tcBorders>
              <w:top w:val="single" w:sz="6" w:space="0" w:color="000000"/>
              <w:left w:val="single" w:sz="6" w:space="0" w:color="000000"/>
              <w:bottom w:val="single" w:sz="6" w:space="0" w:color="000000"/>
              <w:right w:val="single" w:sz="6" w:space="0" w:color="000000"/>
            </w:tcBorders>
            <w:shd w:val="clear" w:color="auto" w:fill="FFFFFF"/>
          </w:tcPr>
          <w:p w14:paraId="7151301B"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329" w:type="dxa"/>
            <w:tcBorders>
              <w:top w:val="single" w:sz="6" w:space="0" w:color="000000"/>
              <w:left w:val="single" w:sz="6" w:space="0" w:color="000000"/>
              <w:bottom w:val="single" w:sz="6" w:space="0" w:color="000000"/>
              <w:right w:val="single" w:sz="6" w:space="0" w:color="000000"/>
            </w:tcBorders>
            <w:shd w:val="clear" w:color="auto" w:fill="FFFFFF"/>
          </w:tcPr>
          <w:p w14:paraId="52AF7F88"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31BC6AD6"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tcBorders>
              <w:top w:val="single" w:sz="6" w:space="0" w:color="000000"/>
              <w:left w:val="single" w:sz="6" w:space="0" w:color="000000"/>
              <w:bottom w:val="single" w:sz="6" w:space="0" w:color="000000"/>
              <w:right w:val="single" w:sz="6" w:space="0" w:color="000000"/>
            </w:tcBorders>
            <w:shd w:val="clear" w:color="auto" w:fill="FFFFFF"/>
          </w:tcPr>
          <w:p w14:paraId="245B52D5"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5E858CF8" w14:textId="22812EE1" w:rsidR="00B54C34" w:rsidRPr="007D063B" w:rsidRDefault="00450FF1" w:rsidP="00F92145">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447DECE5"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2DF5EF20"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4EE3619C"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0424865A"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0842D4A9"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06E50016"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1A40F14F"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487628B5"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78048CC1"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6198C29F"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3C6F2700"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0F3811A8"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750A07A9"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1CD4CFFD"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2B3BDE79"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32D29F53"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5537050C"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3AC98BA8"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60FF6DE4"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4227B711"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08A6EEF5"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0729D013"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410" w:type="dxa"/>
            <w:tcBorders>
              <w:top w:val="single" w:sz="6" w:space="0" w:color="000000"/>
              <w:left w:val="single" w:sz="6" w:space="0" w:color="000000"/>
              <w:bottom w:val="single" w:sz="6" w:space="0" w:color="000000"/>
              <w:right w:val="single" w:sz="6" w:space="0" w:color="000000"/>
            </w:tcBorders>
            <w:shd w:val="clear" w:color="auto" w:fill="FFFFFF"/>
          </w:tcPr>
          <w:p w14:paraId="6A201CAD"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447" w:type="dxa"/>
            <w:tcBorders>
              <w:top w:val="single" w:sz="6" w:space="0" w:color="000000"/>
              <w:left w:val="single" w:sz="6" w:space="0" w:color="000000"/>
              <w:bottom w:val="single" w:sz="6" w:space="0" w:color="000000"/>
              <w:right w:val="single" w:sz="6" w:space="0" w:color="000000"/>
            </w:tcBorders>
            <w:shd w:val="clear" w:color="auto" w:fill="FFFFFF"/>
          </w:tcPr>
          <w:p w14:paraId="6CF90664"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191" w:type="dxa"/>
            <w:tcBorders>
              <w:top w:val="single" w:sz="6" w:space="0" w:color="000000"/>
              <w:left w:val="single" w:sz="6" w:space="0" w:color="000000"/>
              <w:bottom w:val="single" w:sz="6" w:space="0" w:color="000000"/>
              <w:right w:val="single" w:sz="6" w:space="0" w:color="000000"/>
            </w:tcBorders>
            <w:shd w:val="clear" w:color="auto" w:fill="FFFFFF"/>
          </w:tcPr>
          <w:p w14:paraId="28771999"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95" w:type="dxa"/>
            <w:gridSpan w:val="2"/>
            <w:tcBorders>
              <w:top w:val="single" w:sz="6" w:space="0" w:color="000000"/>
              <w:left w:val="single" w:sz="6" w:space="0" w:color="000000"/>
              <w:bottom w:val="single" w:sz="6" w:space="0" w:color="000000"/>
              <w:right w:val="single" w:sz="6" w:space="0" w:color="000000"/>
            </w:tcBorders>
            <w:shd w:val="clear" w:color="auto" w:fill="FFFFFF"/>
          </w:tcPr>
          <w:p w14:paraId="7C1DD261"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646" w:type="dxa"/>
            <w:tcBorders>
              <w:top w:val="single" w:sz="6" w:space="0" w:color="000000"/>
              <w:left w:val="single" w:sz="6" w:space="0" w:color="000000"/>
              <w:bottom w:val="single" w:sz="6" w:space="0" w:color="000000"/>
              <w:right w:val="single" w:sz="6" w:space="0" w:color="000000"/>
            </w:tcBorders>
            <w:shd w:val="clear" w:color="auto" w:fill="FFFFFF"/>
          </w:tcPr>
          <w:p w14:paraId="1F1CBE3D"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196" w:type="dxa"/>
            <w:tcBorders>
              <w:top w:val="single" w:sz="6" w:space="0" w:color="000000"/>
              <w:left w:val="single" w:sz="6" w:space="0" w:color="000000"/>
              <w:bottom w:val="single" w:sz="6" w:space="0" w:color="000000"/>
              <w:right w:val="single" w:sz="6" w:space="0" w:color="000000"/>
            </w:tcBorders>
            <w:shd w:val="clear" w:color="auto" w:fill="FFFFFF"/>
          </w:tcPr>
          <w:p w14:paraId="2CBAEC53"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68" w:type="dxa"/>
            <w:tcBorders>
              <w:top w:val="single" w:sz="6" w:space="0" w:color="000000"/>
              <w:left w:val="single" w:sz="6" w:space="0" w:color="000000"/>
              <w:bottom w:val="single" w:sz="6" w:space="0" w:color="000000"/>
              <w:right w:val="single" w:sz="6" w:space="0" w:color="000000"/>
            </w:tcBorders>
            <w:shd w:val="clear" w:color="auto" w:fill="FFFFFF"/>
          </w:tcPr>
          <w:p w14:paraId="1A08EE8B"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422CEBD7" w14:textId="77777777" w:rsidTr="005246CB">
        <w:tblPrEx>
          <w:tblBorders>
            <w:top w:val="single" w:sz="6" w:space="0" w:color="000000"/>
            <w:left w:val="single" w:sz="6" w:space="0" w:color="000000"/>
            <w:bottom w:val="single" w:sz="6" w:space="0" w:color="000000"/>
            <w:right w:val="single" w:sz="6" w:space="0" w:color="000000"/>
          </w:tblBorders>
        </w:tblPrEx>
        <w:trPr>
          <w:tblCellSpacing w:w="0" w:type="dxa"/>
        </w:trPr>
        <w:tc>
          <w:tcPr>
            <w:tcW w:w="560" w:type="dxa"/>
            <w:tcBorders>
              <w:top w:val="single" w:sz="6" w:space="0" w:color="000000"/>
              <w:left w:val="single" w:sz="6" w:space="0" w:color="000000"/>
              <w:bottom w:val="single" w:sz="6" w:space="0" w:color="000000"/>
              <w:right w:val="single" w:sz="6" w:space="0" w:color="000000"/>
            </w:tcBorders>
            <w:shd w:val="clear" w:color="auto" w:fill="FFFFFF"/>
          </w:tcPr>
          <w:p w14:paraId="0AC14F88" w14:textId="77777777" w:rsidR="00B54C34" w:rsidRPr="007D063B" w:rsidRDefault="00B54C34" w:rsidP="00F92145">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O2-3</w:t>
            </w: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14:paraId="3514BA19" w14:textId="77777777" w:rsidR="00B54C34" w:rsidRPr="007D063B" w:rsidRDefault="00B54C34" w:rsidP="00F92145">
            <w:pPr>
              <w:spacing w:before="120" w:after="0" w:line="240" w:lineRule="auto"/>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Партньорски проекти за разработване и/ или реализация на ключови политики и законодателство</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14:paraId="77341291" w14:textId="77777777" w:rsidR="00B54C34" w:rsidRPr="007D063B" w:rsidRDefault="00B54C34" w:rsidP="00F9214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Pr>
          <w:p w14:paraId="23B93B70" w14:textId="77777777" w:rsidR="00B54C34" w:rsidRPr="007D063B" w:rsidRDefault="00B54C34" w:rsidP="00F9214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Брой</w:t>
            </w:r>
          </w:p>
        </w:tc>
        <w:tc>
          <w:tcPr>
            <w:tcW w:w="723" w:type="dxa"/>
            <w:tcBorders>
              <w:top w:val="single" w:sz="6" w:space="0" w:color="000000"/>
              <w:left w:val="single" w:sz="6" w:space="0" w:color="000000"/>
              <w:bottom w:val="single" w:sz="6" w:space="0" w:color="000000"/>
              <w:right w:val="single" w:sz="6" w:space="0" w:color="000000"/>
            </w:tcBorders>
            <w:shd w:val="clear" w:color="auto" w:fill="FFFFFF"/>
          </w:tcPr>
          <w:p w14:paraId="142A0DC8"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34,00</w:t>
            </w:r>
          </w:p>
        </w:tc>
        <w:tc>
          <w:tcPr>
            <w:tcW w:w="695" w:type="dxa"/>
            <w:tcBorders>
              <w:top w:val="single" w:sz="6" w:space="0" w:color="000000"/>
              <w:left w:val="single" w:sz="6" w:space="0" w:color="000000"/>
              <w:bottom w:val="single" w:sz="6" w:space="0" w:color="000000"/>
              <w:right w:val="single" w:sz="6" w:space="0" w:color="000000"/>
            </w:tcBorders>
            <w:shd w:val="clear" w:color="auto" w:fill="FFFFFF"/>
          </w:tcPr>
          <w:p w14:paraId="2C5F802F"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566" w:type="dxa"/>
            <w:tcBorders>
              <w:top w:val="single" w:sz="6" w:space="0" w:color="000000"/>
              <w:left w:val="single" w:sz="6" w:space="0" w:color="000000"/>
              <w:bottom w:val="single" w:sz="6" w:space="0" w:color="000000"/>
              <w:right w:val="single" w:sz="6" w:space="0" w:color="000000"/>
            </w:tcBorders>
            <w:shd w:val="clear" w:color="auto" w:fill="FFFFFF"/>
          </w:tcPr>
          <w:p w14:paraId="66C54C56"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99" w:type="dxa"/>
            <w:tcBorders>
              <w:top w:val="single" w:sz="6" w:space="0" w:color="000000"/>
              <w:left w:val="single" w:sz="6" w:space="0" w:color="000000"/>
              <w:bottom w:val="single" w:sz="6" w:space="0" w:color="000000"/>
              <w:right w:val="single" w:sz="6" w:space="0" w:color="000000"/>
            </w:tcBorders>
            <w:shd w:val="clear" w:color="auto" w:fill="FFFFFF"/>
          </w:tcPr>
          <w:p w14:paraId="3A0E6119"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54AFDE76"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tcBorders>
              <w:top w:val="single" w:sz="6" w:space="0" w:color="000000"/>
              <w:left w:val="single" w:sz="6" w:space="0" w:color="000000"/>
              <w:bottom w:val="single" w:sz="6" w:space="0" w:color="000000"/>
              <w:right w:val="single" w:sz="6" w:space="0" w:color="000000"/>
            </w:tcBorders>
            <w:shd w:val="clear" w:color="auto" w:fill="FFFFFF"/>
          </w:tcPr>
          <w:p w14:paraId="79F641A9"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329" w:type="dxa"/>
            <w:tcBorders>
              <w:top w:val="single" w:sz="6" w:space="0" w:color="000000"/>
              <w:left w:val="single" w:sz="6" w:space="0" w:color="000000"/>
              <w:bottom w:val="single" w:sz="6" w:space="0" w:color="000000"/>
              <w:right w:val="single" w:sz="6" w:space="0" w:color="000000"/>
            </w:tcBorders>
            <w:shd w:val="clear" w:color="auto" w:fill="FFFFFF"/>
          </w:tcPr>
          <w:p w14:paraId="7741E6B4"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363C8067"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tcBorders>
              <w:top w:val="single" w:sz="6" w:space="0" w:color="000000"/>
              <w:left w:val="single" w:sz="6" w:space="0" w:color="000000"/>
              <w:bottom w:val="single" w:sz="6" w:space="0" w:color="000000"/>
              <w:right w:val="single" w:sz="6" w:space="0" w:color="000000"/>
            </w:tcBorders>
            <w:shd w:val="clear" w:color="auto" w:fill="FFFFFF"/>
          </w:tcPr>
          <w:p w14:paraId="4A16B061"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63796595" w14:textId="7BAF8E17" w:rsidR="00B54C34" w:rsidRPr="007D063B" w:rsidRDefault="004357DD" w:rsidP="00F92145">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433AF7FE"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4848B692"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2890DD13"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587DFA2B"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73F31C69"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5095CB59"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1DA7020E"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2B069C11"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379E0EDE"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45AD3A8E"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21AC469C"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691D8D29"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2DBD4A78"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51DE98A3"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63928426"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06E484F8"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07CDC56F"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7C1BF4A9"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5785E038"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45F7A2AE"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4828BAFD"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5D9A4437"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410" w:type="dxa"/>
            <w:tcBorders>
              <w:top w:val="single" w:sz="6" w:space="0" w:color="000000"/>
              <w:left w:val="single" w:sz="6" w:space="0" w:color="000000"/>
              <w:bottom w:val="single" w:sz="6" w:space="0" w:color="000000"/>
              <w:right w:val="single" w:sz="6" w:space="0" w:color="000000"/>
            </w:tcBorders>
            <w:shd w:val="clear" w:color="auto" w:fill="FFFFFF"/>
          </w:tcPr>
          <w:p w14:paraId="0237D6B0"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447" w:type="dxa"/>
            <w:tcBorders>
              <w:top w:val="single" w:sz="6" w:space="0" w:color="000000"/>
              <w:left w:val="single" w:sz="6" w:space="0" w:color="000000"/>
              <w:bottom w:val="single" w:sz="6" w:space="0" w:color="000000"/>
              <w:right w:val="single" w:sz="6" w:space="0" w:color="000000"/>
            </w:tcBorders>
            <w:shd w:val="clear" w:color="auto" w:fill="FFFFFF"/>
          </w:tcPr>
          <w:p w14:paraId="3333D636"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191" w:type="dxa"/>
            <w:tcBorders>
              <w:top w:val="single" w:sz="6" w:space="0" w:color="000000"/>
              <w:left w:val="single" w:sz="6" w:space="0" w:color="000000"/>
              <w:bottom w:val="single" w:sz="6" w:space="0" w:color="000000"/>
              <w:right w:val="single" w:sz="6" w:space="0" w:color="000000"/>
            </w:tcBorders>
            <w:shd w:val="clear" w:color="auto" w:fill="FFFFFF"/>
          </w:tcPr>
          <w:p w14:paraId="66AD98E7"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95" w:type="dxa"/>
            <w:gridSpan w:val="2"/>
            <w:tcBorders>
              <w:top w:val="single" w:sz="6" w:space="0" w:color="000000"/>
              <w:left w:val="single" w:sz="6" w:space="0" w:color="000000"/>
              <w:bottom w:val="single" w:sz="6" w:space="0" w:color="000000"/>
              <w:right w:val="single" w:sz="6" w:space="0" w:color="000000"/>
            </w:tcBorders>
            <w:shd w:val="clear" w:color="auto" w:fill="FFFFFF"/>
          </w:tcPr>
          <w:p w14:paraId="2CCFCB1B"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646" w:type="dxa"/>
            <w:tcBorders>
              <w:top w:val="single" w:sz="6" w:space="0" w:color="000000"/>
              <w:left w:val="single" w:sz="6" w:space="0" w:color="000000"/>
              <w:bottom w:val="single" w:sz="6" w:space="0" w:color="000000"/>
              <w:right w:val="single" w:sz="6" w:space="0" w:color="000000"/>
            </w:tcBorders>
            <w:shd w:val="clear" w:color="auto" w:fill="FFFFFF"/>
          </w:tcPr>
          <w:p w14:paraId="3AAFA7F2"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196" w:type="dxa"/>
            <w:tcBorders>
              <w:top w:val="single" w:sz="6" w:space="0" w:color="000000"/>
              <w:left w:val="single" w:sz="6" w:space="0" w:color="000000"/>
              <w:bottom w:val="single" w:sz="6" w:space="0" w:color="000000"/>
              <w:right w:val="single" w:sz="6" w:space="0" w:color="000000"/>
            </w:tcBorders>
            <w:shd w:val="clear" w:color="auto" w:fill="FFFFFF"/>
          </w:tcPr>
          <w:p w14:paraId="7FCAC048"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68" w:type="dxa"/>
            <w:tcBorders>
              <w:top w:val="single" w:sz="6" w:space="0" w:color="000000"/>
              <w:left w:val="single" w:sz="6" w:space="0" w:color="000000"/>
              <w:bottom w:val="single" w:sz="6" w:space="0" w:color="000000"/>
              <w:right w:val="single" w:sz="6" w:space="0" w:color="000000"/>
            </w:tcBorders>
            <w:shd w:val="clear" w:color="auto" w:fill="FFFFFF"/>
          </w:tcPr>
          <w:p w14:paraId="203F9467"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3D047788" w14:textId="77777777" w:rsidTr="005246CB">
        <w:tblPrEx>
          <w:tblBorders>
            <w:top w:val="single" w:sz="6" w:space="0" w:color="000000"/>
            <w:left w:val="single" w:sz="6" w:space="0" w:color="000000"/>
            <w:bottom w:val="single" w:sz="6" w:space="0" w:color="000000"/>
            <w:right w:val="single" w:sz="6" w:space="0" w:color="000000"/>
          </w:tblBorders>
        </w:tblPrEx>
        <w:trPr>
          <w:tblCellSpacing w:w="0" w:type="dxa"/>
        </w:trPr>
        <w:tc>
          <w:tcPr>
            <w:tcW w:w="560" w:type="dxa"/>
            <w:tcBorders>
              <w:top w:val="single" w:sz="6" w:space="0" w:color="000000"/>
              <w:left w:val="single" w:sz="6" w:space="0" w:color="000000"/>
              <w:bottom w:val="single" w:sz="6" w:space="0" w:color="000000"/>
              <w:right w:val="single" w:sz="6" w:space="0" w:color="000000"/>
            </w:tcBorders>
            <w:shd w:val="clear" w:color="auto" w:fill="FFFFFF"/>
          </w:tcPr>
          <w:p w14:paraId="50606854" w14:textId="77777777" w:rsidR="00B54C34" w:rsidRPr="007D063B" w:rsidRDefault="00B54C34" w:rsidP="00F92145">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O2-4</w:t>
            </w: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14:paraId="1D8F3476" w14:textId="77777777" w:rsidR="00B54C34" w:rsidRPr="007D063B" w:rsidRDefault="00B54C34" w:rsidP="00F92145">
            <w:pPr>
              <w:spacing w:before="120" w:after="0" w:line="240" w:lineRule="auto"/>
              <w:rPr>
                <w:rFonts w:ascii="Times New Roman" w:eastAsia="Times New Roman" w:hAnsi="Times New Roman" w:cs="Times New Roman"/>
                <w:color w:val="000000"/>
                <w:sz w:val="16"/>
                <w:szCs w:val="16"/>
                <w:lang w:val="ru-RU" w:eastAsia="bg-BG"/>
              </w:rPr>
            </w:pPr>
            <w:r w:rsidRPr="007D063B">
              <w:rPr>
                <w:rFonts w:ascii="Times New Roman" w:hAnsi="Times New Roman" w:cs="Times New Roman"/>
                <w:sz w:val="16"/>
                <w:szCs w:val="16"/>
              </w:rPr>
              <w:t>Брой администрации, подкрепени за въвеждане на наставнически, менторски и коучинг програми за служителите</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14:paraId="19DC5375" w14:textId="77777777" w:rsidR="00B54C34" w:rsidRPr="007D063B" w:rsidRDefault="00B54C34" w:rsidP="00F9214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Pr>
          <w:p w14:paraId="347A7902" w14:textId="77777777" w:rsidR="00B54C34" w:rsidRPr="007D063B" w:rsidRDefault="00B54C34" w:rsidP="00F9214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Брой</w:t>
            </w:r>
          </w:p>
        </w:tc>
        <w:tc>
          <w:tcPr>
            <w:tcW w:w="723" w:type="dxa"/>
            <w:tcBorders>
              <w:top w:val="single" w:sz="6" w:space="0" w:color="000000"/>
              <w:left w:val="single" w:sz="6" w:space="0" w:color="000000"/>
              <w:bottom w:val="single" w:sz="6" w:space="0" w:color="000000"/>
              <w:right w:val="single" w:sz="6" w:space="0" w:color="000000"/>
            </w:tcBorders>
            <w:shd w:val="clear" w:color="auto" w:fill="FFFFFF"/>
          </w:tcPr>
          <w:p w14:paraId="598122D5"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50,00</w:t>
            </w:r>
          </w:p>
        </w:tc>
        <w:tc>
          <w:tcPr>
            <w:tcW w:w="695" w:type="dxa"/>
            <w:tcBorders>
              <w:top w:val="single" w:sz="6" w:space="0" w:color="000000"/>
              <w:left w:val="single" w:sz="6" w:space="0" w:color="000000"/>
              <w:bottom w:val="single" w:sz="6" w:space="0" w:color="000000"/>
              <w:right w:val="single" w:sz="6" w:space="0" w:color="000000"/>
            </w:tcBorders>
            <w:shd w:val="clear" w:color="auto" w:fill="FFFFFF"/>
          </w:tcPr>
          <w:p w14:paraId="4A222ECD"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566" w:type="dxa"/>
            <w:tcBorders>
              <w:top w:val="single" w:sz="6" w:space="0" w:color="000000"/>
              <w:left w:val="single" w:sz="6" w:space="0" w:color="000000"/>
              <w:bottom w:val="single" w:sz="6" w:space="0" w:color="000000"/>
              <w:right w:val="single" w:sz="6" w:space="0" w:color="000000"/>
            </w:tcBorders>
            <w:shd w:val="clear" w:color="auto" w:fill="FFFFFF"/>
          </w:tcPr>
          <w:p w14:paraId="1C6A5E1E"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99" w:type="dxa"/>
            <w:tcBorders>
              <w:top w:val="single" w:sz="6" w:space="0" w:color="000000"/>
              <w:left w:val="single" w:sz="6" w:space="0" w:color="000000"/>
              <w:bottom w:val="single" w:sz="6" w:space="0" w:color="000000"/>
              <w:right w:val="single" w:sz="6" w:space="0" w:color="000000"/>
            </w:tcBorders>
            <w:shd w:val="clear" w:color="auto" w:fill="FFFFFF"/>
          </w:tcPr>
          <w:p w14:paraId="37A9711A"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7A64C1DE"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tcBorders>
              <w:top w:val="single" w:sz="6" w:space="0" w:color="000000"/>
              <w:left w:val="single" w:sz="6" w:space="0" w:color="000000"/>
              <w:bottom w:val="single" w:sz="6" w:space="0" w:color="000000"/>
              <w:right w:val="single" w:sz="6" w:space="0" w:color="000000"/>
            </w:tcBorders>
            <w:shd w:val="clear" w:color="auto" w:fill="FFFFFF"/>
          </w:tcPr>
          <w:p w14:paraId="066E502C"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329" w:type="dxa"/>
            <w:tcBorders>
              <w:top w:val="single" w:sz="6" w:space="0" w:color="000000"/>
              <w:left w:val="single" w:sz="6" w:space="0" w:color="000000"/>
              <w:bottom w:val="single" w:sz="6" w:space="0" w:color="000000"/>
              <w:right w:val="single" w:sz="6" w:space="0" w:color="000000"/>
            </w:tcBorders>
            <w:shd w:val="clear" w:color="auto" w:fill="FFFFFF"/>
          </w:tcPr>
          <w:p w14:paraId="51065876"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7B7C94B5"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tcBorders>
              <w:top w:val="single" w:sz="6" w:space="0" w:color="000000"/>
              <w:left w:val="single" w:sz="6" w:space="0" w:color="000000"/>
              <w:bottom w:val="single" w:sz="6" w:space="0" w:color="000000"/>
              <w:right w:val="single" w:sz="6" w:space="0" w:color="000000"/>
            </w:tcBorders>
            <w:shd w:val="clear" w:color="auto" w:fill="FFFFFF"/>
          </w:tcPr>
          <w:p w14:paraId="7561EEE5"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4916ACDE" w14:textId="50F043C2" w:rsidR="00B54C34" w:rsidRPr="007D063B" w:rsidRDefault="00450FF1" w:rsidP="00F92145">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05F2AD39"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49EC1EC0"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02648AB0"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66293ABB"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56BF0C00"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7A3C3456"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72B0CD5C"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03C34806"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75AEBC8F"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4B84A47F"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3AA7815E"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471AB5D6"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66BE9F8B"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39FB784E"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7F4315E2"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4BAB7F3B"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0D3CC54A"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6F696CF7"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3A862BB4"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4847687D"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768063EA"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3686066A"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410" w:type="dxa"/>
            <w:tcBorders>
              <w:top w:val="single" w:sz="6" w:space="0" w:color="000000"/>
              <w:left w:val="single" w:sz="6" w:space="0" w:color="000000"/>
              <w:bottom w:val="single" w:sz="6" w:space="0" w:color="000000"/>
              <w:right w:val="single" w:sz="6" w:space="0" w:color="000000"/>
            </w:tcBorders>
            <w:shd w:val="clear" w:color="auto" w:fill="FFFFFF"/>
          </w:tcPr>
          <w:p w14:paraId="4EB0D478"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447" w:type="dxa"/>
            <w:tcBorders>
              <w:top w:val="single" w:sz="6" w:space="0" w:color="000000"/>
              <w:left w:val="single" w:sz="6" w:space="0" w:color="000000"/>
              <w:bottom w:val="single" w:sz="6" w:space="0" w:color="000000"/>
              <w:right w:val="single" w:sz="6" w:space="0" w:color="000000"/>
            </w:tcBorders>
            <w:shd w:val="clear" w:color="auto" w:fill="FFFFFF"/>
          </w:tcPr>
          <w:p w14:paraId="70D3CFC4"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191" w:type="dxa"/>
            <w:tcBorders>
              <w:top w:val="single" w:sz="6" w:space="0" w:color="000000"/>
              <w:left w:val="single" w:sz="6" w:space="0" w:color="000000"/>
              <w:bottom w:val="single" w:sz="6" w:space="0" w:color="000000"/>
              <w:right w:val="single" w:sz="6" w:space="0" w:color="000000"/>
            </w:tcBorders>
            <w:shd w:val="clear" w:color="auto" w:fill="FFFFFF"/>
          </w:tcPr>
          <w:p w14:paraId="08D679AF"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95" w:type="dxa"/>
            <w:gridSpan w:val="2"/>
            <w:tcBorders>
              <w:top w:val="single" w:sz="6" w:space="0" w:color="000000"/>
              <w:left w:val="single" w:sz="6" w:space="0" w:color="000000"/>
              <w:bottom w:val="single" w:sz="6" w:space="0" w:color="000000"/>
              <w:right w:val="single" w:sz="6" w:space="0" w:color="000000"/>
            </w:tcBorders>
            <w:shd w:val="clear" w:color="auto" w:fill="FFFFFF"/>
          </w:tcPr>
          <w:p w14:paraId="2706DC35"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646" w:type="dxa"/>
            <w:tcBorders>
              <w:top w:val="single" w:sz="6" w:space="0" w:color="000000"/>
              <w:left w:val="single" w:sz="6" w:space="0" w:color="000000"/>
              <w:bottom w:val="single" w:sz="6" w:space="0" w:color="000000"/>
              <w:right w:val="single" w:sz="6" w:space="0" w:color="000000"/>
            </w:tcBorders>
            <w:shd w:val="clear" w:color="auto" w:fill="FFFFFF"/>
          </w:tcPr>
          <w:p w14:paraId="4D3AA87B"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196" w:type="dxa"/>
            <w:tcBorders>
              <w:top w:val="single" w:sz="6" w:space="0" w:color="000000"/>
              <w:left w:val="single" w:sz="6" w:space="0" w:color="000000"/>
              <w:bottom w:val="single" w:sz="6" w:space="0" w:color="000000"/>
              <w:right w:val="single" w:sz="6" w:space="0" w:color="000000"/>
            </w:tcBorders>
            <w:shd w:val="clear" w:color="auto" w:fill="FFFFFF"/>
          </w:tcPr>
          <w:p w14:paraId="5E5E5E9C"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68" w:type="dxa"/>
            <w:tcBorders>
              <w:top w:val="single" w:sz="6" w:space="0" w:color="000000"/>
              <w:left w:val="single" w:sz="6" w:space="0" w:color="000000"/>
              <w:bottom w:val="single" w:sz="6" w:space="0" w:color="000000"/>
              <w:right w:val="single" w:sz="6" w:space="0" w:color="000000"/>
            </w:tcBorders>
            <w:shd w:val="clear" w:color="auto" w:fill="FFFFFF"/>
          </w:tcPr>
          <w:p w14:paraId="65605E09"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0098594E" w14:textId="77777777" w:rsidTr="005246CB">
        <w:tblPrEx>
          <w:tblBorders>
            <w:top w:val="single" w:sz="6" w:space="0" w:color="000000"/>
            <w:left w:val="single" w:sz="6" w:space="0" w:color="000000"/>
            <w:bottom w:val="single" w:sz="6" w:space="0" w:color="000000"/>
            <w:right w:val="single" w:sz="6" w:space="0" w:color="000000"/>
          </w:tblBorders>
        </w:tblPrEx>
        <w:trPr>
          <w:tblCellSpacing w:w="0" w:type="dxa"/>
        </w:trPr>
        <w:tc>
          <w:tcPr>
            <w:tcW w:w="560" w:type="dxa"/>
            <w:tcBorders>
              <w:top w:val="single" w:sz="6" w:space="0" w:color="000000"/>
              <w:left w:val="single" w:sz="6" w:space="0" w:color="000000"/>
              <w:bottom w:val="single" w:sz="6" w:space="0" w:color="000000"/>
              <w:right w:val="single" w:sz="6" w:space="0" w:color="000000"/>
            </w:tcBorders>
            <w:shd w:val="clear" w:color="auto" w:fill="FFFFFF"/>
          </w:tcPr>
          <w:p w14:paraId="6F6A6456" w14:textId="77777777" w:rsidR="00B54C34" w:rsidRPr="007D063B" w:rsidRDefault="00B54C34" w:rsidP="00F92145">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lastRenderedPageBreak/>
              <w:t>O2-5</w:t>
            </w: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14:paraId="5F981F77" w14:textId="77777777" w:rsidR="00B54C34" w:rsidRPr="007D063B" w:rsidRDefault="00B54C34" w:rsidP="00F92145">
            <w:pPr>
              <w:spacing w:before="120" w:after="0" w:line="240" w:lineRule="auto"/>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 подкрепени нови/ осъвременени обучителни модули за администрацият 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14:paraId="69FC0B8B" w14:textId="77777777" w:rsidR="00B54C34" w:rsidRPr="007D063B" w:rsidRDefault="00B54C34" w:rsidP="00F9214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Pr>
          <w:p w14:paraId="0553C23E" w14:textId="77777777" w:rsidR="00B54C34" w:rsidRPr="007D063B" w:rsidRDefault="00B54C34" w:rsidP="00F9214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Брой</w:t>
            </w:r>
          </w:p>
        </w:tc>
        <w:tc>
          <w:tcPr>
            <w:tcW w:w="723" w:type="dxa"/>
            <w:tcBorders>
              <w:top w:val="single" w:sz="6" w:space="0" w:color="000000"/>
              <w:left w:val="single" w:sz="6" w:space="0" w:color="000000"/>
              <w:bottom w:val="single" w:sz="6" w:space="0" w:color="000000"/>
              <w:right w:val="single" w:sz="6" w:space="0" w:color="000000"/>
            </w:tcBorders>
            <w:shd w:val="clear" w:color="auto" w:fill="FFFFFF"/>
          </w:tcPr>
          <w:p w14:paraId="794F89D4"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100,00</w:t>
            </w:r>
          </w:p>
        </w:tc>
        <w:tc>
          <w:tcPr>
            <w:tcW w:w="695" w:type="dxa"/>
            <w:tcBorders>
              <w:top w:val="single" w:sz="6" w:space="0" w:color="000000"/>
              <w:left w:val="single" w:sz="6" w:space="0" w:color="000000"/>
              <w:bottom w:val="single" w:sz="6" w:space="0" w:color="000000"/>
              <w:right w:val="single" w:sz="6" w:space="0" w:color="000000"/>
            </w:tcBorders>
            <w:shd w:val="clear" w:color="auto" w:fill="FFFFFF"/>
          </w:tcPr>
          <w:p w14:paraId="7B678AE4"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566" w:type="dxa"/>
            <w:tcBorders>
              <w:top w:val="single" w:sz="6" w:space="0" w:color="000000"/>
              <w:left w:val="single" w:sz="6" w:space="0" w:color="000000"/>
              <w:bottom w:val="single" w:sz="6" w:space="0" w:color="000000"/>
              <w:right w:val="single" w:sz="6" w:space="0" w:color="000000"/>
            </w:tcBorders>
            <w:shd w:val="clear" w:color="auto" w:fill="FFFFFF"/>
          </w:tcPr>
          <w:p w14:paraId="4E4836DA"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99" w:type="dxa"/>
            <w:tcBorders>
              <w:top w:val="single" w:sz="6" w:space="0" w:color="000000"/>
              <w:left w:val="single" w:sz="6" w:space="0" w:color="000000"/>
              <w:bottom w:val="single" w:sz="6" w:space="0" w:color="000000"/>
              <w:right w:val="single" w:sz="6" w:space="0" w:color="000000"/>
            </w:tcBorders>
            <w:shd w:val="clear" w:color="auto" w:fill="FFFFFF"/>
          </w:tcPr>
          <w:p w14:paraId="436D23EF"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4D086064"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tcBorders>
              <w:top w:val="single" w:sz="6" w:space="0" w:color="000000"/>
              <w:left w:val="single" w:sz="6" w:space="0" w:color="000000"/>
              <w:bottom w:val="single" w:sz="6" w:space="0" w:color="000000"/>
              <w:right w:val="single" w:sz="6" w:space="0" w:color="000000"/>
            </w:tcBorders>
            <w:shd w:val="clear" w:color="auto" w:fill="FFFFFF"/>
          </w:tcPr>
          <w:p w14:paraId="5566AAA1"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329" w:type="dxa"/>
            <w:tcBorders>
              <w:top w:val="single" w:sz="6" w:space="0" w:color="000000"/>
              <w:left w:val="single" w:sz="6" w:space="0" w:color="000000"/>
              <w:bottom w:val="single" w:sz="6" w:space="0" w:color="000000"/>
              <w:right w:val="single" w:sz="6" w:space="0" w:color="000000"/>
            </w:tcBorders>
            <w:shd w:val="clear" w:color="auto" w:fill="FFFFFF"/>
          </w:tcPr>
          <w:p w14:paraId="5EACB535"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22B0A07A"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tcBorders>
              <w:top w:val="single" w:sz="6" w:space="0" w:color="000000"/>
              <w:left w:val="single" w:sz="6" w:space="0" w:color="000000"/>
              <w:bottom w:val="single" w:sz="6" w:space="0" w:color="000000"/>
              <w:right w:val="single" w:sz="6" w:space="0" w:color="000000"/>
            </w:tcBorders>
            <w:shd w:val="clear" w:color="auto" w:fill="FFFFFF"/>
          </w:tcPr>
          <w:p w14:paraId="6D092336"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1298C5FB" w14:textId="0C639EB2" w:rsidR="00B54C34" w:rsidRPr="007D063B" w:rsidRDefault="00550DA7" w:rsidP="00F92145">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09EFEF4D"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54BC0A87"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4CECC7AA"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32B4B0CE"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58EFA5D4"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7CB98B6E"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7526FDDC"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73E5C759"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511D86DC"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74CB848E"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3EA9253C"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7A064D21"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5EC9DF20"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0181BD73"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694D8AB0"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5ECE7EB1"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32DF422A"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39FA1462"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49ECC63F"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1B7E4624"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56559217"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2BD27358"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410" w:type="dxa"/>
            <w:tcBorders>
              <w:top w:val="single" w:sz="6" w:space="0" w:color="000000"/>
              <w:left w:val="single" w:sz="6" w:space="0" w:color="000000"/>
              <w:bottom w:val="single" w:sz="6" w:space="0" w:color="000000"/>
              <w:right w:val="single" w:sz="6" w:space="0" w:color="000000"/>
            </w:tcBorders>
            <w:shd w:val="clear" w:color="auto" w:fill="FFFFFF"/>
          </w:tcPr>
          <w:p w14:paraId="439FBB87"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447" w:type="dxa"/>
            <w:tcBorders>
              <w:top w:val="single" w:sz="6" w:space="0" w:color="000000"/>
              <w:left w:val="single" w:sz="6" w:space="0" w:color="000000"/>
              <w:bottom w:val="single" w:sz="6" w:space="0" w:color="000000"/>
              <w:right w:val="single" w:sz="6" w:space="0" w:color="000000"/>
            </w:tcBorders>
            <w:shd w:val="clear" w:color="auto" w:fill="FFFFFF"/>
          </w:tcPr>
          <w:p w14:paraId="61EA0B99"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191" w:type="dxa"/>
            <w:tcBorders>
              <w:top w:val="single" w:sz="6" w:space="0" w:color="000000"/>
              <w:left w:val="single" w:sz="6" w:space="0" w:color="000000"/>
              <w:bottom w:val="single" w:sz="6" w:space="0" w:color="000000"/>
              <w:right w:val="single" w:sz="6" w:space="0" w:color="000000"/>
            </w:tcBorders>
            <w:shd w:val="clear" w:color="auto" w:fill="FFFFFF"/>
          </w:tcPr>
          <w:p w14:paraId="6ACBD973"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95" w:type="dxa"/>
            <w:gridSpan w:val="2"/>
            <w:tcBorders>
              <w:top w:val="single" w:sz="6" w:space="0" w:color="000000"/>
              <w:left w:val="single" w:sz="6" w:space="0" w:color="000000"/>
              <w:bottom w:val="single" w:sz="6" w:space="0" w:color="000000"/>
              <w:right w:val="single" w:sz="6" w:space="0" w:color="000000"/>
            </w:tcBorders>
            <w:shd w:val="clear" w:color="auto" w:fill="FFFFFF"/>
          </w:tcPr>
          <w:p w14:paraId="29620E0F"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646" w:type="dxa"/>
            <w:tcBorders>
              <w:top w:val="single" w:sz="6" w:space="0" w:color="000000"/>
              <w:left w:val="single" w:sz="6" w:space="0" w:color="000000"/>
              <w:bottom w:val="single" w:sz="6" w:space="0" w:color="000000"/>
              <w:right w:val="single" w:sz="6" w:space="0" w:color="000000"/>
            </w:tcBorders>
            <w:shd w:val="clear" w:color="auto" w:fill="FFFFFF"/>
          </w:tcPr>
          <w:p w14:paraId="31C223E6"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196" w:type="dxa"/>
            <w:tcBorders>
              <w:top w:val="single" w:sz="6" w:space="0" w:color="000000"/>
              <w:left w:val="single" w:sz="6" w:space="0" w:color="000000"/>
              <w:bottom w:val="single" w:sz="6" w:space="0" w:color="000000"/>
              <w:right w:val="single" w:sz="6" w:space="0" w:color="000000"/>
            </w:tcBorders>
            <w:shd w:val="clear" w:color="auto" w:fill="FFFFFF"/>
          </w:tcPr>
          <w:p w14:paraId="7FE80F35"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68" w:type="dxa"/>
            <w:tcBorders>
              <w:top w:val="single" w:sz="6" w:space="0" w:color="000000"/>
              <w:left w:val="single" w:sz="6" w:space="0" w:color="000000"/>
              <w:bottom w:val="single" w:sz="6" w:space="0" w:color="000000"/>
              <w:right w:val="single" w:sz="6" w:space="0" w:color="000000"/>
            </w:tcBorders>
            <w:shd w:val="clear" w:color="auto" w:fill="FFFFFF"/>
          </w:tcPr>
          <w:p w14:paraId="049C7099"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420D202B" w14:textId="77777777" w:rsidTr="005246CB">
        <w:tblPrEx>
          <w:tblBorders>
            <w:top w:val="single" w:sz="6" w:space="0" w:color="000000"/>
            <w:left w:val="single" w:sz="6" w:space="0" w:color="000000"/>
            <w:bottom w:val="single" w:sz="6" w:space="0" w:color="000000"/>
            <w:right w:val="single" w:sz="6" w:space="0" w:color="000000"/>
          </w:tblBorders>
        </w:tblPrEx>
        <w:trPr>
          <w:tblCellSpacing w:w="0" w:type="dxa"/>
        </w:trPr>
        <w:tc>
          <w:tcPr>
            <w:tcW w:w="560" w:type="dxa"/>
            <w:tcBorders>
              <w:top w:val="single" w:sz="6" w:space="0" w:color="000000"/>
              <w:left w:val="single" w:sz="6" w:space="0" w:color="000000"/>
              <w:bottom w:val="single" w:sz="6" w:space="0" w:color="000000"/>
              <w:right w:val="single" w:sz="6" w:space="0" w:color="000000"/>
            </w:tcBorders>
            <w:shd w:val="clear" w:color="auto" w:fill="FFFFFF"/>
          </w:tcPr>
          <w:p w14:paraId="6FA6AFE5" w14:textId="77777777" w:rsidR="00B54C34" w:rsidRPr="007D063B" w:rsidRDefault="00B54C34" w:rsidP="00F92145">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O2-6</w:t>
            </w: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14:paraId="68B6C4A0" w14:textId="77777777" w:rsidR="00B54C34" w:rsidRPr="007D063B" w:rsidRDefault="00B54C34" w:rsidP="00F92145">
            <w:pPr>
              <w:spacing w:before="120" w:after="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Обучени служители от администрацията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14:paraId="46A20AD0" w14:textId="77777777" w:rsidR="00B54C34" w:rsidRPr="007D063B" w:rsidRDefault="00B54C34" w:rsidP="00F9214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Pr>
          <w:p w14:paraId="51859B7D" w14:textId="77777777" w:rsidR="00B54C34" w:rsidRPr="007D063B" w:rsidRDefault="00B54C34" w:rsidP="00F92145">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Брой</w:t>
            </w:r>
          </w:p>
        </w:tc>
        <w:tc>
          <w:tcPr>
            <w:tcW w:w="723" w:type="dxa"/>
            <w:tcBorders>
              <w:top w:val="single" w:sz="6" w:space="0" w:color="000000"/>
              <w:left w:val="single" w:sz="6" w:space="0" w:color="000000"/>
              <w:bottom w:val="single" w:sz="6" w:space="0" w:color="000000"/>
              <w:right w:val="single" w:sz="6" w:space="0" w:color="000000"/>
            </w:tcBorders>
            <w:shd w:val="clear" w:color="auto" w:fill="FFFFFF"/>
          </w:tcPr>
          <w:p w14:paraId="0DAAE0A8"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175000,00</w:t>
            </w:r>
          </w:p>
        </w:tc>
        <w:tc>
          <w:tcPr>
            <w:tcW w:w="695" w:type="dxa"/>
            <w:tcBorders>
              <w:top w:val="single" w:sz="6" w:space="0" w:color="000000"/>
              <w:left w:val="single" w:sz="6" w:space="0" w:color="000000"/>
              <w:bottom w:val="single" w:sz="6" w:space="0" w:color="000000"/>
              <w:right w:val="single" w:sz="6" w:space="0" w:color="000000"/>
            </w:tcBorders>
            <w:shd w:val="clear" w:color="auto" w:fill="FFFFFF"/>
          </w:tcPr>
          <w:p w14:paraId="6F794320"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75000,00</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Pr>
          <w:p w14:paraId="1A112860"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100000,00</w:t>
            </w:r>
          </w:p>
        </w:tc>
        <w:tc>
          <w:tcPr>
            <w:tcW w:w="299" w:type="dxa"/>
            <w:tcBorders>
              <w:top w:val="single" w:sz="6" w:space="0" w:color="000000"/>
              <w:left w:val="single" w:sz="6" w:space="0" w:color="000000"/>
              <w:bottom w:val="single" w:sz="6" w:space="0" w:color="000000"/>
              <w:right w:val="single" w:sz="6" w:space="0" w:color="000000"/>
            </w:tcBorders>
            <w:shd w:val="clear" w:color="auto" w:fill="FFFFFF"/>
          </w:tcPr>
          <w:p w14:paraId="1F46A732"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7488E51B"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155" w:type="dxa"/>
            <w:tcBorders>
              <w:top w:val="single" w:sz="6" w:space="0" w:color="000000"/>
              <w:left w:val="single" w:sz="6" w:space="0" w:color="000000"/>
              <w:bottom w:val="single" w:sz="6" w:space="0" w:color="000000"/>
              <w:right w:val="single" w:sz="6" w:space="0" w:color="000000"/>
            </w:tcBorders>
            <w:shd w:val="clear" w:color="auto" w:fill="FFFFFF"/>
          </w:tcPr>
          <w:p w14:paraId="42CA22A3"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329" w:type="dxa"/>
            <w:tcBorders>
              <w:top w:val="single" w:sz="6" w:space="0" w:color="000000"/>
              <w:left w:val="single" w:sz="6" w:space="0" w:color="000000"/>
              <w:bottom w:val="single" w:sz="6" w:space="0" w:color="000000"/>
              <w:right w:val="single" w:sz="6" w:space="0" w:color="000000"/>
            </w:tcBorders>
            <w:shd w:val="clear" w:color="auto" w:fill="FFFFFF"/>
          </w:tcPr>
          <w:p w14:paraId="5F9F9B5C"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0917F197"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155" w:type="dxa"/>
            <w:tcBorders>
              <w:top w:val="single" w:sz="6" w:space="0" w:color="000000"/>
              <w:left w:val="single" w:sz="6" w:space="0" w:color="000000"/>
              <w:bottom w:val="single" w:sz="6" w:space="0" w:color="000000"/>
              <w:right w:val="single" w:sz="6" w:space="0" w:color="000000"/>
            </w:tcBorders>
            <w:shd w:val="clear" w:color="auto" w:fill="FFFFFF"/>
          </w:tcPr>
          <w:p w14:paraId="769BE72C"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56008176" w14:textId="6F2AFDA1" w:rsidR="00B54C34" w:rsidRPr="007D063B" w:rsidRDefault="00550DA7" w:rsidP="00B70F59">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6C737D15" w14:textId="0409BE33" w:rsidR="00B54C34" w:rsidRPr="007D063B" w:rsidRDefault="00B4172E" w:rsidP="00F92145">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7</w:t>
            </w: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25927A14" w14:textId="50C94CF7" w:rsidR="00B54C34" w:rsidRPr="007D063B" w:rsidRDefault="00B4172E" w:rsidP="00F92145">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13</w:t>
            </w: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7F621705"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711A1F23"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12297987"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5C27F49A"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03DF9982"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3410B05F"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7F4B036D"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7BCF6168"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5DD8D9E0"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632B5365"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102B2E8C"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63A57711"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5DD5A895"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68B13B10"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7233B3F8"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448C2528"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4F7A574E"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23743B22"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3D0D3B21"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3FA2282C"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410" w:type="dxa"/>
            <w:tcBorders>
              <w:top w:val="single" w:sz="6" w:space="0" w:color="000000"/>
              <w:left w:val="single" w:sz="6" w:space="0" w:color="000000"/>
              <w:bottom w:val="single" w:sz="6" w:space="0" w:color="000000"/>
              <w:right w:val="single" w:sz="6" w:space="0" w:color="000000"/>
            </w:tcBorders>
            <w:shd w:val="clear" w:color="auto" w:fill="FFFFFF"/>
          </w:tcPr>
          <w:p w14:paraId="4AEBE8E4"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p>
        </w:tc>
        <w:tc>
          <w:tcPr>
            <w:tcW w:w="447" w:type="dxa"/>
            <w:tcBorders>
              <w:top w:val="single" w:sz="6" w:space="0" w:color="000000"/>
              <w:left w:val="single" w:sz="6" w:space="0" w:color="000000"/>
              <w:bottom w:val="single" w:sz="6" w:space="0" w:color="000000"/>
              <w:right w:val="single" w:sz="6" w:space="0" w:color="000000"/>
            </w:tcBorders>
            <w:shd w:val="clear" w:color="auto" w:fill="FFFFFF"/>
          </w:tcPr>
          <w:p w14:paraId="5752428D" w14:textId="1248EA76" w:rsidR="00B54C34" w:rsidRPr="007D063B" w:rsidRDefault="00B4172E" w:rsidP="00F92145">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20</w:t>
            </w:r>
          </w:p>
        </w:tc>
        <w:tc>
          <w:tcPr>
            <w:tcW w:w="191" w:type="dxa"/>
            <w:tcBorders>
              <w:top w:val="single" w:sz="6" w:space="0" w:color="000000"/>
              <w:left w:val="single" w:sz="6" w:space="0" w:color="000000"/>
              <w:bottom w:val="single" w:sz="6" w:space="0" w:color="000000"/>
              <w:right w:val="single" w:sz="6" w:space="0" w:color="000000"/>
            </w:tcBorders>
            <w:shd w:val="clear" w:color="auto" w:fill="FFFFFF"/>
          </w:tcPr>
          <w:p w14:paraId="09CFFF41" w14:textId="12575C7B" w:rsidR="00B54C34" w:rsidRPr="007D063B" w:rsidRDefault="00B4172E" w:rsidP="00F92145">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7</w:t>
            </w:r>
          </w:p>
        </w:tc>
        <w:tc>
          <w:tcPr>
            <w:tcW w:w="195" w:type="dxa"/>
            <w:gridSpan w:val="2"/>
            <w:tcBorders>
              <w:top w:val="single" w:sz="6" w:space="0" w:color="000000"/>
              <w:left w:val="single" w:sz="6" w:space="0" w:color="000000"/>
              <w:bottom w:val="single" w:sz="6" w:space="0" w:color="000000"/>
              <w:right w:val="single" w:sz="6" w:space="0" w:color="000000"/>
            </w:tcBorders>
            <w:shd w:val="clear" w:color="auto" w:fill="FFFFFF"/>
          </w:tcPr>
          <w:p w14:paraId="0B8026E6" w14:textId="3C838338" w:rsidR="00B54C34" w:rsidRPr="007D063B" w:rsidRDefault="00B4172E" w:rsidP="00F92145">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13</w:t>
            </w:r>
          </w:p>
        </w:tc>
        <w:tc>
          <w:tcPr>
            <w:tcW w:w="646" w:type="dxa"/>
            <w:tcBorders>
              <w:top w:val="single" w:sz="6" w:space="0" w:color="000000"/>
              <w:left w:val="single" w:sz="6" w:space="0" w:color="000000"/>
              <w:bottom w:val="single" w:sz="6" w:space="0" w:color="000000"/>
              <w:right w:val="single" w:sz="6" w:space="0" w:color="000000"/>
            </w:tcBorders>
            <w:shd w:val="clear" w:color="auto" w:fill="FFFFFF"/>
          </w:tcPr>
          <w:p w14:paraId="4E610791"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196" w:type="dxa"/>
            <w:tcBorders>
              <w:top w:val="single" w:sz="6" w:space="0" w:color="000000"/>
              <w:left w:val="single" w:sz="6" w:space="0" w:color="000000"/>
              <w:bottom w:val="single" w:sz="6" w:space="0" w:color="000000"/>
              <w:right w:val="single" w:sz="6" w:space="0" w:color="000000"/>
            </w:tcBorders>
            <w:shd w:val="clear" w:color="auto" w:fill="FFFFFF"/>
          </w:tcPr>
          <w:p w14:paraId="7B6C207C"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168" w:type="dxa"/>
            <w:tcBorders>
              <w:top w:val="single" w:sz="6" w:space="0" w:color="000000"/>
              <w:left w:val="single" w:sz="6" w:space="0" w:color="000000"/>
              <w:bottom w:val="single" w:sz="6" w:space="0" w:color="000000"/>
              <w:right w:val="single" w:sz="6" w:space="0" w:color="000000"/>
            </w:tcBorders>
            <w:shd w:val="clear" w:color="auto" w:fill="FFFFFF"/>
          </w:tcPr>
          <w:p w14:paraId="7E273AF1" w14:textId="77777777" w:rsidR="00B54C34" w:rsidRPr="007D063B" w:rsidRDefault="00B54C34" w:rsidP="00F92145">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r>
    </w:tbl>
    <w:p w14:paraId="3CAF616D" w14:textId="77777777" w:rsidR="00B54C34" w:rsidRPr="007D063B" w:rsidRDefault="00B54C34" w:rsidP="00B54C34">
      <w:pPr>
        <w:shd w:val="clear" w:color="auto" w:fill="FFFFFF"/>
        <w:spacing w:before="240" w:after="120" w:line="240" w:lineRule="auto"/>
        <w:jc w:val="both"/>
        <w:rPr>
          <w:rFonts w:ascii="Times New Roman" w:eastAsia="Times New Roman" w:hAnsi="Times New Roman" w:cs="Times New Roman"/>
          <w:b/>
          <w:bCs/>
          <w:color w:val="000000"/>
          <w:sz w:val="24"/>
          <w:szCs w:val="24"/>
          <w:lang w:eastAsia="bg-BG"/>
        </w:rPr>
      </w:pPr>
    </w:p>
    <w:p w14:paraId="2F3957C2" w14:textId="77777777" w:rsidR="00B54C34" w:rsidRPr="007D063B" w:rsidRDefault="00B54C34" w:rsidP="00B54C34">
      <w:pPr>
        <w:rPr>
          <w:rFonts w:ascii="Times New Roman" w:eastAsia="Times New Roman" w:hAnsi="Times New Roman" w:cs="Times New Roman"/>
          <w:b/>
          <w:bCs/>
          <w:color w:val="000000"/>
          <w:sz w:val="24"/>
          <w:szCs w:val="24"/>
          <w:lang w:eastAsia="bg-BG"/>
        </w:rPr>
      </w:pPr>
      <w:r w:rsidRPr="007D063B">
        <w:rPr>
          <w:rFonts w:ascii="Times New Roman" w:eastAsia="Times New Roman" w:hAnsi="Times New Roman" w:cs="Times New Roman"/>
          <w:b/>
          <w:bCs/>
          <w:color w:val="000000"/>
          <w:sz w:val="24"/>
          <w:szCs w:val="24"/>
          <w:lang w:eastAsia="bg-BG"/>
        </w:rPr>
        <w:br w:type="page"/>
      </w:r>
    </w:p>
    <w:p w14:paraId="3548B523" w14:textId="622B86E0" w:rsidR="00D13E5F" w:rsidRPr="007D063B" w:rsidRDefault="00D279B7" w:rsidP="00B43484">
      <w:pPr>
        <w:pStyle w:val="Heading2"/>
        <w:rPr>
          <w:rFonts w:ascii="inherit" w:eastAsia="Times New Roman" w:hAnsi="inherit" w:cs="Times New Roman"/>
          <w:b/>
          <w:bCs/>
          <w:color w:val="000000"/>
          <w:sz w:val="24"/>
          <w:szCs w:val="24"/>
          <w:lang w:eastAsia="bg-BG"/>
        </w:rPr>
      </w:pPr>
      <w:bookmarkStart w:id="15" w:name="_Toc481594276"/>
      <w:r w:rsidRPr="007D063B">
        <w:rPr>
          <w:rFonts w:ascii="Times New Roman" w:eastAsia="Times New Roman" w:hAnsi="Times New Roman" w:cs="Times New Roman"/>
          <w:b/>
          <w:bCs/>
          <w:color w:val="000000"/>
          <w:sz w:val="24"/>
          <w:szCs w:val="24"/>
          <w:lang w:eastAsia="bg-BG"/>
        </w:rPr>
        <w:lastRenderedPageBreak/>
        <w:t>3.1   </w:t>
      </w:r>
      <w:r w:rsidRPr="007D063B">
        <w:rPr>
          <w:rFonts w:ascii="inherit" w:eastAsia="Times New Roman" w:hAnsi="inherit" w:cs="Times New Roman"/>
          <w:b/>
          <w:bCs/>
          <w:color w:val="000000"/>
          <w:sz w:val="24"/>
          <w:szCs w:val="24"/>
          <w:lang w:eastAsia="bg-BG"/>
        </w:rPr>
        <w:t>Преглед на изпълнението – приоритетна ос 3</w:t>
      </w:r>
      <w:bookmarkEnd w:id="15"/>
    </w:p>
    <w:p w14:paraId="3AE235FD" w14:textId="77777777" w:rsidR="00D279B7" w:rsidRPr="007D063B" w:rsidRDefault="00D279B7" w:rsidP="00B43484">
      <w:pPr>
        <w:rPr>
          <w:rFonts w:ascii="Times New Roman" w:hAnsi="Times New Roman" w:cs="Times New Roman"/>
          <w:lang w:eastAsia="bg-BG"/>
        </w:rPr>
      </w:pP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749"/>
        <w:gridCol w:w="1541"/>
        <w:gridCol w:w="10744"/>
      </w:tblGrid>
      <w:tr w:rsidR="00CB2EED" w:rsidRPr="007D063B" w14:paraId="1F1BDDBA" w14:textId="77777777" w:rsidTr="004D7E1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040A820" w14:textId="77777777" w:rsidR="004D7E1E" w:rsidRPr="007D063B" w:rsidRDefault="004D7E1E" w:rsidP="00B43484">
            <w:pPr>
              <w:rPr>
                <w:rFonts w:ascii="Times New Roman" w:eastAsia="Times New Roman" w:hAnsi="Times New Roman" w:cs="Times New Roman"/>
                <w:b/>
                <w:bCs/>
                <w:color w:val="000000"/>
                <w:lang w:eastAsia="bg-BG"/>
              </w:rPr>
            </w:pPr>
            <w:r w:rsidRPr="007D063B">
              <w:rPr>
                <w:rFonts w:ascii="Times New Roman" w:eastAsia="Times New Roman" w:hAnsi="Times New Roman" w:cs="Times New Roman"/>
                <w:b/>
                <w:bCs/>
                <w:color w:val="000000"/>
                <w:lang w:eastAsia="bg-BG"/>
              </w:rPr>
              <w:t>Идентификация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B7EC3CB" w14:textId="77777777" w:rsidR="004D7E1E" w:rsidRPr="007D063B" w:rsidRDefault="004D7E1E" w:rsidP="00B43484">
            <w:pPr>
              <w:rPr>
                <w:rFonts w:ascii="Times New Roman" w:eastAsia="Times New Roman" w:hAnsi="Times New Roman" w:cs="Times New Roman"/>
                <w:b/>
                <w:bCs/>
                <w:color w:val="000000"/>
                <w:lang w:eastAsia="bg-BG"/>
              </w:rPr>
            </w:pPr>
            <w:r w:rsidRPr="007D063B">
              <w:rPr>
                <w:rFonts w:ascii="Times New Roman" w:eastAsia="Times New Roman" w:hAnsi="Times New Roman" w:cs="Times New Roman"/>
                <w:b/>
                <w:bCs/>
                <w:color w:val="000000"/>
                <w:lang w:eastAsia="bg-BG"/>
              </w:rPr>
              <w:t>Приоритетна ос</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92A195D" w14:textId="77777777" w:rsidR="004D7E1E" w:rsidRPr="007D063B" w:rsidRDefault="004D7E1E" w:rsidP="00B43484">
            <w:pPr>
              <w:rPr>
                <w:rFonts w:ascii="Times New Roman" w:eastAsia="Times New Roman" w:hAnsi="Times New Roman" w:cs="Times New Roman"/>
                <w:b/>
                <w:bCs/>
                <w:color w:val="000000"/>
                <w:lang w:eastAsia="bg-BG"/>
              </w:rPr>
            </w:pPr>
            <w:r w:rsidRPr="007D063B">
              <w:rPr>
                <w:rFonts w:ascii="Times New Roman" w:eastAsia="Times New Roman" w:hAnsi="Times New Roman" w:cs="Times New Roman"/>
                <w:b/>
                <w:bCs/>
                <w:color w:val="000000"/>
                <w:lang w:eastAsia="bg-BG"/>
              </w:rPr>
              <w:t>Ключова информация относно изпълнението на приоритетната ос с позоваване на ключови събития, значителни проблеми и стъпките, предприети за преодоляване на тези проблеми</w:t>
            </w:r>
          </w:p>
        </w:tc>
      </w:tr>
      <w:tr w:rsidR="00CB2EED" w:rsidRPr="007D063B" w14:paraId="111D56E6" w14:textId="77777777" w:rsidTr="004D7E1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B15F35A" w14:textId="77777777" w:rsidR="004D7E1E" w:rsidRPr="007D063B" w:rsidRDefault="004D7E1E" w:rsidP="00B43484">
            <w:pPr>
              <w:rPr>
                <w:rFonts w:ascii="Times New Roman" w:eastAsia="Times New Roman" w:hAnsi="Times New Roman" w:cs="Times New Roman"/>
                <w:color w:val="000000"/>
                <w:lang w:eastAsia="bg-BG"/>
              </w:rPr>
            </w:pPr>
            <w:r w:rsidRPr="007D063B">
              <w:rPr>
                <w:rFonts w:ascii="Times New Roman" w:eastAsia="Times New Roman" w:hAnsi="Times New Roman" w:cs="Times New Roman"/>
                <w:i/>
                <w:iCs/>
                <w:color w:val="000000"/>
                <w:lang w:eastAsia="bg-BG"/>
              </w:rPr>
              <w:t>&lt;type='S'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42581CF" w14:textId="77777777" w:rsidR="004D7E1E" w:rsidRPr="007D063B" w:rsidRDefault="004D7E1E" w:rsidP="00B43484">
            <w:pPr>
              <w:rPr>
                <w:rFonts w:ascii="Times New Roman" w:eastAsia="Times New Roman" w:hAnsi="Times New Roman" w:cs="Times New Roman"/>
                <w:color w:val="000000"/>
                <w:lang w:eastAsia="bg-BG"/>
              </w:rPr>
            </w:pPr>
            <w:r w:rsidRPr="007D063B">
              <w:rPr>
                <w:rFonts w:ascii="Times New Roman" w:eastAsia="Times New Roman" w:hAnsi="Times New Roman" w:cs="Times New Roman"/>
                <w:i/>
                <w:iCs/>
                <w:color w:val="000000"/>
                <w:lang w:eastAsia="bg-BG"/>
              </w:rPr>
              <w:t>&lt;type='S'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DF1D24C" w14:textId="77777777" w:rsidR="004D7E1E" w:rsidRPr="007D063B" w:rsidRDefault="004D7E1E" w:rsidP="00B43484">
            <w:pPr>
              <w:rPr>
                <w:rFonts w:ascii="Times New Roman" w:eastAsia="Times New Roman" w:hAnsi="Times New Roman" w:cs="Times New Roman"/>
                <w:color w:val="000000"/>
                <w:lang w:eastAsia="bg-BG"/>
              </w:rPr>
            </w:pPr>
            <w:r w:rsidRPr="007D063B">
              <w:rPr>
                <w:rFonts w:ascii="Times New Roman" w:eastAsia="Times New Roman" w:hAnsi="Times New Roman" w:cs="Times New Roman"/>
                <w:i/>
                <w:iCs/>
                <w:color w:val="000000"/>
                <w:lang w:eastAsia="bg-BG"/>
              </w:rPr>
              <w:t>&lt;type='S' maxlength=1750 input='M'&gt;</w:t>
            </w:r>
          </w:p>
        </w:tc>
      </w:tr>
      <w:tr w:rsidR="00CB2EED" w:rsidRPr="007D063B" w14:paraId="41BA1DE7" w14:textId="77777777" w:rsidTr="004D7E1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3B8B8A68" w14:textId="77777777" w:rsidR="004D7E1E" w:rsidRPr="007D063B" w:rsidRDefault="004D7E1E" w:rsidP="00B43484">
            <w:pPr>
              <w:rPr>
                <w:rFonts w:ascii="Times New Roman" w:eastAsia="Times New Roman" w:hAnsi="Times New Roman" w:cs="Times New Roman"/>
                <w:i/>
                <w:iCs/>
                <w:color w:val="000000"/>
                <w:lang w:eastAsia="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734998F6" w14:textId="77777777" w:rsidR="004D7E1E" w:rsidRPr="007D063B" w:rsidRDefault="004D7E1E" w:rsidP="00B43484">
            <w:pPr>
              <w:rPr>
                <w:rFonts w:ascii="Times New Roman" w:eastAsia="Times New Roman" w:hAnsi="Times New Roman" w:cs="Times New Roman"/>
                <w:b/>
                <w:bCs/>
                <w:color w:val="000000"/>
                <w:lang w:eastAsia="bg-BG"/>
              </w:rPr>
            </w:pPr>
            <w:r w:rsidRPr="007D063B">
              <w:rPr>
                <w:rFonts w:ascii="Times New Roman" w:eastAsia="Times New Roman" w:hAnsi="Times New Roman" w:cs="Times New Roman"/>
                <w:b/>
                <w:bCs/>
                <w:color w:val="000000"/>
                <w:lang w:eastAsia="bg-BG"/>
              </w:rPr>
              <w:t>ПО 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391BA5BE" w14:textId="77777777" w:rsidR="000A3054" w:rsidRPr="007D063B" w:rsidRDefault="0048598F" w:rsidP="00B43484">
            <w:pPr>
              <w:jc w:val="both"/>
              <w:rPr>
                <w:rFonts w:ascii="Times New Roman" w:eastAsia="Times New Roman" w:hAnsi="Times New Roman" w:cs="Times New Roman"/>
                <w:iCs/>
                <w:color w:val="000000"/>
                <w:lang w:eastAsia="bg-BG"/>
              </w:rPr>
            </w:pPr>
            <w:r w:rsidRPr="007D063B">
              <w:rPr>
                <w:rFonts w:ascii="Times New Roman" w:eastAsia="Times New Roman" w:hAnsi="Times New Roman" w:cs="Times New Roman"/>
                <w:iCs/>
                <w:color w:val="000000"/>
                <w:lang w:eastAsia="bg-BG"/>
              </w:rPr>
              <w:t xml:space="preserve">От </w:t>
            </w:r>
            <w:r w:rsidR="009739AC" w:rsidRPr="007D063B">
              <w:rPr>
                <w:rFonts w:ascii="Times New Roman" w:eastAsia="Times New Roman" w:hAnsi="Times New Roman" w:cs="Times New Roman"/>
                <w:iCs/>
                <w:color w:val="000000"/>
                <w:lang w:eastAsia="bg-BG"/>
              </w:rPr>
              <w:t>м. март 2016 г. е в изпълнение проект на</w:t>
            </w:r>
            <w:r w:rsidR="004D7E1E" w:rsidRPr="007D063B">
              <w:rPr>
                <w:rFonts w:ascii="Times New Roman" w:eastAsia="Times New Roman" w:hAnsi="Times New Roman" w:cs="Times New Roman"/>
                <w:iCs/>
                <w:color w:val="000000"/>
                <w:lang w:eastAsia="bg-BG"/>
              </w:rPr>
              <w:t xml:space="preserve"> Министерство на правосъдието (МП)</w:t>
            </w:r>
            <w:r w:rsidR="00B43484" w:rsidRPr="007D063B">
              <w:rPr>
                <w:rFonts w:ascii="Times New Roman" w:eastAsia="Times New Roman" w:hAnsi="Times New Roman" w:cs="Times New Roman"/>
                <w:iCs/>
                <w:color w:val="000000"/>
                <w:lang w:eastAsia="bg-BG"/>
              </w:rPr>
              <w:t xml:space="preserve"> за инвентаризация на ИК инфраструктура, ИС и регистри в сектор „Правосъдие</w:t>
            </w:r>
            <w:r w:rsidR="005726B7" w:rsidRPr="007D063B">
              <w:rPr>
                <w:rFonts w:ascii="Times New Roman" w:eastAsia="Times New Roman" w:hAnsi="Times New Roman" w:cs="Times New Roman"/>
                <w:iCs/>
                <w:color w:val="000000"/>
                <w:lang w:eastAsia="bg-BG"/>
              </w:rPr>
              <w:t>“</w:t>
            </w:r>
            <w:r w:rsidR="003E1B8D" w:rsidRPr="007D063B">
              <w:rPr>
                <w:rFonts w:ascii="Times New Roman" w:eastAsia="Times New Roman" w:hAnsi="Times New Roman" w:cs="Times New Roman"/>
                <w:iCs/>
                <w:color w:val="000000"/>
                <w:lang w:eastAsia="bg-BG"/>
              </w:rPr>
              <w:t xml:space="preserve"> </w:t>
            </w:r>
            <w:r w:rsidRPr="007D063B">
              <w:rPr>
                <w:rFonts w:ascii="Times New Roman" w:eastAsia="Times New Roman" w:hAnsi="Times New Roman" w:cs="Times New Roman"/>
                <w:iCs/>
                <w:color w:val="000000"/>
                <w:lang w:eastAsia="bg-BG"/>
              </w:rPr>
              <w:t>(процедура от ИГРП 2015)</w:t>
            </w:r>
            <w:r w:rsidR="005726B7" w:rsidRPr="007D063B">
              <w:rPr>
                <w:rFonts w:ascii="Times New Roman" w:eastAsia="Times New Roman" w:hAnsi="Times New Roman" w:cs="Times New Roman"/>
                <w:iCs/>
                <w:color w:val="000000"/>
                <w:lang w:eastAsia="bg-BG"/>
              </w:rPr>
              <w:t>.</w:t>
            </w:r>
          </w:p>
          <w:p w14:paraId="2167634E" w14:textId="19E6745A" w:rsidR="009F575F" w:rsidRPr="007D063B" w:rsidRDefault="004D7E1E" w:rsidP="00B43484">
            <w:pPr>
              <w:jc w:val="both"/>
              <w:rPr>
                <w:rFonts w:ascii="Times New Roman" w:eastAsia="Times New Roman" w:hAnsi="Times New Roman" w:cs="Times New Roman"/>
                <w:iCs/>
                <w:color w:val="000000"/>
                <w:lang w:eastAsia="bg-BG"/>
              </w:rPr>
            </w:pPr>
            <w:r w:rsidRPr="007D063B">
              <w:rPr>
                <w:rFonts w:ascii="Times New Roman" w:eastAsia="Times New Roman" w:hAnsi="Times New Roman" w:cs="Times New Roman"/>
                <w:iCs/>
                <w:color w:val="000000"/>
                <w:lang w:eastAsia="bg-BG"/>
              </w:rPr>
              <w:t xml:space="preserve">Процедура </w:t>
            </w:r>
            <w:r w:rsidR="00860475" w:rsidRPr="007D063B">
              <w:rPr>
                <w:rFonts w:ascii="Times New Roman" w:eastAsia="Times New Roman" w:hAnsi="Times New Roman" w:cs="Times New Roman"/>
                <w:iCs/>
                <w:color w:val="000000"/>
                <w:lang w:eastAsia="bg-BG"/>
              </w:rPr>
              <w:t>BG05SFOP001-3.001</w:t>
            </w:r>
            <w:r w:rsidR="00CF1BF4" w:rsidRPr="007D063B">
              <w:rPr>
                <w:rFonts w:ascii="Times New Roman" w:eastAsia="Times New Roman" w:hAnsi="Times New Roman" w:cs="Times New Roman"/>
                <w:iCs/>
                <w:color w:val="000000"/>
                <w:lang w:eastAsia="bg-BG"/>
              </w:rPr>
              <w:t xml:space="preserve"> </w:t>
            </w:r>
            <w:r w:rsidRPr="007D063B">
              <w:rPr>
                <w:rFonts w:ascii="Times New Roman" w:eastAsia="Times New Roman" w:hAnsi="Times New Roman" w:cs="Times New Roman"/>
                <w:iCs/>
                <w:color w:val="000000"/>
                <w:lang w:eastAsia="bg-BG"/>
              </w:rPr>
              <w:t xml:space="preserve">е отворена на 17.11.2015 г. </w:t>
            </w:r>
            <w:r w:rsidR="00860475" w:rsidRPr="007D063B">
              <w:rPr>
                <w:rFonts w:ascii="Times New Roman" w:eastAsia="Times New Roman" w:hAnsi="Times New Roman" w:cs="Times New Roman"/>
                <w:iCs/>
                <w:color w:val="000000"/>
                <w:lang w:eastAsia="bg-BG"/>
              </w:rPr>
              <w:t>със срок за кандидатстване 31.12.2016 г.</w:t>
            </w:r>
            <w:r w:rsidRPr="007D063B">
              <w:rPr>
                <w:rFonts w:ascii="Times New Roman" w:eastAsia="Times New Roman" w:hAnsi="Times New Roman" w:cs="Times New Roman"/>
                <w:iCs/>
                <w:color w:val="000000"/>
                <w:lang w:eastAsia="bg-BG"/>
              </w:rPr>
              <w:t xml:space="preserve">. Процедурата е с общ бюджет от 35 млн. лв. </w:t>
            </w:r>
            <w:r w:rsidR="009739AC" w:rsidRPr="007D063B">
              <w:rPr>
                <w:rFonts w:ascii="Times New Roman" w:eastAsia="Times New Roman" w:hAnsi="Times New Roman" w:cs="Times New Roman"/>
                <w:iCs/>
                <w:color w:val="000000"/>
                <w:lang w:eastAsia="bg-BG"/>
              </w:rPr>
              <w:t xml:space="preserve">Получени са 22 проектни предложения, 3 от които са в изпълнение от </w:t>
            </w:r>
            <w:r w:rsidR="00BB157F" w:rsidRPr="007D063B">
              <w:rPr>
                <w:rFonts w:ascii="Times New Roman" w:eastAsia="Times New Roman" w:hAnsi="Times New Roman" w:cs="Times New Roman"/>
                <w:iCs/>
                <w:color w:val="000000"/>
                <w:lang w:eastAsia="bg-BG"/>
              </w:rPr>
              <w:t>втората половина на 2016 г.</w:t>
            </w:r>
            <w:r w:rsidR="00EA734F" w:rsidRPr="007D063B">
              <w:rPr>
                <w:rFonts w:ascii="Times New Roman" w:eastAsia="Times New Roman" w:hAnsi="Times New Roman" w:cs="Times New Roman"/>
                <w:iCs/>
                <w:color w:val="000000"/>
                <w:lang w:eastAsia="bg-BG"/>
              </w:rPr>
              <w:t xml:space="preserve"> – 2 на ВСС и 1 на МП</w:t>
            </w:r>
            <w:r w:rsidR="00C83791" w:rsidRPr="007D063B">
              <w:rPr>
                <w:rFonts w:ascii="Times New Roman" w:hAnsi="Times New Roman" w:cs="Times New Roman"/>
                <w:shd w:val="clear" w:color="auto" w:fill="FFFFFF"/>
              </w:rPr>
              <w:t>.</w:t>
            </w:r>
            <w:r w:rsidR="00442DEE" w:rsidRPr="007D063B">
              <w:rPr>
                <w:rFonts w:ascii="Times New Roman" w:hAnsi="Times New Roman" w:cs="Times New Roman"/>
                <w:shd w:val="clear" w:color="auto" w:fill="FFFFFF"/>
              </w:rPr>
              <w:t xml:space="preserve"> </w:t>
            </w:r>
            <w:r w:rsidR="006E7278" w:rsidRPr="007D063B">
              <w:rPr>
                <w:rFonts w:ascii="Times New Roman" w:eastAsia="Times New Roman" w:hAnsi="Times New Roman" w:cs="Times New Roman"/>
                <w:iCs/>
                <w:color w:val="000000"/>
                <w:lang w:eastAsia="bg-BG"/>
              </w:rPr>
              <w:t>Останалите 19 проекта са в оценка.</w:t>
            </w:r>
          </w:p>
          <w:p w14:paraId="2A1A56B3" w14:textId="5E25D660" w:rsidR="001F279F" w:rsidRPr="007D063B" w:rsidRDefault="00E133C6" w:rsidP="00B43484">
            <w:pPr>
              <w:jc w:val="both"/>
              <w:rPr>
                <w:rFonts w:ascii="Times New Roman" w:eastAsia="Times New Roman" w:hAnsi="Times New Roman" w:cs="Times New Roman"/>
                <w:iCs/>
                <w:color w:val="000000"/>
                <w:lang w:eastAsia="bg-BG"/>
              </w:rPr>
            </w:pPr>
            <w:r w:rsidRPr="007D063B">
              <w:rPr>
                <w:rFonts w:ascii="Times New Roman" w:eastAsia="Times New Roman" w:hAnsi="Times New Roman" w:cs="Times New Roman"/>
                <w:iCs/>
                <w:color w:val="000000"/>
                <w:lang w:eastAsia="bg-BG"/>
              </w:rPr>
              <w:t xml:space="preserve">УО на ОПДУ не очакваше </w:t>
            </w:r>
            <w:r w:rsidR="001F279F" w:rsidRPr="007D063B">
              <w:rPr>
                <w:rFonts w:ascii="Times New Roman" w:eastAsia="Times New Roman" w:hAnsi="Times New Roman" w:cs="Times New Roman"/>
                <w:iCs/>
                <w:color w:val="000000"/>
                <w:lang w:eastAsia="bg-BG"/>
              </w:rPr>
              <w:t>съдебната система</w:t>
            </w:r>
            <w:r w:rsidRPr="007D063B">
              <w:rPr>
                <w:rFonts w:ascii="Times New Roman" w:eastAsia="Times New Roman" w:hAnsi="Times New Roman" w:cs="Times New Roman"/>
                <w:iCs/>
                <w:color w:val="000000"/>
                <w:lang w:eastAsia="bg-BG"/>
              </w:rPr>
              <w:t xml:space="preserve"> да прояви ниска активност в подготовката и подаването на проектните предложения в периода, в който бе отворена процедурата. </w:t>
            </w:r>
            <w:r w:rsidR="001F279F" w:rsidRPr="007D063B">
              <w:rPr>
                <w:rFonts w:ascii="Times New Roman" w:eastAsia="Times New Roman" w:hAnsi="Times New Roman" w:cs="Times New Roman"/>
                <w:iCs/>
                <w:color w:val="000000"/>
                <w:lang w:eastAsia="bg-BG"/>
              </w:rPr>
              <w:t xml:space="preserve"> По-голямата част от тях бяха подадени в последните 15 дни на 2016 г. непосредствено преди изтичането на крайния срок.</w:t>
            </w:r>
            <w:r w:rsidRPr="007D063B">
              <w:rPr>
                <w:rFonts w:ascii="Times New Roman" w:eastAsia="Times New Roman" w:hAnsi="Times New Roman" w:cs="Times New Roman"/>
                <w:iCs/>
                <w:color w:val="000000"/>
                <w:lang w:eastAsia="bg-BG"/>
              </w:rPr>
              <w:t xml:space="preserve">  </w:t>
            </w:r>
            <w:r w:rsidR="001F279F" w:rsidRPr="007D063B">
              <w:rPr>
                <w:rFonts w:ascii="Times New Roman" w:eastAsia="Times New Roman" w:hAnsi="Times New Roman" w:cs="Times New Roman"/>
                <w:iCs/>
                <w:color w:val="000000"/>
                <w:lang w:eastAsia="bg-BG"/>
              </w:rPr>
              <w:t xml:space="preserve"> </w:t>
            </w:r>
          </w:p>
          <w:p w14:paraId="2A6A4C3C" w14:textId="281822B4" w:rsidR="001F279F" w:rsidRPr="007D063B" w:rsidRDefault="004D7E1E" w:rsidP="00B43484">
            <w:pPr>
              <w:jc w:val="both"/>
              <w:rPr>
                <w:rFonts w:ascii="Times New Roman" w:eastAsia="Times New Roman" w:hAnsi="Times New Roman" w:cs="Times New Roman"/>
                <w:iCs/>
                <w:color w:val="000000"/>
                <w:lang w:eastAsia="bg-BG"/>
              </w:rPr>
            </w:pPr>
            <w:r w:rsidRPr="007D063B">
              <w:rPr>
                <w:rFonts w:ascii="Times New Roman" w:eastAsia="Times New Roman" w:hAnsi="Times New Roman" w:cs="Times New Roman"/>
                <w:iCs/>
                <w:color w:val="000000"/>
                <w:lang w:eastAsia="bg-BG"/>
              </w:rPr>
              <w:t xml:space="preserve">Процедура </w:t>
            </w:r>
            <w:r w:rsidR="001F279F" w:rsidRPr="007D063B">
              <w:rPr>
                <w:rFonts w:ascii="Times New Roman" w:eastAsia="Times New Roman" w:hAnsi="Times New Roman" w:cs="Times New Roman"/>
                <w:iCs/>
                <w:color w:val="000000"/>
                <w:lang w:eastAsia="bg-BG"/>
              </w:rPr>
              <w:t xml:space="preserve">за </w:t>
            </w:r>
            <w:r w:rsidR="009E4A72" w:rsidRPr="007D063B">
              <w:rPr>
                <w:rFonts w:ascii="Times New Roman" w:eastAsia="Times New Roman" w:hAnsi="Times New Roman" w:cs="Times New Roman"/>
                <w:iCs/>
                <w:color w:val="000000"/>
                <w:lang w:eastAsia="bg-BG"/>
              </w:rPr>
              <w:t xml:space="preserve">НИП </w:t>
            </w:r>
            <w:r w:rsidRPr="007D063B">
              <w:rPr>
                <w:rFonts w:ascii="Times New Roman" w:eastAsia="Times New Roman" w:hAnsi="Times New Roman" w:cs="Times New Roman"/>
                <w:iCs/>
                <w:color w:val="000000"/>
                <w:lang w:eastAsia="bg-BG"/>
              </w:rPr>
              <w:t>е отворена на 18.11.2015 г.</w:t>
            </w:r>
            <w:r w:rsidR="00BB157F" w:rsidRPr="007D063B">
              <w:rPr>
                <w:rFonts w:ascii="Times New Roman" w:eastAsia="Times New Roman" w:hAnsi="Times New Roman" w:cs="Times New Roman"/>
                <w:iCs/>
                <w:color w:val="000000"/>
                <w:lang w:eastAsia="bg-BG"/>
              </w:rPr>
              <w:t xml:space="preserve"> </w:t>
            </w:r>
            <w:r w:rsidR="009E4A72" w:rsidRPr="007D063B">
              <w:rPr>
                <w:rFonts w:ascii="Times New Roman" w:eastAsia="Times New Roman" w:hAnsi="Times New Roman" w:cs="Times New Roman"/>
                <w:iCs/>
                <w:color w:val="000000"/>
                <w:lang w:eastAsia="bg-BG"/>
              </w:rPr>
              <w:t xml:space="preserve">със срок за кандидатстване 31.12.2016 г. и </w:t>
            </w:r>
            <w:r w:rsidRPr="007D063B">
              <w:rPr>
                <w:rFonts w:ascii="Times New Roman" w:eastAsia="Times New Roman" w:hAnsi="Times New Roman" w:cs="Times New Roman"/>
                <w:iCs/>
                <w:color w:val="000000"/>
                <w:lang w:eastAsia="bg-BG"/>
              </w:rPr>
              <w:t xml:space="preserve">общ бюджет от 10 млн. лв. </w:t>
            </w:r>
            <w:r w:rsidR="00BB157F" w:rsidRPr="007D063B">
              <w:rPr>
                <w:rFonts w:ascii="Times New Roman" w:eastAsia="Times New Roman" w:hAnsi="Times New Roman" w:cs="Times New Roman"/>
                <w:iCs/>
                <w:color w:val="000000"/>
                <w:lang w:eastAsia="bg-BG"/>
              </w:rPr>
              <w:t xml:space="preserve">НИП е подал 2 проектни предложения, едно от които е в изпълнение от </w:t>
            </w:r>
            <w:r w:rsidR="00E12EE5" w:rsidRPr="007D063B">
              <w:rPr>
                <w:rFonts w:ascii="Times New Roman" w:eastAsia="Times New Roman" w:hAnsi="Times New Roman" w:cs="Times New Roman"/>
                <w:iCs/>
                <w:color w:val="000000"/>
                <w:lang w:eastAsia="bg-BG"/>
              </w:rPr>
              <w:t>11.11.</w:t>
            </w:r>
            <w:r w:rsidR="00BB157F" w:rsidRPr="007D063B">
              <w:rPr>
                <w:rFonts w:ascii="Times New Roman" w:eastAsia="Times New Roman" w:hAnsi="Times New Roman" w:cs="Times New Roman"/>
                <w:iCs/>
                <w:color w:val="000000"/>
                <w:lang w:eastAsia="bg-BG"/>
              </w:rPr>
              <w:t>2016 г.</w:t>
            </w:r>
            <w:r w:rsidR="00EA734F" w:rsidRPr="007D063B">
              <w:rPr>
                <w:rFonts w:ascii="Times New Roman" w:eastAsia="Times New Roman" w:hAnsi="Times New Roman" w:cs="Times New Roman"/>
                <w:iCs/>
                <w:color w:val="000000"/>
                <w:lang w:eastAsia="bg-BG"/>
              </w:rPr>
              <w:t xml:space="preserve"> Второто проектно предложение е в оценка.</w:t>
            </w:r>
            <w:r w:rsidR="00082894" w:rsidRPr="007D063B">
              <w:rPr>
                <w:rFonts w:ascii="Times New Roman" w:eastAsia="Times New Roman" w:hAnsi="Times New Roman" w:cs="Times New Roman"/>
                <w:iCs/>
                <w:color w:val="000000"/>
                <w:lang w:eastAsia="bg-BG"/>
              </w:rPr>
              <w:t xml:space="preserve"> </w:t>
            </w:r>
          </w:p>
          <w:p w14:paraId="3704799C" w14:textId="2ECA92CA" w:rsidR="002129F9" w:rsidRPr="007D063B" w:rsidRDefault="002D7ACF" w:rsidP="00C80D3F">
            <w:pPr>
              <w:jc w:val="both"/>
              <w:rPr>
                <w:rFonts w:ascii="Times New Roman" w:eastAsia="Times New Roman" w:hAnsi="Times New Roman" w:cs="Times New Roman"/>
                <w:iCs/>
                <w:color w:val="000000"/>
                <w:lang w:eastAsia="bg-BG"/>
              </w:rPr>
            </w:pPr>
            <w:r w:rsidRPr="007D063B">
              <w:rPr>
                <w:rFonts w:ascii="Times New Roman" w:eastAsia="Times New Roman" w:hAnsi="Times New Roman" w:cs="Times New Roman"/>
                <w:iCs/>
                <w:color w:val="000000"/>
                <w:lang w:eastAsia="bg-BG"/>
              </w:rPr>
              <w:t xml:space="preserve">Относно изпълнението на проектите </w:t>
            </w:r>
            <w:r w:rsidR="006156EF" w:rsidRPr="007D063B">
              <w:rPr>
                <w:rFonts w:ascii="Times New Roman" w:eastAsia="Times New Roman" w:hAnsi="Times New Roman" w:cs="Times New Roman"/>
                <w:iCs/>
                <w:color w:val="000000"/>
                <w:lang w:eastAsia="bg-BG"/>
              </w:rPr>
              <w:t>на</w:t>
            </w:r>
            <w:r w:rsidRPr="007D063B">
              <w:rPr>
                <w:rFonts w:ascii="Times New Roman" w:eastAsia="Times New Roman" w:hAnsi="Times New Roman" w:cs="Times New Roman"/>
                <w:iCs/>
                <w:color w:val="000000"/>
                <w:lang w:eastAsia="bg-BG"/>
              </w:rPr>
              <w:t xml:space="preserve"> </w:t>
            </w:r>
            <w:r w:rsidR="001F279F" w:rsidRPr="007D063B">
              <w:rPr>
                <w:rFonts w:ascii="Times New Roman" w:eastAsia="Times New Roman" w:hAnsi="Times New Roman" w:cs="Times New Roman"/>
                <w:iCs/>
                <w:color w:val="000000"/>
                <w:lang w:eastAsia="bg-BG"/>
              </w:rPr>
              <w:t>МП</w:t>
            </w:r>
            <w:r w:rsidR="00DF10D3" w:rsidRPr="007D063B">
              <w:rPr>
                <w:rFonts w:ascii="Times New Roman" w:eastAsia="Times New Roman" w:hAnsi="Times New Roman" w:cs="Times New Roman"/>
                <w:iCs/>
                <w:color w:val="000000"/>
                <w:lang w:eastAsia="bg-BG"/>
              </w:rPr>
              <w:t xml:space="preserve"> </w:t>
            </w:r>
            <w:r w:rsidRPr="007D063B">
              <w:rPr>
                <w:rFonts w:ascii="Times New Roman" w:eastAsia="Times New Roman" w:hAnsi="Times New Roman" w:cs="Times New Roman"/>
                <w:iCs/>
                <w:color w:val="000000"/>
                <w:lang w:eastAsia="bg-BG"/>
              </w:rPr>
              <w:t>и Висшия съдебен съвет (ВСС)</w:t>
            </w:r>
            <w:r w:rsidR="00300120" w:rsidRPr="007D063B">
              <w:rPr>
                <w:rFonts w:ascii="Times New Roman" w:eastAsia="Times New Roman" w:hAnsi="Times New Roman" w:cs="Times New Roman"/>
                <w:iCs/>
                <w:color w:val="000000"/>
                <w:lang w:eastAsia="bg-BG"/>
              </w:rPr>
              <w:t xml:space="preserve"> </w:t>
            </w:r>
            <w:r w:rsidRPr="007D063B">
              <w:rPr>
                <w:rFonts w:ascii="Times New Roman" w:eastAsia="Times New Roman" w:hAnsi="Times New Roman" w:cs="Times New Roman"/>
                <w:iCs/>
                <w:color w:val="000000"/>
                <w:lang w:eastAsia="bg-BG"/>
              </w:rPr>
              <w:t>се констатира значително изоставане от плана за изпълнение на дейностите, поради забавяне в процеса по подготовка и обявяване на обществените поръчки за избор на изпълнители. По проект „Създаване на модел за оптимизация на съдебната карта на българските съдилища и прокуратури и разработване на Единна информационна система на съдилищата“ на ВСС, планираните процедури за избор на изпълнители за изпълнение на дейностите не са обявени</w:t>
            </w:r>
            <w:r w:rsidR="001E13B2" w:rsidRPr="007D063B">
              <w:rPr>
                <w:rFonts w:ascii="Times New Roman" w:eastAsia="Times New Roman" w:hAnsi="Times New Roman" w:cs="Times New Roman"/>
                <w:iCs/>
                <w:color w:val="000000"/>
                <w:lang w:eastAsia="bg-BG"/>
              </w:rPr>
              <w:t xml:space="preserve"> към края на 2016</w:t>
            </w:r>
            <w:r w:rsidR="00C80D3F" w:rsidRPr="007D063B">
              <w:rPr>
                <w:rFonts w:ascii="Times New Roman" w:eastAsia="Times New Roman" w:hAnsi="Times New Roman" w:cs="Times New Roman"/>
                <w:iCs/>
                <w:color w:val="000000"/>
                <w:lang w:eastAsia="bg-BG"/>
              </w:rPr>
              <w:t xml:space="preserve"> г</w:t>
            </w:r>
            <w:r w:rsidRPr="007D063B">
              <w:rPr>
                <w:rFonts w:ascii="Times New Roman" w:eastAsia="Times New Roman" w:hAnsi="Times New Roman" w:cs="Times New Roman"/>
                <w:iCs/>
                <w:color w:val="000000"/>
                <w:lang w:eastAsia="bg-BG"/>
              </w:rPr>
              <w:t>. Изпълнението на проекта на Националния институт на правосъдието</w:t>
            </w:r>
            <w:r w:rsidR="00947D27" w:rsidRPr="007D063B">
              <w:rPr>
                <w:rFonts w:ascii="Times New Roman" w:eastAsia="Times New Roman" w:hAnsi="Times New Roman" w:cs="Times New Roman"/>
                <w:iCs/>
                <w:color w:val="000000"/>
                <w:lang w:eastAsia="bg-BG"/>
              </w:rPr>
              <w:t xml:space="preserve"> (</w:t>
            </w:r>
            <w:r w:rsidR="00947D27" w:rsidRPr="007D063B">
              <w:rPr>
                <w:rFonts w:ascii="Times New Roman" w:hAnsi="Times New Roman" w:cs="Times New Roman"/>
              </w:rPr>
              <w:t xml:space="preserve">BG05SFOP001-3.002-0001) </w:t>
            </w:r>
            <w:r w:rsidRPr="007D063B">
              <w:rPr>
                <w:rFonts w:ascii="Times New Roman" w:eastAsia="Times New Roman" w:hAnsi="Times New Roman" w:cs="Times New Roman"/>
                <w:iCs/>
                <w:color w:val="000000"/>
                <w:lang w:eastAsia="bg-BG"/>
              </w:rPr>
              <w:t xml:space="preserve">е стартирало и същият се изпълнява </w:t>
            </w:r>
            <w:r w:rsidR="00C80D3F" w:rsidRPr="007D063B">
              <w:rPr>
                <w:rFonts w:ascii="Times New Roman" w:eastAsia="Times New Roman" w:hAnsi="Times New Roman" w:cs="Times New Roman"/>
                <w:iCs/>
                <w:color w:val="000000"/>
                <w:lang w:eastAsia="bg-BG"/>
              </w:rPr>
              <w:t>съгласно</w:t>
            </w:r>
            <w:r w:rsidRPr="007D063B">
              <w:rPr>
                <w:rFonts w:ascii="Times New Roman" w:eastAsia="Times New Roman" w:hAnsi="Times New Roman" w:cs="Times New Roman"/>
                <w:iCs/>
                <w:color w:val="000000"/>
                <w:lang w:eastAsia="bg-BG"/>
              </w:rPr>
              <w:t xml:space="preserve"> одобрения план, като по него се отчитат индикатори за изпълнение и резултат. </w:t>
            </w:r>
          </w:p>
        </w:tc>
      </w:tr>
    </w:tbl>
    <w:p w14:paraId="0726A87A" w14:textId="77777777" w:rsidR="00D279B7" w:rsidRPr="007D063B" w:rsidRDefault="00D279B7" w:rsidP="00B43484">
      <w:pPr>
        <w:rPr>
          <w:rFonts w:ascii="Times New Roman" w:eastAsia="Times New Roman" w:hAnsi="Times New Roman" w:cs="Times New Roman"/>
          <w:b/>
          <w:bCs/>
          <w:color w:val="000000"/>
          <w:sz w:val="24"/>
          <w:szCs w:val="24"/>
          <w:lang w:eastAsia="bg-BG"/>
        </w:rPr>
      </w:pPr>
    </w:p>
    <w:p w14:paraId="2E40FE3C" w14:textId="1DBD6DB6" w:rsidR="00D279B7" w:rsidRPr="007D063B" w:rsidRDefault="00D279B7" w:rsidP="00D279B7">
      <w:pPr>
        <w:pStyle w:val="Heading2"/>
        <w:rPr>
          <w:rFonts w:ascii="inherit" w:eastAsia="Times New Roman" w:hAnsi="inherit" w:cs="Times New Roman"/>
          <w:b/>
          <w:bCs/>
          <w:color w:val="000000"/>
          <w:sz w:val="24"/>
          <w:szCs w:val="24"/>
          <w:lang w:eastAsia="bg-BG"/>
        </w:rPr>
      </w:pPr>
      <w:bookmarkStart w:id="16" w:name="_Toc481594277"/>
      <w:r w:rsidRPr="007D063B">
        <w:rPr>
          <w:rFonts w:ascii="Times New Roman" w:eastAsia="Times New Roman" w:hAnsi="Times New Roman" w:cs="Times New Roman"/>
          <w:b/>
          <w:bCs/>
          <w:color w:val="000000"/>
          <w:sz w:val="24"/>
          <w:szCs w:val="24"/>
          <w:lang w:eastAsia="bg-BG"/>
        </w:rPr>
        <w:lastRenderedPageBreak/>
        <w:t>3.2   </w:t>
      </w:r>
      <w:r w:rsidRPr="007D063B">
        <w:rPr>
          <w:rFonts w:ascii="inherit" w:eastAsia="Times New Roman" w:hAnsi="inherit" w:cs="Times New Roman"/>
          <w:b/>
          <w:bCs/>
          <w:color w:val="000000"/>
          <w:sz w:val="24"/>
          <w:szCs w:val="24"/>
          <w:lang w:eastAsia="bg-BG"/>
        </w:rPr>
        <w:t>Общи и специфични за програмата показатели (член 50, параграф 2 от Регламент (ЕС) № 1303/2013) – приоритетна ос 3</w:t>
      </w:r>
      <w:bookmarkEnd w:id="16"/>
    </w:p>
    <w:p w14:paraId="5655DD6C" w14:textId="77777777" w:rsidR="00B54C34" w:rsidRPr="007D063B" w:rsidRDefault="00B54C34" w:rsidP="00B54C34">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Данните за общите и специфичните за програмата показатели по инвестиционен приоритет, предавани в таблици 1—4 по-долу.</w:t>
      </w:r>
    </w:p>
    <w:p w14:paraId="371C6CC0" w14:textId="77777777" w:rsidR="00B54C34" w:rsidRPr="007D063B" w:rsidRDefault="00B54C34" w:rsidP="00B54C34">
      <w:pPr>
        <w:shd w:val="clear" w:color="auto" w:fill="FFFFFF"/>
        <w:spacing w:before="120" w:after="120" w:line="240" w:lineRule="auto"/>
        <w:jc w:val="center"/>
        <w:rPr>
          <w:rFonts w:eastAsia="Times New Roman" w:cs="Times New Roman"/>
          <w:i/>
          <w:iCs/>
          <w:color w:val="000000"/>
          <w:sz w:val="24"/>
          <w:szCs w:val="24"/>
          <w:lang w:eastAsia="bg-BG"/>
        </w:rPr>
      </w:pPr>
    </w:p>
    <w:p w14:paraId="5884C688" w14:textId="6EDDD5A1" w:rsidR="00B54C34" w:rsidRPr="007D063B" w:rsidRDefault="00B54C34" w:rsidP="00B54C34">
      <w:pPr>
        <w:rPr>
          <w:rFonts w:ascii="inherit" w:eastAsia="Times New Roman" w:hAnsi="inherit" w:cs="Times New Roman"/>
          <w:i/>
          <w:iCs/>
          <w:color w:val="000000"/>
          <w:sz w:val="24"/>
          <w:szCs w:val="24"/>
          <w:lang w:eastAsia="bg-BG"/>
        </w:rPr>
      </w:pPr>
      <w:r w:rsidRPr="007D063B">
        <w:rPr>
          <w:rFonts w:ascii="inherit" w:eastAsia="Times New Roman" w:hAnsi="inherit" w:cs="Times New Roman"/>
          <w:i/>
          <w:iCs/>
          <w:color w:val="000000"/>
          <w:sz w:val="24"/>
          <w:szCs w:val="24"/>
          <w:lang w:eastAsia="bg-BG"/>
        </w:rPr>
        <w:br w:type="page"/>
      </w:r>
    </w:p>
    <w:p w14:paraId="78C145DD" w14:textId="7475647C" w:rsidR="00B54C34" w:rsidRPr="007D063B" w:rsidRDefault="00B54C34" w:rsidP="006E7278">
      <w:pPr>
        <w:pStyle w:val="Heading3"/>
        <w:jc w:val="center"/>
        <w:rPr>
          <w:rFonts w:ascii="Times New Roman" w:eastAsia="Times New Roman" w:hAnsi="Times New Roman" w:cs="Times New Roman"/>
          <w:color w:val="000000"/>
          <w:lang w:eastAsia="bg-BG"/>
        </w:rPr>
      </w:pPr>
      <w:bookmarkStart w:id="17" w:name="_Toc481594278"/>
      <w:r w:rsidRPr="007D063B">
        <w:rPr>
          <w:rFonts w:ascii="inherit" w:eastAsia="Times New Roman" w:hAnsi="inherit" w:cs="Times New Roman"/>
          <w:i/>
          <w:iCs/>
          <w:color w:val="000000"/>
          <w:lang w:eastAsia="bg-BG"/>
        </w:rPr>
        <w:lastRenderedPageBreak/>
        <w:t>Таблица 2А</w:t>
      </w:r>
      <w:bookmarkEnd w:id="17"/>
    </w:p>
    <w:p w14:paraId="29A23628" w14:textId="77777777" w:rsidR="00B54C34" w:rsidRPr="007D063B" w:rsidRDefault="00B54C34" w:rsidP="00B54C34">
      <w:pPr>
        <w:shd w:val="clear" w:color="auto" w:fill="FFFFFF"/>
        <w:spacing w:before="120" w:after="120" w:line="240" w:lineRule="auto"/>
        <w:jc w:val="center"/>
        <w:rPr>
          <w:rFonts w:ascii="Times New Roman" w:eastAsia="Times New Roman" w:hAnsi="Times New Roman" w:cs="Times New Roman"/>
          <w:color w:val="000000"/>
          <w:sz w:val="24"/>
          <w:szCs w:val="24"/>
          <w:lang w:eastAsia="bg-BG"/>
        </w:rPr>
      </w:pPr>
      <w:r w:rsidRPr="007D063B">
        <w:rPr>
          <w:rFonts w:ascii="inherit" w:eastAsia="Times New Roman" w:hAnsi="inherit" w:cs="Times New Roman"/>
          <w:b/>
          <w:bCs/>
          <w:color w:val="000000"/>
          <w:sz w:val="24"/>
          <w:szCs w:val="24"/>
          <w:lang w:eastAsia="bg-BG"/>
        </w:rPr>
        <w:t>Общи показатели за резултатите за ЕСФ (по приоритетна ос, инвестиционен приоритет и по категория регион). Данните за всички общи показатели за резултатите по ЕСФ (със и без целева стойност) се отчитат с разпределение по пол. По приоритетната ос за техническа помощ се отчитат само тези общи показатели, за които е определена целева стойност</w:t>
      </w:r>
      <w:r w:rsidRPr="007D063B">
        <w:rPr>
          <w:rFonts w:ascii="Times New Roman" w:eastAsia="Times New Roman" w:hAnsi="Times New Roman" w:cs="Times New Roman"/>
          <w:color w:val="000000"/>
          <w:sz w:val="24"/>
          <w:szCs w:val="24"/>
          <w:lang w:eastAsia="bg-BG"/>
        </w:rPr>
        <w:t> </w:t>
      </w:r>
      <w:hyperlink r:id="rId32" w:anchor="ntr4-L_2015038BG.01007201-E0004" w:history="1">
        <w:r w:rsidRPr="007D063B">
          <w:rPr>
            <w:rFonts w:ascii="inherit" w:eastAsia="Times New Roman" w:hAnsi="inherit" w:cs="Times New Roman"/>
            <w:color w:val="0000FF"/>
            <w:sz w:val="24"/>
            <w:szCs w:val="24"/>
            <w:u w:val="single"/>
            <w:lang w:eastAsia="bg-BG"/>
          </w:rPr>
          <w:t> (</w:t>
        </w:r>
        <w:r w:rsidRPr="007D063B">
          <w:rPr>
            <w:rFonts w:ascii="inherit" w:eastAsia="Times New Roman" w:hAnsi="inherit" w:cs="Times New Roman"/>
            <w:color w:val="0000FF"/>
            <w:sz w:val="17"/>
            <w:szCs w:val="17"/>
            <w:u w:val="single"/>
            <w:vertAlign w:val="superscript"/>
            <w:lang w:eastAsia="bg-BG"/>
          </w:rPr>
          <w:t>4</w:t>
        </w:r>
        <w:r w:rsidRPr="007D063B">
          <w:rPr>
            <w:rFonts w:ascii="inherit" w:eastAsia="Times New Roman" w:hAnsi="inherit" w:cs="Times New Roman"/>
            <w:color w:val="0000FF"/>
            <w:sz w:val="24"/>
            <w:szCs w:val="24"/>
            <w:u w:val="single"/>
            <w:lang w:eastAsia="bg-BG"/>
          </w:rPr>
          <w:t>)</w:t>
        </w:r>
      </w:hyperlink>
      <w:r w:rsidRPr="007D063B">
        <w:rPr>
          <w:rFonts w:ascii="Times New Roman" w:eastAsia="Times New Roman" w:hAnsi="Times New Roman" w:cs="Times New Roman"/>
          <w:color w:val="000000"/>
          <w:sz w:val="24"/>
          <w:szCs w:val="24"/>
          <w:lang w:eastAsia="bg-BG"/>
        </w:rPr>
        <w:t> </w:t>
      </w:r>
      <w:hyperlink r:id="rId33" w:anchor="ntr5-L_2015038BG.01007201-E0005" w:history="1">
        <w:r w:rsidRPr="007D063B">
          <w:rPr>
            <w:rFonts w:ascii="inherit" w:eastAsia="Times New Roman" w:hAnsi="inherit" w:cs="Times New Roman"/>
            <w:color w:val="0000FF"/>
            <w:sz w:val="24"/>
            <w:szCs w:val="24"/>
            <w:u w:val="single"/>
            <w:lang w:eastAsia="bg-BG"/>
          </w:rPr>
          <w:t> (</w:t>
        </w:r>
        <w:r w:rsidRPr="007D063B">
          <w:rPr>
            <w:rFonts w:ascii="inherit" w:eastAsia="Times New Roman" w:hAnsi="inherit" w:cs="Times New Roman"/>
            <w:color w:val="0000FF"/>
            <w:sz w:val="17"/>
            <w:szCs w:val="17"/>
            <w:u w:val="single"/>
            <w:vertAlign w:val="superscript"/>
            <w:lang w:eastAsia="bg-BG"/>
          </w:rPr>
          <w:t>5</w:t>
        </w:r>
        <w:r w:rsidRPr="007D063B">
          <w:rPr>
            <w:rFonts w:ascii="inherit" w:eastAsia="Times New Roman" w:hAnsi="inherit" w:cs="Times New Roman"/>
            <w:color w:val="0000FF"/>
            <w:sz w:val="24"/>
            <w:szCs w:val="24"/>
            <w:u w:val="single"/>
            <w:lang w:eastAsia="bg-BG"/>
          </w:rPr>
          <w:t>)</w:t>
        </w:r>
      </w:hyperlink>
    </w:p>
    <w:p w14:paraId="4F047492" w14:textId="77777777" w:rsidR="00B54C34" w:rsidRPr="007D063B" w:rsidRDefault="00B54C34" w:rsidP="00B54C34">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Инвестиционен приоритет:</w:t>
      </w:r>
    </w:p>
    <w:p w14:paraId="78F8EF49" w14:textId="77777777" w:rsidR="00B54C34" w:rsidRPr="007D063B" w:rsidRDefault="00B54C34" w:rsidP="00B54C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xml:space="preserve">Инвестиционен приоритет № 11 </w:t>
      </w:r>
      <w:r w:rsidRPr="007D063B">
        <w:rPr>
          <w:rFonts w:ascii="Times New Roman" w:eastAsia="Times New Roman" w:hAnsi="Times New Roman" w:cs="Times New Roman"/>
          <w:color w:val="000000"/>
          <w:sz w:val="24"/>
          <w:szCs w:val="24"/>
          <w:lang w:val="en-US" w:eastAsia="bg-BG"/>
        </w:rPr>
        <w:t>i</w:t>
      </w:r>
      <w:r w:rsidRPr="007D063B">
        <w:rPr>
          <w:rFonts w:ascii="Times New Roman" w:eastAsia="Times New Roman" w:hAnsi="Times New Roman" w:cs="Times New Roman"/>
          <w:color w:val="000000"/>
          <w:sz w:val="24"/>
          <w:szCs w:val="24"/>
          <w:lang w:eastAsia="bg-BG"/>
        </w:rPr>
        <w:t>: Инвестиции в институционален капацитет и в ефикасността на публичните администрации и публичните услуги на национално, регионално и местно равнище с цел осъществяването на реформи и постигането на по-добро регулиране и добро управление</w:t>
      </w:r>
    </w:p>
    <w:p w14:paraId="0100B318" w14:textId="77777777" w:rsidR="00B54C34" w:rsidRPr="007D063B" w:rsidRDefault="00B54C34" w:rsidP="00B54C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Категория регион: По-слабо развити региони</w:t>
      </w:r>
    </w:p>
    <w:tbl>
      <w:tblPr>
        <w:tblW w:w="5064" w:type="pct"/>
        <w:jc w:val="center"/>
        <w:tblCellSpacing w:w="0"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left w:w="0" w:type="dxa"/>
          <w:right w:w="0" w:type="dxa"/>
        </w:tblCellMar>
        <w:tblLook w:val="04A0" w:firstRow="1" w:lastRow="0" w:firstColumn="1" w:lastColumn="0" w:noHBand="0" w:noVBand="1"/>
      </w:tblPr>
      <w:tblGrid>
        <w:gridCol w:w="701"/>
        <w:gridCol w:w="1280"/>
        <w:gridCol w:w="427"/>
        <w:gridCol w:w="996"/>
        <w:gridCol w:w="712"/>
        <w:gridCol w:w="991"/>
        <w:gridCol w:w="285"/>
        <w:gridCol w:w="289"/>
        <w:gridCol w:w="286"/>
        <w:gridCol w:w="426"/>
        <w:gridCol w:w="285"/>
        <w:gridCol w:w="284"/>
        <w:gridCol w:w="286"/>
        <w:gridCol w:w="30"/>
        <w:gridCol w:w="396"/>
        <w:gridCol w:w="115"/>
        <w:gridCol w:w="26"/>
        <w:gridCol w:w="32"/>
        <w:gridCol w:w="218"/>
        <w:gridCol w:w="32"/>
        <w:gridCol w:w="287"/>
        <w:gridCol w:w="32"/>
        <w:gridCol w:w="25"/>
        <w:gridCol w:w="276"/>
        <w:gridCol w:w="32"/>
        <w:gridCol w:w="346"/>
        <w:gridCol w:w="31"/>
        <w:gridCol w:w="246"/>
        <w:gridCol w:w="31"/>
        <w:gridCol w:w="344"/>
        <w:gridCol w:w="59"/>
        <w:gridCol w:w="31"/>
        <w:gridCol w:w="187"/>
        <w:gridCol w:w="31"/>
        <w:gridCol w:w="320"/>
        <w:gridCol w:w="24"/>
        <w:gridCol w:w="7"/>
        <w:gridCol w:w="270"/>
        <w:gridCol w:w="31"/>
        <w:gridCol w:w="344"/>
        <w:gridCol w:w="35"/>
        <w:gridCol w:w="31"/>
        <w:gridCol w:w="253"/>
        <w:gridCol w:w="31"/>
        <w:gridCol w:w="111"/>
        <w:gridCol w:w="31"/>
        <w:gridCol w:w="254"/>
        <w:gridCol w:w="31"/>
        <w:gridCol w:w="395"/>
        <w:gridCol w:w="31"/>
        <w:gridCol w:w="395"/>
        <w:gridCol w:w="31"/>
        <w:gridCol w:w="395"/>
        <w:gridCol w:w="31"/>
        <w:gridCol w:w="232"/>
        <w:gridCol w:w="31"/>
        <w:gridCol w:w="322"/>
        <w:gridCol w:w="31"/>
        <w:gridCol w:w="492"/>
      </w:tblGrid>
      <w:tr w:rsidR="00F5033D" w:rsidRPr="007D063B" w14:paraId="66C83175" w14:textId="77777777" w:rsidTr="00D32BCC">
        <w:trPr>
          <w:tblCellSpacing w:w="0" w:type="dxa"/>
          <w:jc w:val="center"/>
        </w:trPr>
        <w:tc>
          <w:tcPr>
            <w:tcW w:w="698" w:type="dxa"/>
            <w:tcBorders>
              <w:top w:val="single" w:sz="6" w:space="0" w:color="000000"/>
              <w:left w:val="single" w:sz="6" w:space="0" w:color="000000"/>
              <w:bottom w:val="single" w:sz="6" w:space="0" w:color="000000"/>
              <w:right w:val="single" w:sz="6" w:space="0" w:color="000000"/>
            </w:tcBorders>
            <w:shd w:val="clear" w:color="auto" w:fill="FFFFFF"/>
            <w:hideMark/>
          </w:tcPr>
          <w:p w14:paraId="12E33EAB"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Идентификация</w:t>
            </w:r>
          </w:p>
        </w:tc>
        <w:tc>
          <w:tcPr>
            <w:tcW w:w="1275" w:type="dxa"/>
            <w:tcBorders>
              <w:top w:val="single" w:sz="6" w:space="0" w:color="000000"/>
              <w:left w:val="single" w:sz="6" w:space="0" w:color="000000"/>
              <w:bottom w:val="single" w:sz="6" w:space="0" w:color="000000"/>
              <w:right w:val="single" w:sz="6" w:space="0" w:color="000000"/>
            </w:tcBorders>
            <w:shd w:val="clear" w:color="auto" w:fill="FFFFFF"/>
            <w:hideMark/>
          </w:tcPr>
          <w:p w14:paraId="32E7DA4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Показател</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03AD7E98"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Категория региони</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31DE502B"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Общ показател за изпълнението, използван като основа за определяне на целеви стойности</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38B653A2"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Мерна единица за базовата и целевата стойност</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45B32D0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Целева стойност (2023 г.)</w:t>
            </w:r>
          </w:p>
          <w:p w14:paraId="05D440E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(Разпределението по пол е незадължително за целевата стойност)</w:t>
            </w:r>
          </w:p>
        </w:tc>
        <w:tc>
          <w:tcPr>
            <w:tcW w:w="57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ACB07C8"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2014</w:t>
            </w:r>
          </w:p>
        </w:tc>
        <w:tc>
          <w:tcPr>
            <w:tcW w:w="71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9F65508"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2015</w:t>
            </w:r>
          </w:p>
        </w:tc>
        <w:tc>
          <w:tcPr>
            <w:tcW w:w="56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A28D16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2016</w:t>
            </w:r>
          </w:p>
        </w:tc>
        <w:tc>
          <w:tcPr>
            <w:tcW w:w="825"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2AF6FAF2"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2017</w:t>
            </w:r>
          </w:p>
        </w:tc>
        <w:tc>
          <w:tcPr>
            <w:tcW w:w="650" w:type="dxa"/>
            <w:gridSpan w:val="7"/>
            <w:tcBorders>
              <w:top w:val="single" w:sz="6" w:space="0" w:color="000000"/>
              <w:left w:val="single" w:sz="6" w:space="0" w:color="000000"/>
              <w:bottom w:val="single" w:sz="6" w:space="0" w:color="000000"/>
              <w:right w:val="single" w:sz="6" w:space="0" w:color="000000"/>
            </w:tcBorders>
            <w:shd w:val="clear" w:color="auto" w:fill="FFFFFF"/>
            <w:hideMark/>
          </w:tcPr>
          <w:p w14:paraId="6005E02B"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2018</w:t>
            </w:r>
          </w:p>
        </w:tc>
        <w:tc>
          <w:tcPr>
            <w:tcW w:w="65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C75ABAF"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2019</w:t>
            </w:r>
          </w:p>
        </w:tc>
        <w:tc>
          <w:tcPr>
            <w:tcW w:w="650"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29483F27"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2020</w:t>
            </w:r>
          </w:p>
        </w:tc>
        <w:tc>
          <w:tcPr>
            <w:tcW w:w="650" w:type="dxa"/>
            <w:gridSpan w:val="6"/>
            <w:tcBorders>
              <w:top w:val="single" w:sz="6" w:space="0" w:color="000000"/>
              <w:left w:val="single" w:sz="6" w:space="0" w:color="000000"/>
              <w:bottom w:val="single" w:sz="6" w:space="0" w:color="000000"/>
              <w:right w:val="single" w:sz="6" w:space="0" w:color="000000"/>
            </w:tcBorders>
            <w:shd w:val="clear" w:color="auto" w:fill="FFFFFF"/>
            <w:hideMark/>
          </w:tcPr>
          <w:p w14:paraId="53AB8832"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2021</w:t>
            </w:r>
          </w:p>
        </w:tc>
        <w:tc>
          <w:tcPr>
            <w:tcW w:w="650"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7694B583"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2022</w:t>
            </w:r>
          </w:p>
        </w:tc>
        <w:tc>
          <w:tcPr>
            <w:tcW w:w="744" w:type="dxa"/>
            <w:gridSpan w:val="7"/>
            <w:tcBorders>
              <w:top w:val="single" w:sz="6" w:space="0" w:color="000000"/>
              <w:left w:val="single" w:sz="6" w:space="0" w:color="000000"/>
              <w:bottom w:val="single" w:sz="6" w:space="0" w:color="000000"/>
              <w:right w:val="single" w:sz="6" w:space="0" w:color="000000"/>
            </w:tcBorders>
            <w:shd w:val="clear" w:color="auto" w:fill="FFFFFF"/>
            <w:hideMark/>
          </w:tcPr>
          <w:p w14:paraId="42044A2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2023</w:t>
            </w:r>
          </w:p>
        </w:tc>
        <w:tc>
          <w:tcPr>
            <w:tcW w:w="1275" w:type="dxa"/>
            <w:gridSpan w:val="6"/>
            <w:tcBorders>
              <w:top w:val="single" w:sz="6" w:space="0" w:color="000000"/>
              <w:left w:val="single" w:sz="6" w:space="0" w:color="000000"/>
              <w:bottom w:val="single" w:sz="6" w:space="0" w:color="000000"/>
              <w:right w:val="single" w:sz="6" w:space="0" w:color="000000"/>
            </w:tcBorders>
            <w:shd w:val="clear" w:color="auto" w:fill="FFFFFF"/>
            <w:hideMark/>
          </w:tcPr>
          <w:p w14:paraId="399D221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Кумулативна стойност</w:t>
            </w:r>
          </w:p>
          <w:p w14:paraId="5C32A6F9"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(автоматично изчислена)</w:t>
            </w:r>
          </w:p>
        </w:tc>
        <w:tc>
          <w:tcPr>
            <w:tcW w:w="1135" w:type="dxa"/>
            <w:gridSpan w:val="6"/>
            <w:tcBorders>
              <w:top w:val="single" w:sz="6" w:space="0" w:color="000000"/>
              <w:left w:val="single" w:sz="6" w:space="0" w:color="000000"/>
              <w:bottom w:val="single" w:sz="6" w:space="0" w:color="000000"/>
              <w:right w:val="single" w:sz="6" w:space="0" w:color="000000"/>
            </w:tcBorders>
            <w:shd w:val="clear" w:color="auto" w:fill="FFFFFF"/>
            <w:hideMark/>
          </w:tcPr>
          <w:p w14:paraId="1E3C82A3"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Съотношение на постиженията</w:t>
            </w:r>
          </w:p>
          <w:p w14:paraId="126C7B7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Разпределение по пол (незадължително)</w:t>
            </w:r>
          </w:p>
        </w:tc>
      </w:tr>
      <w:tr w:rsidR="00B54C34" w:rsidRPr="007D063B" w14:paraId="73B9763A" w14:textId="77777777" w:rsidTr="006E7278">
        <w:trPr>
          <w:tblCellSpacing w:w="0" w:type="dxa"/>
          <w:jc w:val="center"/>
        </w:trPr>
        <w:tc>
          <w:tcPr>
            <w:tcW w:w="5087" w:type="dxa"/>
            <w:gridSpan w:val="6"/>
            <w:tcBorders>
              <w:top w:val="single" w:sz="6" w:space="0" w:color="000000"/>
              <w:left w:val="single" w:sz="6" w:space="0" w:color="000000"/>
              <w:bottom w:val="single" w:sz="6" w:space="0" w:color="000000"/>
              <w:right w:val="single" w:sz="6" w:space="0" w:color="000000"/>
            </w:tcBorders>
            <w:shd w:val="clear" w:color="auto" w:fill="FFFFFF"/>
            <w:hideMark/>
          </w:tcPr>
          <w:p w14:paraId="61DAE16D" w14:textId="77777777" w:rsidR="00B54C34" w:rsidRPr="007D063B" w:rsidRDefault="00B54C34" w:rsidP="00450FF1">
            <w:pPr>
              <w:spacing w:before="120" w:after="0" w:line="240" w:lineRule="auto"/>
              <w:jc w:val="both"/>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color w:val="000000"/>
                <w:sz w:val="16"/>
                <w:szCs w:val="16"/>
                <w:lang w:eastAsia="bg-BG"/>
              </w:rPr>
              <w:t> </w:t>
            </w:r>
          </w:p>
        </w:tc>
        <w:tc>
          <w:tcPr>
            <w:tcW w:w="6670" w:type="dxa"/>
            <w:gridSpan w:val="41"/>
            <w:tcBorders>
              <w:top w:val="single" w:sz="6" w:space="0" w:color="000000"/>
              <w:left w:val="single" w:sz="6" w:space="0" w:color="000000"/>
              <w:bottom w:val="single" w:sz="6" w:space="0" w:color="000000"/>
              <w:right w:val="single" w:sz="6" w:space="0" w:color="000000"/>
            </w:tcBorders>
            <w:shd w:val="clear" w:color="auto" w:fill="FFFFFF"/>
            <w:hideMark/>
          </w:tcPr>
          <w:p w14:paraId="250708B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lang w:eastAsia="bg-BG"/>
              </w:rPr>
            </w:pPr>
            <w:r w:rsidRPr="007D063B">
              <w:rPr>
                <w:rFonts w:ascii="Times New Roman" w:eastAsia="Times New Roman" w:hAnsi="Times New Roman" w:cs="Times New Roman"/>
                <w:b/>
                <w:bCs/>
                <w:color w:val="000000"/>
                <w:lang w:eastAsia="bg-BG"/>
              </w:rPr>
              <w:t>Годишна стойност</w:t>
            </w:r>
          </w:p>
        </w:tc>
        <w:tc>
          <w:tcPr>
            <w:tcW w:w="1275" w:type="dxa"/>
            <w:gridSpan w:val="6"/>
            <w:tcBorders>
              <w:top w:val="single" w:sz="6" w:space="0" w:color="000000"/>
              <w:left w:val="single" w:sz="6" w:space="0" w:color="000000"/>
              <w:bottom w:val="single" w:sz="6" w:space="0" w:color="000000"/>
              <w:right w:val="single" w:sz="6" w:space="0" w:color="000000"/>
            </w:tcBorders>
            <w:shd w:val="clear" w:color="auto" w:fill="FFFFFF"/>
            <w:hideMark/>
          </w:tcPr>
          <w:p w14:paraId="19E5059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35" w:type="dxa"/>
            <w:gridSpan w:val="6"/>
            <w:tcBorders>
              <w:top w:val="single" w:sz="6" w:space="0" w:color="000000"/>
              <w:left w:val="single" w:sz="6" w:space="0" w:color="000000"/>
              <w:bottom w:val="single" w:sz="6" w:space="0" w:color="000000"/>
              <w:right w:val="single" w:sz="6" w:space="0" w:color="000000"/>
            </w:tcBorders>
            <w:shd w:val="clear" w:color="auto" w:fill="FFFFFF"/>
            <w:hideMark/>
          </w:tcPr>
          <w:p w14:paraId="0214D19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r>
      <w:tr w:rsidR="00E133C6" w:rsidRPr="007D063B" w14:paraId="2AE9E0AA" w14:textId="77777777" w:rsidTr="00D32BCC">
        <w:trPr>
          <w:trHeight w:val="380"/>
          <w:tblCellSpacing w:w="0" w:type="dxa"/>
          <w:jc w:val="center"/>
        </w:trPr>
        <w:tc>
          <w:tcPr>
            <w:tcW w:w="698" w:type="dxa"/>
            <w:tcBorders>
              <w:top w:val="single" w:sz="6" w:space="0" w:color="000000"/>
              <w:left w:val="single" w:sz="6" w:space="0" w:color="000000"/>
              <w:bottom w:val="single" w:sz="6" w:space="0" w:color="000000"/>
              <w:right w:val="single" w:sz="6" w:space="0" w:color="000000"/>
            </w:tcBorders>
            <w:shd w:val="clear" w:color="auto" w:fill="FFFFFF"/>
            <w:hideMark/>
          </w:tcPr>
          <w:p w14:paraId="2CF9904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1275" w:type="dxa"/>
            <w:tcBorders>
              <w:top w:val="single" w:sz="6" w:space="0" w:color="000000"/>
              <w:left w:val="single" w:sz="6" w:space="0" w:color="000000"/>
              <w:bottom w:val="single" w:sz="6" w:space="0" w:color="000000"/>
              <w:right w:val="single" w:sz="6" w:space="0" w:color="000000"/>
            </w:tcBorders>
            <w:shd w:val="clear" w:color="auto" w:fill="FFFFFF"/>
            <w:hideMark/>
          </w:tcPr>
          <w:p w14:paraId="7D1FB77F" w14:textId="77777777" w:rsidR="00B54C34" w:rsidRPr="007D063B" w:rsidRDefault="00B54C34" w:rsidP="00450FF1">
            <w:pPr>
              <w:spacing w:before="120" w:after="0" w:line="240" w:lineRule="auto"/>
              <w:jc w:val="both"/>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color w:val="000000"/>
                <w:sz w:val="16"/>
                <w:szCs w:val="16"/>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4CF719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6545311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2A789ED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7072580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Общо</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6DA7C7A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88" w:type="dxa"/>
            <w:tcBorders>
              <w:top w:val="single" w:sz="6" w:space="0" w:color="000000"/>
              <w:left w:val="single" w:sz="6" w:space="0" w:color="000000"/>
              <w:bottom w:val="single" w:sz="6" w:space="0" w:color="000000"/>
              <w:right w:val="single" w:sz="6" w:space="0" w:color="000000"/>
            </w:tcBorders>
            <w:shd w:val="clear" w:color="auto" w:fill="FFFFFF"/>
            <w:hideMark/>
          </w:tcPr>
          <w:p w14:paraId="58A42E75"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285" w:type="dxa"/>
            <w:tcBorders>
              <w:top w:val="single" w:sz="6" w:space="0" w:color="000000"/>
              <w:left w:val="single" w:sz="6" w:space="0" w:color="000000"/>
              <w:bottom w:val="single" w:sz="6" w:space="0" w:color="000000"/>
              <w:right w:val="single" w:sz="6" w:space="0" w:color="000000"/>
            </w:tcBorders>
            <w:shd w:val="clear" w:color="auto" w:fill="FFFFFF"/>
            <w:hideMark/>
          </w:tcPr>
          <w:p w14:paraId="2D972D0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1BA715F3"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7401CBC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03F3ED49"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31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FE2C862"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395" w:type="dxa"/>
            <w:tcBorders>
              <w:top w:val="single" w:sz="6" w:space="0" w:color="000000"/>
              <w:left w:val="single" w:sz="6" w:space="0" w:color="000000"/>
              <w:bottom w:val="single" w:sz="6" w:space="0" w:color="000000"/>
              <w:right w:val="single" w:sz="6" w:space="0" w:color="000000"/>
            </w:tcBorders>
            <w:shd w:val="clear" w:color="auto" w:fill="FFFFFF"/>
            <w:hideMark/>
          </w:tcPr>
          <w:p w14:paraId="7A2E40A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73"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B731378"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4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8BEC379"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31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95DF3D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33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46054C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37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EA014E8"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7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E4EC2DF"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433"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E96E6D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1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E237DE1"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350"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2A11985"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95CFC0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409"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F3D63EB"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8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12F243C"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4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88DE0E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84"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5FA9062"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881C07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Общо</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4C260C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007F602"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26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C756F49"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35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03B2513"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490" w:type="dxa"/>
            <w:tcBorders>
              <w:top w:val="single" w:sz="6" w:space="0" w:color="000000"/>
              <w:left w:val="single" w:sz="6" w:space="0" w:color="000000"/>
              <w:bottom w:val="single" w:sz="6" w:space="0" w:color="000000"/>
              <w:right w:val="single" w:sz="6" w:space="0" w:color="000000"/>
            </w:tcBorders>
            <w:shd w:val="clear" w:color="auto" w:fill="FFFFFF"/>
            <w:hideMark/>
          </w:tcPr>
          <w:p w14:paraId="280A36E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r>
      <w:tr w:rsidR="00E133C6" w:rsidRPr="007D063B" w14:paraId="47946789" w14:textId="77777777" w:rsidTr="007924E6">
        <w:trPr>
          <w:tblCellSpacing w:w="0" w:type="dxa"/>
          <w:jc w:val="center"/>
        </w:trPr>
        <w:tc>
          <w:tcPr>
            <w:tcW w:w="698" w:type="dxa"/>
            <w:tcBorders>
              <w:top w:val="single" w:sz="6" w:space="0" w:color="000000"/>
              <w:left w:val="single" w:sz="6" w:space="0" w:color="000000"/>
              <w:bottom w:val="single" w:sz="6" w:space="0" w:color="000000"/>
              <w:right w:val="single" w:sz="6" w:space="0" w:color="000000"/>
            </w:tcBorders>
            <w:shd w:val="clear" w:color="auto" w:fill="FFFFFF"/>
            <w:hideMark/>
          </w:tcPr>
          <w:p w14:paraId="695CA6E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5" w:type="dxa"/>
            <w:tcBorders>
              <w:top w:val="single" w:sz="6" w:space="0" w:color="000000"/>
              <w:left w:val="single" w:sz="6" w:space="0" w:color="000000"/>
              <w:bottom w:val="single" w:sz="6" w:space="0" w:color="000000"/>
              <w:right w:val="single" w:sz="6" w:space="0" w:color="000000"/>
            </w:tcBorders>
            <w:shd w:val="clear" w:color="auto" w:fill="FFFFFF"/>
            <w:hideMark/>
          </w:tcPr>
          <w:p w14:paraId="227CFC1D" w14:textId="77777777" w:rsidR="00B54C34" w:rsidRPr="007D063B" w:rsidRDefault="00B54C34"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Неактивни участници, които при напускане на операцията са започнали да търсят работа</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2FE09D7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5706535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28B7504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1B8E6A7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4197081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288" w:type="dxa"/>
            <w:tcBorders>
              <w:top w:val="single" w:sz="6" w:space="0" w:color="000000"/>
              <w:left w:val="single" w:sz="6" w:space="0" w:color="000000"/>
              <w:bottom w:val="single" w:sz="6" w:space="0" w:color="000000"/>
              <w:right w:val="single" w:sz="6" w:space="0" w:color="000000"/>
            </w:tcBorders>
            <w:shd w:val="clear" w:color="auto" w:fill="FFFFFF"/>
            <w:hideMark/>
          </w:tcPr>
          <w:p w14:paraId="5A1DF7F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285" w:type="dxa"/>
            <w:tcBorders>
              <w:top w:val="single" w:sz="6" w:space="0" w:color="000000"/>
              <w:left w:val="single" w:sz="6" w:space="0" w:color="000000"/>
              <w:bottom w:val="single" w:sz="6" w:space="0" w:color="000000"/>
              <w:right w:val="single" w:sz="6" w:space="0" w:color="000000"/>
            </w:tcBorders>
            <w:shd w:val="clear" w:color="auto" w:fill="FFFFFF"/>
            <w:hideMark/>
          </w:tcPr>
          <w:p w14:paraId="4ABE1BD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7A3DE20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val="en-US" w:eastAsia="bg-BG"/>
              </w:rPr>
              <w:t>0</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33156D8E" w14:textId="1DA72445" w:rsidR="00B54C34" w:rsidRPr="007D063B" w:rsidRDefault="00D557B9"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r w:rsidR="00B54C34"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5818A4D8" w14:textId="15CA00B1"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D557B9" w:rsidRPr="007D063B">
              <w:rPr>
                <w:rFonts w:ascii="Times New Roman" w:eastAsia="Times New Roman" w:hAnsi="Times New Roman" w:cs="Times New Roman"/>
                <w:color w:val="000000"/>
                <w:sz w:val="24"/>
                <w:szCs w:val="24"/>
                <w:lang w:eastAsia="bg-BG"/>
              </w:rPr>
              <w:t>0</w:t>
            </w:r>
          </w:p>
        </w:tc>
        <w:tc>
          <w:tcPr>
            <w:tcW w:w="31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478DE8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95" w:type="dxa"/>
            <w:tcBorders>
              <w:top w:val="single" w:sz="6" w:space="0" w:color="000000"/>
              <w:left w:val="single" w:sz="6" w:space="0" w:color="000000"/>
              <w:bottom w:val="single" w:sz="6" w:space="0" w:color="000000"/>
              <w:right w:val="single" w:sz="6" w:space="0" w:color="000000"/>
            </w:tcBorders>
            <w:shd w:val="clear" w:color="auto" w:fill="FFFFFF"/>
            <w:hideMark/>
          </w:tcPr>
          <w:p w14:paraId="6BFD44F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73"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E4ACD5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6B4126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53352F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D01804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DA2FB6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092C56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9ABE25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21759A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4D850E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9A3E4C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F8CE86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BBDB60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7FC095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B00668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969AA1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5AF5A3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326029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gridSpan w:val="2"/>
            <w:tcBorders>
              <w:top w:val="single" w:sz="6" w:space="0" w:color="000000"/>
              <w:left w:val="single" w:sz="6" w:space="0" w:color="000000"/>
              <w:bottom w:val="single" w:sz="6" w:space="0" w:color="000000"/>
              <w:right w:val="single" w:sz="6" w:space="0" w:color="000000"/>
            </w:tcBorders>
            <w:shd w:val="clear" w:color="auto" w:fill="FFFFFF"/>
          </w:tcPr>
          <w:p w14:paraId="443D733B" w14:textId="62D685FC"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52" w:type="dxa"/>
            <w:gridSpan w:val="2"/>
            <w:tcBorders>
              <w:top w:val="single" w:sz="6" w:space="0" w:color="000000"/>
              <w:left w:val="single" w:sz="6" w:space="0" w:color="000000"/>
              <w:bottom w:val="single" w:sz="6" w:space="0" w:color="000000"/>
              <w:right w:val="single" w:sz="6" w:space="0" w:color="000000"/>
            </w:tcBorders>
            <w:shd w:val="clear" w:color="auto" w:fill="FFFFFF"/>
          </w:tcPr>
          <w:p w14:paraId="047A7042" w14:textId="35A2BB2E"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490" w:type="dxa"/>
            <w:tcBorders>
              <w:top w:val="single" w:sz="6" w:space="0" w:color="000000"/>
              <w:left w:val="single" w:sz="6" w:space="0" w:color="000000"/>
              <w:bottom w:val="single" w:sz="6" w:space="0" w:color="000000"/>
              <w:right w:val="single" w:sz="6" w:space="0" w:color="000000"/>
            </w:tcBorders>
            <w:shd w:val="clear" w:color="auto" w:fill="FFFFFF"/>
          </w:tcPr>
          <w:p w14:paraId="683154F0" w14:textId="25082F6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5F103ED6" w14:textId="77777777" w:rsidTr="007924E6">
        <w:trPr>
          <w:tblCellSpacing w:w="0" w:type="dxa"/>
          <w:jc w:val="center"/>
        </w:trPr>
        <w:tc>
          <w:tcPr>
            <w:tcW w:w="698" w:type="dxa"/>
            <w:tcBorders>
              <w:top w:val="single" w:sz="6" w:space="0" w:color="000000"/>
              <w:left w:val="single" w:sz="6" w:space="0" w:color="000000"/>
              <w:bottom w:val="single" w:sz="6" w:space="0" w:color="000000"/>
              <w:right w:val="single" w:sz="6" w:space="0" w:color="000000"/>
            </w:tcBorders>
            <w:shd w:val="clear" w:color="auto" w:fill="FFFFFF"/>
            <w:hideMark/>
          </w:tcPr>
          <w:p w14:paraId="2354BF4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lastRenderedPageBreak/>
              <w:t> </w:t>
            </w:r>
          </w:p>
        </w:tc>
        <w:tc>
          <w:tcPr>
            <w:tcW w:w="1275" w:type="dxa"/>
            <w:tcBorders>
              <w:top w:val="single" w:sz="6" w:space="0" w:color="000000"/>
              <w:left w:val="single" w:sz="6" w:space="0" w:color="000000"/>
              <w:bottom w:val="single" w:sz="6" w:space="0" w:color="000000"/>
              <w:right w:val="single" w:sz="6" w:space="0" w:color="000000"/>
            </w:tcBorders>
            <w:shd w:val="clear" w:color="auto" w:fill="FFFFFF"/>
            <w:hideMark/>
          </w:tcPr>
          <w:p w14:paraId="053AA55E" w14:textId="77777777" w:rsidR="00B54C34" w:rsidRPr="007D063B" w:rsidRDefault="00B54C34"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които при напускане на операцията са ангажирани с образование/обучение</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5E6BED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7033568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7C8C5E5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300D6C2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0DFB07F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88" w:type="dxa"/>
            <w:tcBorders>
              <w:top w:val="single" w:sz="6" w:space="0" w:color="000000"/>
              <w:left w:val="single" w:sz="6" w:space="0" w:color="000000"/>
              <w:bottom w:val="single" w:sz="6" w:space="0" w:color="000000"/>
              <w:right w:val="single" w:sz="6" w:space="0" w:color="000000"/>
            </w:tcBorders>
            <w:shd w:val="clear" w:color="auto" w:fill="FFFFFF"/>
            <w:hideMark/>
          </w:tcPr>
          <w:p w14:paraId="726C27A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5" w:type="dxa"/>
            <w:tcBorders>
              <w:top w:val="single" w:sz="6" w:space="0" w:color="000000"/>
              <w:left w:val="single" w:sz="6" w:space="0" w:color="000000"/>
              <w:bottom w:val="single" w:sz="6" w:space="0" w:color="000000"/>
              <w:right w:val="single" w:sz="6" w:space="0" w:color="000000"/>
            </w:tcBorders>
            <w:shd w:val="clear" w:color="auto" w:fill="FFFFFF"/>
            <w:hideMark/>
          </w:tcPr>
          <w:p w14:paraId="3A3A049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ECFD7D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669961DF" w14:textId="460EBE88" w:rsidR="00B54C34" w:rsidRPr="007D063B" w:rsidRDefault="00D557B9"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254C9C61" w14:textId="0A656759"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D557B9" w:rsidRPr="007D063B">
              <w:rPr>
                <w:rFonts w:ascii="Times New Roman" w:eastAsia="Times New Roman" w:hAnsi="Times New Roman" w:cs="Times New Roman"/>
                <w:color w:val="000000"/>
                <w:sz w:val="24"/>
                <w:szCs w:val="24"/>
                <w:lang w:eastAsia="bg-BG"/>
              </w:rPr>
              <w:t>0</w:t>
            </w:r>
          </w:p>
        </w:tc>
        <w:tc>
          <w:tcPr>
            <w:tcW w:w="31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717EC1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95" w:type="dxa"/>
            <w:tcBorders>
              <w:top w:val="single" w:sz="6" w:space="0" w:color="000000"/>
              <w:left w:val="single" w:sz="6" w:space="0" w:color="000000"/>
              <w:bottom w:val="single" w:sz="6" w:space="0" w:color="000000"/>
              <w:right w:val="single" w:sz="6" w:space="0" w:color="000000"/>
            </w:tcBorders>
            <w:shd w:val="clear" w:color="auto" w:fill="FFFFFF"/>
            <w:hideMark/>
          </w:tcPr>
          <w:p w14:paraId="3BC8E05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73"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452FCA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EB2D84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E20C8B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AC08D3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7F6391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BF822F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961EC6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CB78F6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906182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9DA263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0F95B8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9394FC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6B6DAF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FFBF73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04915D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ED7869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D530C2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gridSpan w:val="2"/>
            <w:tcBorders>
              <w:top w:val="single" w:sz="6" w:space="0" w:color="000000"/>
              <w:left w:val="single" w:sz="6" w:space="0" w:color="000000"/>
              <w:bottom w:val="single" w:sz="6" w:space="0" w:color="000000"/>
              <w:right w:val="single" w:sz="6" w:space="0" w:color="000000"/>
            </w:tcBorders>
            <w:shd w:val="clear" w:color="auto" w:fill="FFFFFF"/>
          </w:tcPr>
          <w:p w14:paraId="6605D7C2" w14:textId="5244DF64"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52" w:type="dxa"/>
            <w:gridSpan w:val="2"/>
            <w:tcBorders>
              <w:top w:val="single" w:sz="6" w:space="0" w:color="000000"/>
              <w:left w:val="single" w:sz="6" w:space="0" w:color="000000"/>
              <w:bottom w:val="single" w:sz="6" w:space="0" w:color="000000"/>
              <w:right w:val="single" w:sz="6" w:space="0" w:color="000000"/>
            </w:tcBorders>
            <w:shd w:val="clear" w:color="auto" w:fill="FFFFFF"/>
          </w:tcPr>
          <w:p w14:paraId="09331209" w14:textId="0D4202DA"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490" w:type="dxa"/>
            <w:tcBorders>
              <w:top w:val="single" w:sz="6" w:space="0" w:color="000000"/>
              <w:left w:val="single" w:sz="6" w:space="0" w:color="000000"/>
              <w:bottom w:val="single" w:sz="6" w:space="0" w:color="000000"/>
              <w:right w:val="single" w:sz="6" w:space="0" w:color="000000"/>
            </w:tcBorders>
            <w:shd w:val="clear" w:color="auto" w:fill="FFFFFF"/>
          </w:tcPr>
          <w:p w14:paraId="07478D9C" w14:textId="16298DCD"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55BABE64" w14:textId="77777777" w:rsidTr="007924E6">
        <w:trPr>
          <w:tblCellSpacing w:w="0" w:type="dxa"/>
          <w:jc w:val="center"/>
        </w:trPr>
        <w:tc>
          <w:tcPr>
            <w:tcW w:w="698" w:type="dxa"/>
            <w:tcBorders>
              <w:top w:val="single" w:sz="6" w:space="0" w:color="000000"/>
              <w:left w:val="single" w:sz="6" w:space="0" w:color="000000"/>
              <w:bottom w:val="single" w:sz="6" w:space="0" w:color="000000"/>
              <w:right w:val="single" w:sz="6" w:space="0" w:color="000000"/>
            </w:tcBorders>
            <w:shd w:val="clear" w:color="auto" w:fill="FFFFFF"/>
            <w:hideMark/>
          </w:tcPr>
          <w:p w14:paraId="0D47752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5" w:type="dxa"/>
            <w:tcBorders>
              <w:top w:val="single" w:sz="6" w:space="0" w:color="000000"/>
              <w:left w:val="single" w:sz="6" w:space="0" w:color="000000"/>
              <w:bottom w:val="single" w:sz="6" w:space="0" w:color="000000"/>
              <w:right w:val="single" w:sz="6" w:space="0" w:color="000000"/>
            </w:tcBorders>
            <w:shd w:val="clear" w:color="auto" w:fill="FFFFFF"/>
            <w:hideMark/>
          </w:tcPr>
          <w:p w14:paraId="09672C99" w14:textId="77777777" w:rsidR="00B54C34" w:rsidRPr="007D063B" w:rsidRDefault="00B54C34"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които при напускане на операцията получават квалификация</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626969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216CE53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69A35E0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3B5C137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5663373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88" w:type="dxa"/>
            <w:tcBorders>
              <w:top w:val="single" w:sz="6" w:space="0" w:color="000000"/>
              <w:left w:val="single" w:sz="6" w:space="0" w:color="000000"/>
              <w:bottom w:val="single" w:sz="6" w:space="0" w:color="000000"/>
              <w:right w:val="single" w:sz="6" w:space="0" w:color="000000"/>
            </w:tcBorders>
            <w:shd w:val="clear" w:color="auto" w:fill="FFFFFF"/>
            <w:hideMark/>
          </w:tcPr>
          <w:p w14:paraId="3749E5F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5" w:type="dxa"/>
            <w:tcBorders>
              <w:top w:val="single" w:sz="6" w:space="0" w:color="000000"/>
              <w:left w:val="single" w:sz="6" w:space="0" w:color="000000"/>
              <w:bottom w:val="single" w:sz="6" w:space="0" w:color="000000"/>
              <w:right w:val="single" w:sz="6" w:space="0" w:color="000000"/>
            </w:tcBorders>
            <w:shd w:val="clear" w:color="auto" w:fill="FFFFFF"/>
            <w:hideMark/>
          </w:tcPr>
          <w:p w14:paraId="2907016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0CCE994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6CDA003E" w14:textId="6F3A732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D557B9" w:rsidRPr="007D063B">
              <w:rPr>
                <w:rFonts w:ascii="Times New Roman" w:eastAsia="Times New Roman" w:hAnsi="Times New Roman" w:cs="Times New Roman"/>
                <w:color w:val="000000"/>
                <w:sz w:val="24"/>
                <w:szCs w:val="24"/>
                <w:lang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02483C1E" w14:textId="3060BDB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D557B9" w:rsidRPr="007D063B">
              <w:rPr>
                <w:rFonts w:ascii="Times New Roman" w:eastAsia="Times New Roman" w:hAnsi="Times New Roman" w:cs="Times New Roman"/>
                <w:color w:val="000000"/>
                <w:sz w:val="24"/>
                <w:szCs w:val="24"/>
                <w:lang w:eastAsia="bg-BG"/>
              </w:rPr>
              <w:t>0</w:t>
            </w:r>
          </w:p>
        </w:tc>
        <w:tc>
          <w:tcPr>
            <w:tcW w:w="31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8370C7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95" w:type="dxa"/>
            <w:tcBorders>
              <w:top w:val="single" w:sz="6" w:space="0" w:color="000000"/>
              <w:left w:val="single" w:sz="6" w:space="0" w:color="000000"/>
              <w:bottom w:val="single" w:sz="6" w:space="0" w:color="000000"/>
              <w:right w:val="single" w:sz="6" w:space="0" w:color="000000"/>
            </w:tcBorders>
            <w:shd w:val="clear" w:color="auto" w:fill="FFFFFF"/>
            <w:hideMark/>
          </w:tcPr>
          <w:p w14:paraId="62E5E23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73"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82500B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E9891E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E21C0E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FF1448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5DF42F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117E51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CBCF03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758125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8C3B14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675A4D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A4101E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AF3C1A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45A0F3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E06BD7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39F948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C1233D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15BCAC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gridSpan w:val="2"/>
            <w:tcBorders>
              <w:top w:val="single" w:sz="6" w:space="0" w:color="000000"/>
              <w:left w:val="single" w:sz="6" w:space="0" w:color="000000"/>
              <w:bottom w:val="single" w:sz="6" w:space="0" w:color="000000"/>
              <w:right w:val="single" w:sz="6" w:space="0" w:color="000000"/>
            </w:tcBorders>
            <w:shd w:val="clear" w:color="auto" w:fill="FFFFFF"/>
          </w:tcPr>
          <w:p w14:paraId="797ED795" w14:textId="5DFEBCB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52" w:type="dxa"/>
            <w:gridSpan w:val="2"/>
            <w:tcBorders>
              <w:top w:val="single" w:sz="6" w:space="0" w:color="000000"/>
              <w:left w:val="single" w:sz="6" w:space="0" w:color="000000"/>
              <w:bottom w:val="single" w:sz="6" w:space="0" w:color="000000"/>
              <w:right w:val="single" w:sz="6" w:space="0" w:color="000000"/>
            </w:tcBorders>
            <w:shd w:val="clear" w:color="auto" w:fill="FFFFFF"/>
          </w:tcPr>
          <w:p w14:paraId="12215E2D" w14:textId="76CD7ECC"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490" w:type="dxa"/>
            <w:tcBorders>
              <w:top w:val="single" w:sz="6" w:space="0" w:color="000000"/>
              <w:left w:val="single" w:sz="6" w:space="0" w:color="000000"/>
              <w:bottom w:val="single" w:sz="6" w:space="0" w:color="000000"/>
              <w:right w:val="single" w:sz="6" w:space="0" w:color="000000"/>
            </w:tcBorders>
            <w:shd w:val="clear" w:color="auto" w:fill="FFFFFF"/>
          </w:tcPr>
          <w:p w14:paraId="25269F51" w14:textId="4269E2F9"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04F6B38D" w14:textId="77777777" w:rsidTr="007924E6">
        <w:trPr>
          <w:tblCellSpacing w:w="0" w:type="dxa"/>
          <w:jc w:val="center"/>
        </w:trPr>
        <w:tc>
          <w:tcPr>
            <w:tcW w:w="698" w:type="dxa"/>
            <w:tcBorders>
              <w:top w:val="single" w:sz="6" w:space="0" w:color="000000"/>
              <w:left w:val="single" w:sz="6" w:space="0" w:color="000000"/>
              <w:bottom w:val="single" w:sz="6" w:space="0" w:color="000000"/>
              <w:right w:val="single" w:sz="6" w:space="0" w:color="000000"/>
            </w:tcBorders>
            <w:shd w:val="clear" w:color="auto" w:fill="FFFFFF"/>
            <w:hideMark/>
          </w:tcPr>
          <w:p w14:paraId="7826E59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5" w:type="dxa"/>
            <w:tcBorders>
              <w:top w:val="single" w:sz="6" w:space="0" w:color="000000"/>
              <w:left w:val="single" w:sz="6" w:space="0" w:color="000000"/>
              <w:bottom w:val="single" w:sz="6" w:space="0" w:color="000000"/>
              <w:right w:val="single" w:sz="6" w:space="0" w:color="000000"/>
            </w:tcBorders>
            <w:shd w:val="clear" w:color="auto" w:fill="FFFFFF"/>
            <w:hideMark/>
          </w:tcPr>
          <w:p w14:paraId="07435F00" w14:textId="77777777" w:rsidR="00B54C34" w:rsidRPr="007D063B" w:rsidRDefault="00B54C34"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които при напускане на операцията имат работа, включително като самостоятелно заети лица</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EA047D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25F199F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40AD5B4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55944B0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350F0BE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88" w:type="dxa"/>
            <w:tcBorders>
              <w:top w:val="single" w:sz="6" w:space="0" w:color="000000"/>
              <w:left w:val="single" w:sz="6" w:space="0" w:color="000000"/>
              <w:bottom w:val="single" w:sz="6" w:space="0" w:color="000000"/>
              <w:right w:val="single" w:sz="6" w:space="0" w:color="000000"/>
            </w:tcBorders>
            <w:shd w:val="clear" w:color="auto" w:fill="FFFFFF"/>
            <w:hideMark/>
          </w:tcPr>
          <w:p w14:paraId="1D489E3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5" w:type="dxa"/>
            <w:tcBorders>
              <w:top w:val="single" w:sz="6" w:space="0" w:color="000000"/>
              <w:left w:val="single" w:sz="6" w:space="0" w:color="000000"/>
              <w:bottom w:val="single" w:sz="6" w:space="0" w:color="000000"/>
              <w:right w:val="single" w:sz="6" w:space="0" w:color="000000"/>
            </w:tcBorders>
            <w:shd w:val="clear" w:color="auto" w:fill="FFFFFF"/>
            <w:hideMark/>
          </w:tcPr>
          <w:p w14:paraId="05EB9DF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B19019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495E383F" w14:textId="495B02ED"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D557B9" w:rsidRPr="007D063B">
              <w:rPr>
                <w:rFonts w:ascii="Times New Roman" w:eastAsia="Times New Roman" w:hAnsi="Times New Roman" w:cs="Times New Roman"/>
                <w:color w:val="000000"/>
                <w:sz w:val="24"/>
                <w:szCs w:val="24"/>
                <w:lang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3EA0AC8B" w14:textId="438C1D2F"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D557B9" w:rsidRPr="007D063B">
              <w:rPr>
                <w:rFonts w:ascii="Times New Roman" w:eastAsia="Times New Roman" w:hAnsi="Times New Roman" w:cs="Times New Roman"/>
                <w:color w:val="000000"/>
                <w:sz w:val="24"/>
                <w:szCs w:val="24"/>
                <w:lang w:eastAsia="bg-BG"/>
              </w:rPr>
              <w:t>0</w:t>
            </w:r>
          </w:p>
        </w:tc>
        <w:tc>
          <w:tcPr>
            <w:tcW w:w="31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5081A4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95" w:type="dxa"/>
            <w:tcBorders>
              <w:top w:val="single" w:sz="6" w:space="0" w:color="000000"/>
              <w:left w:val="single" w:sz="6" w:space="0" w:color="000000"/>
              <w:bottom w:val="single" w:sz="6" w:space="0" w:color="000000"/>
              <w:right w:val="single" w:sz="6" w:space="0" w:color="000000"/>
            </w:tcBorders>
            <w:shd w:val="clear" w:color="auto" w:fill="FFFFFF"/>
            <w:hideMark/>
          </w:tcPr>
          <w:p w14:paraId="12E5D29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73"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5CCC3C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B8033E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0536FF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BFA60B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F5D497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8D80CC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3702BF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153FA4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DB625C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FD419E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6F2D89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D6BBD4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948E48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C7498A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011886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BA9A3D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5FE53B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gridSpan w:val="2"/>
            <w:tcBorders>
              <w:top w:val="single" w:sz="6" w:space="0" w:color="000000"/>
              <w:left w:val="single" w:sz="6" w:space="0" w:color="000000"/>
              <w:bottom w:val="single" w:sz="6" w:space="0" w:color="000000"/>
              <w:right w:val="single" w:sz="6" w:space="0" w:color="000000"/>
            </w:tcBorders>
            <w:shd w:val="clear" w:color="auto" w:fill="FFFFFF"/>
          </w:tcPr>
          <w:p w14:paraId="48DE04DF" w14:textId="0F88979F"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52" w:type="dxa"/>
            <w:gridSpan w:val="2"/>
            <w:tcBorders>
              <w:top w:val="single" w:sz="6" w:space="0" w:color="000000"/>
              <w:left w:val="single" w:sz="6" w:space="0" w:color="000000"/>
              <w:bottom w:val="single" w:sz="6" w:space="0" w:color="000000"/>
              <w:right w:val="single" w:sz="6" w:space="0" w:color="000000"/>
            </w:tcBorders>
            <w:shd w:val="clear" w:color="auto" w:fill="FFFFFF"/>
          </w:tcPr>
          <w:p w14:paraId="086DA8BF" w14:textId="05B18F9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490" w:type="dxa"/>
            <w:tcBorders>
              <w:top w:val="single" w:sz="6" w:space="0" w:color="000000"/>
              <w:left w:val="single" w:sz="6" w:space="0" w:color="000000"/>
              <w:bottom w:val="single" w:sz="6" w:space="0" w:color="000000"/>
              <w:right w:val="single" w:sz="6" w:space="0" w:color="000000"/>
            </w:tcBorders>
            <w:shd w:val="clear" w:color="auto" w:fill="FFFFFF"/>
          </w:tcPr>
          <w:p w14:paraId="71EF50AB" w14:textId="2863B55B"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00BD91D9" w14:textId="77777777" w:rsidTr="007924E6">
        <w:trPr>
          <w:tblCellSpacing w:w="0" w:type="dxa"/>
          <w:jc w:val="center"/>
        </w:trPr>
        <w:tc>
          <w:tcPr>
            <w:tcW w:w="698" w:type="dxa"/>
            <w:tcBorders>
              <w:top w:val="single" w:sz="6" w:space="0" w:color="000000"/>
              <w:left w:val="single" w:sz="6" w:space="0" w:color="000000"/>
              <w:bottom w:val="single" w:sz="6" w:space="0" w:color="000000"/>
              <w:right w:val="single" w:sz="6" w:space="0" w:color="000000"/>
            </w:tcBorders>
            <w:shd w:val="clear" w:color="auto" w:fill="FFFFFF"/>
            <w:hideMark/>
          </w:tcPr>
          <w:p w14:paraId="0752CC6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5" w:type="dxa"/>
            <w:tcBorders>
              <w:top w:val="single" w:sz="6" w:space="0" w:color="000000"/>
              <w:left w:val="single" w:sz="6" w:space="0" w:color="000000"/>
              <w:bottom w:val="single" w:sz="6" w:space="0" w:color="000000"/>
              <w:right w:val="single" w:sz="6" w:space="0" w:color="000000"/>
            </w:tcBorders>
            <w:shd w:val="clear" w:color="auto" w:fill="FFFFFF"/>
            <w:hideMark/>
          </w:tcPr>
          <w:p w14:paraId="0E78CE16" w14:textId="77777777" w:rsidR="00B54C34" w:rsidRPr="007D063B" w:rsidRDefault="00B54C34"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в неравностойно положение, които при напускане на операцията са започнали да търсят работа, са ангажирани с образование/обучение, са получили квалификация, имат работа, включително като самостоятелно заети лица</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B86D1B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0E2874B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4113118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13957CC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68E1CD3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88" w:type="dxa"/>
            <w:tcBorders>
              <w:top w:val="single" w:sz="6" w:space="0" w:color="000000"/>
              <w:left w:val="single" w:sz="6" w:space="0" w:color="000000"/>
              <w:bottom w:val="single" w:sz="6" w:space="0" w:color="000000"/>
              <w:right w:val="single" w:sz="6" w:space="0" w:color="000000"/>
            </w:tcBorders>
            <w:shd w:val="clear" w:color="auto" w:fill="FFFFFF"/>
            <w:hideMark/>
          </w:tcPr>
          <w:p w14:paraId="398AA3C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5" w:type="dxa"/>
            <w:tcBorders>
              <w:top w:val="single" w:sz="6" w:space="0" w:color="000000"/>
              <w:left w:val="single" w:sz="6" w:space="0" w:color="000000"/>
              <w:bottom w:val="single" w:sz="6" w:space="0" w:color="000000"/>
              <w:right w:val="single" w:sz="6" w:space="0" w:color="000000"/>
            </w:tcBorders>
            <w:shd w:val="clear" w:color="auto" w:fill="FFFFFF"/>
            <w:hideMark/>
          </w:tcPr>
          <w:p w14:paraId="16B9D93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72CFF21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2E876301" w14:textId="71485ACE"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D557B9" w:rsidRPr="007D063B">
              <w:rPr>
                <w:rFonts w:ascii="Times New Roman" w:eastAsia="Times New Roman" w:hAnsi="Times New Roman" w:cs="Times New Roman"/>
                <w:color w:val="000000"/>
                <w:sz w:val="24"/>
                <w:szCs w:val="24"/>
                <w:lang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1AEDE094" w14:textId="7B8292AF" w:rsidR="00B54C34" w:rsidRPr="007D063B" w:rsidRDefault="00D557B9"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r w:rsidR="00B54C34" w:rsidRPr="007D063B">
              <w:rPr>
                <w:rFonts w:ascii="Times New Roman" w:eastAsia="Times New Roman" w:hAnsi="Times New Roman" w:cs="Times New Roman"/>
                <w:color w:val="000000"/>
                <w:sz w:val="24"/>
                <w:szCs w:val="24"/>
                <w:lang w:eastAsia="bg-BG"/>
              </w:rPr>
              <w:t> </w:t>
            </w:r>
          </w:p>
        </w:tc>
        <w:tc>
          <w:tcPr>
            <w:tcW w:w="31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2CD3E9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95" w:type="dxa"/>
            <w:tcBorders>
              <w:top w:val="single" w:sz="6" w:space="0" w:color="000000"/>
              <w:left w:val="single" w:sz="6" w:space="0" w:color="000000"/>
              <w:bottom w:val="single" w:sz="6" w:space="0" w:color="000000"/>
              <w:right w:val="single" w:sz="6" w:space="0" w:color="000000"/>
            </w:tcBorders>
            <w:shd w:val="clear" w:color="auto" w:fill="FFFFFF"/>
            <w:hideMark/>
          </w:tcPr>
          <w:p w14:paraId="06E81DB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73"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1C9126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9D2FAB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DE9126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173BDA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04081E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5C4052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C07B17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E310B4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A8BBC2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DBCFD2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6489FB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B24854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318CAA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9226F4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914137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23BB52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7A1EC8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gridSpan w:val="2"/>
            <w:tcBorders>
              <w:top w:val="single" w:sz="6" w:space="0" w:color="000000"/>
              <w:left w:val="single" w:sz="6" w:space="0" w:color="000000"/>
              <w:bottom w:val="single" w:sz="6" w:space="0" w:color="000000"/>
              <w:right w:val="single" w:sz="6" w:space="0" w:color="000000"/>
            </w:tcBorders>
            <w:shd w:val="clear" w:color="auto" w:fill="FFFFFF"/>
          </w:tcPr>
          <w:p w14:paraId="09FC53A3" w14:textId="38741E11"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52" w:type="dxa"/>
            <w:gridSpan w:val="2"/>
            <w:tcBorders>
              <w:top w:val="single" w:sz="6" w:space="0" w:color="000000"/>
              <w:left w:val="single" w:sz="6" w:space="0" w:color="000000"/>
              <w:bottom w:val="single" w:sz="6" w:space="0" w:color="000000"/>
              <w:right w:val="single" w:sz="6" w:space="0" w:color="000000"/>
            </w:tcBorders>
            <w:shd w:val="clear" w:color="auto" w:fill="FFFFFF"/>
          </w:tcPr>
          <w:p w14:paraId="30213E1A" w14:textId="2754B00D"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490" w:type="dxa"/>
            <w:tcBorders>
              <w:top w:val="single" w:sz="6" w:space="0" w:color="000000"/>
              <w:left w:val="single" w:sz="6" w:space="0" w:color="000000"/>
              <w:bottom w:val="single" w:sz="6" w:space="0" w:color="000000"/>
              <w:right w:val="single" w:sz="6" w:space="0" w:color="000000"/>
            </w:tcBorders>
            <w:shd w:val="clear" w:color="auto" w:fill="FFFFFF"/>
          </w:tcPr>
          <w:p w14:paraId="06583388" w14:textId="55C639B0"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05947085" w14:textId="77777777" w:rsidTr="007924E6">
        <w:trPr>
          <w:tblCellSpacing w:w="0" w:type="dxa"/>
          <w:jc w:val="center"/>
        </w:trPr>
        <w:tc>
          <w:tcPr>
            <w:tcW w:w="698" w:type="dxa"/>
            <w:tcBorders>
              <w:top w:val="single" w:sz="6" w:space="0" w:color="000000"/>
              <w:left w:val="single" w:sz="6" w:space="0" w:color="000000"/>
              <w:bottom w:val="single" w:sz="6" w:space="0" w:color="000000"/>
              <w:right w:val="single" w:sz="6" w:space="0" w:color="000000"/>
            </w:tcBorders>
            <w:shd w:val="clear" w:color="auto" w:fill="FFFFFF"/>
            <w:hideMark/>
          </w:tcPr>
          <w:p w14:paraId="0390D01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5" w:type="dxa"/>
            <w:tcBorders>
              <w:top w:val="single" w:sz="6" w:space="0" w:color="000000"/>
              <w:left w:val="single" w:sz="6" w:space="0" w:color="000000"/>
              <w:bottom w:val="single" w:sz="6" w:space="0" w:color="000000"/>
              <w:right w:val="single" w:sz="6" w:space="0" w:color="000000"/>
            </w:tcBorders>
            <w:shd w:val="clear" w:color="auto" w:fill="FFFFFF"/>
            <w:hideMark/>
          </w:tcPr>
          <w:p w14:paraId="658C5DF8" w14:textId="77777777" w:rsidR="00B54C34" w:rsidRPr="007D063B" w:rsidRDefault="00B54C34"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 xml:space="preserve">Участници, които в рамките на шест месеца след напускане на операцията </w:t>
            </w:r>
            <w:r w:rsidRPr="007D063B">
              <w:rPr>
                <w:rFonts w:ascii="Times New Roman" w:eastAsia="Times New Roman" w:hAnsi="Times New Roman" w:cs="Times New Roman"/>
                <w:b/>
                <w:i/>
                <w:iCs/>
                <w:color w:val="000000"/>
                <w:sz w:val="16"/>
                <w:szCs w:val="16"/>
                <w:lang w:eastAsia="bg-BG"/>
              </w:rPr>
              <w:lastRenderedPageBreak/>
              <w:t>имат работа, включително като самостоятелно заети лица</w:t>
            </w:r>
            <w:r w:rsidRPr="007D063B">
              <w:rPr>
                <w:rFonts w:ascii="Times New Roman" w:eastAsia="Times New Roman" w:hAnsi="Times New Roman" w:cs="Times New Roman"/>
                <w:b/>
                <w:color w:val="000000"/>
                <w:sz w:val="16"/>
                <w:szCs w:val="16"/>
                <w:lang w:eastAsia="bg-BG"/>
              </w:rPr>
              <w:t> </w:t>
            </w:r>
            <w:hyperlink r:id="rId34" w:anchor="ntr6-L_2015038BG.01007201-E0006" w:history="1">
              <w:r w:rsidRPr="007D063B">
                <w:rPr>
                  <w:rFonts w:ascii="Times New Roman" w:eastAsia="Times New Roman" w:hAnsi="Times New Roman" w:cs="Times New Roman"/>
                  <w:b/>
                  <w:color w:val="0000FF"/>
                  <w:sz w:val="16"/>
                  <w:szCs w:val="16"/>
                  <w:u w:val="single"/>
                  <w:lang w:eastAsia="bg-BG"/>
                </w:rPr>
                <w:t> (</w:t>
              </w:r>
              <w:r w:rsidRPr="007D063B">
                <w:rPr>
                  <w:rFonts w:ascii="Times New Roman" w:eastAsia="Times New Roman" w:hAnsi="Times New Roman" w:cs="Times New Roman"/>
                  <w:b/>
                  <w:color w:val="0000FF"/>
                  <w:sz w:val="16"/>
                  <w:szCs w:val="16"/>
                  <w:u w:val="single"/>
                  <w:vertAlign w:val="superscript"/>
                  <w:lang w:eastAsia="bg-BG"/>
                </w:rPr>
                <w:t>6</w:t>
              </w:r>
              <w:r w:rsidRPr="007D063B">
                <w:rPr>
                  <w:rFonts w:ascii="Times New Roman" w:eastAsia="Times New Roman" w:hAnsi="Times New Roman" w:cs="Times New Roman"/>
                  <w:b/>
                  <w:color w:val="0000FF"/>
                  <w:sz w:val="16"/>
                  <w:szCs w:val="16"/>
                  <w:u w:val="single"/>
                  <w:lang w:eastAsia="bg-BG"/>
                </w:rPr>
                <w:t>)</w:t>
              </w:r>
            </w:hyperlink>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4FDE75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lastRenderedPageBreak/>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2BA0D2F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53C9355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690F9FD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17731FF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88" w:type="dxa"/>
            <w:tcBorders>
              <w:top w:val="single" w:sz="6" w:space="0" w:color="000000"/>
              <w:left w:val="single" w:sz="6" w:space="0" w:color="000000"/>
              <w:bottom w:val="single" w:sz="6" w:space="0" w:color="000000"/>
              <w:right w:val="single" w:sz="6" w:space="0" w:color="000000"/>
            </w:tcBorders>
            <w:shd w:val="clear" w:color="auto" w:fill="FFFFFF"/>
            <w:hideMark/>
          </w:tcPr>
          <w:p w14:paraId="369F31E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5" w:type="dxa"/>
            <w:tcBorders>
              <w:top w:val="single" w:sz="6" w:space="0" w:color="000000"/>
              <w:left w:val="single" w:sz="6" w:space="0" w:color="000000"/>
              <w:bottom w:val="single" w:sz="6" w:space="0" w:color="000000"/>
              <w:right w:val="single" w:sz="6" w:space="0" w:color="000000"/>
            </w:tcBorders>
            <w:shd w:val="clear" w:color="auto" w:fill="FFFFFF"/>
            <w:hideMark/>
          </w:tcPr>
          <w:p w14:paraId="144A7AE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085ADAA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2082D225" w14:textId="07DA6B7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CC09E0" w:rsidRPr="007D063B">
              <w:rPr>
                <w:rFonts w:ascii="Times New Roman" w:eastAsia="Times New Roman" w:hAnsi="Times New Roman" w:cs="Times New Roman"/>
                <w:color w:val="000000"/>
                <w:sz w:val="24"/>
                <w:szCs w:val="24"/>
                <w:lang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55C4A5FD" w14:textId="61593308" w:rsidR="00B54C34" w:rsidRPr="007D063B" w:rsidRDefault="00CC09E0"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r w:rsidR="00B54C34" w:rsidRPr="007D063B">
              <w:rPr>
                <w:rFonts w:ascii="Times New Roman" w:eastAsia="Times New Roman" w:hAnsi="Times New Roman" w:cs="Times New Roman"/>
                <w:color w:val="000000"/>
                <w:sz w:val="24"/>
                <w:szCs w:val="24"/>
                <w:lang w:eastAsia="bg-BG"/>
              </w:rPr>
              <w:t> </w:t>
            </w:r>
          </w:p>
        </w:tc>
        <w:tc>
          <w:tcPr>
            <w:tcW w:w="31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420BED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95" w:type="dxa"/>
            <w:tcBorders>
              <w:top w:val="single" w:sz="6" w:space="0" w:color="000000"/>
              <w:left w:val="single" w:sz="6" w:space="0" w:color="000000"/>
              <w:bottom w:val="single" w:sz="6" w:space="0" w:color="000000"/>
              <w:right w:val="single" w:sz="6" w:space="0" w:color="000000"/>
            </w:tcBorders>
            <w:shd w:val="clear" w:color="auto" w:fill="FFFFFF"/>
            <w:hideMark/>
          </w:tcPr>
          <w:p w14:paraId="274709F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73"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B560EF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F87EE9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CD91C2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019E35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C32DB5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616746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67D33F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C3F77C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9E1E59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A32318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2A2765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DA3865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566304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C5781E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41FD19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3B850B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0FC710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gridSpan w:val="2"/>
            <w:tcBorders>
              <w:top w:val="single" w:sz="6" w:space="0" w:color="000000"/>
              <w:left w:val="single" w:sz="6" w:space="0" w:color="000000"/>
              <w:bottom w:val="single" w:sz="6" w:space="0" w:color="000000"/>
              <w:right w:val="single" w:sz="6" w:space="0" w:color="000000"/>
            </w:tcBorders>
            <w:shd w:val="clear" w:color="auto" w:fill="FFFFFF"/>
          </w:tcPr>
          <w:p w14:paraId="2F896533" w14:textId="309FED94"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52" w:type="dxa"/>
            <w:gridSpan w:val="2"/>
            <w:tcBorders>
              <w:top w:val="single" w:sz="6" w:space="0" w:color="000000"/>
              <w:left w:val="single" w:sz="6" w:space="0" w:color="000000"/>
              <w:bottom w:val="single" w:sz="6" w:space="0" w:color="000000"/>
              <w:right w:val="single" w:sz="6" w:space="0" w:color="000000"/>
            </w:tcBorders>
            <w:shd w:val="clear" w:color="auto" w:fill="FFFFFF"/>
          </w:tcPr>
          <w:p w14:paraId="44FC23D4" w14:textId="3BC253DF"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490" w:type="dxa"/>
            <w:tcBorders>
              <w:top w:val="single" w:sz="6" w:space="0" w:color="000000"/>
              <w:left w:val="single" w:sz="6" w:space="0" w:color="000000"/>
              <w:bottom w:val="single" w:sz="6" w:space="0" w:color="000000"/>
              <w:right w:val="single" w:sz="6" w:space="0" w:color="000000"/>
            </w:tcBorders>
            <w:shd w:val="clear" w:color="auto" w:fill="FFFFFF"/>
          </w:tcPr>
          <w:p w14:paraId="17F74EBD" w14:textId="264AF14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67D29387" w14:textId="77777777" w:rsidTr="007924E6">
        <w:trPr>
          <w:tblCellSpacing w:w="0" w:type="dxa"/>
          <w:jc w:val="center"/>
        </w:trPr>
        <w:tc>
          <w:tcPr>
            <w:tcW w:w="698" w:type="dxa"/>
            <w:tcBorders>
              <w:top w:val="single" w:sz="6" w:space="0" w:color="000000"/>
              <w:left w:val="single" w:sz="6" w:space="0" w:color="000000"/>
              <w:bottom w:val="single" w:sz="6" w:space="0" w:color="000000"/>
              <w:right w:val="single" w:sz="6" w:space="0" w:color="000000"/>
            </w:tcBorders>
            <w:shd w:val="clear" w:color="auto" w:fill="FFFFFF"/>
            <w:hideMark/>
          </w:tcPr>
          <w:p w14:paraId="2AAD593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5" w:type="dxa"/>
            <w:tcBorders>
              <w:top w:val="single" w:sz="6" w:space="0" w:color="000000"/>
              <w:left w:val="single" w:sz="6" w:space="0" w:color="000000"/>
              <w:bottom w:val="single" w:sz="6" w:space="0" w:color="000000"/>
              <w:right w:val="single" w:sz="6" w:space="0" w:color="000000"/>
            </w:tcBorders>
            <w:shd w:val="clear" w:color="auto" w:fill="FFFFFF"/>
            <w:hideMark/>
          </w:tcPr>
          <w:p w14:paraId="57443D9D" w14:textId="77777777" w:rsidR="00B54C34" w:rsidRPr="007D063B" w:rsidRDefault="00B54C34"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чието положение на пазара на труда в рамките на шест месеца след напускане на операцията е по-добро</w:t>
            </w:r>
            <w:r w:rsidRPr="007D063B">
              <w:rPr>
                <w:rFonts w:ascii="Times New Roman" w:eastAsia="Times New Roman" w:hAnsi="Times New Roman" w:cs="Times New Roman"/>
                <w:b/>
                <w:color w:val="000000"/>
                <w:sz w:val="16"/>
                <w:szCs w:val="16"/>
                <w:lang w:eastAsia="bg-BG"/>
              </w:rPr>
              <w:t> </w:t>
            </w:r>
            <w:hyperlink r:id="rId35" w:anchor="ntr6-L_2015038BG.01007201-E0006" w:history="1">
              <w:r w:rsidRPr="007D063B">
                <w:rPr>
                  <w:rFonts w:ascii="Times New Roman" w:eastAsia="Times New Roman" w:hAnsi="Times New Roman" w:cs="Times New Roman"/>
                  <w:b/>
                  <w:color w:val="0000FF"/>
                  <w:sz w:val="16"/>
                  <w:szCs w:val="16"/>
                  <w:u w:val="single"/>
                  <w:lang w:eastAsia="bg-BG"/>
                </w:rPr>
                <w:t> (</w:t>
              </w:r>
              <w:r w:rsidRPr="007D063B">
                <w:rPr>
                  <w:rFonts w:ascii="Times New Roman" w:eastAsia="Times New Roman" w:hAnsi="Times New Roman" w:cs="Times New Roman"/>
                  <w:b/>
                  <w:color w:val="0000FF"/>
                  <w:sz w:val="16"/>
                  <w:szCs w:val="16"/>
                  <w:u w:val="single"/>
                  <w:vertAlign w:val="superscript"/>
                  <w:lang w:eastAsia="bg-BG"/>
                </w:rPr>
                <w:t>6</w:t>
              </w:r>
              <w:r w:rsidRPr="007D063B">
                <w:rPr>
                  <w:rFonts w:ascii="Times New Roman" w:eastAsia="Times New Roman" w:hAnsi="Times New Roman" w:cs="Times New Roman"/>
                  <w:b/>
                  <w:color w:val="0000FF"/>
                  <w:sz w:val="16"/>
                  <w:szCs w:val="16"/>
                  <w:u w:val="single"/>
                  <w:lang w:eastAsia="bg-BG"/>
                </w:rPr>
                <w:t>)</w:t>
              </w:r>
            </w:hyperlink>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6FFC976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484A70A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6AD00C0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4A6A818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72F8AE6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88" w:type="dxa"/>
            <w:tcBorders>
              <w:top w:val="single" w:sz="6" w:space="0" w:color="000000"/>
              <w:left w:val="single" w:sz="6" w:space="0" w:color="000000"/>
              <w:bottom w:val="single" w:sz="6" w:space="0" w:color="000000"/>
              <w:right w:val="single" w:sz="6" w:space="0" w:color="000000"/>
            </w:tcBorders>
            <w:shd w:val="clear" w:color="auto" w:fill="FFFFFF"/>
            <w:hideMark/>
          </w:tcPr>
          <w:p w14:paraId="4947776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5" w:type="dxa"/>
            <w:tcBorders>
              <w:top w:val="single" w:sz="6" w:space="0" w:color="000000"/>
              <w:left w:val="single" w:sz="6" w:space="0" w:color="000000"/>
              <w:bottom w:val="single" w:sz="6" w:space="0" w:color="000000"/>
              <w:right w:val="single" w:sz="6" w:space="0" w:color="000000"/>
            </w:tcBorders>
            <w:shd w:val="clear" w:color="auto" w:fill="FFFFFF"/>
            <w:hideMark/>
          </w:tcPr>
          <w:p w14:paraId="55BC066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294D82E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1DA43662" w14:textId="3607975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CC09E0" w:rsidRPr="007D063B">
              <w:rPr>
                <w:rFonts w:ascii="Times New Roman" w:eastAsia="Times New Roman" w:hAnsi="Times New Roman" w:cs="Times New Roman"/>
                <w:color w:val="000000"/>
                <w:sz w:val="24"/>
                <w:szCs w:val="24"/>
                <w:lang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3FC70C3E" w14:textId="5C45D1D9" w:rsidR="00B54C34" w:rsidRPr="007D063B" w:rsidRDefault="00CC09E0"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r w:rsidR="00B54C34" w:rsidRPr="007D063B">
              <w:rPr>
                <w:rFonts w:ascii="Times New Roman" w:eastAsia="Times New Roman" w:hAnsi="Times New Roman" w:cs="Times New Roman"/>
                <w:color w:val="000000"/>
                <w:sz w:val="24"/>
                <w:szCs w:val="24"/>
                <w:lang w:eastAsia="bg-BG"/>
              </w:rPr>
              <w:t> </w:t>
            </w:r>
          </w:p>
        </w:tc>
        <w:tc>
          <w:tcPr>
            <w:tcW w:w="31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22D7AA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95" w:type="dxa"/>
            <w:tcBorders>
              <w:top w:val="single" w:sz="6" w:space="0" w:color="000000"/>
              <w:left w:val="single" w:sz="6" w:space="0" w:color="000000"/>
              <w:bottom w:val="single" w:sz="6" w:space="0" w:color="000000"/>
              <w:right w:val="single" w:sz="6" w:space="0" w:color="000000"/>
            </w:tcBorders>
            <w:shd w:val="clear" w:color="auto" w:fill="FFFFFF"/>
            <w:hideMark/>
          </w:tcPr>
          <w:p w14:paraId="35C7CB4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73"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CCE8F3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B58960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07F959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99A3A3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CB8159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D211D5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A6F8A9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423AF2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804044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D25C53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D0C384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8D8FA4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707407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C406BE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E7719A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A20457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31563E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gridSpan w:val="2"/>
            <w:tcBorders>
              <w:top w:val="single" w:sz="6" w:space="0" w:color="000000"/>
              <w:left w:val="single" w:sz="6" w:space="0" w:color="000000"/>
              <w:bottom w:val="single" w:sz="6" w:space="0" w:color="000000"/>
              <w:right w:val="single" w:sz="6" w:space="0" w:color="000000"/>
            </w:tcBorders>
            <w:shd w:val="clear" w:color="auto" w:fill="FFFFFF"/>
          </w:tcPr>
          <w:p w14:paraId="06A6A349" w14:textId="2416710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52" w:type="dxa"/>
            <w:gridSpan w:val="2"/>
            <w:tcBorders>
              <w:top w:val="single" w:sz="6" w:space="0" w:color="000000"/>
              <w:left w:val="single" w:sz="6" w:space="0" w:color="000000"/>
              <w:bottom w:val="single" w:sz="6" w:space="0" w:color="000000"/>
              <w:right w:val="single" w:sz="6" w:space="0" w:color="000000"/>
            </w:tcBorders>
            <w:shd w:val="clear" w:color="auto" w:fill="FFFFFF"/>
          </w:tcPr>
          <w:p w14:paraId="41D2DF7E" w14:textId="37C78C3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490" w:type="dxa"/>
            <w:tcBorders>
              <w:top w:val="single" w:sz="6" w:space="0" w:color="000000"/>
              <w:left w:val="single" w:sz="6" w:space="0" w:color="000000"/>
              <w:bottom w:val="single" w:sz="6" w:space="0" w:color="000000"/>
              <w:right w:val="single" w:sz="6" w:space="0" w:color="000000"/>
            </w:tcBorders>
            <w:shd w:val="clear" w:color="auto" w:fill="FFFFFF"/>
          </w:tcPr>
          <w:p w14:paraId="51D4B28C" w14:textId="1DAE8884"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44149029" w14:textId="77777777" w:rsidTr="007924E6">
        <w:trPr>
          <w:tblCellSpacing w:w="0" w:type="dxa"/>
          <w:jc w:val="center"/>
        </w:trPr>
        <w:tc>
          <w:tcPr>
            <w:tcW w:w="698" w:type="dxa"/>
            <w:tcBorders>
              <w:top w:val="single" w:sz="6" w:space="0" w:color="000000"/>
              <w:left w:val="single" w:sz="6" w:space="0" w:color="000000"/>
              <w:bottom w:val="single" w:sz="6" w:space="0" w:color="000000"/>
              <w:right w:val="single" w:sz="6" w:space="0" w:color="000000"/>
            </w:tcBorders>
            <w:shd w:val="clear" w:color="auto" w:fill="FFFFFF"/>
            <w:hideMark/>
          </w:tcPr>
          <w:p w14:paraId="147286C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5" w:type="dxa"/>
            <w:tcBorders>
              <w:top w:val="single" w:sz="6" w:space="0" w:color="000000"/>
              <w:left w:val="single" w:sz="6" w:space="0" w:color="000000"/>
              <w:bottom w:val="single" w:sz="6" w:space="0" w:color="000000"/>
              <w:right w:val="single" w:sz="6" w:space="0" w:color="000000"/>
            </w:tcBorders>
            <w:shd w:val="clear" w:color="auto" w:fill="FFFFFF"/>
            <w:hideMark/>
          </w:tcPr>
          <w:p w14:paraId="08A82C06" w14:textId="77777777" w:rsidR="00B54C34" w:rsidRPr="007D063B" w:rsidRDefault="00B54C34"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на възраст над 54 години, които в рамките на шест месеца след напускане на операцията имат работа, включително като самостоятелно заети лица</w:t>
            </w:r>
            <w:r w:rsidRPr="007D063B">
              <w:rPr>
                <w:rFonts w:ascii="Times New Roman" w:eastAsia="Times New Roman" w:hAnsi="Times New Roman" w:cs="Times New Roman"/>
                <w:b/>
                <w:color w:val="000000"/>
                <w:sz w:val="16"/>
                <w:szCs w:val="16"/>
                <w:lang w:eastAsia="bg-BG"/>
              </w:rPr>
              <w:t> </w:t>
            </w:r>
            <w:hyperlink r:id="rId36" w:anchor="ntr6-L_2015038BG.01007201-E0006" w:history="1">
              <w:r w:rsidRPr="007D063B">
                <w:rPr>
                  <w:rFonts w:ascii="Times New Roman" w:eastAsia="Times New Roman" w:hAnsi="Times New Roman" w:cs="Times New Roman"/>
                  <w:b/>
                  <w:color w:val="0000FF"/>
                  <w:sz w:val="16"/>
                  <w:szCs w:val="16"/>
                  <w:u w:val="single"/>
                  <w:lang w:eastAsia="bg-BG"/>
                </w:rPr>
                <w:t> (</w:t>
              </w:r>
              <w:r w:rsidRPr="007D063B">
                <w:rPr>
                  <w:rFonts w:ascii="Times New Roman" w:eastAsia="Times New Roman" w:hAnsi="Times New Roman" w:cs="Times New Roman"/>
                  <w:b/>
                  <w:color w:val="0000FF"/>
                  <w:sz w:val="16"/>
                  <w:szCs w:val="16"/>
                  <w:u w:val="single"/>
                  <w:vertAlign w:val="superscript"/>
                  <w:lang w:eastAsia="bg-BG"/>
                </w:rPr>
                <w:t>6</w:t>
              </w:r>
              <w:r w:rsidRPr="007D063B">
                <w:rPr>
                  <w:rFonts w:ascii="Times New Roman" w:eastAsia="Times New Roman" w:hAnsi="Times New Roman" w:cs="Times New Roman"/>
                  <w:b/>
                  <w:color w:val="0000FF"/>
                  <w:sz w:val="16"/>
                  <w:szCs w:val="16"/>
                  <w:u w:val="single"/>
                  <w:lang w:eastAsia="bg-BG"/>
                </w:rPr>
                <w:t>)</w:t>
              </w:r>
            </w:hyperlink>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6ADA57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3EB1A46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3FFD5CB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75DA82A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5AD397B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88" w:type="dxa"/>
            <w:tcBorders>
              <w:top w:val="single" w:sz="6" w:space="0" w:color="000000"/>
              <w:left w:val="single" w:sz="6" w:space="0" w:color="000000"/>
              <w:bottom w:val="single" w:sz="6" w:space="0" w:color="000000"/>
              <w:right w:val="single" w:sz="6" w:space="0" w:color="000000"/>
            </w:tcBorders>
            <w:shd w:val="clear" w:color="auto" w:fill="FFFFFF"/>
            <w:hideMark/>
          </w:tcPr>
          <w:p w14:paraId="027006F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5" w:type="dxa"/>
            <w:tcBorders>
              <w:top w:val="single" w:sz="6" w:space="0" w:color="000000"/>
              <w:left w:val="single" w:sz="6" w:space="0" w:color="000000"/>
              <w:bottom w:val="single" w:sz="6" w:space="0" w:color="000000"/>
              <w:right w:val="single" w:sz="6" w:space="0" w:color="000000"/>
            </w:tcBorders>
            <w:shd w:val="clear" w:color="auto" w:fill="FFFFFF"/>
            <w:hideMark/>
          </w:tcPr>
          <w:p w14:paraId="1EC745F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DD4A6B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420DC1D5" w14:textId="7D906B9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CC09E0" w:rsidRPr="007D063B">
              <w:rPr>
                <w:rFonts w:ascii="Times New Roman" w:eastAsia="Times New Roman" w:hAnsi="Times New Roman" w:cs="Times New Roman"/>
                <w:color w:val="000000"/>
                <w:sz w:val="24"/>
                <w:szCs w:val="24"/>
                <w:lang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24D1D70E" w14:textId="287C6011"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CC09E0" w:rsidRPr="007D063B">
              <w:rPr>
                <w:rFonts w:ascii="Times New Roman" w:eastAsia="Times New Roman" w:hAnsi="Times New Roman" w:cs="Times New Roman"/>
                <w:color w:val="000000"/>
                <w:sz w:val="24"/>
                <w:szCs w:val="24"/>
                <w:lang w:eastAsia="bg-BG"/>
              </w:rPr>
              <w:t>0</w:t>
            </w:r>
          </w:p>
        </w:tc>
        <w:tc>
          <w:tcPr>
            <w:tcW w:w="31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134034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95" w:type="dxa"/>
            <w:tcBorders>
              <w:top w:val="single" w:sz="6" w:space="0" w:color="000000"/>
              <w:left w:val="single" w:sz="6" w:space="0" w:color="000000"/>
              <w:bottom w:val="single" w:sz="6" w:space="0" w:color="000000"/>
              <w:right w:val="single" w:sz="6" w:space="0" w:color="000000"/>
            </w:tcBorders>
            <w:shd w:val="clear" w:color="auto" w:fill="FFFFFF"/>
            <w:hideMark/>
          </w:tcPr>
          <w:p w14:paraId="636EE12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73"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FBFB87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9152C6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C5691C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023C8B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7D75E7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C4F89C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265072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8D16DF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574790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0546C7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1D115E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D41F34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61F5CE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C3B45C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8F1EBC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3EEA8A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5C9D2F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gridSpan w:val="2"/>
            <w:tcBorders>
              <w:top w:val="single" w:sz="6" w:space="0" w:color="000000"/>
              <w:left w:val="single" w:sz="6" w:space="0" w:color="000000"/>
              <w:bottom w:val="single" w:sz="6" w:space="0" w:color="000000"/>
              <w:right w:val="single" w:sz="6" w:space="0" w:color="000000"/>
            </w:tcBorders>
            <w:shd w:val="clear" w:color="auto" w:fill="FFFFFF"/>
          </w:tcPr>
          <w:p w14:paraId="7AAEE03C" w14:textId="4BB7FEDA"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52" w:type="dxa"/>
            <w:gridSpan w:val="2"/>
            <w:tcBorders>
              <w:top w:val="single" w:sz="6" w:space="0" w:color="000000"/>
              <w:left w:val="single" w:sz="6" w:space="0" w:color="000000"/>
              <w:bottom w:val="single" w:sz="6" w:space="0" w:color="000000"/>
              <w:right w:val="single" w:sz="6" w:space="0" w:color="000000"/>
            </w:tcBorders>
            <w:shd w:val="clear" w:color="auto" w:fill="FFFFFF"/>
          </w:tcPr>
          <w:p w14:paraId="21DD58D5" w14:textId="09DBB83A"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490" w:type="dxa"/>
            <w:tcBorders>
              <w:top w:val="single" w:sz="6" w:space="0" w:color="000000"/>
              <w:left w:val="single" w:sz="6" w:space="0" w:color="000000"/>
              <w:bottom w:val="single" w:sz="6" w:space="0" w:color="000000"/>
              <w:right w:val="single" w:sz="6" w:space="0" w:color="000000"/>
            </w:tcBorders>
            <w:shd w:val="clear" w:color="auto" w:fill="FFFFFF"/>
          </w:tcPr>
          <w:p w14:paraId="43A5A0BF" w14:textId="5CAD066D"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5F759E91" w14:textId="77777777" w:rsidTr="007924E6">
        <w:trPr>
          <w:tblCellSpacing w:w="0" w:type="dxa"/>
          <w:jc w:val="center"/>
        </w:trPr>
        <w:tc>
          <w:tcPr>
            <w:tcW w:w="698" w:type="dxa"/>
            <w:tcBorders>
              <w:top w:val="single" w:sz="6" w:space="0" w:color="000000"/>
              <w:left w:val="single" w:sz="6" w:space="0" w:color="000000"/>
              <w:bottom w:val="single" w:sz="6" w:space="0" w:color="000000"/>
              <w:right w:val="single" w:sz="6" w:space="0" w:color="000000"/>
            </w:tcBorders>
            <w:shd w:val="clear" w:color="auto" w:fill="FFFFFF"/>
            <w:hideMark/>
          </w:tcPr>
          <w:p w14:paraId="63EB476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5" w:type="dxa"/>
            <w:tcBorders>
              <w:top w:val="single" w:sz="6" w:space="0" w:color="000000"/>
              <w:left w:val="single" w:sz="6" w:space="0" w:color="000000"/>
              <w:bottom w:val="single" w:sz="6" w:space="0" w:color="000000"/>
              <w:right w:val="single" w:sz="6" w:space="0" w:color="000000"/>
            </w:tcBorders>
            <w:shd w:val="clear" w:color="auto" w:fill="FFFFFF"/>
            <w:hideMark/>
          </w:tcPr>
          <w:p w14:paraId="541EA0A4" w14:textId="77777777" w:rsidR="00B54C34" w:rsidRPr="007D063B" w:rsidRDefault="00B54C34"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в неравностойно положение, които в рамките на шест месеца след напускане на операцията имат работа, включително като самостоятелно заети лица</w:t>
            </w:r>
            <w:r w:rsidRPr="007D063B">
              <w:rPr>
                <w:rFonts w:ascii="Times New Roman" w:eastAsia="Times New Roman" w:hAnsi="Times New Roman" w:cs="Times New Roman"/>
                <w:b/>
                <w:color w:val="000000"/>
                <w:sz w:val="16"/>
                <w:szCs w:val="16"/>
                <w:lang w:eastAsia="bg-BG"/>
              </w:rPr>
              <w:t> </w:t>
            </w:r>
            <w:hyperlink r:id="rId37" w:anchor="ntr6-L_2015038BG.01007201-E0006" w:history="1">
              <w:r w:rsidRPr="007D063B">
                <w:rPr>
                  <w:rFonts w:ascii="Times New Roman" w:eastAsia="Times New Roman" w:hAnsi="Times New Roman" w:cs="Times New Roman"/>
                  <w:b/>
                  <w:color w:val="0000FF"/>
                  <w:sz w:val="16"/>
                  <w:szCs w:val="16"/>
                  <w:u w:val="single"/>
                  <w:lang w:eastAsia="bg-BG"/>
                </w:rPr>
                <w:t> (</w:t>
              </w:r>
              <w:r w:rsidRPr="007D063B">
                <w:rPr>
                  <w:rFonts w:ascii="Times New Roman" w:eastAsia="Times New Roman" w:hAnsi="Times New Roman" w:cs="Times New Roman"/>
                  <w:b/>
                  <w:color w:val="0000FF"/>
                  <w:sz w:val="16"/>
                  <w:szCs w:val="16"/>
                  <w:u w:val="single"/>
                  <w:vertAlign w:val="superscript"/>
                  <w:lang w:eastAsia="bg-BG"/>
                </w:rPr>
                <w:t>6</w:t>
              </w:r>
              <w:r w:rsidRPr="007D063B">
                <w:rPr>
                  <w:rFonts w:ascii="Times New Roman" w:eastAsia="Times New Roman" w:hAnsi="Times New Roman" w:cs="Times New Roman"/>
                  <w:b/>
                  <w:color w:val="0000FF"/>
                  <w:sz w:val="16"/>
                  <w:szCs w:val="16"/>
                  <w:u w:val="single"/>
                  <w:lang w:eastAsia="bg-BG"/>
                </w:rPr>
                <w:t>)</w:t>
              </w:r>
            </w:hyperlink>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605A13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1105F16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2C0AC80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34A84C3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3780E97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88" w:type="dxa"/>
            <w:tcBorders>
              <w:top w:val="single" w:sz="6" w:space="0" w:color="000000"/>
              <w:left w:val="single" w:sz="6" w:space="0" w:color="000000"/>
              <w:bottom w:val="single" w:sz="6" w:space="0" w:color="000000"/>
              <w:right w:val="single" w:sz="6" w:space="0" w:color="000000"/>
            </w:tcBorders>
            <w:shd w:val="clear" w:color="auto" w:fill="FFFFFF"/>
            <w:hideMark/>
          </w:tcPr>
          <w:p w14:paraId="6789745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5" w:type="dxa"/>
            <w:tcBorders>
              <w:top w:val="single" w:sz="6" w:space="0" w:color="000000"/>
              <w:left w:val="single" w:sz="6" w:space="0" w:color="000000"/>
              <w:bottom w:val="single" w:sz="6" w:space="0" w:color="000000"/>
              <w:right w:val="single" w:sz="6" w:space="0" w:color="000000"/>
            </w:tcBorders>
            <w:shd w:val="clear" w:color="auto" w:fill="FFFFFF"/>
            <w:hideMark/>
          </w:tcPr>
          <w:p w14:paraId="1F41F07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FB31FE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55DAF758" w14:textId="467E285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CC09E0" w:rsidRPr="007D063B">
              <w:rPr>
                <w:rFonts w:ascii="Times New Roman" w:eastAsia="Times New Roman" w:hAnsi="Times New Roman" w:cs="Times New Roman"/>
                <w:color w:val="000000"/>
                <w:sz w:val="24"/>
                <w:szCs w:val="24"/>
                <w:lang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4C4FC76E" w14:textId="70DE8C56" w:rsidR="00B54C34" w:rsidRPr="007D063B" w:rsidRDefault="00CC09E0"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r w:rsidR="00B54C34" w:rsidRPr="007D063B">
              <w:rPr>
                <w:rFonts w:ascii="Times New Roman" w:eastAsia="Times New Roman" w:hAnsi="Times New Roman" w:cs="Times New Roman"/>
                <w:color w:val="000000"/>
                <w:sz w:val="24"/>
                <w:szCs w:val="24"/>
                <w:lang w:eastAsia="bg-BG"/>
              </w:rPr>
              <w:t> </w:t>
            </w:r>
          </w:p>
        </w:tc>
        <w:tc>
          <w:tcPr>
            <w:tcW w:w="285" w:type="dxa"/>
            <w:tcBorders>
              <w:top w:val="single" w:sz="6" w:space="0" w:color="000000"/>
              <w:left w:val="single" w:sz="6" w:space="0" w:color="000000"/>
              <w:bottom w:val="single" w:sz="6" w:space="0" w:color="000000"/>
              <w:right w:val="single" w:sz="6" w:space="0" w:color="000000"/>
            </w:tcBorders>
            <w:shd w:val="clear" w:color="auto" w:fill="FFFFFF"/>
            <w:hideMark/>
          </w:tcPr>
          <w:p w14:paraId="2BA2A65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9D4609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389C2B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700B69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16A525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6E6B5D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BDBD7B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BEE9D9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C212A4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F5F15D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DD5E09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11550D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9CA9E5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D2A75A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0F1860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CAF911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65DCAF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74034A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52FE89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gridSpan w:val="2"/>
            <w:tcBorders>
              <w:top w:val="single" w:sz="6" w:space="0" w:color="000000"/>
              <w:left w:val="single" w:sz="6" w:space="0" w:color="000000"/>
              <w:bottom w:val="single" w:sz="6" w:space="0" w:color="000000"/>
              <w:right w:val="single" w:sz="6" w:space="0" w:color="000000"/>
            </w:tcBorders>
            <w:shd w:val="clear" w:color="auto" w:fill="FFFFFF"/>
          </w:tcPr>
          <w:p w14:paraId="79FADC77" w14:textId="74DC5B7C"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52" w:type="dxa"/>
            <w:gridSpan w:val="2"/>
            <w:tcBorders>
              <w:top w:val="single" w:sz="6" w:space="0" w:color="000000"/>
              <w:left w:val="single" w:sz="6" w:space="0" w:color="000000"/>
              <w:bottom w:val="single" w:sz="6" w:space="0" w:color="000000"/>
              <w:right w:val="single" w:sz="6" w:space="0" w:color="000000"/>
            </w:tcBorders>
            <w:shd w:val="clear" w:color="auto" w:fill="FFFFFF"/>
          </w:tcPr>
          <w:p w14:paraId="27E8CBDA" w14:textId="7B3ED8A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521" w:type="dxa"/>
            <w:gridSpan w:val="2"/>
            <w:tcBorders>
              <w:top w:val="single" w:sz="6" w:space="0" w:color="000000"/>
              <w:left w:val="single" w:sz="6" w:space="0" w:color="000000"/>
              <w:bottom w:val="single" w:sz="6" w:space="0" w:color="000000"/>
              <w:right w:val="single" w:sz="6" w:space="0" w:color="000000"/>
            </w:tcBorders>
            <w:shd w:val="clear" w:color="auto" w:fill="FFFFFF"/>
          </w:tcPr>
          <w:p w14:paraId="28E11F2C" w14:textId="6B7EC7B0"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bl>
    <w:p w14:paraId="3E511ABC" w14:textId="77777777" w:rsidR="00B54C34" w:rsidRPr="007D063B" w:rsidRDefault="00B54C34" w:rsidP="00B54C34">
      <w:pPr>
        <w:shd w:val="clear" w:color="auto" w:fill="FFFFFF"/>
        <w:spacing w:before="120" w:after="120" w:line="240" w:lineRule="auto"/>
        <w:jc w:val="center"/>
        <w:rPr>
          <w:rFonts w:ascii="inherit" w:eastAsia="Times New Roman" w:hAnsi="inherit" w:cs="Times New Roman"/>
          <w:i/>
          <w:iCs/>
          <w:color w:val="000000"/>
          <w:sz w:val="24"/>
          <w:szCs w:val="24"/>
          <w:lang w:eastAsia="bg-BG"/>
        </w:rPr>
      </w:pPr>
    </w:p>
    <w:p w14:paraId="487B7404" w14:textId="77777777" w:rsidR="00B54C34" w:rsidRPr="007D063B" w:rsidRDefault="00B54C34" w:rsidP="006E7278">
      <w:pPr>
        <w:pStyle w:val="Heading3"/>
        <w:jc w:val="center"/>
        <w:rPr>
          <w:rFonts w:ascii="Times New Roman" w:eastAsia="Times New Roman" w:hAnsi="Times New Roman" w:cs="Times New Roman"/>
          <w:color w:val="000000"/>
          <w:lang w:eastAsia="bg-BG"/>
        </w:rPr>
      </w:pPr>
      <w:bookmarkStart w:id="18" w:name="_Toc481594279"/>
      <w:r w:rsidRPr="007D063B">
        <w:rPr>
          <w:rFonts w:ascii="inherit" w:eastAsia="Times New Roman" w:hAnsi="inherit" w:cs="Times New Roman"/>
          <w:i/>
          <w:iCs/>
          <w:color w:val="000000"/>
          <w:lang w:eastAsia="bg-BG"/>
        </w:rPr>
        <w:t>Таблица 2В</w:t>
      </w:r>
      <w:bookmarkEnd w:id="18"/>
    </w:p>
    <w:p w14:paraId="431E8F80" w14:textId="77777777" w:rsidR="00B54C34" w:rsidRPr="007D063B" w:rsidRDefault="00B54C34" w:rsidP="00B54C34">
      <w:pPr>
        <w:shd w:val="clear" w:color="auto" w:fill="FFFFFF"/>
        <w:spacing w:before="120" w:after="120" w:line="240" w:lineRule="auto"/>
        <w:jc w:val="center"/>
        <w:rPr>
          <w:rFonts w:ascii="Times New Roman" w:eastAsia="Times New Roman" w:hAnsi="Times New Roman" w:cs="Times New Roman"/>
          <w:color w:val="000000"/>
          <w:sz w:val="24"/>
          <w:szCs w:val="24"/>
          <w:lang w:eastAsia="bg-BG"/>
        </w:rPr>
      </w:pPr>
      <w:r w:rsidRPr="007D063B">
        <w:rPr>
          <w:rFonts w:ascii="inherit" w:eastAsia="Times New Roman" w:hAnsi="inherit" w:cs="Times New Roman"/>
          <w:b/>
          <w:bCs/>
          <w:color w:val="000000"/>
          <w:sz w:val="24"/>
          <w:szCs w:val="24"/>
          <w:lang w:eastAsia="bg-BG"/>
        </w:rPr>
        <w:t>Специфични за програмата показатели за резултатите за ЕСФ (по приоритетна ос, инвестиционен приоритет и по категория регион, когато е приложимо); прилага се също за приоритетната ос за техническа помощ</w:t>
      </w:r>
    </w:p>
    <w:p w14:paraId="0673F75F" w14:textId="77777777" w:rsidR="00B54C34" w:rsidRPr="007D063B" w:rsidRDefault="00B54C34" w:rsidP="00B54C34">
      <w:pPr>
        <w:shd w:val="clear" w:color="auto" w:fill="FFFFFF"/>
        <w:spacing w:before="120" w:after="120" w:line="240" w:lineRule="auto"/>
        <w:jc w:val="center"/>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lastRenderedPageBreak/>
        <w:t>(по отношение на ИМЗ и специфичните за програмата показатели за всяка приоритетна ос или част от нея, по която се предоставя подкрепа за ИМЗ, не се изисква разпределение по категория региони)</w:t>
      </w:r>
      <w:hyperlink r:id="rId38" w:anchor="ntr10-L_2015038BG.01007201-E0010" w:history="1">
        <w:r w:rsidRPr="007D063B">
          <w:rPr>
            <w:rFonts w:ascii="inherit" w:eastAsia="Times New Roman" w:hAnsi="inherit" w:cs="Times New Roman"/>
            <w:color w:val="0000FF"/>
            <w:sz w:val="24"/>
            <w:szCs w:val="24"/>
            <w:u w:val="single"/>
            <w:lang w:eastAsia="bg-BG"/>
          </w:rPr>
          <w:t> (</w:t>
        </w:r>
        <w:r w:rsidRPr="007D063B">
          <w:rPr>
            <w:rFonts w:ascii="inherit" w:eastAsia="Times New Roman" w:hAnsi="inherit" w:cs="Times New Roman"/>
            <w:color w:val="0000FF"/>
            <w:sz w:val="17"/>
            <w:szCs w:val="17"/>
            <w:u w:val="single"/>
            <w:vertAlign w:val="superscript"/>
            <w:lang w:eastAsia="bg-BG"/>
          </w:rPr>
          <w:t>10</w:t>
        </w:r>
        <w:r w:rsidRPr="007D063B">
          <w:rPr>
            <w:rFonts w:ascii="inherit" w:eastAsia="Times New Roman" w:hAnsi="inherit" w:cs="Times New Roman"/>
            <w:color w:val="0000FF"/>
            <w:sz w:val="24"/>
            <w:szCs w:val="24"/>
            <w:u w:val="single"/>
            <w:lang w:eastAsia="bg-BG"/>
          </w:rPr>
          <w:t>)</w:t>
        </w:r>
      </w:hyperlink>
    </w:p>
    <w:p w14:paraId="29E5B122" w14:textId="77777777" w:rsidR="00B54C34" w:rsidRPr="007D063B" w:rsidRDefault="00B54C34" w:rsidP="00B54C34">
      <w:pPr>
        <w:shd w:val="clear" w:color="auto" w:fill="FFFFFF"/>
        <w:spacing w:before="120" w:after="0" w:line="240" w:lineRule="auto"/>
        <w:jc w:val="both"/>
        <w:rPr>
          <w:rFonts w:ascii="Times New Roman" w:eastAsia="Times New Roman" w:hAnsi="Times New Roman" w:cs="Times New Roman"/>
          <w:color w:val="000000"/>
          <w:sz w:val="24"/>
          <w:szCs w:val="24"/>
          <w:lang w:val="ru-RU" w:eastAsia="bg-BG"/>
        </w:rPr>
      </w:pPr>
      <w:r w:rsidRPr="007D063B">
        <w:rPr>
          <w:rFonts w:ascii="Times New Roman" w:eastAsia="Times New Roman" w:hAnsi="Times New Roman" w:cs="Times New Roman"/>
          <w:color w:val="000000"/>
          <w:sz w:val="24"/>
          <w:szCs w:val="24"/>
          <w:lang w:eastAsia="bg-BG"/>
        </w:rPr>
        <w:t>Инвестиционен приоритет:</w:t>
      </w:r>
      <w:r w:rsidRPr="007D063B">
        <w:rPr>
          <w:rFonts w:ascii="Times New Roman" w:eastAsia="Times New Roman" w:hAnsi="Times New Roman" w:cs="Times New Roman"/>
          <w:color w:val="000000"/>
          <w:sz w:val="24"/>
          <w:szCs w:val="24"/>
          <w:lang w:val="ru-RU" w:eastAsia="bg-BG"/>
        </w:rPr>
        <w:t xml:space="preserve"> </w:t>
      </w:r>
    </w:p>
    <w:p w14:paraId="6BC932FA" w14:textId="77777777" w:rsidR="00B54C34" w:rsidRPr="007D063B" w:rsidRDefault="00B54C34" w:rsidP="00B54C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xml:space="preserve">Инвестиционен приоритет № 11 </w:t>
      </w:r>
      <w:r w:rsidRPr="007D063B">
        <w:rPr>
          <w:rFonts w:ascii="Times New Roman" w:eastAsia="Times New Roman" w:hAnsi="Times New Roman" w:cs="Times New Roman"/>
          <w:color w:val="000000"/>
          <w:sz w:val="24"/>
          <w:szCs w:val="24"/>
          <w:lang w:val="en-US" w:eastAsia="bg-BG"/>
        </w:rPr>
        <w:t>i</w:t>
      </w:r>
      <w:r w:rsidRPr="007D063B">
        <w:rPr>
          <w:rFonts w:ascii="Times New Roman" w:eastAsia="Times New Roman" w:hAnsi="Times New Roman" w:cs="Times New Roman"/>
          <w:color w:val="000000"/>
          <w:sz w:val="24"/>
          <w:szCs w:val="24"/>
          <w:lang w:eastAsia="bg-BG"/>
        </w:rPr>
        <w:t>: Инвестиции в институционален капацитет и в ефикасността на публичните администрации и публичните услуги на национално, регионално и местно равнище с цел осъществяването на реформи и постигането на по-добро регулиране и добро управление</w:t>
      </w:r>
    </w:p>
    <w:p w14:paraId="20B5818E" w14:textId="77777777" w:rsidR="00B54C34" w:rsidRPr="007D063B" w:rsidRDefault="00B54C34" w:rsidP="00B54C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Категория регион: По-слабо развити региони</w:t>
      </w:r>
    </w:p>
    <w:tbl>
      <w:tblPr>
        <w:tblW w:w="5679" w:type="pct"/>
        <w:jc w:val="center"/>
        <w:tblCellSpacing w:w="0" w:type="dxa"/>
        <w:tblBorders>
          <w:top w:val="single" w:sz="2" w:space="0" w:color="000000"/>
          <w:left w:val="single" w:sz="2" w:space="0" w:color="000000"/>
          <w:bottom w:val="single" w:sz="2" w:space="0" w:color="000000"/>
          <w:right w:val="single" w:sz="2" w:space="0" w:color="000000"/>
        </w:tblBorders>
        <w:shd w:val="clear" w:color="auto" w:fill="FFFFFF"/>
        <w:tblLayout w:type="fixed"/>
        <w:tblCellMar>
          <w:left w:w="0" w:type="dxa"/>
          <w:right w:w="0" w:type="dxa"/>
        </w:tblCellMar>
        <w:tblLook w:val="04A0" w:firstRow="1" w:lastRow="0" w:firstColumn="1" w:lastColumn="0" w:noHBand="0" w:noVBand="1"/>
      </w:tblPr>
      <w:tblGrid>
        <w:gridCol w:w="562"/>
        <w:gridCol w:w="1706"/>
        <w:gridCol w:w="608"/>
        <w:gridCol w:w="834"/>
        <w:gridCol w:w="541"/>
        <w:gridCol w:w="570"/>
        <w:gridCol w:w="853"/>
        <w:gridCol w:w="433"/>
        <w:gridCol w:w="570"/>
        <w:gridCol w:w="29"/>
        <w:gridCol w:w="181"/>
        <w:gridCol w:w="210"/>
        <w:gridCol w:w="229"/>
        <w:gridCol w:w="32"/>
        <w:gridCol w:w="175"/>
        <w:gridCol w:w="210"/>
        <w:gridCol w:w="236"/>
        <w:gridCol w:w="32"/>
        <w:gridCol w:w="216"/>
        <w:gridCol w:w="169"/>
        <w:gridCol w:w="236"/>
        <w:gridCol w:w="32"/>
        <w:gridCol w:w="175"/>
        <w:gridCol w:w="210"/>
        <w:gridCol w:w="236"/>
        <w:gridCol w:w="35"/>
        <w:gridCol w:w="175"/>
        <w:gridCol w:w="210"/>
        <w:gridCol w:w="236"/>
        <w:gridCol w:w="35"/>
        <w:gridCol w:w="175"/>
        <w:gridCol w:w="210"/>
        <w:gridCol w:w="236"/>
        <w:gridCol w:w="35"/>
        <w:gridCol w:w="175"/>
        <w:gridCol w:w="210"/>
        <w:gridCol w:w="236"/>
        <w:gridCol w:w="35"/>
        <w:gridCol w:w="172"/>
        <w:gridCol w:w="210"/>
        <w:gridCol w:w="236"/>
        <w:gridCol w:w="35"/>
        <w:gridCol w:w="172"/>
        <w:gridCol w:w="210"/>
        <w:gridCol w:w="236"/>
        <w:gridCol w:w="35"/>
        <w:gridCol w:w="172"/>
        <w:gridCol w:w="210"/>
        <w:gridCol w:w="363"/>
        <w:gridCol w:w="863"/>
        <w:gridCol w:w="140"/>
        <w:gridCol w:w="162"/>
        <w:gridCol w:w="414"/>
        <w:gridCol w:w="423"/>
        <w:gridCol w:w="563"/>
        <w:gridCol w:w="13"/>
      </w:tblGrid>
      <w:tr w:rsidR="001D6F88" w:rsidRPr="007D063B" w14:paraId="48907117" w14:textId="77777777" w:rsidTr="00EF3DFA">
        <w:trPr>
          <w:tblCellSpacing w:w="0" w:type="dxa"/>
          <w:jc w:val="center"/>
        </w:trPr>
        <w:tc>
          <w:tcPr>
            <w:tcW w:w="177" w:type="pct"/>
            <w:tcBorders>
              <w:top w:val="single" w:sz="2" w:space="0" w:color="000000"/>
              <w:left w:val="single" w:sz="2" w:space="0" w:color="000000"/>
              <w:bottom w:val="single" w:sz="2" w:space="0" w:color="000000"/>
              <w:right w:val="single" w:sz="2" w:space="0" w:color="000000"/>
            </w:tcBorders>
            <w:shd w:val="clear" w:color="auto" w:fill="FFFFFF"/>
            <w:hideMark/>
          </w:tcPr>
          <w:p w14:paraId="6E37EB3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Идентификация</w:t>
            </w:r>
          </w:p>
        </w:tc>
        <w:tc>
          <w:tcPr>
            <w:tcW w:w="536" w:type="pct"/>
            <w:tcBorders>
              <w:top w:val="single" w:sz="2" w:space="0" w:color="000000"/>
              <w:left w:val="single" w:sz="2" w:space="0" w:color="000000"/>
              <w:bottom w:val="single" w:sz="2" w:space="0" w:color="000000"/>
              <w:right w:val="single" w:sz="2" w:space="0" w:color="000000"/>
            </w:tcBorders>
            <w:shd w:val="clear" w:color="auto" w:fill="FFFFFF"/>
            <w:hideMark/>
          </w:tcPr>
          <w:p w14:paraId="72488E6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Показател</w:t>
            </w:r>
          </w:p>
        </w:tc>
        <w:tc>
          <w:tcPr>
            <w:tcW w:w="191" w:type="pct"/>
            <w:tcBorders>
              <w:top w:val="single" w:sz="2" w:space="0" w:color="000000"/>
              <w:left w:val="single" w:sz="2" w:space="0" w:color="000000"/>
              <w:bottom w:val="single" w:sz="2" w:space="0" w:color="000000"/>
              <w:right w:val="single" w:sz="2" w:space="0" w:color="000000"/>
            </w:tcBorders>
            <w:shd w:val="clear" w:color="auto" w:fill="FFFFFF"/>
            <w:hideMark/>
          </w:tcPr>
          <w:p w14:paraId="648AE59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ЕСФ/ИМЗ</w:t>
            </w:r>
          </w:p>
        </w:tc>
        <w:tc>
          <w:tcPr>
            <w:tcW w:w="262" w:type="pct"/>
            <w:tcBorders>
              <w:top w:val="single" w:sz="2" w:space="0" w:color="000000"/>
              <w:left w:val="single" w:sz="2" w:space="0" w:color="000000"/>
              <w:bottom w:val="single" w:sz="2" w:space="0" w:color="000000"/>
              <w:right w:val="single" w:sz="2" w:space="0" w:color="000000"/>
            </w:tcBorders>
            <w:shd w:val="clear" w:color="auto" w:fill="FFFFFF"/>
            <w:hideMark/>
          </w:tcPr>
          <w:p w14:paraId="3F96E7A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Категория региони (когато е уместно)</w:t>
            </w:r>
          </w:p>
        </w:tc>
        <w:tc>
          <w:tcPr>
            <w:tcW w:w="170" w:type="pct"/>
            <w:tcBorders>
              <w:top w:val="single" w:sz="2" w:space="0" w:color="000000"/>
              <w:left w:val="single" w:sz="2" w:space="0" w:color="000000"/>
              <w:bottom w:val="single" w:sz="2" w:space="0" w:color="000000"/>
              <w:right w:val="single" w:sz="2" w:space="0" w:color="000000"/>
            </w:tcBorders>
            <w:shd w:val="clear" w:color="auto" w:fill="FFFFFF"/>
            <w:hideMark/>
          </w:tcPr>
          <w:p w14:paraId="1B4135E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Мерна единица за показател</w:t>
            </w:r>
          </w:p>
        </w:tc>
        <w:tc>
          <w:tcPr>
            <w:tcW w:w="179" w:type="pct"/>
            <w:tcBorders>
              <w:top w:val="single" w:sz="2" w:space="0" w:color="000000"/>
              <w:left w:val="single" w:sz="2" w:space="0" w:color="000000"/>
              <w:bottom w:val="single" w:sz="2" w:space="0" w:color="000000"/>
              <w:right w:val="single" w:sz="2" w:space="0" w:color="000000"/>
            </w:tcBorders>
            <w:shd w:val="clear" w:color="auto" w:fill="FFFFFF"/>
            <w:hideMark/>
          </w:tcPr>
          <w:p w14:paraId="2FBCAE2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Мерна единица за базовата и целевата стойност</w:t>
            </w:r>
          </w:p>
        </w:tc>
        <w:tc>
          <w:tcPr>
            <w:tcW w:w="592" w:type="pct"/>
            <w:gridSpan w:val="4"/>
            <w:tcBorders>
              <w:top w:val="single" w:sz="2" w:space="0" w:color="000000"/>
              <w:left w:val="single" w:sz="2" w:space="0" w:color="000000"/>
              <w:bottom w:val="single" w:sz="2" w:space="0" w:color="000000"/>
              <w:right w:val="single" w:sz="2" w:space="0" w:color="000000"/>
            </w:tcBorders>
            <w:shd w:val="clear" w:color="auto" w:fill="FFFFFF"/>
            <w:hideMark/>
          </w:tcPr>
          <w:p w14:paraId="7472484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Целева стойност (2023 г.)</w:t>
            </w:r>
          </w:p>
        </w:tc>
        <w:tc>
          <w:tcPr>
            <w:tcW w:w="205" w:type="pct"/>
            <w:gridSpan w:val="4"/>
            <w:tcBorders>
              <w:top w:val="single" w:sz="2" w:space="0" w:color="000000"/>
              <w:left w:val="single" w:sz="2" w:space="0" w:color="000000"/>
              <w:bottom w:val="single" w:sz="2" w:space="0" w:color="000000"/>
              <w:right w:val="single" w:sz="2" w:space="0" w:color="000000"/>
            </w:tcBorders>
            <w:shd w:val="clear" w:color="auto" w:fill="FFFFFF"/>
            <w:hideMark/>
          </w:tcPr>
          <w:p w14:paraId="5F4C203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2014</w:t>
            </w:r>
          </w:p>
        </w:tc>
        <w:tc>
          <w:tcPr>
            <w:tcW w:w="205" w:type="pct"/>
            <w:gridSpan w:val="4"/>
            <w:tcBorders>
              <w:top w:val="single" w:sz="2" w:space="0" w:color="000000"/>
              <w:left w:val="single" w:sz="2" w:space="0" w:color="000000"/>
              <w:bottom w:val="single" w:sz="2" w:space="0" w:color="000000"/>
              <w:right w:val="single" w:sz="2" w:space="0" w:color="000000"/>
            </w:tcBorders>
            <w:shd w:val="clear" w:color="auto" w:fill="FFFFFF"/>
            <w:hideMark/>
          </w:tcPr>
          <w:p w14:paraId="067CB60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2015</w:t>
            </w:r>
          </w:p>
        </w:tc>
        <w:tc>
          <w:tcPr>
            <w:tcW w:w="205" w:type="pct"/>
            <w:gridSpan w:val="4"/>
            <w:tcBorders>
              <w:top w:val="single" w:sz="2" w:space="0" w:color="000000"/>
              <w:left w:val="single" w:sz="2" w:space="0" w:color="000000"/>
              <w:bottom w:val="single" w:sz="2" w:space="0" w:color="000000"/>
              <w:right w:val="single" w:sz="2" w:space="0" w:color="000000"/>
            </w:tcBorders>
            <w:shd w:val="clear" w:color="auto" w:fill="FFFFFF"/>
            <w:hideMark/>
          </w:tcPr>
          <w:p w14:paraId="795FC81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2016</w:t>
            </w:r>
          </w:p>
        </w:tc>
        <w:tc>
          <w:tcPr>
            <w:tcW w:w="206" w:type="pct"/>
            <w:gridSpan w:val="4"/>
            <w:tcBorders>
              <w:top w:val="single" w:sz="2" w:space="0" w:color="000000"/>
              <w:left w:val="single" w:sz="2" w:space="0" w:color="000000"/>
              <w:bottom w:val="single" w:sz="2" w:space="0" w:color="000000"/>
              <w:right w:val="single" w:sz="2" w:space="0" w:color="000000"/>
            </w:tcBorders>
            <w:shd w:val="clear" w:color="auto" w:fill="FFFFFF"/>
            <w:hideMark/>
          </w:tcPr>
          <w:p w14:paraId="6A8AFD6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2017</w:t>
            </w:r>
          </w:p>
        </w:tc>
        <w:tc>
          <w:tcPr>
            <w:tcW w:w="206" w:type="pct"/>
            <w:gridSpan w:val="4"/>
            <w:tcBorders>
              <w:top w:val="single" w:sz="2" w:space="0" w:color="000000"/>
              <w:left w:val="single" w:sz="2" w:space="0" w:color="000000"/>
              <w:bottom w:val="single" w:sz="2" w:space="0" w:color="000000"/>
              <w:right w:val="single" w:sz="2" w:space="0" w:color="000000"/>
            </w:tcBorders>
            <w:shd w:val="clear" w:color="auto" w:fill="FFFFFF"/>
            <w:hideMark/>
          </w:tcPr>
          <w:p w14:paraId="71275DE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2018</w:t>
            </w:r>
          </w:p>
        </w:tc>
        <w:tc>
          <w:tcPr>
            <w:tcW w:w="206" w:type="pct"/>
            <w:gridSpan w:val="4"/>
            <w:tcBorders>
              <w:top w:val="single" w:sz="2" w:space="0" w:color="000000"/>
              <w:left w:val="single" w:sz="2" w:space="0" w:color="000000"/>
              <w:bottom w:val="single" w:sz="2" w:space="0" w:color="000000"/>
              <w:right w:val="single" w:sz="2" w:space="0" w:color="000000"/>
            </w:tcBorders>
            <w:shd w:val="clear" w:color="auto" w:fill="FFFFFF"/>
            <w:hideMark/>
          </w:tcPr>
          <w:p w14:paraId="0E4A8E2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2019</w:t>
            </w:r>
          </w:p>
        </w:tc>
        <w:tc>
          <w:tcPr>
            <w:tcW w:w="206" w:type="pct"/>
            <w:gridSpan w:val="4"/>
            <w:tcBorders>
              <w:top w:val="single" w:sz="2" w:space="0" w:color="000000"/>
              <w:left w:val="single" w:sz="2" w:space="0" w:color="000000"/>
              <w:bottom w:val="single" w:sz="2" w:space="0" w:color="000000"/>
              <w:right w:val="single" w:sz="2" w:space="0" w:color="000000"/>
            </w:tcBorders>
            <w:shd w:val="clear" w:color="auto" w:fill="FFFFFF"/>
            <w:hideMark/>
          </w:tcPr>
          <w:p w14:paraId="5D3C7E8E" w14:textId="77777777" w:rsidR="00B54C34" w:rsidRPr="007D063B" w:rsidRDefault="00B54C34" w:rsidP="00450FF1">
            <w:pPr>
              <w:spacing w:before="60" w:after="60" w:line="240" w:lineRule="auto"/>
              <w:ind w:right="195"/>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2020</w:t>
            </w:r>
          </w:p>
        </w:tc>
        <w:tc>
          <w:tcPr>
            <w:tcW w:w="205" w:type="pct"/>
            <w:gridSpan w:val="4"/>
            <w:tcBorders>
              <w:top w:val="single" w:sz="2" w:space="0" w:color="000000"/>
              <w:left w:val="single" w:sz="2" w:space="0" w:color="000000"/>
              <w:bottom w:val="single" w:sz="2" w:space="0" w:color="000000"/>
              <w:right w:val="single" w:sz="2" w:space="0" w:color="000000"/>
            </w:tcBorders>
            <w:shd w:val="clear" w:color="auto" w:fill="FFFFFF"/>
            <w:hideMark/>
          </w:tcPr>
          <w:p w14:paraId="74CFE83F" w14:textId="77777777" w:rsidR="00B54C34" w:rsidRPr="007D063B" w:rsidRDefault="00B54C34" w:rsidP="00450FF1">
            <w:pPr>
              <w:spacing w:before="60" w:after="60" w:line="240" w:lineRule="auto"/>
              <w:ind w:right="195"/>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2021</w:t>
            </w:r>
          </w:p>
        </w:tc>
        <w:tc>
          <w:tcPr>
            <w:tcW w:w="205" w:type="pct"/>
            <w:gridSpan w:val="4"/>
            <w:tcBorders>
              <w:top w:val="single" w:sz="2" w:space="0" w:color="000000"/>
              <w:left w:val="single" w:sz="2" w:space="0" w:color="000000"/>
              <w:bottom w:val="single" w:sz="2" w:space="0" w:color="000000"/>
              <w:right w:val="single" w:sz="2" w:space="0" w:color="000000"/>
            </w:tcBorders>
            <w:shd w:val="clear" w:color="auto" w:fill="FFFFFF"/>
            <w:hideMark/>
          </w:tcPr>
          <w:p w14:paraId="670DB0D8" w14:textId="77777777" w:rsidR="00B54C34" w:rsidRPr="007D063B" w:rsidRDefault="00B54C34" w:rsidP="00450FF1">
            <w:pPr>
              <w:spacing w:before="60" w:after="60" w:line="240" w:lineRule="auto"/>
              <w:ind w:right="195"/>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2022</w:t>
            </w:r>
          </w:p>
        </w:tc>
        <w:tc>
          <w:tcPr>
            <w:tcW w:w="234" w:type="pct"/>
            <w:gridSpan w:val="3"/>
            <w:tcBorders>
              <w:top w:val="single" w:sz="2" w:space="0" w:color="000000"/>
              <w:left w:val="single" w:sz="2" w:space="0" w:color="000000"/>
              <w:bottom w:val="single" w:sz="2" w:space="0" w:color="000000"/>
              <w:right w:val="single" w:sz="2" w:space="0" w:color="000000"/>
            </w:tcBorders>
            <w:shd w:val="clear" w:color="auto" w:fill="FFFFFF"/>
            <w:hideMark/>
          </w:tcPr>
          <w:p w14:paraId="13464755" w14:textId="77777777" w:rsidR="00B54C34" w:rsidRPr="007D063B" w:rsidRDefault="00B54C34" w:rsidP="00450FF1">
            <w:pPr>
              <w:spacing w:before="60" w:after="60" w:line="240" w:lineRule="auto"/>
              <w:ind w:right="195"/>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2023</w:t>
            </w:r>
          </w:p>
        </w:tc>
        <w:tc>
          <w:tcPr>
            <w:tcW w:w="271" w:type="pct"/>
            <w:tcBorders>
              <w:top w:val="single" w:sz="2" w:space="0" w:color="000000"/>
              <w:left w:val="single" w:sz="2" w:space="0" w:color="000000"/>
              <w:bottom w:val="single" w:sz="2" w:space="0" w:color="000000"/>
              <w:right w:val="single" w:sz="2" w:space="0" w:color="000000"/>
            </w:tcBorders>
            <w:shd w:val="clear" w:color="auto" w:fill="FFFFFF"/>
            <w:hideMark/>
          </w:tcPr>
          <w:p w14:paraId="0A2B3AD5" w14:textId="2A48818E" w:rsidR="00B54C34" w:rsidRPr="007D063B" w:rsidRDefault="004C667B"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Кумулативна стойност (автоматично изчислена)</w:t>
            </w:r>
          </w:p>
        </w:tc>
        <w:tc>
          <w:tcPr>
            <w:tcW w:w="539" w:type="pct"/>
            <w:gridSpan w:val="6"/>
            <w:tcBorders>
              <w:top w:val="single" w:sz="2" w:space="0" w:color="000000"/>
              <w:left w:val="single" w:sz="2" w:space="0" w:color="000000"/>
              <w:bottom w:val="single" w:sz="2" w:space="0" w:color="000000"/>
              <w:right w:val="single" w:sz="2" w:space="0" w:color="000000"/>
            </w:tcBorders>
            <w:shd w:val="clear" w:color="auto" w:fill="FFFFFF"/>
            <w:hideMark/>
          </w:tcPr>
          <w:p w14:paraId="377CC4A3" w14:textId="77777777" w:rsidR="00B54C34" w:rsidRPr="007D063B" w:rsidRDefault="00B54C34" w:rsidP="00450FF1">
            <w:pPr>
              <w:spacing w:before="60" w:after="60" w:line="240" w:lineRule="auto"/>
              <w:ind w:right="195"/>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Съотношение на постиженията</w:t>
            </w:r>
          </w:p>
        </w:tc>
      </w:tr>
      <w:tr w:rsidR="00F5033D" w:rsidRPr="007D063B" w14:paraId="3C5F9158" w14:textId="77777777" w:rsidTr="006E7278">
        <w:tblPrEx>
          <w:tblBorders>
            <w:top w:val="single" w:sz="6" w:space="0" w:color="000000"/>
            <w:left w:val="single" w:sz="6" w:space="0" w:color="000000"/>
            <w:bottom w:val="single" w:sz="6" w:space="0" w:color="000000"/>
            <w:right w:val="single" w:sz="6" w:space="0" w:color="000000"/>
          </w:tblBorders>
        </w:tblPrEx>
        <w:trPr>
          <w:tblCellSpacing w:w="0" w:type="dxa"/>
          <w:jc w:val="center"/>
        </w:trPr>
        <w:tc>
          <w:tcPr>
            <w:tcW w:w="2107" w:type="pct"/>
            <w:gridSpan w:val="10"/>
            <w:tcBorders>
              <w:top w:val="single" w:sz="6" w:space="0" w:color="000000"/>
              <w:left w:val="single" w:sz="6" w:space="0" w:color="000000"/>
              <w:bottom w:val="single" w:sz="6" w:space="0" w:color="000000"/>
              <w:right w:val="single" w:sz="6" w:space="0" w:color="000000"/>
            </w:tcBorders>
            <w:shd w:val="clear" w:color="auto" w:fill="FFFFFF"/>
            <w:hideMark/>
          </w:tcPr>
          <w:p w14:paraId="2FD5FCE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083" w:type="pct"/>
            <w:gridSpan w:val="39"/>
            <w:tcBorders>
              <w:top w:val="single" w:sz="6" w:space="0" w:color="000000"/>
              <w:left w:val="single" w:sz="6" w:space="0" w:color="000000"/>
              <w:bottom w:val="single" w:sz="6" w:space="0" w:color="000000"/>
              <w:right w:val="single" w:sz="6" w:space="0" w:color="000000"/>
            </w:tcBorders>
            <w:shd w:val="clear" w:color="auto" w:fill="FFFFFF"/>
            <w:hideMark/>
          </w:tcPr>
          <w:p w14:paraId="3F54EB70" w14:textId="77777777" w:rsidR="00B54C34" w:rsidRPr="007D063B" w:rsidRDefault="00B54C34" w:rsidP="00450FF1">
            <w:pPr>
              <w:spacing w:before="60" w:after="6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Годишна стойност</w:t>
            </w:r>
          </w:p>
        </w:tc>
        <w:tc>
          <w:tcPr>
            <w:tcW w:w="271" w:type="pct"/>
            <w:tcBorders>
              <w:top w:val="single" w:sz="6" w:space="0" w:color="000000"/>
              <w:left w:val="single" w:sz="6" w:space="0" w:color="000000"/>
              <w:bottom w:val="single" w:sz="6" w:space="0" w:color="000000"/>
              <w:right w:val="single" w:sz="6" w:space="0" w:color="000000"/>
            </w:tcBorders>
            <w:shd w:val="clear" w:color="auto" w:fill="FFFFFF"/>
            <w:hideMark/>
          </w:tcPr>
          <w:p w14:paraId="37D8EB4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39" w:type="pct"/>
            <w:gridSpan w:val="6"/>
            <w:tcBorders>
              <w:top w:val="single" w:sz="6" w:space="0" w:color="000000"/>
              <w:left w:val="single" w:sz="6" w:space="0" w:color="000000"/>
              <w:bottom w:val="single" w:sz="6" w:space="0" w:color="000000"/>
              <w:right w:val="single" w:sz="6" w:space="0" w:color="000000"/>
            </w:tcBorders>
            <w:shd w:val="clear" w:color="auto" w:fill="FFFFFF"/>
            <w:hideMark/>
          </w:tcPr>
          <w:p w14:paraId="17C6B02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1D6F88" w:rsidRPr="007D063B" w14:paraId="4105BD5E" w14:textId="77777777" w:rsidTr="00EF3DFA">
        <w:tblPrEx>
          <w:tblBorders>
            <w:top w:val="single" w:sz="6" w:space="0" w:color="000000"/>
            <w:left w:val="single" w:sz="6" w:space="0" w:color="000000"/>
            <w:bottom w:val="single" w:sz="6" w:space="0" w:color="000000"/>
            <w:right w:val="single" w:sz="6" w:space="0" w:color="000000"/>
          </w:tblBorders>
        </w:tblPrEx>
        <w:trPr>
          <w:trHeight w:val="121"/>
          <w:tblCellSpacing w:w="0" w:type="dxa"/>
          <w:jc w:val="center"/>
        </w:trPr>
        <w:tc>
          <w:tcPr>
            <w:tcW w:w="177" w:type="pct"/>
            <w:tcBorders>
              <w:top w:val="single" w:sz="6" w:space="0" w:color="000000"/>
              <w:left w:val="single" w:sz="6" w:space="0" w:color="000000"/>
              <w:bottom w:val="single" w:sz="6" w:space="0" w:color="000000"/>
              <w:right w:val="single" w:sz="6" w:space="0" w:color="000000"/>
            </w:tcBorders>
            <w:shd w:val="clear" w:color="auto" w:fill="FFFFFF"/>
            <w:hideMark/>
          </w:tcPr>
          <w:p w14:paraId="3957AF0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36" w:type="pct"/>
            <w:tcBorders>
              <w:top w:val="single" w:sz="6" w:space="0" w:color="000000"/>
              <w:left w:val="single" w:sz="6" w:space="0" w:color="000000"/>
              <w:bottom w:val="single" w:sz="6" w:space="0" w:color="000000"/>
              <w:right w:val="single" w:sz="6" w:space="0" w:color="000000"/>
            </w:tcBorders>
            <w:shd w:val="clear" w:color="auto" w:fill="FFFFFF"/>
            <w:hideMark/>
          </w:tcPr>
          <w:p w14:paraId="73E2025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1" w:type="pct"/>
            <w:tcBorders>
              <w:top w:val="single" w:sz="6" w:space="0" w:color="000000"/>
              <w:left w:val="single" w:sz="6" w:space="0" w:color="000000"/>
              <w:bottom w:val="single" w:sz="6" w:space="0" w:color="000000"/>
              <w:right w:val="single" w:sz="6" w:space="0" w:color="000000"/>
            </w:tcBorders>
            <w:shd w:val="clear" w:color="auto" w:fill="FFFFFF"/>
            <w:hideMark/>
          </w:tcPr>
          <w:p w14:paraId="407FE3C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62" w:type="pct"/>
            <w:tcBorders>
              <w:top w:val="single" w:sz="6" w:space="0" w:color="000000"/>
              <w:left w:val="single" w:sz="6" w:space="0" w:color="000000"/>
              <w:bottom w:val="single" w:sz="6" w:space="0" w:color="000000"/>
              <w:right w:val="single" w:sz="6" w:space="0" w:color="000000"/>
            </w:tcBorders>
            <w:shd w:val="clear" w:color="auto" w:fill="FFFFFF"/>
            <w:hideMark/>
          </w:tcPr>
          <w:p w14:paraId="0551F0A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70" w:type="pct"/>
            <w:tcBorders>
              <w:top w:val="single" w:sz="6" w:space="0" w:color="000000"/>
              <w:left w:val="single" w:sz="6" w:space="0" w:color="000000"/>
              <w:bottom w:val="single" w:sz="6" w:space="0" w:color="000000"/>
              <w:right w:val="single" w:sz="6" w:space="0" w:color="000000"/>
            </w:tcBorders>
            <w:shd w:val="clear" w:color="auto" w:fill="FFFFFF"/>
            <w:hideMark/>
          </w:tcPr>
          <w:p w14:paraId="3389383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79" w:type="pct"/>
            <w:tcBorders>
              <w:top w:val="single" w:sz="6" w:space="0" w:color="000000"/>
              <w:left w:val="single" w:sz="6" w:space="0" w:color="000000"/>
              <w:bottom w:val="single" w:sz="6" w:space="0" w:color="000000"/>
              <w:right w:val="single" w:sz="6" w:space="0" w:color="000000"/>
            </w:tcBorders>
            <w:shd w:val="clear" w:color="auto" w:fill="FFFFFF"/>
            <w:hideMark/>
          </w:tcPr>
          <w:p w14:paraId="323D724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92"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14:paraId="7A55529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05"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14:paraId="364EA4C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05"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14:paraId="02134C9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05"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14:paraId="396F0E5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06"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14:paraId="7485B0E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06"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14:paraId="47E0F04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06"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14:paraId="1B6EA39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06"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14:paraId="7E86C2D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05"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14:paraId="12EE0DB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05"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14:paraId="519134A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A9E626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71" w:type="pct"/>
            <w:tcBorders>
              <w:top w:val="single" w:sz="6" w:space="0" w:color="000000"/>
              <w:left w:val="single" w:sz="6" w:space="0" w:color="000000"/>
              <w:bottom w:val="single" w:sz="6" w:space="0" w:color="000000"/>
              <w:right w:val="single" w:sz="6" w:space="0" w:color="000000"/>
            </w:tcBorders>
            <w:shd w:val="clear" w:color="auto" w:fill="FFFFFF"/>
            <w:hideMark/>
          </w:tcPr>
          <w:p w14:paraId="3931106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39" w:type="pct"/>
            <w:gridSpan w:val="6"/>
            <w:tcBorders>
              <w:top w:val="single" w:sz="6" w:space="0" w:color="000000"/>
              <w:left w:val="single" w:sz="6" w:space="0" w:color="000000"/>
              <w:bottom w:val="single" w:sz="6" w:space="0" w:color="000000"/>
              <w:right w:val="single" w:sz="6" w:space="0" w:color="000000"/>
            </w:tcBorders>
            <w:shd w:val="clear" w:color="auto" w:fill="FFFFFF"/>
            <w:hideMark/>
          </w:tcPr>
          <w:p w14:paraId="2A4F589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45ED8E97" w14:textId="77777777" w:rsidTr="00EF3DFA">
        <w:tblPrEx>
          <w:tblBorders>
            <w:top w:val="single" w:sz="6" w:space="0" w:color="000000"/>
            <w:left w:val="single" w:sz="6" w:space="0" w:color="000000"/>
            <w:bottom w:val="single" w:sz="6" w:space="0" w:color="000000"/>
            <w:right w:val="single" w:sz="6" w:space="0" w:color="000000"/>
          </w:tblBorders>
        </w:tblPrEx>
        <w:trPr>
          <w:gridAfter w:val="1"/>
          <w:wAfter w:w="4" w:type="pct"/>
          <w:tblCellSpacing w:w="0" w:type="dxa"/>
          <w:jc w:val="center"/>
        </w:trPr>
        <w:tc>
          <w:tcPr>
            <w:tcW w:w="177" w:type="pct"/>
            <w:tcBorders>
              <w:top w:val="single" w:sz="6" w:space="0" w:color="000000"/>
              <w:left w:val="single" w:sz="6" w:space="0" w:color="000000"/>
              <w:bottom w:val="single" w:sz="6" w:space="0" w:color="000000"/>
              <w:right w:val="single" w:sz="6" w:space="0" w:color="000000"/>
            </w:tcBorders>
            <w:shd w:val="clear" w:color="auto" w:fill="FFFFFF"/>
            <w:hideMark/>
          </w:tcPr>
          <w:p w14:paraId="40B921EB"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536" w:type="pct"/>
            <w:tcBorders>
              <w:top w:val="single" w:sz="6" w:space="0" w:color="000000"/>
              <w:left w:val="single" w:sz="6" w:space="0" w:color="000000"/>
              <w:bottom w:val="single" w:sz="6" w:space="0" w:color="000000"/>
              <w:right w:val="single" w:sz="6" w:space="0" w:color="000000"/>
            </w:tcBorders>
            <w:shd w:val="clear" w:color="auto" w:fill="FFFFFF"/>
            <w:hideMark/>
          </w:tcPr>
          <w:p w14:paraId="19570047"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191" w:type="pct"/>
            <w:tcBorders>
              <w:top w:val="single" w:sz="6" w:space="0" w:color="000000"/>
              <w:left w:val="single" w:sz="6" w:space="0" w:color="000000"/>
              <w:bottom w:val="single" w:sz="6" w:space="0" w:color="000000"/>
              <w:right w:val="single" w:sz="6" w:space="0" w:color="000000"/>
            </w:tcBorders>
            <w:shd w:val="clear" w:color="auto" w:fill="FFFFFF"/>
            <w:hideMark/>
          </w:tcPr>
          <w:p w14:paraId="39B25758"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262" w:type="pct"/>
            <w:tcBorders>
              <w:top w:val="single" w:sz="6" w:space="0" w:color="000000"/>
              <w:left w:val="single" w:sz="6" w:space="0" w:color="000000"/>
              <w:bottom w:val="single" w:sz="6" w:space="0" w:color="000000"/>
              <w:right w:val="single" w:sz="6" w:space="0" w:color="000000"/>
            </w:tcBorders>
            <w:shd w:val="clear" w:color="auto" w:fill="FFFFFF"/>
            <w:hideMark/>
          </w:tcPr>
          <w:p w14:paraId="09CDA39D"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170" w:type="pct"/>
            <w:tcBorders>
              <w:top w:val="single" w:sz="6" w:space="0" w:color="000000"/>
              <w:left w:val="single" w:sz="6" w:space="0" w:color="000000"/>
              <w:bottom w:val="single" w:sz="6" w:space="0" w:color="000000"/>
              <w:right w:val="single" w:sz="6" w:space="0" w:color="000000"/>
            </w:tcBorders>
            <w:shd w:val="clear" w:color="auto" w:fill="FFFFFF"/>
            <w:hideMark/>
          </w:tcPr>
          <w:p w14:paraId="310A6CF1"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179" w:type="pct"/>
            <w:tcBorders>
              <w:top w:val="single" w:sz="6" w:space="0" w:color="000000"/>
              <w:left w:val="single" w:sz="6" w:space="0" w:color="000000"/>
              <w:bottom w:val="single" w:sz="6" w:space="0" w:color="000000"/>
              <w:right w:val="single" w:sz="6" w:space="0" w:color="000000"/>
            </w:tcBorders>
            <w:shd w:val="clear" w:color="auto" w:fill="FFFFFF"/>
            <w:hideMark/>
          </w:tcPr>
          <w:p w14:paraId="78022826"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268" w:type="pct"/>
            <w:tcBorders>
              <w:top w:val="single" w:sz="6" w:space="0" w:color="000000"/>
              <w:left w:val="single" w:sz="6" w:space="0" w:color="000000"/>
              <w:bottom w:val="single" w:sz="6" w:space="0" w:color="000000"/>
              <w:right w:val="single" w:sz="6" w:space="0" w:color="000000"/>
            </w:tcBorders>
            <w:shd w:val="clear" w:color="auto" w:fill="FFFFFF"/>
            <w:hideMark/>
          </w:tcPr>
          <w:p w14:paraId="05CB2867"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136" w:type="pct"/>
            <w:tcBorders>
              <w:top w:val="single" w:sz="6" w:space="0" w:color="000000"/>
              <w:left w:val="single" w:sz="6" w:space="0" w:color="000000"/>
              <w:bottom w:val="single" w:sz="6" w:space="0" w:color="000000"/>
              <w:right w:val="single" w:sz="6" w:space="0" w:color="000000"/>
            </w:tcBorders>
            <w:shd w:val="clear" w:color="auto" w:fill="FFFFFF"/>
            <w:hideMark/>
          </w:tcPr>
          <w:p w14:paraId="5DD9AECA"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79" w:type="pct"/>
            <w:tcBorders>
              <w:top w:val="single" w:sz="6" w:space="0" w:color="000000"/>
              <w:left w:val="single" w:sz="6" w:space="0" w:color="000000"/>
              <w:bottom w:val="single" w:sz="6" w:space="0" w:color="000000"/>
              <w:right w:val="single" w:sz="6" w:space="0" w:color="000000"/>
            </w:tcBorders>
            <w:shd w:val="clear" w:color="auto" w:fill="FFFFFF"/>
            <w:hideMark/>
          </w:tcPr>
          <w:p w14:paraId="03135E24"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66"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90F4DFE"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66" w:type="pct"/>
            <w:tcBorders>
              <w:top w:val="single" w:sz="6" w:space="0" w:color="000000"/>
              <w:left w:val="single" w:sz="6" w:space="0" w:color="000000"/>
              <w:bottom w:val="single" w:sz="6" w:space="0" w:color="000000"/>
              <w:right w:val="single" w:sz="6" w:space="0" w:color="000000"/>
            </w:tcBorders>
            <w:shd w:val="clear" w:color="auto" w:fill="FFFFFF"/>
            <w:hideMark/>
          </w:tcPr>
          <w:p w14:paraId="7B2FC49E"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72" w:type="pct"/>
            <w:tcBorders>
              <w:top w:val="single" w:sz="6" w:space="0" w:color="000000"/>
              <w:left w:val="single" w:sz="6" w:space="0" w:color="000000"/>
              <w:bottom w:val="single" w:sz="6" w:space="0" w:color="000000"/>
              <w:right w:val="single" w:sz="6" w:space="0" w:color="000000"/>
            </w:tcBorders>
            <w:shd w:val="clear" w:color="auto" w:fill="FFFFFF"/>
            <w:hideMark/>
          </w:tcPr>
          <w:p w14:paraId="7296CCD8"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65"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E3D6698"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66" w:type="pct"/>
            <w:tcBorders>
              <w:top w:val="single" w:sz="6" w:space="0" w:color="000000"/>
              <w:left w:val="single" w:sz="6" w:space="0" w:color="000000"/>
              <w:bottom w:val="single" w:sz="6" w:space="0" w:color="000000"/>
              <w:right w:val="single" w:sz="6" w:space="0" w:color="000000"/>
            </w:tcBorders>
            <w:shd w:val="clear" w:color="auto" w:fill="FFFFFF"/>
            <w:hideMark/>
          </w:tcPr>
          <w:p w14:paraId="34958CE4"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74" w:type="pct"/>
            <w:tcBorders>
              <w:top w:val="single" w:sz="6" w:space="0" w:color="000000"/>
              <w:left w:val="single" w:sz="6" w:space="0" w:color="000000"/>
              <w:bottom w:val="single" w:sz="6" w:space="0" w:color="000000"/>
              <w:right w:val="single" w:sz="6" w:space="0" w:color="000000"/>
            </w:tcBorders>
            <w:shd w:val="clear" w:color="auto" w:fill="FFFFFF"/>
            <w:hideMark/>
          </w:tcPr>
          <w:p w14:paraId="684ADF17"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7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B5D7483"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53" w:type="pct"/>
            <w:tcBorders>
              <w:top w:val="single" w:sz="6" w:space="0" w:color="000000"/>
              <w:left w:val="single" w:sz="6" w:space="0" w:color="000000"/>
              <w:bottom w:val="single" w:sz="6" w:space="0" w:color="000000"/>
              <w:right w:val="single" w:sz="6" w:space="0" w:color="000000"/>
            </w:tcBorders>
            <w:shd w:val="clear" w:color="auto" w:fill="FFFFFF"/>
            <w:hideMark/>
          </w:tcPr>
          <w:p w14:paraId="6B4B826E"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74" w:type="pct"/>
            <w:tcBorders>
              <w:top w:val="single" w:sz="6" w:space="0" w:color="000000"/>
              <w:left w:val="single" w:sz="6" w:space="0" w:color="000000"/>
              <w:bottom w:val="single" w:sz="6" w:space="0" w:color="000000"/>
              <w:right w:val="single" w:sz="6" w:space="0" w:color="000000"/>
            </w:tcBorders>
            <w:shd w:val="clear" w:color="auto" w:fill="FFFFFF"/>
            <w:hideMark/>
          </w:tcPr>
          <w:p w14:paraId="4AD7A2AE"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65"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D88DCA1"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66" w:type="pct"/>
            <w:tcBorders>
              <w:top w:val="single" w:sz="6" w:space="0" w:color="000000"/>
              <w:left w:val="single" w:sz="6" w:space="0" w:color="000000"/>
              <w:bottom w:val="single" w:sz="6" w:space="0" w:color="000000"/>
              <w:right w:val="single" w:sz="6" w:space="0" w:color="000000"/>
            </w:tcBorders>
            <w:shd w:val="clear" w:color="auto" w:fill="FFFFFF"/>
            <w:hideMark/>
          </w:tcPr>
          <w:p w14:paraId="1684EA27" w14:textId="2B10051E" w:rsidR="004C667B" w:rsidRPr="007D063B" w:rsidRDefault="008E2A19"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74" w:type="pct"/>
            <w:tcBorders>
              <w:top w:val="single" w:sz="6" w:space="0" w:color="000000"/>
              <w:left w:val="single" w:sz="6" w:space="0" w:color="000000"/>
              <w:bottom w:val="single" w:sz="6" w:space="0" w:color="000000"/>
              <w:right w:val="single" w:sz="6" w:space="0" w:color="000000"/>
            </w:tcBorders>
            <w:shd w:val="clear" w:color="auto" w:fill="FFFFFF"/>
            <w:hideMark/>
          </w:tcPr>
          <w:p w14:paraId="04178F99"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66"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6EC8141"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66" w:type="pct"/>
            <w:tcBorders>
              <w:top w:val="single" w:sz="6" w:space="0" w:color="000000"/>
              <w:left w:val="single" w:sz="6" w:space="0" w:color="000000"/>
              <w:bottom w:val="single" w:sz="6" w:space="0" w:color="000000"/>
              <w:right w:val="single" w:sz="6" w:space="0" w:color="000000"/>
            </w:tcBorders>
            <w:shd w:val="clear" w:color="auto" w:fill="FFFFFF"/>
            <w:hideMark/>
          </w:tcPr>
          <w:p w14:paraId="0A275596"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74" w:type="pct"/>
            <w:tcBorders>
              <w:top w:val="single" w:sz="6" w:space="0" w:color="000000"/>
              <w:left w:val="single" w:sz="6" w:space="0" w:color="000000"/>
              <w:bottom w:val="single" w:sz="6" w:space="0" w:color="000000"/>
              <w:right w:val="single" w:sz="6" w:space="0" w:color="000000"/>
            </w:tcBorders>
            <w:shd w:val="clear" w:color="auto" w:fill="FFFFFF"/>
            <w:hideMark/>
          </w:tcPr>
          <w:p w14:paraId="220B0D19"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66"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D023500"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66" w:type="pct"/>
            <w:tcBorders>
              <w:top w:val="single" w:sz="6" w:space="0" w:color="000000"/>
              <w:left w:val="single" w:sz="6" w:space="0" w:color="000000"/>
              <w:bottom w:val="single" w:sz="6" w:space="0" w:color="000000"/>
              <w:right w:val="single" w:sz="6" w:space="0" w:color="000000"/>
            </w:tcBorders>
            <w:shd w:val="clear" w:color="auto" w:fill="FFFFFF"/>
            <w:hideMark/>
          </w:tcPr>
          <w:p w14:paraId="78B80E53"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74" w:type="pct"/>
            <w:tcBorders>
              <w:top w:val="single" w:sz="6" w:space="0" w:color="000000"/>
              <w:left w:val="single" w:sz="6" w:space="0" w:color="000000"/>
              <w:bottom w:val="single" w:sz="6" w:space="0" w:color="000000"/>
              <w:right w:val="single" w:sz="6" w:space="0" w:color="000000"/>
            </w:tcBorders>
            <w:shd w:val="clear" w:color="auto" w:fill="FFFFFF"/>
            <w:hideMark/>
          </w:tcPr>
          <w:p w14:paraId="480A7160"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66"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3AC4704"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66" w:type="pct"/>
            <w:tcBorders>
              <w:top w:val="single" w:sz="6" w:space="0" w:color="000000"/>
              <w:left w:val="single" w:sz="6" w:space="0" w:color="000000"/>
              <w:bottom w:val="single" w:sz="6" w:space="0" w:color="000000"/>
              <w:right w:val="single" w:sz="6" w:space="0" w:color="000000"/>
            </w:tcBorders>
            <w:shd w:val="clear" w:color="auto" w:fill="FFFFFF"/>
            <w:hideMark/>
          </w:tcPr>
          <w:p w14:paraId="132D47D0"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74" w:type="pct"/>
            <w:tcBorders>
              <w:top w:val="single" w:sz="6" w:space="0" w:color="000000"/>
              <w:left w:val="single" w:sz="6" w:space="0" w:color="000000"/>
              <w:bottom w:val="single" w:sz="6" w:space="0" w:color="000000"/>
              <w:right w:val="single" w:sz="6" w:space="0" w:color="000000"/>
            </w:tcBorders>
            <w:shd w:val="clear" w:color="auto" w:fill="FFFFFF"/>
            <w:hideMark/>
          </w:tcPr>
          <w:p w14:paraId="4B28A47E"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65"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13B5CDF"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66" w:type="pct"/>
            <w:tcBorders>
              <w:top w:val="single" w:sz="6" w:space="0" w:color="000000"/>
              <w:left w:val="single" w:sz="6" w:space="0" w:color="000000"/>
              <w:bottom w:val="single" w:sz="6" w:space="0" w:color="000000"/>
              <w:right w:val="single" w:sz="6" w:space="0" w:color="000000"/>
            </w:tcBorders>
            <w:shd w:val="clear" w:color="auto" w:fill="FFFFFF"/>
            <w:hideMark/>
          </w:tcPr>
          <w:p w14:paraId="0D66D4D2"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74" w:type="pct"/>
            <w:tcBorders>
              <w:top w:val="single" w:sz="6" w:space="0" w:color="000000"/>
              <w:left w:val="single" w:sz="6" w:space="0" w:color="000000"/>
              <w:bottom w:val="single" w:sz="6" w:space="0" w:color="000000"/>
              <w:right w:val="single" w:sz="6" w:space="0" w:color="000000"/>
            </w:tcBorders>
            <w:shd w:val="clear" w:color="auto" w:fill="FFFFFF"/>
            <w:hideMark/>
          </w:tcPr>
          <w:p w14:paraId="3CFF2EDE"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65"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4B5C56E"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66" w:type="pct"/>
            <w:tcBorders>
              <w:top w:val="single" w:sz="6" w:space="0" w:color="000000"/>
              <w:left w:val="single" w:sz="6" w:space="0" w:color="000000"/>
              <w:bottom w:val="single" w:sz="6" w:space="0" w:color="000000"/>
              <w:right w:val="single" w:sz="6" w:space="0" w:color="000000"/>
            </w:tcBorders>
            <w:shd w:val="clear" w:color="auto" w:fill="FFFFFF"/>
            <w:hideMark/>
          </w:tcPr>
          <w:p w14:paraId="6C63CB13"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74" w:type="pct"/>
            <w:tcBorders>
              <w:top w:val="single" w:sz="6" w:space="0" w:color="000000"/>
              <w:left w:val="single" w:sz="6" w:space="0" w:color="000000"/>
              <w:bottom w:val="single" w:sz="6" w:space="0" w:color="000000"/>
              <w:right w:val="single" w:sz="6" w:space="0" w:color="000000"/>
            </w:tcBorders>
            <w:shd w:val="clear" w:color="auto" w:fill="FFFFFF"/>
            <w:hideMark/>
          </w:tcPr>
          <w:p w14:paraId="4B7287FF"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65"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3D8114A"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66" w:type="pct"/>
            <w:tcBorders>
              <w:top w:val="single" w:sz="6" w:space="0" w:color="000000"/>
              <w:left w:val="single" w:sz="6" w:space="0" w:color="000000"/>
              <w:bottom w:val="single" w:sz="6" w:space="0" w:color="000000"/>
              <w:right w:val="single" w:sz="6" w:space="0" w:color="000000"/>
            </w:tcBorders>
            <w:shd w:val="clear" w:color="auto" w:fill="FFFFFF"/>
            <w:hideMark/>
          </w:tcPr>
          <w:p w14:paraId="131BFA95"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14" w:type="pct"/>
            <w:tcBorders>
              <w:top w:val="single" w:sz="6" w:space="0" w:color="000000"/>
              <w:left w:val="single" w:sz="6" w:space="0" w:color="000000"/>
              <w:bottom w:val="single" w:sz="6" w:space="0" w:color="000000"/>
              <w:right w:val="single" w:sz="6" w:space="0" w:color="000000"/>
            </w:tcBorders>
            <w:shd w:val="clear" w:color="auto" w:fill="FFFFFF"/>
            <w:hideMark/>
          </w:tcPr>
          <w:p w14:paraId="3368F089"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271" w:type="pct"/>
            <w:tcBorders>
              <w:top w:val="single" w:sz="6" w:space="0" w:color="000000"/>
              <w:left w:val="single" w:sz="6" w:space="0" w:color="000000"/>
              <w:bottom w:val="single" w:sz="6" w:space="0" w:color="000000"/>
              <w:right w:val="single" w:sz="6" w:space="0" w:color="000000"/>
            </w:tcBorders>
            <w:shd w:val="clear" w:color="auto" w:fill="FFFFFF"/>
          </w:tcPr>
          <w:p w14:paraId="5BE07968" w14:textId="67BAF1D8"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44" w:type="pct"/>
            <w:tcBorders>
              <w:top w:val="single" w:sz="6" w:space="0" w:color="000000"/>
              <w:left w:val="single" w:sz="6" w:space="0" w:color="000000"/>
              <w:bottom w:val="single" w:sz="6" w:space="0" w:color="000000"/>
              <w:right w:val="single" w:sz="6" w:space="0" w:color="000000"/>
            </w:tcBorders>
            <w:shd w:val="clear" w:color="auto" w:fill="FFFFFF"/>
          </w:tcPr>
          <w:p w14:paraId="4D9E691E" w14:textId="09DCDF50"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51" w:type="pct"/>
            <w:tcBorders>
              <w:top w:val="single" w:sz="6" w:space="0" w:color="000000"/>
              <w:left w:val="single" w:sz="6" w:space="0" w:color="000000"/>
              <w:bottom w:val="single" w:sz="6" w:space="0" w:color="000000"/>
              <w:right w:val="single" w:sz="6" w:space="0" w:color="000000"/>
            </w:tcBorders>
            <w:shd w:val="clear" w:color="auto" w:fill="FFFFFF"/>
            <w:hideMark/>
          </w:tcPr>
          <w:p w14:paraId="513371AC" w14:textId="796FAC7E"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30" w:type="pct"/>
            <w:tcBorders>
              <w:top w:val="single" w:sz="6" w:space="0" w:color="000000"/>
              <w:left w:val="single" w:sz="6" w:space="0" w:color="000000"/>
              <w:bottom w:val="single" w:sz="6" w:space="0" w:color="000000"/>
              <w:right w:val="single" w:sz="6" w:space="0" w:color="000000"/>
            </w:tcBorders>
            <w:shd w:val="clear" w:color="auto" w:fill="FFFFFF"/>
            <w:hideMark/>
          </w:tcPr>
          <w:p w14:paraId="3D9CC227" w14:textId="670E3764"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133" w:type="pct"/>
            <w:tcBorders>
              <w:top w:val="single" w:sz="6" w:space="0" w:color="000000"/>
              <w:left w:val="single" w:sz="6" w:space="0" w:color="000000"/>
              <w:bottom w:val="single" w:sz="6" w:space="0" w:color="000000"/>
              <w:right w:val="single" w:sz="6" w:space="0" w:color="000000"/>
            </w:tcBorders>
            <w:shd w:val="clear" w:color="auto" w:fill="FFFFFF"/>
            <w:hideMark/>
          </w:tcPr>
          <w:p w14:paraId="41D136DF"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77" w:type="pct"/>
            <w:tcBorders>
              <w:top w:val="single" w:sz="6" w:space="0" w:color="000000"/>
              <w:left w:val="single" w:sz="6" w:space="0" w:color="000000"/>
              <w:bottom w:val="single" w:sz="6" w:space="0" w:color="000000"/>
              <w:right w:val="single" w:sz="6" w:space="0" w:color="000000"/>
            </w:tcBorders>
            <w:shd w:val="clear" w:color="auto" w:fill="FFFFFF"/>
            <w:hideMark/>
          </w:tcPr>
          <w:p w14:paraId="1232E7A6" w14:textId="77777777" w:rsidR="004C667B" w:rsidRPr="007D063B" w:rsidRDefault="004C667B" w:rsidP="004C667B">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r>
      <w:tr w:rsidR="003B73DC" w:rsidRPr="007D063B" w14:paraId="216DBEDB" w14:textId="77777777" w:rsidTr="00EF3DFA">
        <w:tblPrEx>
          <w:tblBorders>
            <w:top w:val="single" w:sz="6" w:space="0" w:color="000000"/>
            <w:left w:val="single" w:sz="6" w:space="0" w:color="000000"/>
            <w:bottom w:val="single" w:sz="6" w:space="0" w:color="000000"/>
            <w:right w:val="single" w:sz="6" w:space="0" w:color="000000"/>
          </w:tblBorders>
        </w:tblPrEx>
        <w:trPr>
          <w:gridAfter w:val="1"/>
          <w:wAfter w:w="4" w:type="pct"/>
          <w:tblCellSpacing w:w="0" w:type="dxa"/>
          <w:jc w:val="center"/>
        </w:trPr>
        <w:tc>
          <w:tcPr>
            <w:tcW w:w="177" w:type="pct"/>
            <w:tcBorders>
              <w:top w:val="single" w:sz="6" w:space="0" w:color="000000"/>
              <w:left w:val="single" w:sz="6" w:space="0" w:color="000000"/>
              <w:bottom w:val="single" w:sz="6" w:space="0" w:color="000000"/>
              <w:right w:val="single" w:sz="6" w:space="0" w:color="000000"/>
            </w:tcBorders>
            <w:shd w:val="clear" w:color="auto" w:fill="FFFFFF"/>
          </w:tcPr>
          <w:p w14:paraId="560B98B0"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R3-1</w:t>
            </w:r>
          </w:p>
        </w:tc>
        <w:tc>
          <w:tcPr>
            <w:tcW w:w="536" w:type="pct"/>
            <w:tcBorders>
              <w:top w:val="single" w:sz="6" w:space="0" w:color="000000"/>
              <w:left w:val="single" w:sz="6" w:space="0" w:color="000000"/>
              <w:bottom w:val="single" w:sz="6" w:space="0" w:color="000000"/>
              <w:right w:val="single" w:sz="6" w:space="0" w:color="000000"/>
            </w:tcBorders>
            <w:shd w:val="clear" w:color="auto" w:fill="FFFFFF"/>
          </w:tcPr>
          <w:p w14:paraId="15ED8C27"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Въведени нови и усъвършенстване на съществуващи инструменти за модернизация на съдебната власт</w:t>
            </w:r>
          </w:p>
        </w:tc>
        <w:tc>
          <w:tcPr>
            <w:tcW w:w="191" w:type="pct"/>
            <w:tcBorders>
              <w:top w:val="single" w:sz="6" w:space="0" w:color="000000"/>
              <w:left w:val="single" w:sz="6" w:space="0" w:color="000000"/>
              <w:bottom w:val="single" w:sz="6" w:space="0" w:color="000000"/>
              <w:right w:val="single" w:sz="6" w:space="0" w:color="000000"/>
            </w:tcBorders>
            <w:shd w:val="clear" w:color="auto" w:fill="FFFFFF"/>
          </w:tcPr>
          <w:p w14:paraId="55268371"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ЕСФ</w:t>
            </w:r>
          </w:p>
        </w:tc>
        <w:tc>
          <w:tcPr>
            <w:tcW w:w="262" w:type="pct"/>
            <w:tcBorders>
              <w:top w:val="single" w:sz="6" w:space="0" w:color="000000"/>
              <w:left w:val="single" w:sz="6" w:space="0" w:color="000000"/>
              <w:bottom w:val="single" w:sz="6" w:space="0" w:color="000000"/>
              <w:right w:val="single" w:sz="6" w:space="0" w:color="000000"/>
            </w:tcBorders>
            <w:shd w:val="clear" w:color="auto" w:fill="FFFFFF"/>
          </w:tcPr>
          <w:p w14:paraId="418D66A2"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По-слабо развити региони</w:t>
            </w:r>
          </w:p>
        </w:tc>
        <w:tc>
          <w:tcPr>
            <w:tcW w:w="170" w:type="pct"/>
            <w:tcBorders>
              <w:top w:val="single" w:sz="6" w:space="0" w:color="000000"/>
              <w:left w:val="single" w:sz="6" w:space="0" w:color="000000"/>
              <w:bottom w:val="single" w:sz="6" w:space="0" w:color="000000"/>
              <w:right w:val="single" w:sz="6" w:space="0" w:color="000000"/>
            </w:tcBorders>
            <w:shd w:val="clear" w:color="auto" w:fill="FFFFFF"/>
          </w:tcPr>
          <w:p w14:paraId="68A733DC"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w:t>
            </w:r>
          </w:p>
        </w:tc>
        <w:tc>
          <w:tcPr>
            <w:tcW w:w="179" w:type="pct"/>
            <w:tcBorders>
              <w:top w:val="single" w:sz="6" w:space="0" w:color="000000"/>
              <w:left w:val="single" w:sz="6" w:space="0" w:color="000000"/>
              <w:bottom w:val="single" w:sz="6" w:space="0" w:color="000000"/>
              <w:right w:val="single" w:sz="6" w:space="0" w:color="000000"/>
            </w:tcBorders>
            <w:shd w:val="clear" w:color="auto" w:fill="FFFFFF"/>
          </w:tcPr>
          <w:p w14:paraId="717D650C"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w:t>
            </w:r>
          </w:p>
        </w:tc>
        <w:tc>
          <w:tcPr>
            <w:tcW w:w="268" w:type="pct"/>
            <w:tcBorders>
              <w:top w:val="single" w:sz="6" w:space="0" w:color="000000"/>
              <w:left w:val="single" w:sz="6" w:space="0" w:color="000000"/>
              <w:bottom w:val="single" w:sz="6" w:space="0" w:color="000000"/>
              <w:right w:val="single" w:sz="6" w:space="0" w:color="000000"/>
            </w:tcBorders>
            <w:shd w:val="clear" w:color="auto" w:fill="FFFFFF"/>
          </w:tcPr>
          <w:p w14:paraId="729A6D4D"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43,00</w:t>
            </w:r>
          </w:p>
        </w:tc>
        <w:tc>
          <w:tcPr>
            <w:tcW w:w="136" w:type="pct"/>
            <w:tcBorders>
              <w:top w:val="single" w:sz="6" w:space="0" w:color="000000"/>
              <w:left w:val="single" w:sz="6" w:space="0" w:color="000000"/>
              <w:bottom w:val="single" w:sz="6" w:space="0" w:color="000000"/>
              <w:right w:val="single" w:sz="6" w:space="0" w:color="000000"/>
            </w:tcBorders>
            <w:shd w:val="clear" w:color="auto" w:fill="FFFFFF"/>
          </w:tcPr>
          <w:p w14:paraId="29600B33"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179" w:type="pct"/>
            <w:tcBorders>
              <w:top w:val="single" w:sz="6" w:space="0" w:color="000000"/>
              <w:left w:val="single" w:sz="6" w:space="0" w:color="000000"/>
              <w:bottom w:val="single" w:sz="6" w:space="0" w:color="000000"/>
              <w:right w:val="single" w:sz="6" w:space="0" w:color="000000"/>
            </w:tcBorders>
            <w:shd w:val="clear" w:color="auto" w:fill="FFFFFF"/>
          </w:tcPr>
          <w:p w14:paraId="649A707A"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gridSpan w:val="2"/>
            <w:tcBorders>
              <w:top w:val="single" w:sz="6" w:space="0" w:color="000000"/>
              <w:left w:val="single" w:sz="6" w:space="0" w:color="000000"/>
              <w:bottom w:val="single" w:sz="6" w:space="0" w:color="000000"/>
              <w:right w:val="single" w:sz="6" w:space="0" w:color="000000"/>
            </w:tcBorders>
            <w:shd w:val="clear" w:color="auto" w:fill="FFFFFF"/>
          </w:tcPr>
          <w:p w14:paraId="13D9E711"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66" w:type="pct"/>
            <w:tcBorders>
              <w:top w:val="single" w:sz="6" w:space="0" w:color="000000"/>
              <w:left w:val="single" w:sz="6" w:space="0" w:color="000000"/>
              <w:bottom w:val="single" w:sz="6" w:space="0" w:color="000000"/>
              <w:right w:val="single" w:sz="6" w:space="0" w:color="000000"/>
            </w:tcBorders>
            <w:shd w:val="clear" w:color="auto" w:fill="FFFFFF"/>
          </w:tcPr>
          <w:p w14:paraId="29823C7C"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72" w:type="pct"/>
            <w:tcBorders>
              <w:top w:val="single" w:sz="6" w:space="0" w:color="000000"/>
              <w:left w:val="single" w:sz="6" w:space="0" w:color="000000"/>
              <w:bottom w:val="single" w:sz="6" w:space="0" w:color="000000"/>
              <w:right w:val="single" w:sz="6" w:space="0" w:color="000000"/>
            </w:tcBorders>
            <w:shd w:val="clear" w:color="auto" w:fill="FFFFFF"/>
          </w:tcPr>
          <w:p w14:paraId="04573B90"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5" w:type="pct"/>
            <w:gridSpan w:val="2"/>
            <w:tcBorders>
              <w:top w:val="single" w:sz="6" w:space="0" w:color="000000"/>
              <w:left w:val="single" w:sz="6" w:space="0" w:color="000000"/>
              <w:bottom w:val="single" w:sz="6" w:space="0" w:color="000000"/>
              <w:right w:val="single" w:sz="6" w:space="0" w:color="000000"/>
            </w:tcBorders>
            <w:shd w:val="clear" w:color="auto" w:fill="FFFFFF"/>
          </w:tcPr>
          <w:p w14:paraId="2194C6FA"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66" w:type="pct"/>
            <w:tcBorders>
              <w:top w:val="single" w:sz="6" w:space="0" w:color="000000"/>
              <w:left w:val="single" w:sz="6" w:space="0" w:color="000000"/>
              <w:bottom w:val="single" w:sz="6" w:space="0" w:color="000000"/>
              <w:right w:val="single" w:sz="6" w:space="0" w:color="000000"/>
            </w:tcBorders>
            <w:shd w:val="clear" w:color="auto" w:fill="FFFFFF"/>
          </w:tcPr>
          <w:p w14:paraId="63A2191E"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tcBorders>
              <w:top w:val="single" w:sz="6" w:space="0" w:color="000000"/>
              <w:left w:val="single" w:sz="6" w:space="0" w:color="000000"/>
              <w:bottom w:val="single" w:sz="6" w:space="0" w:color="000000"/>
              <w:right w:val="single" w:sz="6" w:space="0" w:color="000000"/>
            </w:tcBorders>
            <w:shd w:val="clear" w:color="auto" w:fill="FFFFFF"/>
          </w:tcPr>
          <w:p w14:paraId="5CAA8BDB"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78" w:type="pct"/>
            <w:gridSpan w:val="2"/>
            <w:tcBorders>
              <w:top w:val="single" w:sz="6" w:space="0" w:color="000000"/>
              <w:left w:val="single" w:sz="6" w:space="0" w:color="000000"/>
              <w:bottom w:val="single" w:sz="6" w:space="0" w:color="000000"/>
              <w:right w:val="single" w:sz="6" w:space="0" w:color="000000"/>
            </w:tcBorders>
            <w:shd w:val="clear" w:color="auto" w:fill="FFFFFF"/>
          </w:tcPr>
          <w:p w14:paraId="15C44959" w14:textId="6DE07239"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53" w:type="pct"/>
            <w:tcBorders>
              <w:top w:val="single" w:sz="6" w:space="0" w:color="000000"/>
              <w:left w:val="single" w:sz="6" w:space="0" w:color="000000"/>
              <w:bottom w:val="single" w:sz="6" w:space="0" w:color="000000"/>
              <w:right w:val="single" w:sz="6" w:space="0" w:color="000000"/>
            </w:tcBorders>
            <w:shd w:val="clear" w:color="auto" w:fill="FFFFFF"/>
          </w:tcPr>
          <w:p w14:paraId="263E8751"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tcBorders>
              <w:top w:val="single" w:sz="6" w:space="0" w:color="000000"/>
              <w:left w:val="single" w:sz="6" w:space="0" w:color="000000"/>
              <w:bottom w:val="single" w:sz="6" w:space="0" w:color="000000"/>
              <w:right w:val="single" w:sz="6" w:space="0" w:color="000000"/>
            </w:tcBorders>
            <w:shd w:val="clear" w:color="auto" w:fill="FFFFFF"/>
          </w:tcPr>
          <w:p w14:paraId="47D9F9CE"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5" w:type="pct"/>
            <w:gridSpan w:val="2"/>
            <w:tcBorders>
              <w:top w:val="single" w:sz="6" w:space="0" w:color="000000"/>
              <w:left w:val="single" w:sz="6" w:space="0" w:color="000000"/>
              <w:bottom w:val="single" w:sz="6" w:space="0" w:color="000000"/>
              <w:right w:val="single" w:sz="6" w:space="0" w:color="000000"/>
            </w:tcBorders>
            <w:shd w:val="clear" w:color="auto" w:fill="FFFFFF"/>
          </w:tcPr>
          <w:p w14:paraId="10512357"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tcBorders>
              <w:top w:val="single" w:sz="6" w:space="0" w:color="000000"/>
              <w:left w:val="single" w:sz="6" w:space="0" w:color="000000"/>
              <w:bottom w:val="single" w:sz="6" w:space="0" w:color="000000"/>
              <w:right w:val="single" w:sz="6" w:space="0" w:color="000000"/>
            </w:tcBorders>
            <w:shd w:val="clear" w:color="auto" w:fill="FFFFFF"/>
          </w:tcPr>
          <w:p w14:paraId="13C5695F"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tcBorders>
              <w:top w:val="single" w:sz="6" w:space="0" w:color="000000"/>
              <w:left w:val="single" w:sz="6" w:space="0" w:color="000000"/>
              <w:bottom w:val="single" w:sz="6" w:space="0" w:color="000000"/>
              <w:right w:val="single" w:sz="6" w:space="0" w:color="000000"/>
            </w:tcBorders>
            <w:shd w:val="clear" w:color="auto" w:fill="FFFFFF"/>
          </w:tcPr>
          <w:p w14:paraId="17680DCC"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gridSpan w:val="2"/>
            <w:tcBorders>
              <w:top w:val="single" w:sz="6" w:space="0" w:color="000000"/>
              <w:left w:val="single" w:sz="6" w:space="0" w:color="000000"/>
              <w:bottom w:val="single" w:sz="6" w:space="0" w:color="000000"/>
              <w:right w:val="single" w:sz="6" w:space="0" w:color="000000"/>
            </w:tcBorders>
            <w:shd w:val="clear" w:color="auto" w:fill="FFFFFF"/>
          </w:tcPr>
          <w:p w14:paraId="0DE60C00"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tcBorders>
              <w:top w:val="single" w:sz="6" w:space="0" w:color="000000"/>
              <w:left w:val="single" w:sz="6" w:space="0" w:color="000000"/>
              <w:bottom w:val="single" w:sz="6" w:space="0" w:color="000000"/>
              <w:right w:val="single" w:sz="6" w:space="0" w:color="000000"/>
            </w:tcBorders>
            <w:shd w:val="clear" w:color="auto" w:fill="FFFFFF"/>
          </w:tcPr>
          <w:p w14:paraId="4D671B04"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tcBorders>
              <w:top w:val="single" w:sz="6" w:space="0" w:color="000000"/>
              <w:left w:val="single" w:sz="6" w:space="0" w:color="000000"/>
              <w:bottom w:val="single" w:sz="6" w:space="0" w:color="000000"/>
              <w:right w:val="single" w:sz="6" w:space="0" w:color="000000"/>
            </w:tcBorders>
            <w:shd w:val="clear" w:color="auto" w:fill="FFFFFF"/>
          </w:tcPr>
          <w:p w14:paraId="07843914"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gridSpan w:val="2"/>
            <w:tcBorders>
              <w:top w:val="single" w:sz="6" w:space="0" w:color="000000"/>
              <w:left w:val="single" w:sz="6" w:space="0" w:color="000000"/>
              <w:bottom w:val="single" w:sz="6" w:space="0" w:color="000000"/>
              <w:right w:val="single" w:sz="6" w:space="0" w:color="000000"/>
            </w:tcBorders>
            <w:shd w:val="clear" w:color="auto" w:fill="FFFFFF"/>
          </w:tcPr>
          <w:p w14:paraId="768E78D2"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tcBorders>
              <w:top w:val="single" w:sz="6" w:space="0" w:color="000000"/>
              <w:left w:val="single" w:sz="6" w:space="0" w:color="000000"/>
              <w:bottom w:val="single" w:sz="6" w:space="0" w:color="000000"/>
              <w:right w:val="single" w:sz="6" w:space="0" w:color="000000"/>
            </w:tcBorders>
            <w:shd w:val="clear" w:color="auto" w:fill="FFFFFF"/>
          </w:tcPr>
          <w:p w14:paraId="52BE1835"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tcBorders>
              <w:top w:val="single" w:sz="6" w:space="0" w:color="000000"/>
              <w:left w:val="single" w:sz="6" w:space="0" w:color="000000"/>
              <w:bottom w:val="single" w:sz="6" w:space="0" w:color="000000"/>
              <w:right w:val="single" w:sz="6" w:space="0" w:color="000000"/>
            </w:tcBorders>
            <w:shd w:val="clear" w:color="auto" w:fill="FFFFFF"/>
          </w:tcPr>
          <w:p w14:paraId="61B39646"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gridSpan w:val="2"/>
            <w:tcBorders>
              <w:top w:val="single" w:sz="6" w:space="0" w:color="000000"/>
              <w:left w:val="single" w:sz="6" w:space="0" w:color="000000"/>
              <w:bottom w:val="single" w:sz="6" w:space="0" w:color="000000"/>
              <w:right w:val="single" w:sz="6" w:space="0" w:color="000000"/>
            </w:tcBorders>
            <w:shd w:val="clear" w:color="auto" w:fill="FFFFFF"/>
          </w:tcPr>
          <w:p w14:paraId="4198E049"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tcBorders>
              <w:top w:val="single" w:sz="6" w:space="0" w:color="000000"/>
              <w:left w:val="single" w:sz="6" w:space="0" w:color="000000"/>
              <w:bottom w:val="single" w:sz="6" w:space="0" w:color="000000"/>
              <w:right w:val="single" w:sz="6" w:space="0" w:color="000000"/>
            </w:tcBorders>
            <w:shd w:val="clear" w:color="auto" w:fill="FFFFFF"/>
          </w:tcPr>
          <w:p w14:paraId="20E116BB"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tcBorders>
              <w:top w:val="single" w:sz="6" w:space="0" w:color="000000"/>
              <w:left w:val="single" w:sz="6" w:space="0" w:color="000000"/>
              <w:bottom w:val="single" w:sz="6" w:space="0" w:color="000000"/>
              <w:right w:val="single" w:sz="6" w:space="0" w:color="000000"/>
            </w:tcBorders>
            <w:shd w:val="clear" w:color="auto" w:fill="FFFFFF"/>
          </w:tcPr>
          <w:p w14:paraId="7631BEF9"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5" w:type="pct"/>
            <w:gridSpan w:val="2"/>
            <w:tcBorders>
              <w:top w:val="single" w:sz="6" w:space="0" w:color="000000"/>
              <w:left w:val="single" w:sz="6" w:space="0" w:color="000000"/>
              <w:bottom w:val="single" w:sz="6" w:space="0" w:color="000000"/>
              <w:right w:val="single" w:sz="6" w:space="0" w:color="000000"/>
            </w:tcBorders>
            <w:shd w:val="clear" w:color="auto" w:fill="FFFFFF"/>
          </w:tcPr>
          <w:p w14:paraId="6D785BC1"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tcBorders>
              <w:top w:val="single" w:sz="6" w:space="0" w:color="000000"/>
              <w:left w:val="single" w:sz="6" w:space="0" w:color="000000"/>
              <w:bottom w:val="single" w:sz="6" w:space="0" w:color="000000"/>
              <w:right w:val="single" w:sz="6" w:space="0" w:color="000000"/>
            </w:tcBorders>
            <w:shd w:val="clear" w:color="auto" w:fill="FFFFFF"/>
          </w:tcPr>
          <w:p w14:paraId="3D64DA59"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tcBorders>
              <w:top w:val="single" w:sz="6" w:space="0" w:color="000000"/>
              <w:left w:val="single" w:sz="6" w:space="0" w:color="000000"/>
              <w:bottom w:val="single" w:sz="6" w:space="0" w:color="000000"/>
              <w:right w:val="single" w:sz="6" w:space="0" w:color="000000"/>
            </w:tcBorders>
            <w:shd w:val="clear" w:color="auto" w:fill="FFFFFF"/>
          </w:tcPr>
          <w:p w14:paraId="61195D13"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5" w:type="pct"/>
            <w:gridSpan w:val="2"/>
            <w:tcBorders>
              <w:top w:val="single" w:sz="6" w:space="0" w:color="000000"/>
              <w:left w:val="single" w:sz="6" w:space="0" w:color="000000"/>
              <w:bottom w:val="single" w:sz="6" w:space="0" w:color="000000"/>
              <w:right w:val="single" w:sz="6" w:space="0" w:color="000000"/>
            </w:tcBorders>
            <w:shd w:val="clear" w:color="auto" w:fill="FFFFFF"/>
          </w:tcPr>
          <w:p w14:paraId="25148C74"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tcBorders>
              <w:top w:val="single" w:sz="6" w:space="0" w:color="000000"/>
              <w:left w:val="single" w:sz="6" w:space="0" w:color="000000"/>
              <w:bottom w:val="single" w:sz="6" w:space="0" w:color="000000"/>
              <w:right w:val="single" w:sz="6" w:space="0" w:color="000000"/>
            </w:tcBorders>
            <w:shd w:val="clear" w:color="auto" w:fill="FFFFFF"/>
          </w:tcPr>
          <w:p w14:paraId="205CFCDC"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tcBorders>
              <w:top w:val="single" w:sz="6" w:space="0" w:color="000000"/>
              <w:left w:val="single" w:sz="6" w:space="0" w:color="000000"/>
              <w:bottom w:val="single" w:sz="6" w:space="0" w:color="000000"/>
              <w:right w:val="single" w:sz="6" w:space="0" w:color="000000"/>
            </w:tcBorders>
            <w:shd w:val="clear" w:color="auto" w:fill="FFFFFF"/>
          </w:tcPr>
          <w:p w14:paraId="2A5D38AC"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5" w:type="pct"/>
            <w:gridSpan w:val="2"/>
            <w:tcBorders>
              <w:top w:val="single" w:sz="6" w:space="0" w:color="000000"/>
              <w:left w:val="single" w:sz="6" w:space="0" w:color="000000"/>
              <w:bottom w:val="single" w:sz="6" w:space="0" w:color="000000"/>
              <w:right w:val="single" w:sz="6" w:space="0" w:color="000000"/>
            </w:tcBorders>
            <w:shd w:val="clear" w:color="auto" w:fill="FFFFFF"/>
          </w:tcPr>
          <w:p w14:paraId="5553F387"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tcBorders>
              <w:top w:val="single" w:sz="6" w:space="0" w:color="000000"/>
              <w:left w:val="single" w:sz="6" w:space="0" w:color="000000"/>
              <w:bottom w:val="single" w:sz="6" w:space="0" w:color="000000"/>
              <w:right w:val="single" w:sz="6" w:space="0" w:color="000000"/>
            </w:tcBorders>
            <w:shd w:val="clear" w:color="auto" w:fill="FFFFFF"/>
          </w:tcPr>
          <w:p w14:paraId="10B2621B"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114" w:type="pct"/>
            <w:tcBorders>
              <w:top w:val="single" w:sz="6" w:space="0" w:color="000000"/>
              <w:left w:val="single" w:sz="6" w:space="0" w:color="000000"/>
              <w:bottom w:val="single" w:sz="6" w:space="0" w:color="000000"/>
              <w:right w:val="single" w:sz="6" w:space="0" w:color="000000"/>
            </w:tcBorders>
            <w:shd w:val="clear" w:color="auto" w:fill="FFFFFF"/>
          </w:tcPr>
          <w:p w14:paraId="266A540B"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271" w:type="pct"/>
            <w:tcBorders>
              <w:top w:val="single" w:sz="6" w:space="0" w:color="000000"/>
              <w:left w:val="single" w:sz="6" w:space="0" w:color="000000"/>
              <w:bottom w:val="single" w:sz="6" w:space="0" w:color="000000"/>
              <w:right w:val="single" w:sz="6" w:space="0" w:color="000000"/>
            </w:tcBorders>
            <w:shd w:val="clear" w:color="auto" w:fill="FFFFFF"/>
          </w:tcPr>
          <w:p w14:paraId="5826E03E" w14:textId="4C3952F6"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44" w:type="pct"/>
            <w:tcBorders>
              <w:top w:val="single" w:sz="6" w:space="0" w:color="000000"/>
              <w:left w:val="single" w:sz="6" w:space="0" w:color="000000"/>
              <w:bottom w:val="single" w:sz="6" w:space="0" w:color="000000"/>
              <w:right w:val="single" w:sz="6" w:space="0" w:color="000000"/>
            </w:tcBorders>
            <w:shd w:val="clear" w:color="auto" w:fill="FFFFFF"/>
          </w:tcPr>
          <w:p w14:paraId="667597D7"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51" w:type="pct"/>
            <w:tcBorders>
              <w:top w:val="single" w:sz="6" w:space="0" w:color="000000"/>
              <w:left w:val="single" w:sz="6" w:space="0" w:color="000000"/>
              <w:bottom w:val="single" w:sz="6" w:space="0" w:color="000000"/>
              <w:right w:val="single" w:sz="6" w:space="0" w:color="000000"/>
            </w:tcBorders>
            <w:shd w:val="clear" w:color="auto" w:fill="FFFFFF"/>
          </w:tcPr>
          <w:p w14:paraId="484F13D5"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130" w:type="pct"/>
            <w:tcBorders>
              <w:top w:val="single" w:sz="6" w:space="0" w:color="000000"/>
              <w:left w:val="single" w:sz="6" w:space="0" w:color="000000"/>
              <w:bottom w:val="single" w:sz="6" w:space="0" w:color="000000"/>
              <w:right w:val="single" w:sz="6" w:space="0" w:color="000000"/>
            </w:tcBorders>
            <w:shd w:val="clear" w:color="auto" w:fill="FFFFFF"/>
          </w:tcPr>
          <w:p w14:paraId="1CB8AE78"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133" w:type="pct"/>
            <w:tcBorders>
              <w:top w:val="single" w:sz="6" w:space="0" w:color="000000"/>
              <w:left w:val="single" w:sz="6" w:space="0" w:color="000000"/>
              <w:bottom w:val="single" w:sz="6" w:space="0" w:color="000000"/>
              <w:right w:val="single" w:sz="6" w:space="0" w:color="000000"/>
            </w:tcBorders>
            <w:shd w:val="clear" w:color="auto" w:fill="FFFFFF"/>
          </w:tcPr>
          <w:p w14:paraId="7409EE22"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177" w:type="pct"/>
            <w:tcBorders>
              <w:top w:val="single" w:sz="6" w:space="0" w:color="000000"/>
              <w:left w:val="single" w:sz="6" w:space="0" w:color="000000"/>
              <w:bottom w:val="single" w:sz="6" w:space="0" w:color="000000"/>
              <w:right w:val="single" w:sz="6" w:space="0" w:color="000000"/>
            </w:tcBorders>
            <w:shd w:val="clear" w:color="auto" w:fill="FFFFFF"/>
          </w:tcPr>
          <w:p w14:paraId="3C018590"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042BB0A0" w14:textId="77777777" w:rsidTr="00EF3DFA">
        <w:tblPrEx>
          <w:tblBorders>
            <w:top w:val="single" w:sz="6" w:space="0" w:color="000000"/>
            <w:left w:val="single" w:sz="6" w:space="0" w:color="000000"/>
            <w:bottom w:val="single" w:sz="6" w:space="0" w:color="000000"/>
            <w:right w:val="single" w:sz="6" w:space="0" w:color="000000"/>
          </w:tblBorders>
        </w:tblPrEx>
        <w:trPr>
          <w:gridAfter w:val="1"/>
          <w:wAfter w:w="4" w:type="pct"/>
          <w:tblCellSpacing w:w="0" w:type="dxa"/>
          <w:jc w:val="center"/>
        </w:trPr>
        <w:tc>
          <w:tcPr>
            <w:tcW w:w="177" w:type="pct"/>
            <w:tcBorders>
              <w:top w:val="single" w:sz="6" w:space="0" w:color="000000"/>
              <w:left w:val="single" w:sz="6" w:space="0" w:color="000000"/>
              <w:bottom w:val="single" w:sz="6" w:space="0" w:color="000000"/>
              <w:right w:val="single" w:sz="6" w:space="0" w:color="000000"/>
            </w:tcBorders>
            <w:shd w:val="clear" w:color="auto" w:fill="FFFFFF"/>
          </w:tcPr>
          <w:p w14:paraId="0A3F8D5C"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R3-2</w:t>
            </w:r>
          </w:p>
        </w:tc>
        <w:tc>
          <w:tcPr>
            <w:tcW w:w="536" w:type="pct"/>
            <w:tcBorders>
              <w:top w:val="single" w:sz="6" w:space="0" w:color="000000"/>
              <w:left w:val="single" w:sz="6" w:space="0" w:color="000000"/>
              <w:bottom w:val="single" w:sz="6" w:space="0" w:color="000000"/>
              <w:right w:val="single" w:sz="6" w:space="0" w:color="000000"/>
            </w:tcBorders>
            <w:shd w:val="clear" w:color="auto" w:fill="FFFFFF"/>
          </w:tcPr>
          <w:p w14:paraId="431EC5EF"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 на делата, водени по електронен път</w:t>
            </w:r>
          </w:p>
        </w:tc>
        <w:tc>
          <w:tcPr>
            <w:tcW w:w="191" w:type="pct"/>
            <w:tcBorders>
              <w:top w:val="single" w:sz="6" w:space="0" w:color="000000"/>
              <w:left w:val="single" w:sz="6" w:space="0" w:color="000000"/>
              <w:bottom w:val="single" w:sz="6" w:space="0" w:color="000000"/>
              <w:right w:val="single" w:sz="6" w:space="0" w:color="000000"/>
            </w:tcBorders>
            <w:shd w:val="clear" w:color="auto" w:fill="FFFFFF"/>
          </w:tcPr>
          <w:p w14:paraId="0E9C2E8E"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ЕСФ</w:t>
            </w:r>
          </w:p>
        </w:tc>
        <w:tc>
          <w:tcPr>
            <w:tcW w:w="262" w:type="pct"/>
            <w:tcBorders>
              <w:top w:val="single" w:sz="6" w:space="0" w:color="000000"/>
              <w:left w:val="single" w:sz="6" w:space="0" w:color="000000"/>
              <w:bottom w:val="single" w:sz="6" w:space="0" w:color="000000"/>
              <w:right w:val="single" w:sz="6" w:space="0" w:color="000000"/>
            </w:tcBorders>
            <w:shd w:val="clear" w:color="auto" w:fill="FFFFFF"/>
          </w:tcPr>
          <w:p w14:paraId="18B2B110"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По-слабо развити региони</w:t>
            </w:r>
          </w:p>
        </w:tc>
        <w:tc>
          <w:tcPr>
            <w:tcW w:w="170" w:type="pct"/>
            <w:tcBorders>
              <w:top w:val="single" w:sz="6" w:space="0" w:color="000000"/>
              <w:left w:val="single" w:sz="6" w:space="0" w:color="000000"/>
              <w:bottom w:val="single" w:sz="6" w:space="0" w:color="000000"/>
              <w:right w:val="single" w:sz="6" w:space="0" w:color="000000"/>
            </w:tcBorders>
            <w:shd w:val="clear" w:color="auto" w:fill="FFFFFF"/>
          </w:tcPr>
          <w:p w14:paraId="1A3F847D"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w:t>
            </w:r>
          </w:p>
        </w:tc>
        <w:tc>
          <w:tcPr>
            <w:tcW w:w="179" w:type="pct"/>
            <w:tcBorders>
              <w:top w:val="single" w:sz="6" w:space="0" w:color="000000"/>
              <w:left w:val="single" w:sz="6" w:space="0" w:color="000000"/>
              <w:bottom w:val="single" w:sz="6" w:space="0" w:color="000000"/>
              <w:right w:val="single" w:sz="6" w:space="0" w:color="000000"/>
            </w:tcBorders>
            <w:shd w:val="clear" w:color="auto" w:fill="FFFFFF"/>
          </w:tcPr>
          <w:p w14:paraId="11CA6271"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w:t>
            </w:r>
          </w:p>
        </w:tc>
        <w:tc>
          <w:tcPr>
            <w:tcW w:w="268" w:type="pct"/>
            <w:tcBorders>
              <w:top w:val="single" w:sz="6" w:space="0" w:color="000000"/>
              <w:left w:val="single" w:sz="6" w:space="0" w:color="000000"/>
              <w:bottom w:val="single" w:sz="6" w:space="0" w:color="000000"/>
              <w:right w:val="single" w:sz="6" w:space="0" w:color="000000"/>
            </w:tcBorders>
            <w:shd w:val="clear" w:color="auto" w:fill="FFFFFF"/>
          </w:tcPr>
          <w:p w14:paraId="1C2F30EA"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250000,00</w:t>
            </w:r>
          </w:p>
        </w:tc>
        <w:tc>
          <w:tcPr>
            <w:tcW w:w="136" w:type="pct"/>
            <w:tcBorders>
              <w:top w:val="single" w:sz="6" w:space="0" w:color="000000"/>
              <w:left w:val="single" w:sz="6" w:space="0" w:color="000000"/>
              <w:bottom w:val="single" w:sz="6" w:space="0" w:color="000000"/>
              <w:right w:val="single" w:sz="6" w:space="0" w:color="000000"/>
            </w:tcBorders>
            <w:shd w:val="clear" w:color="auto" w:fill="FFFFFF"/>
          </w:tcPr>
          <w:p w14:paraId="59744CC2"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179" w:type="pct"/>
            <w:tcBorders>
              <w:top w:val="single" w:sz="6" w:space="0" w:color="000000"/>
              <w:left w:val="single" w:sz="6" w:space="0" w:color="000000"/>
              <w:bottom w:val="single" w:sz="6" w:space="0" w:color="000000"/>
              <w:right w:val="single" w:sz="6" w:space="0" w:color="000000"/>
            </w:tcBorders>
            <w:shd w:val="clear" w:color="auto" w:fill="FFFFFF"/>
          </w:tcPr>
          <w:p w14:paraId="5DB1A0D1"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gridSpan w:val="2"/>
            <w:tcBorders>
              <w:top w:val="single" w:sz="6" w:space="0" w:color="000000"/>
              <w:left w:val="single" w:sz="6" w:space="0" w:color="000000"/>
              <w:bottom w:val="single" w:sz="6" w:space="0" w:color="000000"/>
              <w:right w:val="single" w:sz="6" w:space="0" w:color="000000"/>
            </w:tcBorders>
            <w:shd w:val="clear" w:color="auto" w:fill="FFFFFF"/>
          </w:tcPr>
          <w:p w14:paraId="027352D0"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66" w:type="pct"/>
            <w:tcBorders>
              <w:top w:val="single" w:sz="6" w:space="0" w:color="000000"/>
              <w:left w:val="single" w:sz="6" w:space="0" w:color="000000"/>
              <w:bottom w:val="single" w:sz="6" w:space="0" w:color="000000"/>
              <w:right w:val="single" w:sz="6" w:space="0" w:color="000000"/>
            </w:tcBorders>
            <w:shd w:val="clear" w:color="auto" w:fill="FFFFFF"/>
          </w:tcPr>
          <w:p w14:paraId="1D3CA3B9"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72" w:type="pct"/>
            <w:tcBorders>
              <w:top w:val="single" w:sz="6" w:space="0" w:color="000000"/>
              <w:left w:val="single" w:sz="6" w:space="0" w:color="000000"/>
              <w:bottom w:val="single" w:sz="6" w:space="0" w:color="000000"/>
              <w:right w:val="single" w:sz="6" w:space="0" w:color="000000"/>
            </w:tcBorders>
            <w:shd w:val="clear" w:color="auto" w:fill="FFFFFF"/>
          </w:tcPr>
          <w:p w14:paraId="3A619F7D"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5" w:type="pct"/>
            <w:gridSpan w:val="2"/>
            <w:tcBorders>
              <w:top w:val="single" w:sz="6" w:space="0" w:color="000000"/>
              <w:left w:val="single" w:sz="6" w:space="0" w:color="000000"/>
              <w:bottom w:val="single" w:sz="6" w:space="0" w:color="000000"/>
              <w:right w:val="single" w:sz="6" w:space="0" w:color="000000"/>
            </w:tcBorders>
            <w:shd w:val="clear" w:color="auto" w:fill="FFFFFF"/>
          </w:tcPr>
          <w:p w14:paraId="4E30607E"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66" w:type="pct"/>
            <w:tcBorders>
              <w:top w:val="single" w:sz="6" w:space="0" w:color="000000"/>
              <w:left w:val="single" w:sz="6" w:space="0" w:color="000000"/>
              <w:bottom w:val="single" w:sz="6" w:space="0" w:color="000000"/>
              <w:right w:val="single" w:sz="6" w:space="0" w:color="000000"/>
            </w:tcBorders>
            <w:shd w:val="clear" w:color="auto" w:fill="FFFFFF"/>
          </w:tcPr>
          <w:p w14:paraId="30F292B2"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tcBorders>
              <w:top w:val="single" w:sz="6" w:space="0" w:color="000000"/>
              <w:left w:val="single" w:sz="6" w:space="0" w:color="000000"/>
              <w:bottom w:val="single" w:sz="6" w:space="0" w:color="000000"/>
              <w:right w:val="single" w:sz="6" w:space="0" w:color="000000"/>
            </w:tcBorders>
            <w:shd w:val="clear" w:color="auto" w:fill="FFFFFF"/>
          </w:tcPr>
          <w:p w14:paraId="64F29718"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78" w:type="pct"/>
            <w:gridSpan w:val="2"/>
            <w:tcBorders>
              <w:top w:val="single" w:sz="6" w:space="0" w:color="000000"/>
              <w:left w:val="single" w:sz="6" w:space="0" w:color="000000"/>
              <w:bottom w:val="single" w:sz="6" w:space="0" w:color="000000"/>
              <w:right w:val="single" w:sz="6" w:space="0" w:color="000000"/>
            </w:tcBorders>
            <w:shd w:val="clear" w:color="auto" w:fill="FFFFFF"/>
          </w:tcPr>
          <w:p w14:paraId="499B6B27" w14:textId="568AD763"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53" w:type="pct"/>
            <w:tcBorders>
              <w:top w:val="single" w:sz="6" w:space="0" w:color="000000"/>
              <w:left w:val="single" w:sz="6" w:space="0" w:color="000000"/>
              <w:bottom w:val="single" w:sz="6" w:space="0" w:color="000000"/>
              <w:right w:val="single" w:sz="6" w:space="0" w:color="000000"/>
            </w:tcBorders>
            <w:shd w:val="clear" w:color="auto" w:fill="FFFFFF"/>
          </w:tcPr>
          <w:p w14:paraId="6A6AA589"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tcBorders>
              <w:top w:val="single" w:sz="6" w:space="0" w:color="000000"/>
              <w:left w:val="single" w:sz="6" w:space="0" w:color="000000"/>
              <w:bottom w:val="single" w:sz="6" w:space="0" w:color="000000"/>
              <w:right w:val="single" w:sz="6" w:space="0" w:color="000000"/>
            </w:tcBorders>
            <w:shd w:val="clear" w:color="auto" w:fill="FFFFFF"/>
          </w:tcPr>
          <w:p w14:paraId="185D67F7"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5" w:type="pct"/>
            <w:gridSpan w:val="2"/>
            <w:tcBorders>
              <w:top w:val="single" w:sz="6" w:space="0" w:color="000000"/>
              <w:left w:val="single" w:sz="6" w:space="0" w:color="000000"/>
              <w:bottom w:val="single" w:sz="6" w:space="0" w:color="000000"/>
              <w:right w:val="single" w:sz="6" w:space="0" w:color="000000"/>
            </w:tcBorders>
            <w:shd w:val="clear" w:color="auto" w:fill="FFFFFF"/>
          </w:tcPr>
          <w:p w14:paraId="526A377C"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tcBorders>
              <w:top w:val="single" w:sz="6" w:space="0" w:color="000000"/>
              <w:left w:val="single" w:sz="6" w:space="0" w:color="000000"/>
              <w:bottom w:val="single" w:sz="6" w:space="0" w:color="000000"/>
              <w:right w:val="single" w:sz="6" w:space="0" w:color="000000"/>
            </w:tcBorders>
            <w:shd w:val="clear" w:color="auto" w:fill="FFFFFF"/>
          </w:tcPr>
          <w:p w14:paraId="4FDF7832"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tcBorders>
              <w:top w:val="single" w:sz="6" w:space="0" w:color="000000"/>
              <w:left w:val="single" w:sz="6" w:space="0" w:color="000000"/>
              <w:bottom w:val="single" w:sz="6" w:space="0" w:color="000000"/>
              <w:right w:val="single" w:sz="6" w:space="0" w:color="000000"/>
            </w:tcBorders>
            <w:shd w:val="clear" w:color="auto" w:fill="FFFFFF"/>
          </w:tcPr>
          <w:p w14:paraId="4B13026F"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gridSpan w:val="2"/>
            <w:tcBorders>
              <w:top w:val="single" w:sz="6" w:space="0" w:color="000000"/>
              <w:left w:val="single" w:sz="6" w:space="0" w:color="000000"/>
              <w:bottom w:val="single" w:sz="6" w:space="0" w:color="000000"/>
              <w:right w:val="single" w:sz="6" w:space="0" w:color="000000"/>
            </w:tcBorders>
            <w:shd w:val="clear" w:color="auto" w:fill="FFFFFF"/>
          </w:tcPr>
          <w:p w14:paraId="33514839"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tcBorders>
              <w:top w:val="single" w:sz="6" w:space="0" w:color="000000"/>
              <w:left w:val="single" w:sz="6" w:space="0" w:color="000000"/>
              <w:bottom w:val="single" w:sz="6" w:space="0" w:color="000000"/>
              <w:right w:val="single" w:sz="6" w:space="0" w:color="000000"/>
            </w:tcBorders>
            <w:shd w:val="clear" w:color="auto" w:fill="FFFFFF"/>
          </w:tcPr>
          <w:p w14:paraId="504C7BC3"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tcBorders>
              <w:top w:val="single" w:sz="6" w:space="0" w:color="000000"/>
              <w:left w:val="single" w:sz="6" w:space="0" w:color="000000"/>
              <w:bottom w:val="single" w:sz="6" w:space="0" w:color="000000"/>
              <w:right w:val="single" w:sz="6" w:space="0" w:color="000000"/>
            </w:tcBorders>
            <w:shd w:val="clear" w:color="auto" w:fill="FFFFFF"/>
          </w:tcPr>
          <w:p w14:paraId="2134C581"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gridSpan w:val="2"/>
            <w:tcBorders>
              <w:top w:val="single" w:sz="6" w:space="0" w:color="000000"/>
              <w:left w:val="single" w:sz="6" w:space="0" w:color="000000"/>
              <w:bottom w:val="single" w:sz="6" w:space="0" w:color="000000"/>
              <w:right w:val="single" w:sz="6" w:space="0" w:color="000000"/>
            </w:tcBorders>
            <w:shd w:val="clear" w:color="auto" w:fill="FFFFFF"/>
          </w:tcPr>
          <w:p w14:paraId="00899B4B"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tcBorders>
              <w:top w:val="single" w:sz="6" w:space="0" w:color="000000"/>
              <w:left w:val="single" w:sz="6" w:space="0" w:color="000000"/>
              <w:bottom w:val="single" w:sz="6" w:space="0" w:color="000000"/>
              <w:right w:val="single" w:sz="6" w:space="0" w:color="000000"/>
            </w:tcBorders>
            <w:shd w:val="clear" w:color="auto" w:fill="FFFFFF"/>
          </w:tcPr>
          <w:p w14:paraId="3A172CEA"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tcBorders>
              <w:top w:val="single" w:sz="6" w:space="0" w:color="000000"/>
              <w:left w:val="single" w:sz="6" w:space="0" w:color="000000"/>
              <w:bottom w:val="single" w:sz="6" w:space="0" w:color="000000"/>
              <w:right w:val="single" w:sz="6" w:space="0" w:color="000000"/>
            </w:tcBorders>
            <w:shd w:val="clear" w:color="auto" w:fill="FFFFFF"/>
          </w:tcPr>
          <w:p w14:paraId="2622EE58"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gridSpan w:val="2"/>
            <w:tcBorders>
              <w:top w:val="single" w:sz="6" w:space="0" w:color="000000"/>
              <w:left w:val="single" w:sz="6" w:space="0" w:color="000000"/>
              <w:bottom w:val="single" w:sz="6" w:space="0" w:color="000000"/>
              <w:right w:val="single" w:sz="6" w:space="0" w:color="000000"/>
            </w:tcBorders>
            <w:shd w:val="clear" w:color="auto" w:fill="FFFFFF"/>
          </w:tcPr>
          <w:p w14:paraId="251E630A"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tcBorders>
              <w:top w:val="single" w:sz="6" w:space="0" w:color="000000"/>
              <w:left w:val="single" w:sz="6" w:space="0" w:color="000000"/>
              <w:bottom w:val="single" w:sz="6" w:space="0" w:color="000000"/>
              <w:right w:val="single" w:sz="6" w:space="0" w:color="000000"/>
            </w:tcBorders>
            <w:shd w:val="clear" w:color="auto" w:fill="FFFFFF"/>
          </w:tcPr>
          <w:p w14:paraId="19CA2B89"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tcBorders>
              <w:top w:val="single" w:sz="6" w:space="0" w:color="000000"/>
              <w:left w:val="single" w:sz="6" w:space="0" w:color="000000"/>
              <w:bottom w:val="single" w:sz="6" w:space="0" w:color="000000"/>
              <w:right w:val="single" w:sz="6" w:space="0" w:color="000000"/>
            </w:tcBorders>
            <w:shd w:val="clear" w:color="auto" w:fill="FFFFFF"/>
          </w:tcPr>
          <w:p w14:paraId="7BF4E362"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5" w:type="pct"/>
            <w:gridSpan w:val="2"/>
            <w:tcBorders>
              <w:top w:val="single" w:sz="6" w:space="0" w:color="000000"/>
              <w:left w:val="single" w:sz="6" w:space="0" w:color="000000"/>
              <w:bottom w:val="single" w:sz="6" w:space="0" w:color="000000"/>
              <w:right w:val="single" w:sz="6" w:space="0" w:color="000000"/>
            </w:tcBorders>
            <w:shd w:val="clear" w:color="auto" w:fill="FFFFFF"/>
          </w:tcPr>
          <w:p w14:paraId="7CC424C7"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tcBorders>
              <w:top w:val="single" w:sz="6" w:space="0" w:color="000000"/>
              <w:left w:val="single" w:sz="6" w:space="0" w:color="000000"/>
              <w:bottom w:val="single" w:sz="6" w:space="0" w:color="000000"/>
              <w:right w:val="single" w:sz="6" w:space="0" w:color="000000"/>
            </w:tcBorders>
            <w:shd w:val="clear" w:color="auto" w:fill="FFFFFF"/>
          </w:tcPr>
          <w:p w14:paraId="0BC3E201"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tcBorders>
              <w:top w:val="single" w:sz="6" w:space="0" w:color="000000"/>
              <w:left w:val="single" w:sz="6" w:space="0" w:color="000000"/>
              <w:bottom w:val="single" w:sz="6" w:space="0" w:color="000000"/>
              <w:right w:val="single" w:sz="6" w:space="0" w:color="000000"/>
            </w:tcBorders>
            <w:shd w:val="clear" w:color="auto" w:fill="FFFFFF"/>
          </w:tcPr>
          <w:p w14:paraId="74C1EFA4"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5" w:type="pct"/>
            <w:gridSpan w:val="2"/>
            <w:tcBorders>
              <w:top w:val="single" w:sz="6" w:space="0" w:color="000000"/>
              <w:left w:val="single" w:sz="6" w:space="0" w:color="000000"/>
              <w:bottom w:val="single" w:sz="6" w:space="0" w:color="000000"/>
              <w:right w:val="single" w:sz="6" w:space="0" w:color="000000"/>
            </w:tcBorders>
            <w:shd w:val="clear" w:color="auto" w:fill="FFFFFF"/>
          </w:tcPr>
          <w:p w14:paraId="4F135805"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tcBorders>
              <w:top w:val="single" w:sz="6" w:space="0" w:color="000000"/>
              <w:left w:val="single" w:sz="6" w:space="0" w:color="000000"/>
              <w:bottom w:val="single" w:sz="6" w:space="0" w:color="000000"/>
              <w:right w:val="single" w:sz="6" w:space="0" w:color="000000"/>
            </w:tcBorders>
            <w:shd w:val="clear" w:color="auto" w:fill="FFFFFF"/>
          </w:tcPr>
          <w:p w14:paraId="342491F5"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tcBorders>
              <w:top w:val="single" w:sz="6" w:space="0" w:color="000000"/>
              <w:left w:val="single" w:sz="6" w:space="0" w:color="000000"/>
              <w:bottom w:val="single" w:sz="6" w:space="0" w:color="000000"/>
              <w:right w:val="single" w:sz="6" w:space="0" w:color="000000"/>
            </w:tcBorders>
            <w:shd w:val="clear" w:color="auto" w:fill="FFFFFF"/>
          </w:tcPr>
          <w:p w14:paraId="7A002B2F"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5" w:type="pct"/>
            <w:gridSpan w:val="2"/>
            <w:tcBorders>
              <w:top w:val="single" w:sz="6" w:space="0" w:color="000000"/>
              <w:left w:val="single" w:sz="6" w:space="0" w:color="000000"/>
              <w:bottom w:val="single" w:sz="6" w:space="0" w:color="000000"/>
              <w:right w:val="single" w:sz="6" w:space="0" w:color="000000"/>
            </w:tcBorders>
            <w:shd w:val="clear" w:color="auto" w:fill="FFFFFF"/>
          </w:tcPr>
          <w:p w14:paraId="73859957"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tcBorders>
              <w:top w:val="single" w:sz="6" w:space="0" w:color="000000"/>
              <w:left w:val="single" w:sz="6" w:space="0" w:color="000000"/>
              <w:bottom w:val="single" w:sz="6" w:space="0" w:color="000000"/>
              <w:right w:val="single" w:sz="6" w:space="0" w:color="000000"/>
            </w:tcBorders>
            <w:shd w:val="clear" w:color="auto" w:fill="FFFFFF"/>
          </w:tcPr>
          <w:p w14:paraId="675894C4"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114" w:type="pct"/>
            <w:tcBorders>
              <w:top w:val="single" w:sz="6" w:space="0" w:color="000000"/>
              <w:left w:val="single" w:sz="6" w:space="0" w:color="000000"/>
              <w:bottom w:val="single" w:sz="6" w:space="0" w:color="000000"/>
              <w:right w:val="single" w:sz="6" w:space="0" w:color="000000"/>
            </w:tcBorders>
            <w:shd w:val="clear" w:color="auto" w:fill="FFFFFF"/>
          </w:tcPr>
          <w:p w14:paraId="4C500E46"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271" w:type="pct"/>
            <w:tcBorders>
              <w:top w:val="single" w:sz="6" w:space="0" w:color="000000"/>
              <w:left w:val="single" w:sz="6" w:space="0" w:color="000000"/>
              <w:bottom w:val="single" w:sz="6" w:space="0" w:color="000000"/>
              <w:right w:val="single" w:sz="6" w:space="0" w:color="000000"/>
            </w:tcBorders>
            <w:shd w:val="clear" w:color="auto" w:fill="FFFFFF"/>
          </w:tcPr>
          <w:p w14:paraId="364082ED" w14:textId="4E308481"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44" w:type="pct"/>
            <w:tcBorders>
              <w:top w:val="single" w:sz="6" w:space="0" w:color="000000"/>
              <w:left w:val="single" w:sz="6" w:space="0" w:color="000000"/>
              <w:bottom w:val="single" w:sz="6" w:space="0" w:color="000000"/>
              <w:right w:val="single" w:sz="6" w:space="0" w:color="000000"/>
            </w:tcBorders>
            <w:shd w:val="clear" w:color="auto" w:fill="FFFFFF"/>
          </w:tcPr>
          <w:p w14:paraId="63EB7C5C"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51" w:type="pct"/>
            <w:tcBorders>
              <w:top w:val="single" w:sz="6" w:space="0" w:color="000000"/>
              <w:left w:val="single" w:sz="6" w:space="0" w:color="000000"/>
              <w:bottom w:val="single" w:sz="6" w:space="0" w:color="000000"/>
              <w:right w:val="single" w:sz="6" w:space="0" w:color="000000"/>
            </w:tcBorders>
            <w:shd w:val="clear" w:color="auto" w:fill="FFFFFF"/>
          </w:tcPr>
          <w:p w14:paraId="5C0ED373"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130" w:type="pct"/>
            <w:tcBorders>
              <w:top w:val="single" w:sz="6" w:space="0" w:color="000000"/>
              <w:left w:val="single" w:sz="6" w:space="0" w:color="000000"/>
              <w:bottom w:val="single" w:sz="6" w:space="0" w:color="000000"/>
              <w:right w:val="single" w:sz="6" w:space="0" w:color="000000"/>
            </w:tcBorders>
            <w:shd w:val="clear" w:color="auto" w:fill="FFFFFF"/>
          </w:tcPr>
          <w:p w14:paraId="3FD2D08C"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133" w:type="pct"/>
            <w:tcBorders>
              <w:top w:val="single" w:sz="6" w:space="0" w:color="000000"/>
              <w:left w:val="single" w:sz="6" w:space="0" w:color="000000"/>
              <w:bottom w:val="single" w:sz="6" w:space="0" w:color="000000"/>
              <w:right w:val="single" w:sz="6" w:space="0" w:color="000000"/>
            </w:tcBorders>
            <w:shd w:val="clear" w:color="auto" w:fill="FFFFFF"/>
          </w:tcPr>
          <w:p w14:paraId="159768AC"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177" w:type="pct"/>
            <w:tcBorders>
              <w:top w:val="single" w:sz="6" w:space="0" w:color="000000"/>
              <w:left w:val="single" w:sz="6" w:space="0" w:color="000000"/>
              <w:bottom w:val="single" w:sz="6" w:space="0" w:color="000000"/>
              <w:right w:val="single" w:sz="6" w:space="0" w:color="000000"/>
            </w:tcBorders>
            <w:shd w:val="clear" w:color="auto" w:fill="FFFFFF"/>
          </w:tcPr>
          <w:p w14:paraId="6C9751D8"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74A536E7" w14:textId="77777777" w:rsidTr="00EF3DFA">
        <w:tblPrEx>
          <w:tblBorders>
            <w:top w:val="single" w:sz="6" w:space="0" w:color="000000"/>
            <w:left w:val="single" w:sz="6" w:space="0" w:color="000000"/>
            <w:bottom w:val="single" w:sz="6" w:space="0" w:color="000000"/>
            <w:right w:val="single" w:sz="6" w:space="0" w:color="000000"/>
          </w:tblBorders>
        </w:tblPrEx>
        <w:trPr>
          <w:gridAfter w:val="1"/>
          <w:wAfter w:w="4" w:type="pct"/>
          <w:tblCellSpacing w:w="0" w:type="dxa"/>
          <w:jc w:val="center"/>
        </w:trPr>
        <w:tc>
          <w:tcPr>
            <w:tcW w:w="177" w:type="pct"/>
            <w:tcBorders>
              <w:top w:val="single" w:sz="6" w:space="0" w:color="000000"/>
              <w:left w:val="single" w:sz="6" w:space="0" w:color="000000"/>
              <w:bottom w:val="single" w:sz="6" w:space="0" w:color="000000"/>
              <w:right w:val="single" w:sz="6" w:space="0" w:color="000000"/>
            </w:tcBorders>
            <w:shd w:val="clear" w:color="auto" w:fill="FFFFFF"/>
          </w:tcPr>
          <w:p w14:paraId="1B23A5FF"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R3-3</w:t>
            </w:r>
          </w:p>
        </w:tc>
        <w:tc>
          <w:tcPr>
            <w:tcW w:w="536" w:type="pct"/>
            <w:tcBorders>
              <w:top w:val="single" w:sz="6" w:space="0" w:color="000000"/>
              <w:left w:val="single" w:sz="6" w:space="0" w:color="000000"/>
              <w:bottom w:val="single" w:sz="6" w:space="0" w:color="000000"/>
              <w:right w:val="single" w:sz="6" w:space="0" w:color="000000"/>
            </w:tcBorders>
            <w:shd w:val="clear" w:color="auto" w:fill="FFFFFF"/>
          </w:tcPr>
          <w:p w14:paraId="41A3E022"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 xml:space="preserve">Магистрати, съдебни служители и служители на и разследващите органи по НПК, успешно преминали обучения с получаване </w:t>
            </w:r>
            <w:r w:rsidRPr="007D063B">
              <w:rPr>
                <w:rFonts w:ascii="Times New Roman" w:hAnsi="Times New Roman" w:cs="Times New Roman"/>
                <w:sz w:val="16"/>
                <w:szCs w:val="16"/>
              </w:rPr>
              <w:lastRenderedPageBreak/>
              <w:t>на сертификат</w:t>
            </w:r>
          </w:p>
        </w:tc>
        <w:tc>
          <w:tcPr>
            <w:tcW w:w="191" w:type="pct"/>
            <w:tcBorders>
              <w:top w:val="single" w:sz="6" w:space="0" w:color="000000"/>
              <w:left w:val="single" w:sz="6" w:space="0" w:color="000000"/>
              <w:bottom w:val="single" w:sz="6" w:space="0" w:color="000000"/>
              <w:right w:val="single" w:sz="6" w:space="0" w:color="000000"/>
            </w:tcBorders>
            <w:shd w:val="clear" w:color="auto" w:fill="FFFFFF"/>
          </w:tcPr>
          <w:p w14:paraId="46DA508B"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lastRenderedPageBreak/>
              <w:t>ЕСФ</w:t>
            </w:r>
          </w:p>
        </w:tc>
        <w:tc>
          <w:tcPr>
            <w:tcW w:w="262" w:type="pct"/>
            <w:tcBorders>
              <w:top w:val="single" w:sz="6" w:space="0" w:color="000000"/>
              <w:left w:val="single" w:sz="6" w:space="0" w:color="000000"/>
              <w:bottom w:val="single" w:sz="6" w:space="0" w:color="000000"/>
              <w:right w:val="single" w:sz="6" w:space="0" w:color="000000"/>
            </w:tcBorders>
            <w:shd w:val="clear" w:color="auto" w:fill="FFFFFF"/>
          </w:tcPr>
          <w:p w14:paraId="4050B651"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По-слабо развити региони</w:t>
            </w:r>
          </w:p>
        </w:tc>
        <w:tc>
          <w:tcPr>
            <w:tcW w:w="170" w:type="pct"/>
            <w:tcBorders>
              <w:top w:val="single" w:sz="6" w:space="0" w:color="000000"/>
              <w:left w:val="single" w:sz="6" w:space="0" w:color="000000"/>
              <w:bottom w:val="single" w:sz="6" w:space="0" w:color="000000"/>
              <w:right w:val="single" w:sz="6" w:space="0" w:color="000000"/>
            </w:tcBorders>
            <w:shd w:val="clear" w:color="auto" w:fill="FFFFFF"/>
          </w:tcPr>
          <w:p w14:paraId="736F28C0"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w:t>
            </w:r>
          </w:p>
        </w:tc>
        <w:tc>
          <w:tcPr>
            <w:tcW w:w="179" w:type="pct"/>
            <w:tcBorders>
              <w:top w:val="single" w:sz="6" w:space="0" w:color="000000"/>
              <w:left w:val="single" w:sz="6" w:space="0" w:color="000000"/>
              <w:bottom w:val="single" w:sz="6" w:space="0" w:color="000000"/>
              <w:right w:val="single" w:sz="6" w:space="0" w:color="000000"/>
            </w:tcBorders>
            <w:shd w:val="clear" w:color="auto" w:fill="FFFFFF"/>
          </w:tcPr>
          <w:p w14:paraId="0A7B3A1A"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w:t>
            </w:r>
          </w:p>
        </w:tc>
        <w:tc>
          <w:tcPr>
            <w:tcW w:w="268" w:type="pct"/>
            <w:tcBorders>
              <w:top w:val="single" w:sz="6" w:space="0" w:color="000000"/>
              <w:left w:val="single" w:sz="6" w:space="0" w:color="000000"/>
              <w:bottom w:val="single" w:sz="6" w:space="0" w:color="000000"/>
              <w:right w:val="single" w:sz="6" w:space="0" w:color="000000"/>
            </w:tcBorders>
            <w:shd w:val="clear" w:color="auto" w:fill="FFFFFF"/>
          </w:tcPr>
          <w:p w14:paraId="34709DBC"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29 101,00</w:t>
            </w:r>
          </w:p>
        </w:tc>
        <w:tc>
          <w:tcPr>
            <w:tcW w:w="136" w:type="pct"/>
            <w:tcBorders>
              <w:top w:val="single" w:sz="6" w:space="0" w:color="000000"/>
              <w:left w:val="single" w:sz="6" w:space="0" w:color="000000"/>
              <w:bottom w:val="single" w:sz="6" w:space="0" w:color="000000"/>
              <w:right w:val="single" w:sz="6" w:space="0" w:color="000000"/>
            </w:tcBorders>
            <w:shd w:val="clear" w:color="auto" w:fill="FFFFFF"/>
          </w:tcPr>
          <w:p w14:paraId="5F60082A"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179" w:type="pct"/>
            <w:tcBorders>
              <w:top w:val="single" w:sz="6" w:space="0" w:color="000000"/>
              <w:left w:val="single" w:sz="6" w:space="0" w:color="000000"/>
              <w:bottom w:val="single" w:sz="6" w:space="0" w:color="000000"/>
              <w:right w:val="single" w:sz="6" w:space="0" w:color="000000"/>
            </w:tcBorders>
            <w:shd w:val="clear" w:color="auto" w:fill="FFFFFF"/>
          </w:tcPr>
          <w:p w14:paraId="02262F6B"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gridSpan w:val="2"/>
            <w:tcBorders>
              <w:top w:val="single" w:sz="6" w:space="0" w:color="000000"/>
              <w:left w:val="single" w:sz="6" w:space="0" w:color="000000"/>
              <w:bottom w:val="single" w:sz="6" w:space="0" w:color="000000"/>
              <w:right w:val="single" w:sz="6" w:space="0" w:color="000000"/>
            </w:tcBorders>
            <w:shd w:val="clear" w:color="auto" w:fill="FFFFFF"/>
          </w:tcPr>
          <w:p w14:paraId="0DF5CE87"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66" w:type="pct"/>
            <w:tcBorders>
              <w:top w:val="single" w:sz="6" w:space="0" w:color="000000"/>
              <w:left w:val="single" w:sz="6" w:space="0" w:color="000000"/>
              <w:bottom w:val="single" w:sz="6" w:space="0" w:color="000000"/>
              <w:right w:val="single" w:sz="6" w:space="0" w:color="000000"/>
            </w:tcBorders>
            <w:shd w:val="clear" w:color="auto" w:fill="FFFFFF"/>
          </w:tcPr>
          <w:p w14:paraId="2A00BC6E"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72" w:type="pct"/>
            <w:tcBorders>
              <w:top w:val="single" w:sz="6" w:space="0" w:color="000000"/>
              <w:left w:val="single" w:sz="6" w:space="0" w:color="000000"/>
              <w:bottom w:val="single" w:sz="6" w:space="0" w:color="000000"/>
              <w:right w:val="single" w:sz="6" w:space="0" w:color="000000"/>
            </w:tcBorders>
            <w:shd w:val="clear" w:color="auto" w:fill="FFFFFF"/>
          </w:tcPr>
          <w:p w14:paraId="794998F5"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5" w:type="pct"/>
            <w:gridSpan w:val="2"/>
            <w:tcBorders>
              <w:top w:val="single" w:sz="6" w:space="0" w:color="000000"/>
              <w:left w:val="single" w:sz="6" w:space="0" w:color="000000"/>
              <w:bottom w:val="single" w:sz="6" w:space="0" w:color="000000"/>
              <w:right w:val="single" w:sz="6" w:space="0" w:color="000000"/>
            </w:tcBorders>
            <w:shd w:val="clear" w:color="auto" w:fill="FFFFFF"/>
          </w:tcPr>
          <w:p w14:paraId="177DD668"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66" w:type="pct"/>
            <w:tcBorders>
              <w:top w:val="single" w:sz="6" w:space="0" w:color="000000"/>
              <w:left w:val="single" w:sz="6" w:space="0" w:color="000000"/>
              <w:bottom w:val="single" w:sz="6" w:space="0" w:color="000000"/>
              <w:right w:val="single" w:sz="6" w:space="0" w:color="000000"/>
            </w:tcBorders>
            <w:shd w:val="clear" w:color="auto" w:fill="FFFFFF"/>
          </w:tcPr>
          <w:p w14:paraId="519720BB"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tcBorders>
              <w:top w:val="single" w:sz="6" w:space="0" w:color="000000"/>
              <w:left w:val="single" w:sz="6" w:space="0" w:color="000000"/>
              <w:bottom w:val="single" w:sz="6" w:space="0" w:color="000000"/>
              <w:right w:val="single" w:sz="6" w:space="0" w:color="000000"/>
            </w:tcBorders>
            <w:shd w:val="clear" w:color="auto" w:fill="FFFFFF"/>
          </w:tcPr>
          <w:p w14:paraId="2DCF94AE"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78" w:type="pct"/>
            <w:gridSpan w:val="2"/>
            <w:tcBorders>
              <w:top w:val="single" w:sz="6" w:space="0" w:color="000000"/>
              <w:left w:val="single" w:sz="6" w:space="0" w:color="000000"/>
              <w:bottom w:val="single" w:sz="6" w:space="0" w:color="000000"/>
              <w:right w:val="single" w:sz="6" w:space="0" w:color="000000"/>
            </w:tcBorders>
            <w:shd w:val="clear" w:color="auto" w:fill="FFFFFF"/>
          </w:tcPr>
          <w:p w14:paraId="0F879C86" w14:textId="69C76A83"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567</w:t>
            </w:r>
          </w:p>
        </w:tc>
        <w:tc>
          <w:tcPr>
            <w:tcW w:w="53" w:type="pct"/>
            <w:tcBorders>
              <w:top w:val="single" w:sz="6" w:space="0" w:color="000000"/>
              <w:left w:val="single" w:sz="6" w:space="0" w:color="000000"/>
              <w:bottom w:val="single" w:sz="6" w:space="0" w:color="000000"/>
              <w:right w:val="single" w:sz="6" w:space="0" w:color="000000"/>
            </w:tcBorders>
            <w:shd w:val="clear" w:color="auto" w:fill="FFFFFF"/>
          </w:tcPr>
          <w:p w14:paraId="608C74D4"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tcBorders>
              <w:top w:val="single" w:sz="6" w:space="0" w:color="000000"/>
              <w:left w:val="single" w:sz="6" w:space="0" w:color="000000"/>
              <w:bottom w:val="single" w:sz="6" w:space="0" w:color="000000"/>
              <w:right w:val="single" w:sz="6" w:space="0" w:color="000000"/>
            </w:tcBorders>
            <w:shd w:val="clear" w:color="auto" w:fill="FFFFFF"/>
          </w:tcPr>
          <w:p w14:paraId="076AD30B"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5" w:type="pct"/>
            <w:gridSpan w:val="2"/>
            <w:tcBorders>
              <w:top w:val="single" w:sz="6" w:space="0" w:color="000000"/>
              <w:left w:val="single" w:sz="6" w:space="0" w:color="000000"/>
              <w:bottom w:val="single" w:sz="6" w:space="0" w:color="000000"/>
              <w:right w:val="single" w:sz="6" w:space="0" w:color="000000"/>
            </w:tcBorders>
            <w:shd w:val="clear" w:color="auto" w:fill="FFFFFF"/>
          </w:tcPr>
          <w:p w14:paraId="282F014C"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tcBorders>
              <w:top w:val="single" w:sz="6" w:space="0" w:color="000000"/>
              <w:left w:val="single" w:sz="6" w:space="0" w:color="000000"/>
              <w:bottom w:val="single" w:sz="6" w:space="0" w:color="000000"/>
              <w:right w:val="single" w:sz="6" w:space="0" w:color="000000"/>
            </w:tcBorders>
            <w:shd w:val="clear" w:color="auto" w:fill="FFFFFF"/>
          </w:tcPr>
          <w:p w14:paraId="2E519235"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tcBorders>
              <w:top w:val="single" w:sz="6" w:space="0" w:color="000000"/>
              <w:left w:val="single" w:sz="6" w:space="0" w:color="000000"/>
              <w:bottom w:val="single" w:sz="6" w:space="0" w:color="000000"/>
              <w:right w:val="single" w:sz="6" w:space="0" w:color="000000"/>
            </w:tcBorders>
            <w:shd w:val="clear" w:color="auto" w:fill="FFFFFF"/>
          </w:tcPr>
          <w:p w14:paraId="0A62CDAE"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gridSpan w:val="2"/>
            <w:tcBorders>
              <w:top w:val="single" w:sz="6" w:space="0" w:color="000000"/>
              <w:left w:val="single" w:sz="6" w:space="0" w:color="000000"/>
              <w:bottom w:val="single" w:sz="6" w:space="0" w:color="000000"/>
              <w:right w:val="single" w:sz="6" w:space="0" w:color="000000"/>
            </w:tcBorders>
            <w:shd w:val="clear" w:color="auto" w:fill="FFFFFF"/>
          </w:tcPr>
          <w:p w14:paraId="0B793833"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tcBorders>
              <w:top w:val="single" w:sz="6" w:space="0" w:color="000000"/>
              <w:left w:val="single" w:sz="6" w:space="0" w:color="000000"/>
              <w:bottom w:val="single" w:sz="6" w:space="0" w:color="000000"/>
              <w:right w:val="single" w:sz="6" w:space="0" w:color="000000"/>
            </w:tcBorders>
            <w:shd w:val="clear" w:color="auto" w:fill="FFFFFF"/>
          </w:tcPr>
          <w:p w14:paraId="446DA18B"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tcBorders>
              <w:top w:val="single" w:sz="6" w:space="0" w:color="000000"/>
              <w:left w:val="single" w:sz="6" w:space="0" w:color="000000"/>
              <w:bottom w:val="single" w:sz="6" w:space="0" w:color="000000"/>
              <w:right w:val="single" w:sz="6" w:space="0" w:color="000000"/>
            </w:tcBorders>
            <w:shd w:val="clear" w:color="auto" w:fill="FFFFFF"/>
          </w:tcPr>
          <w:p w14:paraId="3CDB20FF"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gridSpan w:val="2"/>
            <w:tcBorders>
              <w:top w:val="single" w:sz="6" w:space="0" w:color="000000"/>
              <w:left w:val="single" w:sz="6" w:space="0" w:color="000000"/>
              <w:bottom w:val="single" w:sz="6" w:space="0" w:color="000000"/>
              <w:right w:val="single" w:sz="6" w:space="0" w:color="000000"/>
            </w:tcBorders>
            <w:shd w:val="clear" w:color="auto" w:fill="FFFFFF"/>
          </w:tcPr>
          <w:p w14:paraId="3D8DA5C3"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tcBorders>
              <w:top w:val="single" w:sz="6" w:space="0" w:color="000000"/>
              <w:left w:val="single" w:sz="6" w:space="0" w:color="000000"/>
              <w:bottom w:val="single" w:sz="6" w:space="0" w:color="000000"/>
              <w:right w:val="single" w:sz="6" w:space="0" w:color="000000"/>
            </w:tcBorders>
            <w:shd w:val="clear" w:color="auto" w:fill="FFFFFF"/>
          </w:tcPr>
          <w:p w14:paraId="7E1CFC7B"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tcBorders>
              <w:top w:val="single" w:sz="6" w:space="0" w:color="000000"/>
              <w:left w:val="single" w:sz="6" w:space="0" w:color="000000"/>
              <w:bottom w:val="single" w:sz="6" w:space="0" w:color="000000"/>
              <w:right w:val="single" w:sz="6" w:space="0" w:color="000000"/>
            </w:tcBorders>
            <w:shd w:val="clear" w:color="auto" w:fill="FFFFFF"/>
          </w:tcPr>
          <w:p w14:paraId="390F084C"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gridSpan w:val="2"/>
            <w:tcBorders>
              <w:top w:val="single" w:sz="6" w:space="0" w:color="000000"/>
              <w:left w:val="single" w:sz="6" w:space="0" w:color="000000"/>
              <w:bottom w:val="single" w:sz="6" w:space="0" w:color="000000"/>
              <w:right w:val="single" w:sz="6" w:space="0" w:color="000000"/>
            </w:tcBorders>
            <w:shd w:val="clear" w:color="auto" w:fill="FFFFFF"/>
          </w:tcPr>
          <w:p w14:paraId="10BE3124"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tcBorders>
              <w:top w:val="single" w:sz="6" w:space="0" w:color="000000"/>
              <w:left w:val="single" w:sz="6" w:space="0" w:color="000000"/>
              <w:bottom w:val="single" w:sz="6" w:space="0" w:color="000000"/>
              <w:right w:val="single" w:sz="6" w:space="0" w:color="000000"/>
            </w:tcBorders>
            <w:shd w:val="clear" w:color="auto" w:fill="FFFFFF"/>
          </w:tcPr>
          <w:p w14:paraId="6B6FEA46"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tcBorders>
              <w:top w:val="single" w:sz="6" w:space="0" w:color="000000"/>
              <w:left w:val="single" w:sz="6" w:space="0" w:color="000000"/>
              <w:bottom w:val="single" w:sz="6" w:space="0" w:color="000000"/>
              <w:right w:val="single" w:sz="6" w:space="0" w:color="000000"/>
            </w:tcBorders>
            <w:shd w:val="clear" w:color="auto" w:fill="FFFFFF"/>
          </w:tcPr>
          <w:p w14:paraId="3F7B621C"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5" w:type="pct"/>
            <w:gridSpan w:val="2"/>
            <w:tcBorders>
              <w:top w:val="single" w:sz="6" w:space="0" w:color="000000"/>
              <w:left w:val="single" w:sz="6" w:space="0" w:color="000000"/>
              <w:bottom w:val="single" w:sz="6" w:space="0" w:color="000000"/>
              <w:right w:val="single" w:sz="6" w:space="0" w:color="000000"/>
            </w:tcBorders>
            <w:shd w:val="clear" w:color="auto" w:fill="FFFFFF"/>
          </w:tcPr>
          <w:p w14:paraId="7B6FAE8D"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tcBorders>
              <w:top w:val="single" w:sz="6" w:space="0" w:color="000000"/>
              <w:left w:val="single" w:sz="6" w:space="0" w:color="000000"/>
              <w:bottom w:val="single" w:sz="6" w:space="0" w:color="000000"/>
              <w:right w:val="single" w:sz="6" w:space="0" w:color="000000"/>
            </w:tcBorders>
            <w:shd w:val="clear" w:color="auto" w:fill="FFFFFF"/>
          </w:tcPr>
          <w:p w14:paraId="06884406"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tcBorders>
              <w:top w:val="single" w:sz="6" w:space="0" w:color="000000"/>
              <w:left w:val="single" w:sz="6" w:space="0" w:color="000000"/>
              <w:bottom w:val="single" w:sz="6" w:space="0" w:color="000000"/>
              <w:right w:val="single" w:sz="6" w:space="0" w:color="000000"/>
            </w:tcBorders>
            <w:shd w:val="clear" w:color="auto" w:fill="FFFFFF"/>
          </w:tcPr>
          <w:p w14:paraId="34A643C4"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5" w:type="pct"/>
            <w:gridSpan w:val="2"/>
            <w:tcBorders>
              <w:top w:val="single" w:sz="6" w:space="0" w:color="000000"/>
              <w:left w:val="single" w:sz="6" w:space="0" w:color="000000"/>
              <w:bottom w:val="single" w:sz="6" w:space="0" w:color="000000"/>
              <w:right w:val="single" w:sz="6" w:space="0" w:color="000000"/>
            </w:tcBorders>
            <w:shd w:val="clear" w:color="auto" w:fill="FFFFFF"/>
          </w:tcPr>
          <w:p w14:paraId="698288C6"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tcBorders>
              <w:top w:val="single" w:sz="6" w:space="0" w:color="000000"/>
              <w:left w:val="single" w:sz="6" w:space="0" w:color="000000"/>
              <w:bottom w:val="single" w:sz="6" w:space="0" w:color="000000"/>
              <w:right w:val="single" w:sz="6" w:space="0" w:color="000000"/>
            </w:tcBorders>
            <w:shd w:val="clear" w:color="auto" w:fill="FFFFFF"/>
          </w:tcPr>
          <w:p w14:paraId="4FC5F436"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74" w:type="pct"/>
            <w:tcBorders>
              <w:top w:val="single" w:sz="6" w:space="0" w:color="000000"/>
              <w:left w:val="single" w:sz="6" w:space="0" w:color="000000"/>
              <w:bottom w:val="single" w:sz="6" w:space="0" w:color="000000"/>
              <w:right w:val="single" w:sz="6" w:space="0" w:color="000000"/>
            </w:tcBorders>
            <w:shd w:val="clear" w:color="auto" w:fill="FFFFFF"/>
          </w:tcPr>
          <w:p w14:paraId="7836A51D"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5" w:type="pct"/>
            <w:gridSpan w:val="2"/>
            <w:tcBorders>
              <w:top w:val="single" w:sz="6" w:space="0" w:color="000000"/>
              <w:left w:val="single" w:sz="6" w:space="0" w:color="000000"/>
              <w:bottom w:val="single" w:sz="6" w:space="0" w:color="000000"/>
              <w:right w:val="single" w:sz="6" w:space="0" w:color="000000"/>
            </w:tcBorders>
            <w:shd w:val="clear" w:color="auto" w:fill="FFFFFF"/>
          </w:tcPr>
          <w:p w14:paraId="63694025"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66" w:type="pct"/>
            <w:tcBorders>
              <w:top w:val="single" w:sz="6" w:space="0" w:color="000000"/>
              <w:left w:val="single" w:sz="6" w:space="0" w:color="000000"/>
              <w:bottom w:val="single" w:sz="6" w:space="0" w:color="000000"/>
              <w:right w:val="single" w:sz="6" w:space="0" w:color="000000"/>
            </w:tcBorders>
            <w:shd w:val="clear" w:color="auto" w:fill="FFFFFF"/>
          </w:tcPr>
          <w:p w14:paraId="57CEB9F6"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114" w:type="pct"/>
            <w:tcBorders>
              <w:top w:val="single" w:sz="6" w:space="0" w:color="000000"/>
              <w:left w:val="single" w:sz="6" w:space="0" w:color="000000"/>
              <w:bottom w:val="single" w:sz="6" w:space="0" w:color="000000"/>
              <w:right w:val="single" w:sz="6" w:space="0" w:color="000000"/>
            </w:tcBorders>
            <w:shd w:val="clear" w:color="auto" w:fill="FFFFFF"/>
          </w:tcPr>
          <w:p w14:paraId="30C0E923"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271" w:type="pct"/>
            <w:tcBorders>
              <w:top w:val="single" w:sz="6" w:space="0" w:color="000000"/>
              <w:left w:val="single" w:sz="6" w:space="0" w:color="000000"/>
              <w:bottom w:val="single" w:sz="6" w:space="0" w:color="000000"/>
              <w:right w:val="single" w:sz="6" w:space="0" w:color="000000"/>
            </w:tcBorders>
            <w:shd w:val="clear" w:color="auto" w:fill="FFFFFF"/>
          </w:tcPr>
          <w:p w14:paraId="73BCA43A" w14:textId="4DDDF28E"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567</w:t>
            </w:r>
          </w:p>
        </w:tc>
        <w:tc>
          <w:tcPr>
            <w:tcW w:w="44" w:type="pct"/>
            <w:tcBorders>
              <w:top w:val="single" w:sz="6" w:space="0" w:color="000000"/>
              <w:left w:val="single" w:sz="6" w:space="0" w:color="000000"/>
              <w:bottom w:val="single" w:sz="6" w:space="0" w:color="000000"/>
              <w:right w:val="single" w:sz="6" w:space="0" w:color="000000"/>
            </w:tcBorders>
            <w:shd w:val="clear" w:color="auto" w:fill="FFFFFF"/>
          </w:tcPr>
          <w:p w14:paraId="26F52DF9" w14:textId="4A1F2F8E"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51" w:type="pct"/>
            <w:tcBorders>
              <w:top w:val="single" w:sz="6" w:space="0" w:color="000000"/>
              <w:left w:val="single" w:sz="6" w:space="0" w:color="000000"/>
              <w:bottom w:val="single" w:sz="6" w:space="0" w:color="000000"/>
              <w:right w:val="single" w:sz="6" w:space="0" w:color="000000"/>
            </w:tcBorders>
            <w:shd w:val="clear" w:color="auto" w:fill="FFFFFF"/>
          </w:tcPr>
          <w:p w14:paraId="26F16853"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130" w:type="pct"/>
            <w:tcBorders>
              <w:top w:val="single" w:sz="6" w:space="0" w:color="000000"/>
              <w:left w:val="single" w:sz="6" w:space="0" w:color="000000"/>
              <w:bottom w:val="single" w:sz="6" w:space="0" w:color="000000"/>
              <w:right w:val="single" w:sz="6" w:space="0" w:color="000000"/>
            </w:tcBorders>
            <w:shd w:val="clear" w:color="auto" w:fill="FFFFFF"/>
          </w:tcPr>
          <w:p w14:paraId="163BFAD7" w14:textId="3BA4BD38"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0,02</w:t>
            </w:r>
          </w:p>
        </w:tc>
        <w:tc>
          <w:tcPr>
            <w:tcW w:w="133" w:type="pct"/>
            <w:tcBorders>
              <w:top w:val="single" w:sz="6" w:space="0" w:color="000000"/>
              <w:left w:val="single" w:sz="6" w:space="0" w:color="000000"/>
              <w:bottom w:val="single" w:sz="6" w:space="0" w:color="000000"/>
              <w:right w:val="single" w:sz="6" w:space="0" w:color="000000"/>
            </w:tcBorders>
            <w:shd w:val="clear" w:color="auto" w:fill="FFFFFF"/>
          </w:tcPr>
          <w:p w14:paraId="1612D6E9"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c>
          <w:tcPr>
            <w:tcW w:w="177" w:type="pct"/>
            <w:tcBorders>
              <w:top w:val="single" w:sz="6" w:space="0" w:color="000000"/>
              <w:left w:val="single" w:sz="6" w:space="0" w:color="000000"/>
              <w:bottom w:val="single" w:sz="6" w:space="0" w:color="000000"/>
              <w:right w:val="single" w:sz="6" w:space="0" w:color="000000"/>
            </w:tcBorders>
            <w:shd w:val="clear" w:color="auto" w:fill="FFFFFF"/>
          </w:tcPr>
          <w:p w14:paraId="6BCB6316" w14:textId="77777777" w:rsidR="004C667B" w:rsidRPr="007D063B" w:rsidRDefault="004C667B" w:rsidP="004C667B">
            <w:pPr>
              <w:spacing w:before="120" w:after="0" w:line="240" w:lineRule="auto"/>
              <w:jc w:val="center"/>
              <w:rPr>
                <w:rFonts w:ascii="Times New Roman" w:eastAsia="Times New Roman" w:hAnsi="Times New Roman" w:cs="Times New Roman"/>
                <w:color w:val="000000"/>
                <w:sz w:val="16"/>
                <w:szCs w:val="16"/>
                <w:lang w:eastAsia="bg-BG"/>
              </w:rPr>
            </w:pPr>
          </w:p>
        </w:tc>
      </w:tr>
      <w:tr w:rsidR="004C667B" w:rsidRPr="007D063B" w14:paraId="6D0E37DB" w14:textId="77777777" w:rsidTr="003D7A17">
        <w:tblPrEx>
          <w:tblBorders>
            <w:top w:val="single" w:sz="6" w:space="0" w:color="000000"/>
            <w:left w:val="single" w:sz="6" w:space="0" w:color="000000"/>
            <w:bottom w:val="single" w:sz="6" w:space="0" w:color="000000"/>
            <w:right w:val="single" w:sz="6" w:space="0" w:color="000000"/>
          </w:tblBorders>
        </w:tblPrEx>
        <w:trPr>
          <w:tblCellSpacing w:w="0" w:type="dxa"/>
          <w:jc w:val="center"/>
        </w:trPr>
        <w:tc>
          <w:tcPr>
            <w:tcW w:w="5000" w:type="pct"/>
            <w:gridSpan w:val="56"/>
            <w:shd w:val="clear" w:color="auto" w:fill="FFFFFF"/>
            <w:vAlign w:val="center"/>
            <w:hideMark/>
          </w:tcPr>
          <w:p w14:paraId="696BF120" w14:textId="77777777" w:rsidR="004C667B" w:rsidRPr="007D063B" w:rsidRDefault="004C667B" w:rsidP="004C667B">
            <w:pPr>
              <w:spacing w:after="0" w:line="240" w:lineRule="auto"/>
              <w:jc w:val="center"/>
              <w:rPr>
                <w:rFonts w:ascii="Times New Roman" w:eastAsia="Times New Roman" w:hAnsi="Times New Roman" w:cs="Times New Roman"/>
                <w:color w:val="000000"/>
                <w:sz w:val="16"/>
                <w:szCs w:val="16"/>
                <w:lang w:eastAsia="bg-BG"/>
              </w:rPr>
            </w:pPr>
          </w:p>
        </w:tc>
      </w:tr>
    </w:tbl>
    <w:p w14:paraId="6ED2CF95" w14:textId="77777777" w:rsidR="00B54C34" w:rsidRPr="007D063B" w:rsidRDefault="00B54C34" w:rsidP="00EA3AA2">
      <w:pPr>
        <w:pStyle w:val="Heading3"/>
        <w:jc w:val="center"/>
        <w:rPr>
          <w:rFonts w:ascii="Times New Roman" w:eastAsia="Times New Roman" w:hAnsi="Times New Roman" w:cs="Times New Roman"/>
          <w:color w:val="000000"/>
          <w:lang w:eastAsia="bg-BG"/>
        </w:rPr>
      </w:pPr>
      <w:bookmarkStart w:id="19" w:name="_Toc481594280"/>
      <w:r w:rsidRPr="007D063B">
        <w:rPr>
          <w:rFonts w:ascii="inherit" w:eastAsia="Times New Roman" w:hAnsi="inherit" w:cs="Times New Roman"/>
          <w:i/>
          <w:iCs/>
          <w:color w:val="000000"/>
          <w:lang w:eastAsia="bg-BG"/>
        </w:rPr>
        <w:t>Таблица 4А</w:t>
      </w:r>
      <w:bookmarkEnd w:id="19"/>
    </w:p>
    <w:p w14:paraId="28727E44" w14:textId="77777777" w:rsidR="00B54C34" w:rsidRPr="007D063B" w:rsidRDefault="00B54C34" w:rsidP="00B54C34">
      <w:pPr>
        <w:shd w:val="clear" w:color="auto" w:fill="FFFFFF"/>
        <w:spacing w:before="120" w:after="120" w:line="240" w:lineRule="auto"/>
        <w:jc w:val="center"/>
        <w:rPr>
          <w:rFonts w:ascii="Times New Roman" w:eastAsia="Times New Roman" w:hAnsi="Times New Roman" w:cs="Times New Roman"/>
          <w:color w:val="000000"/>
          <w:sz w:val="24"/>
          <w:szCs w:val="24"/>
          <w:lang w:eastAsia="bg-BG"/>
        </w:rPr>
      </w:pPr>
      <w:r w:rsidRPr="007D063B">
        <w:rPr>
          <w:rFonts w:ascii="inherit" w:eastAsia="Times New Roman" w:hAnsi="inherit" w:cs="Times New Roman"/>
          <w:b/>
          <w:bCs/>
          <w:color w:val="000000"/>
          <w:sz w:val="24"/>
          <w:szCs w:val="24"/>
          <w:lang w:eastAsia="bg-BG"/>
        </w:rPr>
        <w:t>Общи показатели за изпълнение за ЕСФ (по приоритетна ос, инвестиционен приоритет, категория регион). За инициативата за младежка заетост, за всяка приоритетна ос или част от нея не се изисква разпределение по категория региони</w:t>
      </w:r>
      <w:r w:rsidRPr="007D063B">
        <w:rPr>
          <w:rFonts w:ascii="Times New Roman" w:eastAsia="Times New Roman" w:hAnsi="Times New Roman" w:cs="Times New Roman"/>
          <w:color w:val="000000"/>
          <w:sz w:val="24"/>
          <w:szCs w:val="24"/>
          <w:lang w:eastAsia="bg-BG"/>
        </w:rPr>
        <w:t> </w:t>
      </w:r>
      <w:hyperlink r:id="rId39" w:anchor="ntr13-L_2015038BG.01007201-E0013" w:history="1">
        <w:r w:rsidRPr="007D063B">
          <w:rPr>
            <w:rFonts w:ascii="inherit" w:eastAsia="Times New Roman" w:hAnsi="inherit" w:cs="Times New Roman"/>
            <w:color w:val="0000FF"/>
            <w:sz w:val="24"/>
            <w:szCs w:val="24"/>
            <w:u w:val="single"/>
            <w:lang w:eastAsia="bg-BG"/>
          </w:rPr>
          <w:t> (</w:t>
        </w:r>
        <w:r w:rsidRPr="007D063B">
          <w:rPr>
            <w:rFonts w:ascii="inherit" w:eastAsia="Times New Roman" w:hAnsi="inherit" w:cs="Times New Roman"/>
            <w:color w:val="0000FF"/>
            <w:sz w:val="17"/>
            <w:szCs w:val="17"/>
            <w:u w:val="single"/>
            <w:vertAlign w:val="superscript"/>
            <w:lang w:eastAsia="bg-BG"/>
          </w:rPr>
          <w:t>13</w:t>
        </w:r>
        <w:r w:rsidRPr="007D063B">
          <w:rPr>
            <w:rFonts w:ascii="inherit" w:eastAsia="Times New Roman" w:hAnsi="inherit" w:cs="Times New Roman"/>
            <w:color w:val="0000FF"/>
            <w:sz w:val="24"/>
            <w:szCs w:val="24"/>
            <w:u w:val="single"/>
            <w:lang w:eastAsia="bg-BG"/>
          </w:rPr>
          <w:t>)</w:t>
        </w:r>
      </w:hyperlink>
    </w:p>
    <w:p w14:paraId="4B62C959" w14:textId="77777777" w:rsidR="00B54C34" w:rsidRPr="007D063B" w:rsidRDefault="00B54C34" w:rsidP="00B54C34">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Инвестиционен приоритет:</w:t>
      </w:r>
    </w:p>
    <w:p w14:paraId="27D34296" w14:textId="77777777" w:rsidR="00B54C34" w:rsidRPr="007D063B" w:rsidRDefault="00B54C34" w:rsidP="00B54C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xml:space="preserve">Инвестиционен приоритет № 11 </w:t>
      </w:r>
      <w:r w:rsidRPr="007D063B">
        <w:rPr>
          <w:rFonts w:ascii="Times New Roman" w:eastAsia="Times New Roman" w:hAnsi="Times New Roman" w:cs="Times New Roman"/>
          <w:color w:val="000000"/>
          <w:sz w:val="24"/>
          <w:szCs w:val="24"/>
          <w:lang w:val="en-US" w:eastAsia="bg-BG"/>
        </w:rPr>
        <w:t>i</w:t>
      </w:r>
      <w:r w:rsidRPr="007D063B">
        <w:rPr>
          <w:rFonts w:ascii="Times New Roman" w:eastAsia="Times New Roman" w:hAnsi="Times New Roman" w:cs="Times New Roman"/>
          <w:color w:val="000000"/>
          <w:sz w:val="24"/>
          <w:szCs w:val="24"/>
          <w:lang w:eastAsia="bg-BG"/>
        </w:rPr>
        <w:t>: Инвестиции в институционален капацитет и в ефикасността на публичните администрации и публичните услуги на национално, регионално и местно равнище с цел осъществяването на реформи и постигането на по-добро регулиране и добро управление</w:t>
      </w:r>
    </w:p>
    <w:tbl>
      <w:tblPr>
        <w:tblW w:w="5009" w:type="pct"/>
        <w:tblCellSpacing w:w="0" w:type="dxa"/>
        <w:tblBorders>
          <w:top w:val="single" w:sz="2" w:space="0" w:color="000000"/>
          <w:left w:val="single" w:sz="2" w:space="0" w:color="000000"/>
          <w:bottom w:val="single" w:sz="2" w:space="0" w:color="000000"/>
          <w:right w:val="single" w:sz="2" w:space="0" w:color="000000"/>
        </w:tblBorders>
        <w:shd w:val="clear" w:color="auto" w:fill="FFFFFF"/>
        <w:tblLayout w:type="fixed"/>
        <w:tblCellMar>
          <w:left w:w="0" w:type="dxa"/>
          <w:right w:w="0" w:type="dxa"/>
        </w:tblCellMar>
        <w:tblLook w:val="04A0" w:firstRow="1" w:lastRow="0" w:firstColumn="1" w:lastColumn="0" w:noHBand="0" w:noVBand="1"/>
      </w:tblPr>
      <w:tblGrid>
        <w:gridCol w:w="1272"/>
        <w:gridCol w:w="1421"/>
        <w:gridCol w:w="713"/>
        <w:gridCol w:w="556"/>
        <w:gridCol w:w="152"/>
        <w:gridCol w:w="143"/>
        <w:gridCol w:w="284"/>
        <w:gridCol w:w="286"/>
        <w:gridCol w:w="284"/>
        <w:gridCol w:w="430"/>
        <w:gridCol w:w="424"/>
        <w:gridCol w:w="747"/>
        <w:gridCol w:w="351"/>
        <w:gridCol w:w="359"/>
        <w:gridCol w:w="351"/>
        <w:gridCol w:w="359"/>
        <w:gridCol w:w="351"/>
        <w:gridCol w:w="359"/>
        <w:gridCol w:w="351"/>
        <w:gridCol w:w="359"/>
        <w:gridCol w:w="351"/>
        <w:gridCol w:w="359"/>
        <w:gridCol w:w="351"/>
        <w:gridCol w:w="359"/>
        <w:gridCol w:w="351"/>
        <w:gridCol w:w="326"/>
        <w:gridCol w:w="404"/>
        <w:gridCol w:w="427"/>
        <w:gridCol w:w="359"/>
        <w:gridCol w:w="93"/>
        <w:gridCol w:w="503"/>
        <w:gridCol w:w="320"/>
        <w:gridCol w:w="284"/>
      </w:tblGrid>
      <w:tr w:rsidR="001D6F88" w:rsidRPr="007D063B" w14:paraId="1A409A33" w14:textId="77777777" w:rsidTr="002725A2">
        <w:trPr>
          <w:tblCellSpacing w:w="0" w:type="dxa"/>
        </w:trPr>
        <w:tc>
          <w:tcPr>
            <w:tcW w:w="453" w:type="pct"/>
            <w:tcBorders>
              <w:top w:val="single" w:sz="2" w:space="0" w:color="000000"/>
              <w:left w:val="single" w:sz="2" w:space="0" w:color="000000"/>
              <w:bottom w:val="single" w:sz="2" w:space="0" w:color="000000"/>
              <w:right w:val="single" w:sz="2" w:space="0" w:color="000000"/>
            </w:tcBorders>
            <w:shd w:val="clear" w:color="auto" w:fill="FFFFFF"/>
            <w:hideMark/>
          </w:tcPr>
          <w:p w14:paraId="6EAE3381" w14:textId="77777777" w:rsidR="00B54C34" w:rsidRPr="007D063B" w:rsidRDefault="00B54C34" w:rsidP="00450FF1">
            <w:pPr>
              <w:spacing w:before="60" w:after="60" w:line="240" w:lineRule="auto"/>
              <w:ind w:right="195"/>
              <w:jc w:val="center"/>
              <w:rPr>
                <w:rFonts w:ascii="Times New Roman" w:eastAsia="Times New Roman" w:hAnsi="Times New Roman" w:cs="Times New Roman"/>
                <w:color w:val="000000"/>
                <w:sz w:val="20"/>
                <w:szCs w:val="20"/>
                <w:lang w:eastAsia="bg-BG"/>
              </w:rPr>
            </w:pPr>
            <w:r w:rsidRPr="007D063B">
              <w:rPr>
                <w:rFonts w:ascii="Times New Roman" w:eastAsia="Times New Roman" w:hAnsi="Times New Roman" w:cs="Times New Roman"/>
                <w:color w:val="000000"/>
                <w:sz w:val="20"/>
                <w:szCs w:val="20"/>
                <w:lang w:eastAsia="bg-BG"/>
              </w:rPr>
              <w:t xml:space="preserve">Категория регион: </w:t>
            </w:r>
          </w:p>
          <w:p w14:paraId="2BFAD2DA" w14:textId="77777777" w:rsidR="00B54C34" w:rsidRPr="007D063B" w:rsidRDefault="00B54C34" w:rsidP="00450FF1">
            <w:pPr>
              <w:spacing w:before="60" w:after="60" w:line="240" w:lineRule="auto"/>
              <w:ind w:right="195"/>
              <w:jc w:val="center"/>
              <w:rPr>
                <w:rFonts w:ascii="Times New Roman" w:eastAsia="Times New Roman" w:hAnsi="Times New Roman" w:cs="Times New Roman"/>
                <w:color w:val="000000"/>
                <w:sz w:val="20"/>
                <w:szCs w:val="20"/>
                <w:lang w:eastAsia="bg-BG"/>
              </w:rPr>
            </w:pPr>
            <w:r w:rsidRPr="007D063B">
              <w:rPr>
                <w:rFonts w:ascii="Times New Roman" w:eastAsia="Times New Roman" w:hAnsi="Times New Roman" w:cs="Times New Roman"/>
                <w:color w:val="000000"/>
                <w:sz w:val="20"/>
                <w:szCs w:val="20"/>
                <w:lang w:eastAsia="bg-BG"/>
              </w:rPr>
              <w:t>По-слабо развити региони</w:t>
            </w:r>
          </w:p>
          <w:p w14:paraId="5077B9C1"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Показател Идентификация</w:t>
            </w:r>
          </w:p>
        </w:tc>
        <w:tc>
          <w:tcPr>
            <w:tcW w:w="506" w:type="pct"/>
            <w:tcBorders>
              <w:top w:val="single" w:sz="2" w:space="0" w:color="000000"/>
              <w:left w:val="single" w:sz="2" w:space="0" w:color="000000"/>
              <w:bottom w:val="single" w:sz="2" w:space="0" w:color="000000"/>
              <w:right w:val="single" w:sz="2" w:space="0" w:color="000000"/>
            </w:tcBorders>
            <w:shd w:val="clear" w:color="auto" w:fill="FFFFFF"/>
            <w:hideMark/>
          </w:tcPr>
          <w:p w14:paraId="1C1E02AC"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Показател (наименование на показателя)</w:t>
            </w:r>
          </w:p>
        </w:tc>
        <w:tc>
          <w:tcPr>
            <w:tcW w:w="254" w:type="pct"/>
            <w:tcBorders>
              <w:top w:val="single" w:sz="2" w:space="0" w:color="000000"/>
              <w:left w:val="single" w:sz="2" w:space="0" w:color="000000"/>
              <w:bottom w:val="single" w:sz="2" w:space="0" w:color="000000"/>
              <w:right w:val="single" w:sz="2" w:space="0" w:color="000000"/>
            </w:tcBorders>
            <w:shd w:val="clear" w:color="auto" w:fill="FFFFFF"/>
            <w:hideMark/>
          </w:tcPr>
          <w:p w14:paraId="465946F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Категория региони (когато е уместно)</w:t>
            </w:r>
          </w:p>
        </w:tc>
        <w:tc>
          <w:tcPr>
            <w:tcW w:w="303" w:type="pct"/>
            <w:gridSpan w:val="3"/>
            <w:tcBorders>
              <w:top w:val="single" w:sz="2" w:space="0" w:color="000000"/>
              <w:left w:val="single" w:sz="2" w:space="0" w:color="000000"/>
              <w:bottom w:val="single" w:sz="2" w:space="0" w:color="000000"/>
              <w:right w:val="single" w:sz="2" w:space="0" w:color="000000"/>
            </w:tcBorders>
            <w:shd w:val="clear" w:color="auto" w:fill="FFFFFF"/>
            <w:hideMark/>
          </w:tcPr>
          <w:p w14:paraId="6A05553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Целева стойност (2023 г.)</w:t>
            </w:r>
          </w:p>
          <w:p w14:paraId="69A2074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Разпределението по пол е незадължително (за целевата стойност)</w:t>
            </w:r>
          </w:p>
        </w:tc>
        <w:tc>
          <w:tcPr>
            <w:tcW w:w="203" w:type="pct"/>
            <w:gridSpan w:val="2"/>
            <w:tcBorders>
              <w:top w:val="single" w:sz="2" w:space="0" w:color="000000"/>
              <w:left w:val="single" w:sz="2" w:space="0" w:color="000000"/>
              <w:bottom w:val="single" w:sz="2" w:space="0" w:color="000000"/>
              <w:right w:val="single" w:sz="2" w:space="0" w:color="000000"/>
            </w:tcBorders>
            <w:shd w:val="clear" w:color="auto" w:fill="FFFFFF"/>
            <w:hideMark/>
          </w:tcPr>
          <w:p w14:paraId="07FD02E9"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2014</w:t>
            </w:r>
          </w:p>
        </w:tc>
        <w:tc>
          <w:tcPr>
            <w:tcW w:w="254" w:type="pct"/>
            <w:gridSpan w:val="2"/>
            <w:tcBorders>
              <w:top w:val="single" w:sz="2" w:space="0" w:color="000000"/>
              <w:left w:val="single" w:sz="2" w:space="0" w:color="000000"/>
              <w:bottom w:val="single" w:sz="2" w:space="0" w:color="000000"/>
              <w:right w:val="single" w:sz="2" w:space="0" w:color="000000"/>
            </w:tcBorders>
            <w:shd w:val="clear" w:color="auto" w:fill="FFFFFF"/>
            <w:hideMark/>
          </w:tcPr>
          <w:p w14:paraId="10656443"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2015</w:t>
            </w:r>
          </w:p>
        </w:tc>
        <w:tc>
          <w:tcPr>
            <w:tcW w:w="417" w:type="pct"/>
            <w:gridSpan w:val="2"/>
            <w:tcBorders>
              <w:top w:val="single" w:sz="2" w:space="0" w:color="000000"/>
              <w:left w:val="single" w:sz="2" w:space="0" w:color="000000"/>
              <w:bottom w:val="single" w:sz="2" w:space="0" w:color="000000"/>
              <w:right w:val="single" w:sz="2" w:space="0" w:color="000000"/>
            </w:tcBorders>
            <w:shd w:val="clear" w:color="auto" w:fill="FFFFFF"/>
            <w:hideMark/>
          </w:tcPr>
          <w:p w14:paraId="1CC419FC"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2016</w:t>
            </w:r>
          </w:p>
        </w:tc>
        <w:tc>
          <w:tcPr>
            <w:tcW w:w="253" w:type="pct"/>
            <w:gridSpan w:val="2"/>
            <w:tcBorders>
              <w:top w:val="single" w:sz="2" w:space="0" w:color="000000"/>
              <w:left w:val="single" w:sz="2" w:space="0" w:color="000000"/>
              <w:bottom w:val="single" w:sz="2" w:space="0" w:color="000000"/>
              <w:right w:val="single" w:sz="2" w:space="0" w:color="000000"/>
            </w:tcBorders>
            <w:shd w:val="clear" w:color="auto" w:fill="FFFFFF"/>
            <w:hideMark/>
          </w:tcPr>
          <w:p w14:paraId="2A25A281"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2017</w:t>
            </w:r>
          </w:p>
        </w:tc>
        <w:tc>
          <w:tcPr>
            <w:tcW w:w="253" w:type="pct"/>
            <w:gridSpan w:val="2"/>
            <w:tcBorders>
              <w:top w:val="single" w:sz="2" w:space="0" w:color="000000"/>
              <w:left w:val="single" w:sz="2" w:space="0" w:color="000000"/>
              <w:bottom w:val="single" w:sz="2" w:space="0" w:color="000000"/>
              <w:right w:val="single" w:sz="2" w:space="0" w:color="000000"/>
            </w:tcBorders>
            <w:shd w:val="clear" w:color="auto" w:fill="FFFFFF"/>
            <w:hideMark/>
          </w:tcPr>
          <w:p w14:paraId="00D7ED0F"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2018</w:t>
            </w:r>
          </w:p>
        </w:tc>
        <w:tc>
          <w:tcPr>
            <w:tcW w:w="253" w:type="pct"/>
            <w:gridSpan w:val="2"/>
            <w:tcBorders>
              <w:top w:val="single" w:sz="2" w:space="0" w:color="000000"/>
              <w:left w:val="single" w:sz="2" w:space="0" w:color="000000"/>
              <w:bottom w:val="single" w:sz="2" w:space="0" w:color="000000"/>
              <w:right w:val="single" w:sz="2" w:space="0" w:color="000000"/>
            </w:tcBorders>
            <w:shd w:val="clear" w:color="auto" w:fill="FFFFFF"/>
            <w:hideMark/>
          </w:tcPr>
          <w:p w14:paraId="76AE02C8"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2019</w:t>
            </w:r>
          </w:p>
        </w:tc>
        <w:tc>
          <w:tcPr>
            <w:tcW w:w="253" w:type="pct"/>
            <w:gridSpan w:val="2"/>
            <w:tcBorders>
              <w:top w:val="single" w:sz="2" w:space="0" w:color="000000"/>
              <w:left w:val="single" w:sz="2" w:space="0" w:color="000000"/>
              <w:bottom w:val="single" w:sz="2" w:space="0" w:color="000000"/>
              <w:right w:val="single" w:sz="2" w:space="0" w:color="000000"/>
            </w:tcBorders>
            <w:shd w:val="clear" w:color="auto" w:fill="FFFFFF"/>
            <w:hideMark/>
          </w:tcPr>
          <w:p w14:paraId="0CADA48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2020</w:t>
            </w:r>
          </w:p>
        </w:tc>
        <w:tc>
          <w:tcPr>
            <w:tcW w:w="253" w:type="pct"/>
            <w:gridSpan w:val="2"/>
            <w:tcBorders>
              <w:top w:val="single" w:sz="2" w:space="0" w:color="000000"/>
              <w:left w:val="single" w:sz="2" w:space="0" w:color="000000"/>
              <w:bottom w:val="single" w:sz="2" w:space="0" w:color="000000"/>
              <w:right w:val="single" w:sz="2" w:space="0" w:color="000000"/>
            </w:tcBorders>
            <w:shd w:val="clear" w:color="auto" w:fill="FFFFFF"/>
            <w:hideMark/>
          </w:tcPr>
          <w:p w14:paraId="7C8E77D5"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2021</w:t>
            </w:r>
          </w:p>
        </w:tc>
        <w:tc>
          <w:tcPr>
            <w:tcW w:w="253" w:type="pct"/>
            <w:gridSpan w:val="2"/>
            <w:tcBorders>
              <w:top w:val="single" w:sz="2" w:space="0" w:color="000000"/>
              <w:left w:val="single" w:sz="2" w:space="0" w:color="000000"/>
              <w:bottom w:val="single" w:sz="2" w:space="0" w:color="000000"/>
              <w:right w:val="single" w:sz="2" w:space="0" w:color="000000"/>
            </w:tcBorders>
            <w:shd w:val="clear" w:color="auto" w:fill="FFFFFF"/>
            <w:hideMark/>
          </w:tcPr>
          <w:p w14:paraId="0098129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2022</w:t>
            </w:r>
          </w:p>
        </w:tc>
        <w:tc>
          <w:tcPr>
            <w:tcW w:w="241" w:type="pct"/>
            <w:gridSpan w:val="2"/>
            <w:tcBorders>
              <w:top w:val="single" w:sz="2" w:space="0" w:color="000000"/>
              <w:left w:val="single" w:sz="2" w:space="0" w:color="000000"/>
              <w:bottom w:val="single" w:sz="2" w:space="0" w:color="000000"/>
              <w:right w:val="single" w:sz="2" w:space="0" w:color="000000"/>
            </w:tcBorders>
            <w:shd w:val="clear" w:color="auto" w:fill="FFFFFF"/>
            <w:hideMark/>
          </w:tcPr>
          <w:p w14:paraId="650D765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2023</w:t>
            </w:r>
          </w:p>
        </w:tc>
        <w:tc>
          <w:tcPr>
            <w:tcW w:w="424" w:type="pct"/>
            <w:gridSpan w:val="3"/>
            <w:tcBorders>
              <w:top w:val="single" w:sz="2" w:space="0" w:color="000000"/>
              <w:left w:val="single" w:sz="2" w:space="0" w:color="000000"/>
              <w:bottom w:val="single" w:sz="2" w:space="0" w:color="000000"/>
              <w:right w:val="single" w:sz="2" w:space="0" w:color="000000"/>
            </w:tcBorders>
            <w:shd w:val="clear" w:color="auto" w:fill="FFFFFF"/>
            <w:hideMark/>
          </w:tcPr>
          <w:p w14:paraId="5081680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Кумулативна стойност (автоматично изчислена)</w:t>
            </w:r>
          </w:p>
        </w:tc>
        <w:tc>
          <w:tcPr>
            <w:tcW w:w="427" w:type="pct"/>
            <w:gridSpan w:val="4"/>
            <w:tcBorders>
              <w:top w:val="single" w:sz="2" w:space="0" w:color="000000"/>
              <w:left w:val="single" w:sz="2" w:space="0" w:color="000000"/>
              <w:bottom w:val="single" w:sz="2" w:space="0" w:color="000000"/>
              <w:right w:val="single" w:sz="2" w:space="0" w:color="000000"/>
            </w:tcBorders>
            <w:shd w:val="clear" w:color="auto" w:fill="FFFFFF"/>
            <w:hideMark/>
          </w:tcPr>
          <w:p w14:paraId="0F81C9D7"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Съотношение на постиженията</w:t>
            </w:r>
          </w:p>
          <w:p w14:paraId="0128EE0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Разпределение по пол (незадължително)</w:t>
            </w:r>
          </w:p>
        </w:tc>
      </w:tr>
      <w:tr w:rsidR="00FA3A8F" w:rsidRPr="007D063B" w14:paraId="197086D1"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E05E0E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0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2921BC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A4109B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8" w:type="pct"/>
            <w:tcBorders>
              <w:top w:val="single" w:sz="6" w:space="0" w:color="000000"/>
              <w:left w:val="single" w:sz="6" w:space="0" w:color="000000"/>
              <w:bottom w:val="single" w:sz="6" w:space="0" w:color="000000"/>
              <w:right w:val="single" w:sz="6" w:space="0" w:color="000000"/>
            </w:tcBorders>
            <w:shd w:val="clear" w:color="auto" w:fill="FFFFFF"/>
            <w:hideMark/>
          </w:tcPr>
          <w:p w14:paraId="3C1EC2E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4" w:type="pct"/>
            <w:tcBorders>
              <w:top w:val="single" w:sz="6" w:space="0" w:color="000000"/>
              <w:left w:val="single" w:sz="6" w:space="0" w:color="000000"/>
              <w:bottom w:val="single" w:sz="6" w:space="0" w:color="000000"/>
              <w:right w:val="single" w:sz="6" w:space="0" w:color="000000"/>
            </w:tcBorders>
            <w:shd w:val="clear" w:color="auto" w:fill="FFFFFF"/>
            <w:hideMark/>
          </w:tcPr>
          <w:p w14:paraId="03287A8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1" w:type="pct"/>
            <w:tcBorders>
              <w:top w:val="single" w:sz="6" w:space="0" w:color="000000"/>
              <w:left w:val="single" w:sz="6" w:space="0" w:color="000000"/>
              <w:bottom w:val="single" w:sz="6" w:space="0" w:color="000000"/>
              <w:right w:val="single" w:sz="6" w:space="0" w:color="000000"/>
            </w:tcBorders>
            <w:shd w:val="clear" w:color="auto" w:fill="FFFFFF"/>
            <w:hideMark/>
          </w:tcPr>
          <w:p w14:paraId="42F0652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633" w:type="pct"/>
            <w:gridSpan w:val="20"/>
            <w:tcBorders>
              <w:top w:val="single" w:sz="6" w:space="0" w:color="000000"/>
              <w:left w:val="single" w:sz="6" w:space="0" w:color="000000"/>
              <w:bottom w:val="single" w:sz="6" w:space="0" w:color="000000"/>
              <w:right w:val="single" w:sz="6" w:space="0" w:color="000000"/>
            </w:tcBorders>
            <w:shd w:val="clear" w:color="auto" w:fill="FFFFFF"/>
            <w:hideMark/>
          </w:tcPr>
          <w:p w14:paraId="1B647AA9"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lang w:eastAsia="bg-BG"/>
              </w:rPr>
            </w:pPr>
            <w:r w:rsidRPr="007D063B">
              <w:rPr>
                <w:rFonts w:ascii="Times New Roman" w:eastAsia="Times New Roman" w:hAnsi="Times New Roman" w:cs="Times New Roman"/>
                <w:b/>
                <w:bCs/>
                <w:color w:val="000000"/>
                <w:lang w:eastAsia="bg-BG"/>
              </w:rPr>
              <w:t>Годишна стойност</w:t>
            </w:r>
          </w:p>
        </w:tc>
        <w:tc>
          <w:tcPr>
            <w:tcW w:w="144" w:type="pct"/>
            <w:tcBorders>
              <w:top w:val="single" w:sz="6" w:space="0" w:color="000000"/>
              <w:left w:val="single" w:sz="6" w:space="0" w:color="000000"/>
              <w:bottom w:val="single" w:sz="6" w:space="0" w:color="000000"/>
              <w:right w:val="single" w:sz="6" w:space="0" w:color="000000"/>
            </w:tcBorders>
            <w:shd w:val="clear" w:color="auto" w:fill="FFFFFF"/>
            <w:hideMark/>
          </w:tcPr>
          <w:p w14:paraId="78C25D7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52" w:type="pct"/>
            <w:tcBorders>
              <w:top w:val="single" w:sz="6" w:space="0" w:color="000000"/>
              <w:left w:val="single" w:sz="6" w:space="0" w:color="000000"/>
              <w:bottom w:val="single" w:sz="6" w:space="0" w:color="000000"/>
              <w:right w:val="single" w:sz="6" w:space="0" w:color="000000"/>
            </w:tcBorders>
            <w:shd w:val="clear" w:color="auto" w:fill="FFFFFF"/>
            <w:hideMark/>
          </w:tcPr>
          <w:p w14:paraId="53878CC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61"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231325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79" w:type="pct"/>
            <w:tcBorders>
              <w:top w:val="single" w:sz="6" w:space="0" w:color="000000"/>
              <w:left w:val="single" w:sz="6" w:space="0" w:color="000000"/>
              <w:bottom w:val="single" w:sz="6" w:space="0" w:color="000000"/>
              <w:right w:val="single" w:sz="6" w:space="0" w:color="000000"/>
            </w:tcBorders>
            <w:shd w:val="clear" w:color="auto" w:fill="FFFFFF"/>
            <w:hideMark/>
          </w:tcPr>
          <w:p w14:paraId="04662C3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4" w:type="pct"/>
            <w:tcBorders>
              <w:top w:val="single" w:sz="6" w:space="0" w:color="000000"/>
              <w:left w:val="single" w:sz="6" w:space="0" w:color="000000"/>
              <w:bottom w:val="single" w:sz="6" w:space="0" w:color="000000"/>
              <w:right w:val="single" w:sz="6" w:space="0" w:color="000000"/>
            </w:tcBorders>
            <w:shd w:val="clear" w:color="auto" w:fill="FFFFFF"/>
            <w:hideMark/>
          </w:tcPr>
          <w:p w14:paraId="5EBA512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2" w:type="pct"/>
            <w:tcBorders>
              <w:top w:val="single" w:sz="6" w:space="0" w:color="000000"/>
              <w:left w:val="single" w:sz="6" w:space="0" w:color="000000"/>
              <w:bottom w:val="single" w:sz="6" w:space="0" w:color="000000"/>
              <w:right w:val="single" w:sz="6" w:space="0" w:color="000000"/>
            </w:tcBorders>
            <w:shd w:val="clear" w:color="auto" w:fill="FFFFFF"/>
            <w:hideMark/>
          </w:tcPr>
          <w:p w14:paraId="2CC840F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r>
      <w:tr w:rsidR="00E133C6" w:rsidRPr="007D063B" w14:paraId="5999C903"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CF0BFE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FF527F" w14:textId="77777777" w:rsidR="00B54C34" w:rsidRPr="007D063B" w:rsidRDefault="00B54C34" w:rsidP="00450FF1">
            <w:pPr>
              <w:spacing w:after="0" w:line="240" w:lineRule="auto"/>
              <w:rPr>
                <w:rFonts w:ascii="Times New Roman" w:eastAsia="Times New Roman" w:hAnsi="Times New Roman" w:cs="Times New Roman"/>
                <w:color w:val="000000"/>
                <w:sz w:val="16"/>
                <w:szCs w:val="16"/>
                <w:lang w:eastAsia="bg-BG"/>
              </w:rPr>
            </w:pP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00C877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8" w:type="pct"/>
            <w:tcBorders>
              <w:top w:val="single" w:sz="6" w:space="0" w:color="000000"/>
              <w:left w:val="single" w:sz="6" w:space="0" w:color="000000"/>
              <w:bottom w:val="single" w:sz="6" w:space="0" w:color="000000"/>
              <w:right w:val="single" w:sz="6" w:space="0" w:color="000000"/>
            </w:tcBorders>
            <w:shd w:val="clear" w:color="auto" w:fill="FFFFFF"/>
            <w:hideMark/>
          </w:tcPr>
          <w:p w14:paraId="7BB68678"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Общо</w:t>
            </w:r>
          </w:p>
        </w:tc>
        <w:tc>
          <w:tcPr>
            <w:tcW w:w="54" w:type="pct"/>
            <w:tcBorders>
              <w:top w:val="single" w:sz="6" w:space="0" w:color="000000"/>
              <w:left w:val="single" w:sz="6" w:space="0" w:color="000000"/>
              <w:bottom w:val="single" w:sz="6" w:space="0" w:color="000000"/>
              <w:right w:val="single" w:sz="6" w:space="0" w:color="000000"/>
            </w:tcBorders>
            <w:shd w:val="clear" w:color="auto" w:fill="FFFFFF"/>
            <w:hideMark/>
          </w:tcPr>
          <w:p w14:paraId="2451B56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51" w:type="pct"/>
            <w:tcBorders>
              <w:top w:val="single" w:sz="6" w:space="0" w:color="000000"/>
              <w:left w:val="single" w:sz="6" w:space="0" w:color="000000"/>
              <w:bottom w:val="single" w:sz="6" w:space="0" w:color="000000"/>
              <w:right w:val="single" w:sz="6" w:space="0" w:color="000000"/>
            </w:tcBorders>
            <w:shd w:val="clear" w:color="auto" w:fill="FFFFFF"/>
            <w:hideMark/>
          </w:tcPr>
          <w:p w14:paraId="6DA96285"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01" w:type="pct"/>
            <w:tcBorders>
              <w:top w:val="single" w:sz="6" w:space="0" w:color="000000"/>
              <w:left w:val="single" w:sz="6" w:space="0" w:color="000000"/>
              <w:bottom w:val="single" w:sz="6" w:space="0" w:color="000000"/>
              <w:right w:val="single" w:sz="6" w:space="0" w:color="000000"/>
            </w:tcBorders>
            <w:shd w:val="clear" w:color="auto" w:fill="FFFFFF"/>
            <w:hideMark/>
          </w:tcPr>
          <w:p w14:paraId="16357F4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02" w:type="pct"/>
            <w:tcBorders>
              <w:top w:val="single" w:sz="6" w:space="0" w:color="000000"/>
              <w:left w:val="single" w:sz="6" w:space="0" w:color="000000"/>
              <w:bottom w:val="single" w:sz="6" w:space="0" w:color="000000"/>
              <w:right w:val="single" w:sz="6" w:space="0" w:color="000000"/>
            </w:tcBorders>
            <w:shd w:val="clear" w:color="auto" w:fill="FFFFFF"/>
            <w:hideMark/>
          </w:tcPr>
          <w:p w14:paraId="1D6197E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01" w:type="pct"/>
            <w:tcBorders>
              <w:top w:val="single" w:sz="6" w:space="0" w:color="000000"/>
              <w:left w:val="single" w:sz="6" w:space="0" w:color="000000"/>
              <w:bottom w:val="single" w:sz="6" w:space="0" w:color="000000"/>
              <w:right w:val="single" w:sz="6" w:space="0" w:color="000000"/>
            </w:tcBorders>
            <w:shd w:val="clear" w:color="auto" w:fill="FFFFFF"/>
            <w:hideMark/>
          </w:tcPr>
          <w:p w14:paraId="440D0DC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53" w:type="pct"/>
            <w:tcBorders>
              <w:top w:val="single" w:sz="6" w:space="0" w:color="000000"/>
              <w:left w:val="single" w:sz="6" w:space="0" w:color="000000"/>
              <w:bottom w:val="single" w:sz="6" w:space="0" w:color="000000"/>
              <w:right w:val="single" w:sz="6" w:space="0" w:color="000000"/>
            </w:tcBorders>
            <w:shd w:val="clear" w:color="auto" w:fill="FFFFFF"/>
            <w:hideMark/>
          </w:tcPr>
          <w:p w14:paraId="43D54542"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51" w:type="pct"/>
            <w:tcBorders>
              <w:top w:val="single" w:sz="6" w:space="0" w:color="000000"/>
              <w:left w:val="single" w:sz="6" w:space="0" w:color="000000"/>
              <w:bottom w:val="single" w:sz="6" w:space="0" w:color="000000"/>
              <w:right w:val="single" w:sz="6" w:space="0" w:color="000000"/>
            </w:tcBorders>
            <w:shd w:val="clear" w:color="auto" w:fill="FFFFFF"/>
            <w:hideMark/>
          </w:tcPr>
          <w:p w14:paraId="67CECBE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66" w:type="pct"/>
            <w:tcBorders>
              <w:top w:val="single" w:sz="6" w:space="0" w:color="000000"/>
              <w:left w:val="single" w:sz="6" w:space="0" w:color="000000"/>
              <w:bottom w:val="single" w:sz="6" w:space="0" w:color="000000"/>
              <w:right w:val="single" w:sz="6" w:space="0" w:color="000000"/>
            </w:tcBorders>
            <w:shd w:val="clear" w:color="auto" w:fill="FFFFFF"/>
            <w:hideMark/>
          </w:tcPr>
          <w:p w14:paraId="0370DEA5"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C1A1A3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306D55C7"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6D806EEF"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732CB72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57AC4B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21D92B7F"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2366758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2CB6FC48"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02F919E5"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2963217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5B077958"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48C70EC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78E615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16" w:type="pct"/>
            <w:tcBorders>
              <w:top w:val="single" w:sz="6" w:space="0" w:color="000000"/>
              <w:left w:val="single" w:sz="6" w:space="0" w:color="000000"/>
              <w:bottom w:val="single" w:sz="6" w:space="0" w:color="000000"/>
              <w:right w:val="single" w:sz="6" w:space="0" w:color="000000"/>
            </w:tcBorders>
            <w:shd w:val="clear" w:color="auto" w:fill="FFFFFF"/>
            <w:hideMark/>
          </w:tcPr>
          <w:p w14:paraId="4C388B1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44" w:type="pct"/>
            <w:tcBorders>
              <w:top w:val="single" w:sz="6" w:space="0" w:color="000000"/>
              <w:left w:val="single" w:sz="6" w:space="0" w:color="000000"/>
              <w:bottom w:val="single" w:sz="6" w:space="0" w:color="000000"/>
              <w:right w:val="single" w:sz="6" w:space="0" w:color="000000"/>
            </w:tcBorders>
            <w:shd w:val="clear" w:color="auto" w:fill="FFFFFF"/>
            <w:hideMark/>
          </w:tcPr>
          <w:p w14:paraId="303DA8D5"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Общо</w:t>
            </w:r>
          </w:p>
        </w:tc>
        <w:tc>
          <w:tcPr>
            <w:tcW w:w="152" w:type="pct"/>
            <w:tcBorders>
              <w:top w:val="single" w:sz="6" w:space="0" w:color="000000"/>
              <w:left w:val="single" w:sz="6" w:space="0" w:color="000000"/>
              <w:bottom w:val="single" w:sz="6" w:space="0" w:color="000000"/>
              <w:right w:val="single" w:sz="6" w:space="0" w:color="000000"/>
            </w:tcBorders>
            <w:shd w:val="clear" w:color="auto" w:fill="FFFFFF"/>
            <w:hideMark/>
          </w:tcPr>
          <w:p w14:paraId="4882D04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61"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D7D89B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79" w:type="pct"/>
            <w:tcBorders>
              <w:top w:val="single" w:sz="6" w:space="0" w:color="000000"/>
              <w:left w:val="single" w:sz="6" w:space="0" w:color="000000"/>
              <w:bottom w:val="single" w:sz="6" w:space="0" w:color="000000"/>
              <w:right w:val="single" w:sz="6" w:space="0" w:color="000000"/>
            </w:tcBorders>
            <w:shd w:val="clear" w:color="auto" w:fill="FFFFFF"/>
            <w:hideMark/>
          </w:tcPr>
          <w:p w14:paraId="3418FB5C"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Общо</w:t>
            </w:r>
          </w:p>
        </w:tc>
        <w:tc>
          <w:tcPr>
            <w:tcW w:w="114" w:type="pct"/>
            <w:tcBorders>
              <w:top w:val="single" w:sz="6" w:space="0" w:color="000000"/>
              <w:left w:val="single" w:sz="6" w:space="0" w:color="000000"/>
              <w:bottom w:val="single" w:sz="6" w:space="0" w:color="000000"/>
              <w:right w:val="single" w:sz="6" w:space="0" w:color="000000"/>
            </w:tcBorders>
            <w:shd w:val="clear" w:color="auto" w:fill="FFFFFF"/>
            <w:hideMark/>
          </w:tcPr>
          <w:p w14:paraId="3D6FD602"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02" w:type="pct"/>
            <w:tcBorders>
              <w:top w:val="single" w:sz="6" w:space="0" w:color="000000"/>
              <w:left w:val="single" w:sz="6" w:space="0" w:color="000000"/>
              <w:bottom w:val="single" w:sz="6" w:space="0" w:color="000000"/>
              <w:right w:val="single" w:sz="6" w:space="0" w:color="000000"/>
            </w:tcBorders>
            <w:shd w:val="clear" w:color="auto" w:fill="FFFFFF"/>
            <w:hideMark/>
          </w:tcPr>
          <w:p w14:paraId="0671DF8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r>
      <w:tr w:rsidR="00E133C6" w:rsidRPr="007D063B" w14:paraId="18FDF8A4"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BC1590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4381FCD9"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Безработни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CCDE26D"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 xml:space="preserve">По-слабо </w:t>
            </w:r>
            <w:r w:rsidRPr="007D063B">
              <w:rPr>
                <w:rFonts w:ascii="Times New Roman" w:eastAsia="Times New Roman" w:hAnsi="Times New Roman" w:cs="Times New Roman"/>
                <w:b/>
                <w:bCs/>
                <w:i/>
                <w:iCs/>
                <w:color w:val="000000"/>
                <w:sz w:val="16"/>
                <w:szCs w:val="16"/>
                <w:lang w:eastAsia="bg-BG"/>
              </w:rPr>
              <w:lastRenderedPageBreak/>
              <w:t>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174686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lastRenderedPageBreak/>
              <w:t> </w:t>
            </w:r>
          </w:p>
        </w:tc>
        <w:tc>
          <w:tcPr>
            <w:tcW w:w="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9D549F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682BAA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03F8E8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14BC68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30C220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3"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38333F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B6DBCD7" w14:textId="623C429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950F2E" w:rsidRPr="007D063B">
              <w:rPr>
                <w:rFonts w:ascii="Times New Roman" w:eastAsia="Times New Roman" w:hAnsi="Times New Roman" w:cs="Times New Roman"/>
                <w:color w:val="000000"/>
                <w:sz w:val="24"/>
                <w:szCs w:val="24"/>
                <w:lang w:eastAsia="bg-BG"/>
              </w:rPr>
              <w:t>0</w:t>
            </w:r>
          </w:p>
        </w:tc>
        <w:tc>
          <w:tcPr>
            <w:tcW w:w="26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BF22E72" w14:textId="3CD2F17F" w:rsidR="00B54C34" w:rsidRPr="007D063B" w:rsidRDefault="00950F2E"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r w:rsidR="00B54C34"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4EC709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DA7BB3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6C580C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1E9FF5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8F4F35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828F2F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5FD4F0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1CCEDC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DCB7E8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2C0FB1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06CC41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7AABAE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BD15B5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9AA7C5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C6FE32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B69293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161" w:type="pct"/>
            <w:gridSpan w:val="2"/>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C5E7CF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7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3FEDF297" w14:textId="1B6A4974"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26806E4A" w14:textId="65932F3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2813C1C9" w14:textId="161114ED"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19F4C00A"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2385D0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2755D140"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Безработни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224959D2"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07916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461D42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8152E7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FA56C7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3E0EA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FC41FA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2007DA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7E22E7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6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1E46A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8A4FF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C2A668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1AC6B4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E9BCCD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0E5CB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071DE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01265A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D2AFD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9B1258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F9594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7E3ADB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48C686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8D005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153F9A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4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9D5DE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9281F7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61" w:type="pct"/>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4CDD9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7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66DCF7B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618F57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68C931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2CBBCB1F"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D7806D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60AA48D4"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Трайно безработни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FB8E319"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2ED407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2CF4EA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60A324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037385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17A239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5B3856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3"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312D4A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47508FF" w14:textId="7C325014"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950F2E" w:rsidRPr="007D063B">
              <w:rPr>
                <w:rFonts w:ascii="Times New Roman" w:eastAsia="Times New Roman" w:hAnsi="Times New Roman" w:cs="Times New Roman"/>
                <w:color w:val="000000"/>
                <w:sz w:val="24"/>
                <w:szCs w:val="24"/>
                <w:lang w:eastAsia="bg-BG"/>
              </w:rPr>
              <w:t>0</w:t>
            </w:r>
          </w:p>
        </w:tc>
        <w:tc>
          <w:tcPr>
            <w:tcW w:w="26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8E701EB" w14:textId="038764CA"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950F2E"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14161C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450B4C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733496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594910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F8B5B8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043428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F5C11E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A26C09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BB7A1F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ECC9E2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ADB09F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01A287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69022A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28DE89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9218C4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70E5C7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61" w:type="pct"/>
            <w:gridSpan w:val="2"/>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CFD828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7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0484DA86" w14:textId="285C962D"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77BFEE9D" w14:textId="4AFEF17A"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1931F61F" w14:textId="7E7815B4"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649F630F"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6C1F2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3DF41287"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Трайно безработни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5777AC71"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51F5E5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F74048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DE9AB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E238F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FB1524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0AF084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5DD370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294D9F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6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7AAB1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01E9A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86D2E7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F9B742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9C4B4F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605B8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DA4090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FC551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587E7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4F8566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185A4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F4B547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7F445C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26AAE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7658A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4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349DA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39090A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61" w:type="pct"/>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09CB4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7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7EC84B9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6509CAA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3B07C5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2CCD8CE3"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A8128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37DBF4AD"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Неактивни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C4661B3"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31EC32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E309E2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A3138B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D595B1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809157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F895D5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3"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3CE5D5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EDEEBA7" w14:textId="31370009"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950F2E" w:rsidRPr="007D063B">
              <w:rPr>
                <w:rFonts w:ascii="Times New Roman" w:eastAsia="Times New Roman" w:hAnsi="Times New Roman" w:cs="Times New Roman"/>
                <w:color w:val="000000"/>
                <w:sz w:val="24"/>
                <w:szCs w:val="24"/>
                <w:lang w:eastAsia="bg-BG"/>
              </w:rPr>
              <w:t>0</w:t>
            </w:r>
          </w:p>
        </w:tc>
        <w:tc>
          <w:tcPr>
            <w:tcW w:w="26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9034FD7" w14:textId="26091AFC" w:rsidR="00B54C34" w:rsidRPr="007D063B" w:rsidRDefault="00950F2E"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r w:rsidR="00B54C34"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F1AD3C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33B6FF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A43BF3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40C2C7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213097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F5F804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DC8563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9A1626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F4A3B5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DD2DAD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D22FF7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2B048E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FE8E43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487CAD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87DF8D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3C1372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61" w:type="pct"/>
            <w:gridSpan w:val="2"/>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66E09E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7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067F570A" w14:textId="57A67B1F"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5E3AC5DD" w14:textId="527677B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0FC5A813" w14:textId="737B1BBF"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4A06C331"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A2ABD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4FA74CF8"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Неактивни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60409537"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A957F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3A16C2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2BF464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F7BC0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F629A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A8807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156750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CD3A4A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6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E601C6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82E149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D91D7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64CC0B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8AF05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232559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009D5C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45BD47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F1CB0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06496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03A490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10B19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679C71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D7CA5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97B728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4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FE4B07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523A1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61" w:type="pct"/>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8A758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7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3ECC278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3915D55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15A730C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0FECE06B"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07B0F8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0C0FC15B"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Неактивни, неангажирани с образование или обучение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3797795"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5ED64F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F46FAA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10A7EA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AA9D06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FAC729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5B57BD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3"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E5C2D7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149D419" w14:textId="465CF47D"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950F2E" w:rsidRPr="007D063B">
              <w:rPr>
                <w:rFonts w:ascii="Times New Roman" w:eastAsia="Times New Roman" w:hAnsi="Times New Roman" w:cs="Times New Roman"/>
                <w:color w:val="000000"/>
                <w:sz w:val="24"/>
                <w:szCs w:val="24"/>
                <w:lang w:eastAsia="bg-BG"/>
              </w:rPr>
              <w:t>0</w:t>
            </w:r>
          </w:p>
        </w:tc>
        <w:tc>
          <w:tcPr>
            <w:tcW w:w="26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85AAC34" w14:textId="771C2910" w:rsidR="00B54C34" w:rsidRPr="007D063B" w:rsidRDefault="00950F2E"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r w:rsidR="00B54C34"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98D410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B045FD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1DE95A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31FDE8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8A8464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A9D8B0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8EA847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7E7F68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8E8C50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4DC45D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16EF82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931F35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C5112E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D4F91C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098089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38E2A0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61" w:type="pct"/>
            <w:gridSpan w:val="2"/>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FEFFA1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7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645ABF4A" w14:textId="65F7A79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08695FDD" w14:textId="68B06AA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4D8F5CED" w14:textId="1EE667A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7607B9F5"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6A271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3C696183"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Неактивни, неангажирани с образование или обучение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1CEAA1E"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611E5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8D5902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406EF0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90C730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A58FB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870D7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F1D3C1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F981E3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6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CC239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77DF1D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5B4398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E0F90C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632575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44CB8A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54028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7F0FF0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374AC8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0B699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DFC38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15D699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7A975C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B17AFD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C21B4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4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F9C7D6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182DA5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61" w:type="pct"/>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FE145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7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156023C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244A6A0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55D20B4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54761A71"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75EAA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43B721CB"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Заети, включително самостоятелно заети</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63983386"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tcBorders>
              <w:top w:val="single" w:sz="6" w:space="0" w:color="000000"/>
              <w:left w:val="single" w:sz="6" w:space="0" w:color="000000"/>
              <w:bottom w:val="single" w:sz="6" w:space="0" w:color="000000"/>
              <w:right w:val="single" w:sz="6" w:space="0" w:color="000000"/>
            </w:tcBorders>
            <w:shd w:val="clear" w:color="auto" w:fill="FFFFFF"/>
            <w:hideMark/>
          </w:tcPr>
          <w:p w14:paraId="60FD802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4" w:type="pct"/>
            <w:tcBorders>
              <w:top w:val="single" w:sz="6" w:space="0" w:color="000000"/>
              <w:left w:val="single" w:sz="6" w:space="0" w:color="000000"/>
              <w:bottom w:val="single" w:sz="6" w:space="0" w:color="000000"/>
              <w:right w:val="single" w:sz="6" w:space="0" w:color="000000"/>
            </w:tcBorders>
            <w:shd w:val="clear" w:color="auto" w:fill="FFFFFF"/>
            <w:hideMark/>
          </w:tcPr>
          <w:p w14:paraId="782A6E9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1" w:type="pct"/>
            <w:tcBorders>
              <w:top w:val="single" w:sz="6" w:space="0" w:color="000000"/>
              <w:left w:val="single" w:sz="6" w:space="0" w:color="000000"/>
              <w:bottom w:val="single" w:sz="6" w:space="0" w:color="000000"/>
              <w:right w:val="single" w:sz="6" w:space="0" w:color="000000"/>
            </w:tcBorders>
            <w:shd w:val="clear" w:color="auto" w:fill="FFFFFF"/>
            <w:hideMark/>
          </w:tcPr>
          <w:p w14:paraId="0EE2BFC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1" w:type="pct"/>
            <w:tcBorders>
              <w:top w:val="single" w:sz="6" w:space="0" w:color="000000"/>
              <w:left w:val="single" w:sz="6" w:space="0" w:color="000000"/>
              <w:bottom w:val="single" w:sz="6" w:space="0" w:color="000000"/>
              <w:right w:val="single" w:sz="6" w:space="0" w:color="000000"/>
            </w:tcBorders>
            <w:shd w:val="clear" w:color="auto" w:fill="FFFFFF"/>
            <w:hideMark/>
          </w:tcPr>
          <w:p w14:paraId="2BE3EC1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2" w:type="pct"/>
            <w:tcBorders>
              <w:top w:val="single" w:sz="6" w:space="0" w:color="000000"/>
              <w:left w:val="single" w:sz="6" w:space="0" w:color="000000"/>
              <w:bottom w:val="single" w:sz="6" w:space="0" w:color="000000"/>
              <w:right w:val="single" w:sz="6" w:space="0" w:color="000000"/>
            </w:tcBorders>
            <w:shd w:val="clear" w:color="auto" w:fill="FFFFFF"/>
            <w:hideMark/>
          </w:tcPr>
          <w:p w14:paraId="61E4198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01" w:type="pct"/>
            <w:tcBorders>
              <w:top w:val="single" w:sz="6" w:space="0" w:color="000000"/>
              <w:left w:val="single" w:sz="6" w:space="0" w:color="000000"/>
              <w:bottom w:val="single" w:sz="6" w:space="0" w:color="000000"/>
              <w:right w:val="single" w:sz="6" w:space="0" w:color="000000"/>
            </w:tcBorders>
            <w:shd w:val="clear" w:color="auto" w:fill="FFFFFF"/>
            <w:hideMark/>
          </w:tcPr>
          <w:p w14:paraId="06B4F3B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3" w:type="pct"/>
            <w:tcBorders>
              <w:top w:val="single" w:sz="6" w:space="0" w:color="000000"/>
              <w:left w:val="single" w:sz="6" w:space="0" w:color="000000"/>
              <w:bottom w:val="single" w:sz="6" w:space="0" w:color="000000"/>
              <w:right w:val="single" w:sz="6" w:space="0" w:color="000000"/>
            </w:tcBorders>
            <w:shd w:val="clear" w:color="auto" w:fill="FFFFFF"/>
            <w:hideMark/>
          </w:tcPr>
          <w:p w14:paraId="66F7785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1" w:type="pct"/>
            <w:tcBorders>
              <w:top w:val="single" w:sz="6" w:space="0" w:color="000000"/>
              <w:left w:val="single" w:sz="6" w:space="0" w:color="000000"/>
              <w:bottom w:val="single" w:sz="6" w:space="0" w:color="000000"/>
              <w:right w:val="single" w:sz="6" w:space="0" w:color="000000"/>
            </w:tcBorders>
            <w:shd w:val="clear" w:color="auto" w:fill="FFFFFF"/>
            <w:hideMark/>
          </w:tcPr>
          <w:p w14:paraId="3ED19EC4" w14:textId="1B7EA81B" w:rsidR="00B54C34" w:rsidRPr="007D063B" w:rsidRDefault="007E37EB"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171</w:t>
            </w:r>
          </w:p>
        </w:tc>
        <w:tc>
          <w:tcPr>
            <w:tcW w:w="266" w:type="pct"/>
            <w:tcBorders>
              <w:top w:val="single" w:sz="6" w:space="0" w:color="000000"/>
              <w:left w:val="single" w:sz="6" w:space="0" w:color="000000"/>
              <w:bottom w:val="single" w:sz="6" w:space="0" w:color="000000"/>
              <w:right w:val="single" w:sz="6" w:space="0" w:color="000000"/>
            </w:tcBorders>
            <w:shd w:val="clear" w:color="auto" w:fill="FFFFFF"/>
            <w:hideMark/>
          </w:tcPr>
          <w:p w14:paraId="0AC49F45" w14:textId="340DB79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7E37EB" w:rsidRPr="007D063B">
              <w:rPr>
                <w:rFonts w:ascii="Times New Roman" w:eastAsia="Times New Roman" w:hAnsi="Times New Roman" w:cs="Times New Roman"/>
                <w:color w:val="000000"/>
                <w:sz w:val="24"/>
                <w:szCs w:val="24"/>
                <w:lang w:eastAsia="bg-BG"/>
              </w:rPr>
              <w:t>365</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341EDA4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1EA8C92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4C3ADF6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099A19C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77DC0EE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5034C0C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2D4A51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02CDC3B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2ADAEA7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2B62025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6A01BBE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5F9221A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0422A96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6" w:type="pct"/>
            <w:tcBorders>
              <w:top w:val="single" w:sz="6" w:space="0" w:color="000000"/>
              <w:left w:val="single" w:sz="6" w:space="0" w:color="000000"/>
              <w:bottom w:val="single" w:sz="6" w:space="0" w:color="000000"/>
              <w:right w:val="single" w:sz="6" w:space="0" w:color="000000"/>
            </w:tcBorders>
            <w:shd w:val="clear" w:color="auto" w:fill="FFFFFF"/>
            <w:hideMark/>
          </w:tcPr>
          <w:p w14:paraId="40C9160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4" w:type="pct"/>
            <w:tcBorders>
              <w:top w:val="single" w:sz="6" w:space="0" w:color="000000"/>
              <w:left w:val="single" w:sz="6" w:space="0" w:color="000000"/>
              <w:bottom w:val="single" w:sz="6" w:space="0" w:color="000000"/>
              <w:right w:val="single" w:sz="6" w:space="0" w:color="000000"/>
            </w:tcBorders>
            <w:shd w:val="clear" w:color="auto" w:fill="FFFFFF"/>
            <w:hideMark/>
          </w:tcPr>
          <w:p w14:paraId="7D5DF26F" w14:textId="6503D572" w:rsidR="00B54C34" w:rsidRPr="007D063B" w:rsidRDefault="00B54C34" w:rsidP="004F758F">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4F758F" w:rsidRPr="007D063B">
              <w:rPr>
                <w:rFonts w:ascii="Times New Roman" w:eastAsia="Times New Roman" w:hAnsi="Times New Roman" w:cs="Times New Roman"/>
                <w:color w:val="000000"/>
                <w:sz w:val="24"/>
                <w:szCs w:val="24"/>
                <w:lang w:eastAsia="bg-BG"/>
              </w:rPr>
              <w:t>536</w:t>
            </w:r>
          </w:p>
        </w:tc>
        <w:tc>
          <w:tcPr>
            <w:tcW w:w="152" w:type="pct"/>
            <w:tcBorders>
              <w:top w:val="single" w:sz="6" w:space="0" w:color="000000"/>
              <w:left w:val="single" w:sz="6" w:space="0" w:color="000000"/>
              <w:bottom w:val="single" w:sz="6" w:space="0" w:color="000000"/>
              <w:right w:val="single" w:sz="6" w:space="0" w:color="000000"/>
            </w:tcBorders>
            <w:shd w:val="clear" w:color="auto" w:fill="FFFFFF"/>
            <w:hideMark/>
          </w:tcPr>
          <w:p w14:paraId="182A96DF" w14:textId="5F2054BF" w:rsidR="00B54C34" w:rsidRPr="007D063B" w:rsidRDefault="00B54C34" w:rsidP="001C2C3D">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4F758F" w:rsidRPr="007D063B">
              <w:rPr>
                <w:rFonts w:ascii="Times New Roman" w:eastAsia="Times New Roman" w:hAnsi="Times New Roman" w:cs="Times New Roman"/>
                <w:color w:val="000000"/>
                <w:sz w:val="24"/>
                <w:szCs w:val="24"/>
                <w:lang w:eastAsia="bg-BG"/>
              </w:rPr>
              <w:t>171</w:t>
            </w:r>
          </w:p>
        </w:tc>
        <w:tc>
          <w:tcPr>
            <w:tcW w:w="161"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4EA96F2" w14:textId="76601786" w:rsidR="00B54C34" w:rsidRPr="007D063B" w:rsidRDefault="00B54C34" w:rsidP="001C2C3D">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4F758F" w:rsidRPr="007D063B">
              <w:rPr>
                <w:rFonts w:ascii="Times New Roman" w:eastAsia="Times New Roman" w:hAnsi="Times New Roman" w:cs="Times New Roman"/>
                <w:color w:val="000000"/>
                <w:sz w:val="24"/>
                <w:szCs w:val="24"/>
                <w:lang w:eastAsia="bg-BG"/>
              </w:rPr>
              <w:t>365</w:t>
            </w:r>
          </w:p>
        </w:tc>
        <w:tc>
          <w:tcPr>
            <w:tcW w:w="179" w:type="pct"/>
            <w:tcBorders>
              <w:top w:val="single" w:sz="6" w:space="0" w:color="000000"/>
              <w:left w:val="single" w:sz="6" w:space="0" w:color="000000"/>
              <w:bottom w:val="single" w:sz="6" w:space="0" w:color="000000"/>
              <w:right w:val="single" w:sz="6" w:space="0" w:color="000000"/>
            </w:tcBorders>
            <w:shd w:val="clear" w:color="auto" w:fill="FFFFFF"/>
          </w:tcPr>
          <w:p w14:paraId="26AD82A7" w14:textId="2D8EDDE5"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tcBorders>
              <w:top w:val="single" w:sz="6" w:space="0" w:color="000000"/>
              <w:left w:val="single" w:sz="6" w:space="0" w:color="000000"/>
              <w:bottom w:val="single" w:sz="6" w:space="0" w:color="000000"/>
              <w:right w:val="single" w:sz="6" w:space="0" w:color="000000"/>
            </w:tcBorders>
            <w:shd w:val="clear" w:color="auto" w:fill="FFFFFF"/>
          </w:tcPr>
          <w:p w14:paraId="697A181B" w14:textId="0C6D463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2" w:type="pct"/>
            <w:tcBorders>
              <w:top w:val="single" w:sz="6" w:space="0" w:color="000000"/>
              <w:left w:val="single" w:sz="6" w:space="0" w:color="000000"/>
              <w:bottom w:val="single" w:sz="6" w:space="0" w:color="000000"/>
              <w:right w:val="single" w:sz="6" w:space="0" w:color="000000"/>
            </w:tcBorders>
            <w:shd w:val="clear" w:color="auto" w:fill="FFFFFF"/>
          </w:tcPr>
          <w:p w14:paraId="0BFBC30A" w14:textId="4E7E3D7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2E3C646A"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E149A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4AD35506"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На възраст под 25 години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8719A5A"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93B3A0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02CDA8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3C866A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A16E6F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BA66FF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B2203F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3"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2FFCFA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ACE5C90" w14:textId="498F7389"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7E37EB" w:rsidRPr="007D063B">
              <w:rPr>
                <w:rFonts w:ascii="Times New Roman" w:eastAsia="Times New Roman" w:hAnsi="Times New Roman" w:cs="Times New Roman"/>
                <w:color w:val="000000"/>
                <w:sz w:val="24"/>
                <w:szCs w:val="24"/>
                <w:lang w:eastAsia="bg-BG"/>
              </w:rPr>
              <w:t>0</w:t>
            </w:r>
          </w:p>
        </w:tc>
        <w:tc>
          <w:tcPr>
            <w:tcW w:w="26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9C1D5F5" w14:textId="1F503114" w:rsidR="00B54C34" w:rsidRPr="007D063B" w:rsidRDefault="007E37EB"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r w:rsidR="00B54C34"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C39E31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3C9769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2D86B0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38DFCD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92AEC5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EB9FD6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03B47E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D429A4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F25471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425517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6B4063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35F7C1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1277D5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2FFE19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D7E7B8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854E44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61" w:type="pct"/>
            <w:gridSpan w:val="2"/>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BC708A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7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5DA4E994" w14:textId="10921A10"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1AA1C1F6" w14:textId="71581CE4"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4A9AC31F" w14:textId="68C6129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4378C754"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DE4FC6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34B45A68"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На възраст под 25 години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05FD10D7"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87BBF6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6AAE3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DA9EE4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B2747D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CFC4E3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523E1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25FB6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82BB8C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6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05D647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E41AD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EE5D23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BE5F5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F5CAB6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1277E1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1DB1C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3A867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144AB1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265605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62E87A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2180B6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F797B0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2719FE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0F102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4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EC198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49BA9E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61" w:type="pct"/>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2D1F1A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79" w:type="pct"/>
            <w:vMerge/>
            <w:tcBorders>
              <w:top w:val="single" w:sz="6" w:space="0" w:color="000000"/>
              <w:left w:val="single" w:sz="6" w:space="0" w:color="000000"/>
              <w:bottom w:val="single" w:sz="6" w:space="0" w:color="000000"/>
              <w:right w:val="single" w:sz="6" w:space="0" w:color="000000"/>
            </w:tcBorders>
            <w:shd w:val="clear" w:color="auto" w:fill="FFFFFF"/>
          </w:tcPr>
          <w:p w14:paraId="4B30CC1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tcPr>
          <w:p w14:paraId="2A1182B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tcPr>
          <w:p w14:paraId="7CCF9AF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5CF02718"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83B40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569DB067"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На възраст над 54 години</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7A854D09"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tcBorders>
              <w:top w:val="single" w:sz="6" w:space="0" w:color="000000"/>
              <w:left w:val="single" w:sz="6" w:space="0" w:color="000000"/>
              <w:bottom w:val="single" w:sz="6" w:space="0" w:color="000000"/>
              <w:right w:val="single" w:sz="6" w:space="0" w:color="000000"/>
            </w:tcBorders>
            <w:shd w:val="clear" w:color="auto" w:fill="FFFFFF"/>
            <w:hideMark/>
          </w:tcPr>
          <w:p w14:paraId="66E9488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4" w:type="pct"/>
            <w:tcBorders>
              <w:top w:val="single" w:sz="6" w:space="0" w:color="000000"/>
              <w:left w:val="single" w:sz="6" w:space="0" w:color="000000"/>
              <w:bottom w:val="single" w:sz="6" w:space="0" w:color="000000"/>
              <w:right w:val="single" w:sz="6" w:space="0" w:color="000000"/>
            </w:tcBorders>
            <w:shd w:val="clear" w:color="auto" w:fill="FFFFFF"/>
            <w:hideMark/>
          </w:tcPr>
          <w:p w14:paraId="1E8F6EF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1" w:type="pct"/>
            <w:tcBorders>
              <w:top w:val="single" w:sz="6" w:space="0" w:color="000000"/>
              <w:left w:val="single" w:sz="6" w:space="0" w:color="000000"/>
              <w:bottom w:val="single" w:sz="6" w:space="0" w:color="000000"/>
              <w:right w:val="single" w:sz="6" w:space="0" w:color="000000"/>
            </w:tcBorders>
            <w:shd w:val="clear" w:color="auto" w:fill="FFFFFF"/>
            <w:hideMark/>
          </w:tcPr>
          <w:p w14:paraId="7FA15F2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1" w:type="pct"/>
            <w:tcBorders>
              <w:top w:val="single" w:sz="6" w:space="0" w:color="000000"/>
              <w:left w:val="single" w:sz="6" w:space="0" w:color="000000"/>
              <w:bottom w:val="single" w:sz="6" w:space="0" w:color="000000"/>
              <w:right w:val="single" w:sz="6" w:space="0" w:color="000000"/>
            </w:tcBorders>
            <w:shd w:val="clear" w:color="auto" w:fill="FFFFFF"/>
            <w:hideMark/>
          </w:tcPr>
          <w:p w14:paraId="6CCC88C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2" w:type="pct"/>
            <w:tcBorders>
              <w:top w:val="single" w:sz="6" w:space="0" w:color="000000"/>
              <w:left w:val="single" w:sz="6" w:space="0" w:color="000000"/>
              <w:bottom w:val="single" w:sz="6" w:space="0" w:color="000000"/>
              <w:right w:val="single" w:sz="6" w:space="0" w:color="000000"/>
            </w:tcBorders>
            <w:shd w:val="clear" w:color="auto" w:fill="FFFFFF"/>
            <w:hideMark/>
          </w:tcPr>
          <w:p w14:paraId="7DA80EE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01" w:type="pct"/>
            <w:tcBorders>
              <w:top w:val="single" w:sz="6" w:space="0" w:color="000000"/>
              <w:left w:val="single" w:sz="6" w:space="0" w:color="000000"/>
              <w:bottom w:val="single" w:sz="6" w:space="0" w:color="000000"/>
              <w:right w:val="single" w:sz="6" w:space="0" w:color="000000"/>
            </w:tcBorders>
            <w:shd w:val="clear" w:color="auto" w:fill="FFFFFF"/>
            <w:hideMark/>
          </w:tcPr>
          <w:p w14:paraId="334FF72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3" w:type="pct"/>
            <w:tcBorders>
              <w:top w:val="single" w:sz="6" w:space="0" w:color="000000"/>
              <w:left w:val="single" w:sz="6" w:space="0" w:color="000000"/>
              <w:bottom w:val="single" w:sz="6" w:space="0" w:color="000000"/>
              <w:right w:val="single" w:sz="6" w:space="0" w:color="000000"/>
            </w:tcBorders>
            <w:shd w:val="clear" w:color="auto" w:fill="FFFFFF"/>
            <w:hideMark/>
          </w:tcPr>
          <w:p w14:paraId="1DC9612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1" w:type="pct"/>
            <w:tcBorders>
              <w:top w:val="single" w:sz="6" w:space="0" w:color="000000"/>
              <w:left w:val="single" w:sz="6" w:space="0" w:color="000000"/>
              <w:bottom w:val="single" w:sz="6" w:space="0" w:color="000000"/>
              <w:right w:val="single" w:sz="6" w:space="0" w:color="000000"/>
            </w:tcBorders>
            <w:shd w:val="clear" w:color="auto" w:fill="FFFFFF"/>
            <w:hideMark/>
          </w:tcPr>
          <w:p w14:paraId="51A18BD5" w14:textId="1F385901"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7E37EB" w:rsidRPr="007D063B">
              <w:rPr>
                <w:rFonts w:ascii="Times New Roman" w:eastAsia="Times New Roman" w:hAnsi="Times New Roman" w:cs="Times New Roman"/>
                <w:color w:val="000000"/>
                <w:sz w:val="24"/>
                <w:szCs w:val="24"/>
                <w:lang w:eastAsia="bg-BG"/>
              </w:rPr>
              <w:t>28</w:t>
            </w:r>
          </w:p>
        </w:tc>
        <w:tc>
          <w:tcPr>
            <w:tcW w:w="266" w:type="pct"/>
            <w:tcBorders>
              <w:top w:val="single" w:sz="6" w:space="0" w:color="000000"/>
              <w:left w:val="single" w:sz="6" w:space="0" w:color="000000"/>
              <w:bottom w:val="single" w:sz="6" w:space="0" w:color="000000"/>
              <w:right w:val="single" w:sz="6" w:space="0" w:color="000000"/>
            </w:tcBorders>
            <w:shd w:val="clear" w:color="auto" w:fill="FFFFFF"/>
            <w:hideMark/>
          </w:tcPr>
          <w:p w14:paraId="3D7E42B8" w14:textId="5F9B4AC1" w:rsidR="00B54C34" w:rsidRPr="007D063B" w:rsidRDefault="007E37EB"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41</w:t>
            </w:r>
            <w:r w:rsidR="00B54C34"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2FD26C9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369D2F0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47220CA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004BB50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736D02B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380E2EA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31F9A0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3E63BEB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398BF6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65F3F0D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5A6A5B5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3D3E00A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0EABD26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6" w:type="pct"/>
            <w:tcBorders>
              <w:top w:val="single" w:sz="6" w:space="0" w:color="000000"/>
              <w:left w:val="single" w:sz="6" w:space="0" w:color="000000"/>
              <w:bottom w:val="single" w:sz="6" w:space="0" w:color="000000"/>
              <w:right w:val="single" w:sz="6" w:space="0" w:color="000000"/>
            </w:tcBorders>
            <w:shd w:val="clear" w:color="auto" w:fill="FFFFFF"/>
            <w:hideMark/>
          </w:tcPr>
          <w:p w14:paraId="70B4453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4" w:type="pct"/>
            <w:tcBorders>
              <w:top w:val="single" w:sz="6" w:space="0" w:color="000000"/>
              <w:left w:val="single" w:sz="6" w:space="0" w:color="000000"/>
              <w:bottom w:val="single" w:sz="6" w:space="0" w:color="000000"/>
              <w:right w:val="single" w:sz="6" w:space="0" w:color="000000"/>
            </w:tcBorders>
            <w:shd w:val="clear" w:color="auto" w:fill="FFFFFF"/>
            <w:hideMark/>
          </w:tcPr>
          <w:p w14:paraId="4ED00980" w14:textId="6DA18898" w:rsidR="00B54C34" w:rsidRPr="007D063B" w:rsidRDefault="00B54C34" w:rsidP="004F758F">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4F758F" w:rsidRPr="007D063B">
              <w:rPr>
                <w:rFonts w:ascii="Times New Roman" w:eastAsia="Times New Roman" w:hAnsi="Times New Roman" w:cs="Times New Roman"/>
                <w:color w:val="000000"/>
                <w:sz w:val="24"/>
                <w:szCs w:val="24"/>
                <w:lang w:eastAsia="bg-BG"/>
              </w:rPr>
              <w:t>69</w:t>
            </w:r>
          </w:p>
        </w:tc>
        <w:tc>
          <w:tcPr>
            <w:tcW w:w="152" w:type="pct"/>
            <w:tcBorders>
              <w:top w:val="single" w:sz="6" w:space="0" w:color="000000"/>
              <w:left w:val="single" w:sz="6" w:space="0" w:color="000000"/>
              <w:bottom w:val="single" w:sz="6" w:space="0" w:color="000000"/>
              <w:right w:val="single" w:sz="6" w:space="0" w:color="000000"/>
            </w:tcBorders>
            <w:shd w:val="clear" w:color="auto" w:fill="FFFFFF"/>
            <w:hideMark/>
          </w:tcPr>
          <w:p w14:paraId="1E094819" w14:textId="69021951" w:rsidR="00B54C34" w:rsidRPr="007D063B" w:rsidRDefault="00B54C34" w:rsidP="001C2C3D">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4F758F" w:rsidRPr="007D063B">
              <w:rPr>
                <w:rFonts w:ascii="Times New Roman" w:eastAsia="Times New Roman" w:hAnsi="Times New Roman" w:cs="Times New Roman"/>
                <w:color w:val="000000"/>
                <w:sz w:val="24"/>
                <w:szCs w:val="24"/>
                <w:lang w:eastAsia="bg-BG"/>
              </w:rPr>
              <w:t>28</w:t>
            </w:r>
          </w:p>
        </w:tc>
        <w:tc>
          <w:tcPr>
            <w:tcW w:w="161"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51F9D54" w14:textId="5531AC0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004F758F" w:rsidRPr="007D063B">
              <w:rPr>
                <w:rFonts w:ascii="Times New Roman" w:eastAsia="Times New Roman" w:hAnsi="Times New Roman" w:cs="Times New Roman"/>
                <w:color w:val="000000"/>
                <w:sz w:val="24"/>
                <w:szCs w:val="24"/>
                <w:lang w:eastAsia="bg-BG"/>
              </w:rPr>
              <w:t>41</w:t>
            </w:r>
          </w:p>
        </w:tc>
        <w:tc>
          <w:tcPr>
            <w:tcW w:w="179" w:type="pct"/>
            <w:tcBorders>
              <w:top w:val="single" w:sz="6" w:space="0" w:color="000000"/>
              <w:left w:val="single" w:sz="6" w:space="0" w:color="000000"/>
              <w:bottom w:val="single" w:sz="6" w:space="0" w:color="000000"/>
              <w:right w:val="single" w:sz="6" w:space="0" w:color="000000"/>
            </w:tcBorders>
            <w:shd w:val="clear" w:color="auto" w:fill="FFFFFF"/>
          </w:tcPr>
          <w:p w14:paraId="08E38CD7" w14:textId="11C3FC3B"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tcBorders>
              <w:top w:val="single" w:sz="6" w:space="0" w:color="000000"/>
              <w:left w:val="single" w:sz="6" w:space="0" w:color="000000"/>
              <w:bottom w:val="single" w:sz="6" w:space="0" w:color="000000"/>
              <w:right w:val="single" w:sz="6" w:space="0" w:color="000000"/>
            </w:tcBorders>
            <w:shd w:val="clear" w:color="auto" w:fill="FFFFFF"/>
          </w:tcPr>
          <w:p w14:paraId="1C9EC81C" w14:textId="4DECE8FC"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2" w:type="pct"/>
            <w:tcBorders>
              <w:top w:val="single" w:sz="6" w:space="0" w:color="000000"/>
              <w:left w:val="single" w:sz="6" w:space="0" w:color="000000"/>
              <w:bottom w:val="single" w:sz="6" w:space="0" w:color="000000"/>
              <w:right w:val="single" w:sz="6" w:space="0" w:color="000000"/>
            </w:tcBorders>
            <w:shd w:val="clear" w:color="auto" w:fill="FFFFFF"/>
          </w:tcPr>
          <w:p w14:paraId="126F8FE6" w14:textId="3180B15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39AD1FD4"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418BAE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43C815ED"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Над 54 години, които са безработни, включително трайно безработни, или неактивни, неангажирани с образование или обучение</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6DFDFA4A"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tcBorders>
              <w:top w:val="single" w:sz="6" w:space="0" w:color="000000"/>
              <w:left w:val="single" w:sz="6" w:space="0" w:color="000000"/>
              <w:bottom w:val="single" w:sz="6" w:space="0" w:color="000000"/>
              <w:right w:val="single" w:sz="6" w:space="0" w:color="000000"/>
            </w:tcBorders>
            <w:shd w:val="clear" w:color="auto" w:fill="FFFFFF"/>
            <w:hideMark/>
          </w:tcPr>
          <w:p w14:paraId="4377D6E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4" w:type="pct"/>
            <w:tcBorders>
              <w:top w:val="single" w:sz="6" w:space="0" w:color="000000"/>
              <w:left w:val="single" w:sz="6" w:space="0" w:color="000000"/>
              <w:bottom w:val="single" w:sz="6" w:space="0" w:color="000000"/>
              <w:right w:val="single" w:sz="6" w:space="0" w:color="000000"/>
            </w:tcBorders>
            <w:shd w:val="clear" w:color="auto" w:fill="FFFFFF"/>
            <w:hideMark/>
          </w:tcPr>
          <w:p w14:paraId="677B421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1" w:type="pct"/>
            <w:tcBorders>
              <w:top w:val="single" w:sz="6" w:space="0" w:color="000000"/>
              <w:left w:val="single" w:sz="6" w:space="0" w:color="000000"/>
              <w:bottom w:val="single" w:sz="6" w:space="0" w:color="000000"/>
              <w:right w:val="single" w:sz="6" w:space="0" w:color="000000"/>
            </w:tcBorders>
            <w:shd w:val="clear" w:color="auto" w:fill="FFFFFF"/>
            <w:hideMark/>
          </w:tcPr>
          <w:p w14:paraId="7EA349B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1" w:type="pct"/>
            <w:tcBorders>
              <w:top w:val="single" w:sz="6" w:space="0" w:color="000000"/>
              <w:left w:val="single" w:sz="6" w:space="0" w:color="000000"/>
              <w:bottom w:val="single" w:sz="6" w:space="0" w:color="000000"/>
              <w:right w:val="single" w:sz="6" w:space="0" w:color="000000"/>
            </w:tcBorders>
            <w:shd w:val="clear" w:color="auto" w:fill="FFFFFF"/>
            <w:hideMark/>
          </w:tcPr>
          <w:p w14:paraId="594FD7C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2" w:type="pct"/>
            <w:tcBorders>
              <w:top w:val="single" w:sz="6" w:space="0" w:color="000000"/>
              <w:left w:val="single" w:sz="6" w:space="0" w:color="000000"/>
              <w:bottom w:val="single" w:sz="6" w:space="0" w:color="000000"/>
              <w:right w:val="single" w:sz="6" w:space="0" w:color="000000"/>
            </w:tcBorders>
            <w:shd w:val="clear" w:color="auto" w:fill="FFFFFF"/>
            <w:hideMark/>
          </w:tcPr>
          <w:p w14:paraId="6715051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01" w:type="pct"/>
            <w:tcBorders>
              <w:top w:val="single" w:sz="6" w:space="0" w:color="000000"/>
              <w:left w:val="single" w:sz="6" w:space="0" w:color="000000"/>
              <w:bottom w:val="single" w:sz="6" w:space="0" w:color="000000"/>
              <w:right w:val="single" w:sz="6" w:space="0" w:color="000000"/>
            </w:tcBorders>
            <w:shd w:val="clear" w:color="auto" w:fill="FFFFFF"/>
            <w:hideMark/>
          </w:tcPr>
          <w:p w14:paraId="2C7043F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3" w:type="pct"/>
            <w:tcBorders>
              <w:top w:val="single" w:sz="6" w:space="0" w:color="000000"/>
              <w:left w:val="single" w:sz="6" w:space="0" w:color="000000"/>
              <w:bottom w:val="single" w:sz="6" w:space="0" w:color="000000"/>
              <w:right w:val="single" w:sz="6" w:space="0" w:color="000000"/>
            </w:tcBorders>
            <w:shd w:val="clear" w:color="auto" w:fill="FFFFFF"/>
            <w:hideMark/>
          </w:tcPr>
          <w:p w14:paraId="69ECAFC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1" w:type="pct"/>
            <w:tcBorders>
              <w:top w:val="single" w:sz="6" w:space="0" w:color="000000"/>
              <w:left w:val="single" w:sz="6" w:space="0" w:color="000000"/>
              <w:bottom w:val="single" w:sz="6" w:space="0" w:color="000000"/>
              <w:right w:val="single" w:sz="6" w:space="0" w:color="000000"/>
            </w:tcBorders>
            <w:shd w:val="clear" w:color="auto" w:fill="FFFFFF"/>
            <w:hideMark/>
          </w:tcPr>
          <w:p w14:paraId="381F421A" w14:textId="638FA5DA"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7E37EB" w:rsidRPr="007D063B">
              <w:rPr>
                <w:rFonts w:ascii="Times New Roman" w:eastAsia="Times New Roman" w:hAnsi="Times New Roman" w:cs="Times New Roman"/>
                <w:color w:val="000000"/>
                <w:sz w:val="24"/>
                <w:szCs w:val="24"/>
                <w:lang w:eastAsia="bg-BG"/>
              </w:rPr>
              <w:t>0</w:t>
            </w:r>
          </w:p>
        </w:tc>
        <w:tc>
          <w:tcPr>
            <w:tcW w:w="266" w:type="pct"/>
            <w:tcBorders>
              <w:top w:val="single" w:sz="6" w:space="0" w:color="000000"/>
              <w:left w:val="single" w:sz="6" w:space="0" w:color="000000"/>
              <w:bottom w:val="single" w:sz="6" w:space="0" w:color="000000"/>
              <w:right w:val="single" w:sz="6" w:space="0" w:color="000000"/>
            </w:tcBorders>
            <w:shd w:val="clear" w:color="auto" w:fill="FFFFFF"/>
            <w:hideMark/>
          </w:tcPr>
          <w:p w14:paraId="2237A1C2" w14:textId="18DA90F0" w:rsidR="00B54C34" w:rsidRPr="007D063B" w:rsidRDefault="007E37EB"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r w:rsidR="00B54C34"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4B455FC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3F790A8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2195825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7FB6C86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223408F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4148BFE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EF5CD8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56DB06D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2BA1580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67BB68D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BB2384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1F25E7C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0C391A3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6" w:type="pct"/>
            <w:tcBorders>
              <w:top w:val="single" w:sz="6" w:space="0" w:color="000000"/>
              <w:left w:val="single" w:sz="6" w:space="0" w:color="000000"/>
              <w:bottom w:val="single" w:sz="6" w:space="0" w:color="000000"/>
              <w:right w:val="single" w:sz="6" w:space="0" w:color="000000"/>
            </w:tcBorders>
            <w:shd w:val="clear" w:color="auto" w:fill="FFFFFF"/>
            <w:hideMark/>
          </w:tcPr>
          <w:p w14:paraId="05AFFC9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4" w:type="pct"/>
            <w:tcBorders>
              <w:top w:val="single" w:sz="6" w:space="0" w:color="000000"/>
              <w:left w:val="single" w:sz="6" w:space="0" w:color="000000"/>
              <w:bottom w:val="single" w:sz="6" w:space="0" w:color="000000"/>
              <w:right w:val="single" w:sz="6" w:space="0" w:color="000000"/>
            </w:tcBorders>
            <w:shd w:val="clear" w:color="auto" w:fill="FFFFFF"/>
            <w:hideMark/>
          </w:tcPr>
          <w:p w14:paraId="4B7AC8D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2" w:type="pct"/>
            <w:tcBorders>
              <w:top w:val="single" w:sz="6" w:space="0" w:color="000000"/>
              <w:left w:val="single" w:sz="6" w:space="0" w:color="000000"/>
              <w:bottom w:val="single" w:sz="6" w:space="0" w:color="000000"/>
              <w:right w:val="single" w:sz="6" w:space="0" w:color="000000"/>
            </w:tcBorders>
            <w:shd w:val="clear" w:color="auto" w:fill="FFFFFF"/>
            <w:hideMark/>
          </w:tcPr>
          <w:p w14:paraId="40777D4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61"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30CF35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79" w:type="pct"/>
            <w:tcBorders>
              <w:top w:val="single" w:sz="6" w:space="0" w:color="000000"/>
              <w:left w:val="single" w:sz="6" w:space="0" w:color="000000"/>
              <w:bottom w:val="single" w:sz="6" w:space="0" w:color="000000"/>
              <w:right w:val="single" w:sz="6" w:space="0" w:color="000000"/>
            </w:tcBorders>
            <w:shd w:val="clear" w:color="auto" w:fill="FFFFFF"/>
          </w:tcPr>
          <w:p w14:paraId="62E02A71" w14:textId="311F7D5E"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tcBorders>
              <w:top w:val="single" w:sz="6" w:space="0" w:color="000000"/>
              <w:left w:val="single" w:sz="6" w:space="0" w:color="000000"/>
              <w:bottom w:val="single" w:sz="6" w:space="0" w:color="000000"/>
              <w:right w:val="single" w:sz="6" w:space="0" w:color="000000"/>
            </w:tcBorders>
            <w:shd w:val="clear" w:color="auto" w:fill="FFFFFF"/>
          </w:tcPr>
          <w:p w14:paraId="4CC92916" w14:textId="058C29B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2" w:type="pct"/>
            <w:tcBorders>
              <w:top w:val="single" w:sz="6" w:space="0" w:color="000000"/>
              <w:left w:val="single" w:sz="6" w:space="0" w:color="000000"/>
              <w:bottom w:val="single" w:sz="6" w:space="0" w:color="000000"/>
              <w:right w:val="single" w:sz="6" w:space="0" w:color="000000"/>
            </w:tcBorders>
            <w:shd w:val="clear" w:color="auto" w:fill="FFFFFF"/>
          </w:tcPr>
          <w:p w14:paraId="5C3A0A61" w14:textId="44BF0DDE"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3670A78B"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1AAD3C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518AF88B"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 xml:space="preserve">С основно образование </w:t>
            </w:r>
            <w:r w:rsidRPr="007D063B">
              <w:rPr>
                <w:rFonts w:ascii="Times New Roman" w:eastAsia="Times New Roman" w:hAnsi="Times New Roman" w:cs="Times New Roman"/>
                <w:b/>
                <w:bCs/>
                <w:i/>
                <w:iCs/>
                <w:color w:val="000000"/>
                <w:sz w:val="16"/>
                <w:szCs w:val="16"/>
                <w:lang w:eastAsia="bg-BG"/>
              </w:rPr>
              <w:lastRenderedPageBreak/>
              <w:t>(ISCED 1) или прогимназиален етап на основното образование (ISCED 2)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B6DCD61"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lastRenderedPageBreak/>
              <w:t xml:space="preserve">По-слабо развити </w:t>
            </w:r>
            <w:r w:rsidRPr="007D063B">
              <w:rPr>
                <w:rFonts w:ascii="Times New Roman" w:eastAsia="Times New Roman" w:hAnsi="Times New Roman" w:cs="Times New Roman"/>
                <w:b/>
                <w:bCs/>
                <w:i/>
                <w:iCs/>
                <w:color w:val="000000"/>
                <w:sz w:val="16"/>
                <w:szCs w:val="16"/>
                <w:lang w:eastAsia="bg-BG"/>
              </w:rPr>
              <w:lastRenderedPageBreak/>
              <w:t>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E6CD6C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lastRenderedPageBreak/>
              <w:t> </w:t>
            </w:r>
          </w:p>
        </w:tc>
        <w:tc>
          <w:tcPr>
            <w:tcW w:w="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077A61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92CBE5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48EE99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9A44BD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EFDD52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3"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AE77B3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D6F7181" w14:textId="13F6FA84"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7E37EB" w:rsidRPr="007D063B">
              <w:rPr>
                <w:rFonts w:ascii="Times New Roman" w:eastAsia="Times New Roman" w:hAnsi="Times New Roman" w:cs="Times New Roman"/>
                <w:color w:val="000000"/>
                <w:sz w:val="24"/>
                <w:szCs w:val="24"/>
                <w:lang w:eastAsia="bg-BG"/>
              </w:rPr>
              <w:t>0</w:t>
            </w:r>
          </w:p>
        </w:tc>
        <w:tc>
          <w:tcPr>
            <w:tcW w:w="26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762515C" w14:textId="04F55DB1" w:rsidR="00B54C34" w:rsidRPr="007D063B" w:rsidRDefault="007E37EB"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r w:rsidR="00B54C34"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1D7F4B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4D2DB9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83F90B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99F9A4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AEEF29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BDE097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01DD5F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3A59C3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36630F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2712CC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AD0CC4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73999C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7CD6D4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EE59AD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9726C2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5AC98D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61" w:type="pct"/>
            <w:gridSpan w:val="2"/>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9706D8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7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3926FD28" w14:textId="54998BA0"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27CABFF3" w14:textId="700E117D"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28328DA4" w14:textId="372E0A6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04C674AD"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AD8469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76196A3E"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С основно образование (ISCED 1) или прогимназиален етап на основното образование (ISCED 2)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0DC6BB"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38DD7A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397658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21EE4E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404B3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B93040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20F5CF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26E151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2D123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6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0218F0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796D8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6B369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1A56B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87E4B4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19D81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A842EF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C0AAB8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63F05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07918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666E5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AA3BCF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956D3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D8C431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8F63D9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4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A5B63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4BB56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61" w:type="pct"/>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47AA89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7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20A3E02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9DB5D3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7F94A68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16993E81"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76B14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007C56AD"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със средно образование (ISCED 3) или образование след средното образование (ISCED 4)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D15E8D0"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C9155B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E92573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F2813D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F8D466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9D241C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231FB6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3"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287952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67121F5" w14:textId="58CFAABF"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7E37EB" w:rsidRPr="007D063B">
              <w:rPr>
                <w:rFonts w:ascii="Times New Roman" w:eastAsia="Times New Roman" w:hAnsi="Times New Roman" w:cs="Times New Roman"/>
                <w:color w:val="000000"/>
                <w:sz w:val="24"/>
                <w:szCs w:val="24"/>
                <w:lang w:eastAsia="bg-BG"/>
              </w:rPr>
              <w:t>8</w:t>
            </w:r>
          </w:p>
        </w:tc>
        <w:tc>
          <w:tcPr>
            <w:tcW w:w="26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D3056FF" w14:textId="73BCEF75" w:rsidR="00B54C34" w:rsidRPr="007D063B" w:rsidRDefault="004E5815"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46</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28647D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47D9B8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1C36C6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122490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B57EEA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76A579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5AF82F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93F22C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626143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DE27FB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54A3B2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BCC902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1C1FB9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9DE5D6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2B0ED36" w14:textId="487F46C3" w:rsidR="00B54C34" w:rsidRPr="007D063B" w:rsidRDefault="00B54C34" w:rsidP="005A59C4">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4E5815" w:rsidRPr="007D063B">
              <w:rPr>
                <w:rFonts w:ascii="Times New Roman" w:eastAsia="Times New Roman" w:hAnsi="Times New Roman" w:cs="Times New Roman"/>
                <w:color w:val="000000"/>
                <w:sz w:val="24"/>
                <w:szCs w:val="24"/>
                <w:lang w:eastAsia="bg-BG"/>
              </w:rPr>
              <w:t>54</w:t>
            </w:r>
          </w:p>
        </w:tc>
        <w:tc>
          <w:tcPr>
            <w:tcW w:w="15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8891971" w14:textId="7A0F7FAD"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004E5815" w:rsidRPr="007D063B">
              <w:rPr>
                <w:rFonts w:ascii="Times New Roman" w:eastAsia="Times New Roman" w:hAnsi="Times New Roman" w:cs="Times New Roman"/>
                <w:color w:val="000000"/>
                <w:sz w:val="24"/>
                <w:szCs w:val="24"/>
                <w:lang w:eastAsia="bg-BG"/>
              </w:rPr>
              <w:t>8</w:t>
            </w:r>
          </w:p>
        </w:tc>
        <w:tc>
          <w:tcPr>
            <w:tcW w:w="161" w:type="pct"/>
            <w:gridSpan w:val="2"/>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EA1E24F" w14:textId="35E3AA7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004E5815" w:rsidRPr="007D063B">
              <w:rPr>
                <w:rFonts w:ascii="Times New Roman" w:eastAsia="Times New Roman" w:hAnsi="Times New Roman" w:cs="Times New Roman"/>
                <w:color w:val="000000"/>
                <w:sz w:val="24"/>
                <w:szCs w:val="24"/>
                <w:lang w:eastAsia="bg-BG"/>
              </w:rPr>
              <w:t>46</w:t>
            </w:r>
          </w:p>
        </w:tc>
        <w:tc>
          <w:tcPr>
            <w:tcW w:w="17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5373DDDE" w14:textId="323B494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1F138084" w14:textId="16884DC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4A360CE3" w14:textId="728D5BE5"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0A189E55"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FFF8CC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59C813FE"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Със средно образование (ISCED 3) или образование след средното образование (ISCED 4)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6BB3DA7A"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D1670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6ADA0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F3C027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37254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9D3E4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69FF0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69B15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FC4615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6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BD73C8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B3A769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E44D6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D7969D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DF253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CA3985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B17B73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7DBA31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00DD1A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31A59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4AAD0E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1DCEC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9217A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A27BC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740CF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4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21262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C0C31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61" w:type="pct"/>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0A049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7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6F5E81D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17A7504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08BE5D9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3F1945AB"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7ED2C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356838F0"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С висше образование (ISCED 5 до 8)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A5D2EB8"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3D6396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C645E3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17F0FE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291623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E7291C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C4F746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3"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F318FF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B6C32C5" w14:textId="69A210BB"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7E37EB" w:rsidRPr="007D063B">
              <w:rPr>
                <w:rFonts w:ascii="Times New Roman" w:eastAsia="Times New Roman" w:hAnsi="Times New Roman" w:cs="Times New Roman"/>
                <w:color w:val="000000"/>
                <w:sz w:val="24"/>
                <w:szCs w:val="24"/>
                <w:lang w:eastAsia="bg-BG"/>
              </w:rPr>
              <w:t>163</w:t>
            </w:r>
          </w:p>
        </w:tc>
        <w:tc>
          <w:tcPr>
            <w:tcW w:w="26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0E49313" w14:textId="79237C18" w:rsidR="00B54C34" w:rsidRPr="007D063B" w:rsidRDefault="007E37EB"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319</w:t>
            </w:r>
            <w:r w:rsidR="00B54C34"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BEAFBC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0C9936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02994C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63DDB4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E12211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88C3F9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770E56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11CFD2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0279FB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B265F2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A1D662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4E50A9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1D2FDB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65C59A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FE84564" w14:textId="7BA30331" w:rsidR="00B54C34" w:rsidRPr="007D063B" w:rsidRDefault="00B54C34" w:rsidP="001D00FC">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1D00FC" w:rsidRPr="007D063B">
              <w:rPr>
                <w:rFonts w:ascii="Times New Roman" w:eastAsia="Times New Roman" w:hAnsi="Times New Roman" w:cs="Times New Roman"/>
                <w:color w:val="000000"/>
                <w:sz w:val="24"/>
                <w:szCs w:val="24"/>
                <w:lang w:eastAsia="bg-BG"/>
              </w:rPr>
              <w:t>482</w:t>
            </w:r>
          </w:p>
        </w:tc>
        <w:tc>
          <w:tcPr>
            <w:tcW w:w="15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CBAF28F" w14:textId="31A0A9E8" w:rsidR="00B54C34" w:rsidRPr="007D063B" w:rsidRDefault="001D00FC" w:rsidP="005E64F8">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163</w:t>
            </w:r>
          </w:p>
        </w:tc>
        <w:tc>
          <w:tcPr>
            <w:tcW w:w="161" w:type="pct"/>
            <w:gridSpan w:val="2"/>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AF81AA3" w14:textId="2425BD96" w:rsidR="00B54C34" w:rsidRPr="007D063B" w:rsidRDefault="001D00FC" w:rsidP="005E64F8">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319</w:t>
            </w:r>
            <w:r w:rsidR="00B54C34" w:rsidRPr="007D063B">
              <w:rPr>
                <w:rFonts w:ascii="Times New Roman" w:eastAsia="Times New Roman" w:hAnsi="Times New Roman" w:cs="Times New Roman"/>
                <w:color w:val="000000"/>
                <w:sz w:val="24"/>
                <w:szCs w:val="24"/>
                <w:lang w:eastAsia="bg-BG"/>
              </w:rPr>
              <w:t> </w:t>
            </w:r>
          </w:p>
        </w:tc>
        <w:tc>
          <w:tcPr>
            <w:tcW w:w="17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2B22AC05" w14:textId="37BE6DCE"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6C2DF642" w14:textId="24A8B34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3A4D35E4" w14:textId="53552FD0"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7D3806EE"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9282C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5AB07F22"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С висше образование (ISCED 5 до 8)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400A2FF1"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1DDFC4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C25085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3BCC5F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C02A97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D2ADCF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6BE12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AA2EF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D8E61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6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FEEB5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969E3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23FFC9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C9323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0979B1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2626B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A7EE0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A63818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6DAD2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9799B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AF1BDD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0C438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C86B5C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F9890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0AF90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4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5FF9A5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9D1DD6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61" w:type="pct"/>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28207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7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55728A3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262C312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086747B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785F9CDD"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6EE08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5DA895D9"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които живеят в безработни домакинства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7899ADF"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5072C3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F37ED3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F94D38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B85211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D52566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ACA77D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3"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464C16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85BA89E" w14:textId="615C981B"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7E37EB" w:rsidRPr="007D063B">
              <w:rPr>
                <w:rFonts w:ascii="Times New Roman" w:eastAsia="Times New Roman" w:hAnsi="Times New Roman" w:cs="Times New Roman"/>
                <w:color w:val="000000"/>
                <w:sz w:val="24"/>
                <w:szCs w:val="24"/>
                <w:lang w:eastAsia="bg-BG"/>
              </w:rPr>
              <w:t>0</w:t>
            </w:r>
          </w:p>
        </w:tc>
        <w:tc>
          <w:tcPr>
            <w:tcW w:w="26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F606AFA" w14:textId="3844398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7E37EB"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0F4A76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4C7D9B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1F70DA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DD3A75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BC8A9F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C2D93B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B88C0C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85952D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5CBB7D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35822E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740889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1C495A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DAE9D4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ED4BD0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264A8A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AA628B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61" w:type="pct"/>
            <w:gridSpan w:val="2"/>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373DFF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7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4F642CD9" w14:textId="116E3E5C"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51194F0E" w14:textId="375A256D"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52FABE33" w14:textId="66B8A6A5"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0D6E07BA"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11D18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51A02300"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 xml:space="preserve">Участници, които живеят в безработни домакинства </w:t>
            </w:r>
            <w:r w:rsidRPr="007D063B">
              <w:rPr>
                <w:rFonts w:ascii="Times New Roman" w:eastAsia="Times New Roman" w:hAnsi="Times New Roman" w:cs="Times New Roman"/>
                <w:b/>
                <w:bCs/>
                <w:i/>
                <w:iCs/>
                <w:color w:val="000000"/>
                <w:sz w:val="16"/>
                <w:szCs w:val="16"/>
                <w:lang w:eastAsia="bg-BG"/>
              </w:rPr>
              <w:lastRenderedPageBreak/>
              <w:t>(ИМЗ)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076B939D"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50AB4F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6CE4EA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AB9F4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A0B2FE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389B9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B5A2F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B39663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127A2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6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E5434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D51A53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03D482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064AC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E6F6DC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3D2B7E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5E58EC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A43AA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6B970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8E9AF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4DC26B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CC5EF4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07A5F6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1AB952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E8556E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4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C649B9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B0B8A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61" w:type="pct"/>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8A8DA9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7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0D70A0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14A9993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966F26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4081A4A7"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2B27C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7FA23337"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които живеят в безработни домакинства с деца на издръжка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C93C616"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C22EC4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2CEE85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6B3F9D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1849BB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75616C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CB436E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3"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8AAB2E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79F0FBB" w14:textId="2C5F8ADE"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7E37EB" w:rsidRPr="007D063B">
              <w:rPr>
                <w:rFonts w:ascii="Times New Roman" w:eastAsia="Times New Roman" w:hAnsi="Times New Roman" w:cs="Times New Roman"/>
                <w:color w:val="000000"/>
                <w:sz w:val="24"/>
                <w:szCs w:val="24"/>
                <w:lang w:eastAsia="bg-BG"/>
              </w:rPr>
              <w:t>0</w:t>
            </w:r>
          </w:p>
        </w:tc>
        <w:tc>
          <w:tcPr>
            <w:tcW w:w="26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C2B4669" w14:textId="685F4189"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7E37EB"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338FCF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C4C785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CB2D80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415BC8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0EEBE9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2138DF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33AED8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6B79DA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D28DED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3F90A7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4141BF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282131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3227DC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D40AFE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5AA56D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2D2490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61" w:type="pct"/>
            <w:gridSpan w:val="2"/>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849547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7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603AEDF0" w14:textId="5EFFBC2A"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4FC708AC" w14:textId="1C05996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21A48B53" w14:textId="089026FE"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34CE6FFF"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9668A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4D3A4555"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които живеят в безработни домакинства с деца на издръжка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F82A638"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22F921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04CE8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73FE2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9E9708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B8F203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CD3E62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30351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726B0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6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C81E9E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EF7196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895B5F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272BE1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F4424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9EFB7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52249D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F76B03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75401C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CD5258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80D9E0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73972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79B61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4C4A6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CE4EE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4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0B5710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BBCBD4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61" w:type="pct"/>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2B53F8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7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1E5400D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17B0A17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6E2FA4B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72A117E9"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EAB64F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404D8E68"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които живеят в едночленно домакинство с деца на издръжка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A5CFF9F"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CC780C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CA4429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49C3F3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93264E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D5664E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66A1AC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3"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F933AB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E4024D7" w14:textId="29620B4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7E37EB" w:rsidRPr="007D063B">
              <w:rPr>
                <w:rFonts w:ascii="Times New Roman" w:eastAsia="Times New Roman" w:hAnsi="Times New Roman" w:cs="Times New Roman"/>
                <w:color w:val="000000"/>
                <w:sz w:val="24"/>
                <w:szCs w:val="24"/>
                <w:lang w:eastAsia="bg-BG"/>
              </w:rPr>
              <w:t>0</w:t>
            </w:r>
          </w:p>
        </w:tc>
        <w:tc>
          <w:tcPr>
            <w:tcW w:w="26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DD24C4E" w14:textId="3157427D" w:rsidR="00B54C34" w:rsidRPr="007D063B" w:rsidRDefault="007E37EB"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8</w:t>
            </w:r>
            <w:r w:rsidR="00B54C34"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7C6447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C3CA9D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E4CBAE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0AB1E4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FB5C5B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B6EC63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3B7DF6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002A36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0435B3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310358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FE2A4B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4D588B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EEAFA7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796CE1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F6C3651" w14:textId="3BA872E5" w:rsidR="00B54C34" w:rsidRPr="007D063B" w:rsidRDefault="00B54C34" w:rsidP="00BE07A6">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64855" w:rsidRPr="007D063B">
              <w:rPr>
                <w:rFonts w:ascii="Times New Roman" w:eastAsia="Times New Roman" w:hAnsi="Times New Roman" w:cs="Times New Roman"/>
                <w:color w:val="000000"/>
                <w:sz w:val="24"/>
                <w:szCs w:val="24"/>
                <w:lang w:eastAsia="bg-BG"/>
              </w:rPr>
              <w:t>8</w:t>
            </w:r>
          </w:p>
        </w:tc>
        <w:tc>
          <w:tcPr>
            <w:tcW w:w="15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56CC0F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61" w:type="pct"/>
            <w:gridSpan w:val="2"/>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8333079" w14:textId="484C9EB2" w:rsidR="00B54C34" w:rsidRPr="007D063B" w:rsidRDefault="00264855" w:rsidP="00BE07A6">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8</w:t>
            </w:r>
            <w:r w:rsidR="00B54C34" w:rsidRPr="007D063B">
              <w:rPr>
                <w:rFonts w:ascii="Times New Roman" w:eastAsia="Times New Roman" w:hAnsi="Times New Roman" w:cs="Times New Roman"/>
                <w:color w:val="000000"/>
                <w:sz w:val="24"/>
                <w:szCs w:val="24"/>
                <w:lang w:eastAsia="bg-BG"/>
              </w:rPr>
              <w:t> </w:t>
            </w:r>
          </w:p>
        </w:tc>
        <w:tc>
          <w:tcPr>
            <w:tcW w:w="17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0ED77816" w14:textId="3F7D5C6A"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7B26AD92" w14:textId="5295482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15DDA21E" w14:textId="5336AF0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026C03E9"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91F3CA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2E65D76A"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които живеят в едночленно домакинство с деца на издръжка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1405B8B4"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8B97E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84F297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FF6D56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B65D77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D06C9A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87360C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D54092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BF0281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6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3EA4B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40E5D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BDD37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265D01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ED297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35BD68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540CF6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26199A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4F8EF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82BFBD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A691F6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DE58F8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ABFE5D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EE2357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2ACCF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4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005B6F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48BAA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61" w:type="pct"/>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2E91B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7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1898B52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35698DC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2D71D10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2A46BD19"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4DEAE6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6DD48393"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Мигранти, участници с произход от друга държава, малцинства (включително маргинализирани общности като ромите)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CC8820D"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331E76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C86C9C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9F7F16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7F59F1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4E4190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DA20BA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3"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CA69A4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E7A6D7D" w14:textId="4700E9F4" w:rsidR="00B54C34" w:rsidRPr="007D063B" w:rsidRDefault="00B54C34" w:rsidP="002532DC">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532DC" w:rsidRPr="007D063B">
              <w:rPr>
                <w:rFonts w:ascii="Times New Roman" w:eastAsia="Times New Roman" w:hAnsi="Times New Roman" w:cs="Times New Roman"/>
                <w:color w:val="000000"/>
                <w:sz w:val="24"/>
                <w:szCs w:val="24"/>
                <w:lang w:eastAsia="bg-BG"/>
              </w:rPr>
              <w:t>0</w:t>
            </w:r>
          </w:p>
        </w:tc>
        <w:tc>
          <w:tcPr>
            <w:tcW w:w="26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9C7355F" w14:textId="7B19E2E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532DC" w:rsidRPr="007D063B">
              <w:rPr>
                <w:rFonts w:ascii="Times New Roman" w:eastAsia="Times New Roman" w:hAnsi="Times New Roman" w:cs="Times New Roman"/>
                <w:color w:val="000000"/>
                <w:sz w:val="24"/>
                <w:szCs w:val="24"/>
                <w:lang w:eastAsia="bg-BG"/>
              </w:rPr>
              <w:t>1</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A5732A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E3E68B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B44E61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D3CBD0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E2B9A5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9CDDB2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95DE45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20E217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326CB1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24A0AA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D882FB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C9C5BE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57E522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A22ACF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F5135F2" w14:textId="54DDE933" w:rsidR="00B54C34" w:rsidRPr="007D063B" w:rsidRDefault="00B54C34" w:rsidP="00BE07A6">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532DC" w:rsidRPr="007D063B">
              <w:rPr>
                <w:rFonts w:ascii="Times New Roman" w:eastAsia="Times New Roman" w:hAnsi="Times New Roman" w:cs="Times New Roman"/>
                <w:color w:val="000000"/>
                <w:sz w:val="24"/>
                <w:szCs w:val="24"/>
                <w:lang w:eastAsia="bg-BG"/>
              </w:rPr>
              <w:t>1</w:t>
            </w:r>
          </w:p>
        </w:tc>
        <w:tc>
          <w:tcPr>
            <w:tcW w:w="15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98F7F0D" w14:textId="3EAF5B5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61" w:type="pct"/>
            <w:gridSpan w:val="2"/>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109CC32" w14:textId="60481A8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002532DC" w:rsidRPr="007D063B">
              <w:rPr>
                <w:rFonts w:ascii="Times New Roman" w:eastAsia="Times New Roman" w:hAnsi="Times New Roman" w:cs="Times New Roman"/>
                <w:color w:val="000000"/>
                <w:sz w:val="24"/>
                <w:szCs w:val="24"/>
                <w:lang w:eastAsia="bg-BG"/>
              </w:rPr>
              <w:t>1</w:t>
            </w:r>
          </w:p>
        </w:tc>
        <w:tc>
          <w:tcPr>
            <w:tcW w:w="17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5FEB7606" w14:textId="1E10BAE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671BB88B" w14:textId="1C84648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2D8389B5" w14:textId="3BE04A3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261A1A7E" w14:textId="77777777" w:rsidTr="00EA3AA2">
        <w:tblPrEx>
          <w:tblBorders>
            <w:top w:val="single" w:sz="6" w:space="0" w:color="000000"/>
            <w:left w:val="single" w:sz="6" w:space="0" w:color="000000"/>
            <w:bottom w:val="single" w:sz="6" w:space="0" w:color="000000"/>
            <w:right w:val="single" w:sz="6" w:space="0" w:color="000000"/>
          </w:tblBorders>
        </w:tblPrEx>
        <w:trPr>
          <w:trHeight w:val="714"/>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D1217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4FFE2467"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Мигранти, участници с произход от друга държава, малцинства (включително маргинализирани общности като ромите)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63C77096"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371D4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6B377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23C724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F8ECA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F9B9AD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F90BBD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E822F3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5A5F9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6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1130F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79148A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B9D1A5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508561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DCA6E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FC866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BCC8A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6A811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E721B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04C1C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8A721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46C54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0BED9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A7ADA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BBD9EA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4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7D703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B46191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61" w:type="pct"/>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B3D428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7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282EE1B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299699E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119BEE8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35A7C969"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27713C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10C2A374" w14:textId="77777777" w:rsidR="00EA3AA2" w:rsidRPr="007D063B" w:rsidRDefault="00EA3AA2" w:rsidP="00450FF1">
            <w:pPr>
              <w:spacing w:before="60" w:after="60" w:line="240" w:lineRule="auto"/>
              <w:rPr>
                <w:rFonts w:ascii="Times New Roman" w:eastAsia="Times New Roman" w:hAnsi="Times New Roman" w:cs="Times New Roman"/>
                <w:b/>
                <w:bCs/>
                <w:i/>
                <w:iCs/>
                <w:color w:val="000000"/>
                <w:sz w:val="16"/>
                <w:szCs w:val="16"/>
                <w:lang w:eastAsia="bg-BG"/>
              </w:rPr>
            </w:pPr>
          </w:p>
          <w:p w14:paraId="642DFD02" w14:textId="77777777" w:rsidR="00EA3AA2" w:rsidRPr="007D063B" w:rsidRDefault="00EA3AA2" w:rsidP="00450FF1">
            <w:pPr>
              <w:spacing w:before="60" w:after="60" w:line="240" w:lineRule="auto"/>
              <w:rPr>
                <w:rFonts w:ascii="Times New Roman" w:eastAsia="Times New Roman" w:hAnsi="Times New Roman" w:cs="Times New Roman"/>
                <w:b/>
                <w:bCs/>
                <w:i/>
                <w:iCs/>
                <w:color w:val="000000"/>
                <w:sz w:val="16"/>
                <w:szCs w:val="16"/>
                <w:lang w:eastAsia="bg-BG"/>
              </w:rPr>
            </w:pPr>
          </w:p>
          <w:p w14:paraId="3D3DFE53" w14:textId="16054B7F"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с увреждания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4E477A5" w14:textId="77777777" w:rsidR="00EA3AA2" w:rsidRPr="007D063B" w:rsidRDefault="00EA3AA2" w:rsidP="00450FF1">
            <w:pPr>
              <w:spacing w:before="60" w:after="60" w:line="240" w:lineRule="auto"/>
              <w:rPr>
                <w:rFonts w:ascii="Times New Roman" w:eastAsia="Times New Roman" w:hAnsi="Times New Roman" w:cs="Times New Roman"/>
                <w:b/>
                <w:bCs/>
                <w:i/>
                <w:iCs/>
                <w:color w:val="000000"/>
                <w:sz w:val="16"/>
                <w:szCs w:val="16"/>
                <w:lang w:eastAsia="bg-BG"/>
              </w:rPr>
            </w:pPr>
          </w:p>
          <w:p w14:paraId="17EDFFAF" w14:textId="77777777" w:rsidR="00EA3AA2" w:rsidRPr="007D063B" w:rsidRDefault="00EA3AA2" w:rsidP="00450FF1">
            <w:pPr>
              <w:spacing w:before="60" w:after="60" w:line="240" w:lineRule="auto"/>
              <w:rPr>
                <w:rFonts w:ascii="Times New Roman" w:eastAsia="Times New Roman" w:hAnsi="Times New Roman" w:cs="Times New Roman"/>
                <w:b/>
                <w:bCs/>
                <w:i/>
                <w:iCs/>
                <w:color w:val="000000"/>
                <w:sz w:val="16"/>
                <w:szCs w:val="16"/>
                <w:lang w:eastAsia="bg-BG"/>
              </w:rPr>
            </w:pPr>
          </w:p>
          <w:p w14:paraId="0E5291DE" w14:textId="0BCECF29"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0B2B1B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219168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p w14:paraId="699B92B1" w14:textId="77777777" w:rsidR="00EA3AA2" w:rsidRPr="007D063B" w:rsidRDefault="00EA3AA2" w:rsidP="00450FF1">
            <w:pPr>
              <w:spacing w:before="120" w:after="0" w:line="240" w:lineRule="auto"/>
              <w:jc w:val="both"/>
              <w:rPr>
                <w:rFonts w:ascii="Times New Roman" w:eastAsia="Times New Roman" w:hAnsi="Times New Roman" w:cs="Times New Roman"/>
                <w:color w:val="000000"/>
                <w:sz w:val="24"/>
                <w:szCs w:val="24"/>
                <w:lang w:eastAsia="bg-BG"/>
              </w:rPr>
            </w:pPr>
          </w:p>
          <w:p w14:paraId="32587892" w14:textId="1781CCD4" w:rsidR="00EA3AA2" w:rsidRPr="007D063B" w:rsidRDefault="00EA3AA2"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71650A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A77B4BA" w14:textId="77777777" w:rsidR="00EA3AA2"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p w14:paraId="7E201749" w14:textId="1057918E"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54738F5" w14:textId="77777777" w:rsidR="00EA3AA2" w:rsidRPr="007D063B" w:rsidRDefault="00EA3AA2" w:rsidP="00450FF1">
            <w:pPr>
              <w:spacing w:before="120" w:after="0" w:line="240" w:lineRule="auto"/>
              <w:jc w:val="both"/>
              <w:rPr>
                <w:rFonts w:ascii="Times New Roman" w:eastAsia="Times New Roman" w:hAnsi="Times New Roman" w:cs="Times New Roman"/>
                <w:color w:val="000000"/>
                <w:sz w:val="24"/>
                <w:szCs w:val="24"/>
                <w:lang w:eastAsia="bg-BG"/>
              </w:rPr>
            </w:pPr>
          </w:p>
          <w:p w14:paraId="302A53D1" w14:textId="2D5D09A1"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AD1211F" w14:textId="77777777" w:rsidR="00EA3AA2"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p w14:paraId="62DE3BFC" w14:textId="7860F62D"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153"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B124BE9" w14:textId="77777777" w:rsidR="00EA3AA2"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p w14:paraId="02B02232" w14:textId="03F0770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1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BFCAA51" w14:textId="77777777" w:rsidR="00EA3AA2"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p w14:paraId="3A1C7E01" w14:textId="47F70EB9" w:rsidR="00B54C34" w:rsidRPr="007D063B" w:rsidRDefault="007E37EB"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1</w:t>
            </w:r>
          </w:p>
        </w:tc>
        <w:tc>
          <w:tcPr>
            <w:tcW w:w="26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6A42B83" w14:textId="77777777" w:rsidR="00EA3AA2" w:rsidRPr="007D063B" w:rsidRDefault="00EA3AA2" w:rsidP="00450FF1">
            <w:pPr>
              <w:spacing w:before="120" w:after="0" w:line="240" w:lineRule="auto"/>
              <w:jc w:val="both"/>
              <w:rPr>
                <w:rFonts w:ascii="Times New Roman" w:eastAsia="Times New Roman" w:hAnsi="Times New Roman" w:cs="Times New Roman"/>
                <w:color w:val="000000"/>
                <w:sz w:val="24"/>
                <w:szCs w:val="24"/>
                <w:lang w:eastAsia="bg-BG"/>
              </w:rPr>
            </w:pPr>
          </w:p>
          <w:p w14:paraId="721ABBC9" w14:textId="571EE0D5" w:rsidR="00B54C34" w:rsidRPr="007D063B" w:rsidRDefault="007E37EB"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3</w:t>
            </w:r>
            <w:r w:rsidR="00B54C34"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6A3138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931895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C6EEA9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62B1CE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F0035D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61E38E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0788C9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BB664E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F4AE3C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7109FD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3D1839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7B28C2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7B6980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2F2BCF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812DCA9" w14:textId="77777777" w:rsidR="00EA3AA2" w:rsidRPr="007D063B" w:rsidRDefault="00B54C34" w:rsidP="003C15B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p w14:paraId="15488F66" w14:textId="73261C26" w:rsidR="00B54C34" w:rsidRPr="007D063B" w:rsidRDefault="003C15B9" w:rsidP="003C15B9">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4</w:t>
            </w:r>
          </w:p>
        </w:tc>
        <w:tc>
          <w:tcPr>
            <w:tcW w:w="15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719C449" w14:textId="77777777" w:rsidR="00EA3AA2"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p w14:paraId="1BB207F6" w14:textId="26A806CE" w:rsidR="00B54C34" w:rsidRPr="007D063B" w:rsidRDefault="003C15B9"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1</w:t>
            </w:r>
          </w:p>
        </w:tc>
        <w:tc>
          <w:tcPr>
            <w:tcW w:w="161" w:type="pct"/>
            <w:gridSpan w:val="2"/>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C4B87E4" w14:textId="77777777" w:rsidR="00EA3AA2"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p w14:paraId="17E81BEC" w14:textId="528BE7E1" w:rsidR="00B54C34" w:rsidRPr="007D063B" w:rsidRDefault="003C15B9"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3</w:t>
            </w:r>
          </w:p>
        </w:tc>
        <w:tc>
          <w:tcPr>
            <w:tcW w:w="17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3E83DF03" w14:textId="45507D3E"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640F4B5B" w14:textId="576355AC"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39CAD706" w14:textId="24C882F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46D863BE"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0E69EE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2A6A007F"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с увреждания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FA1CB0D"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CF7789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D935B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3EF25B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86D52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7ABA2F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98A6B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14190E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B60CB8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6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B6BE8A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CA583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EA628B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775CBC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D185BF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8C696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B3312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071CEF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1D576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5AF18C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568EF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8B8740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748DF0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1A0F43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C6F38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4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9791EF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6A5C7E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61" w:type="pct"/>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0F3423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7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F3FE22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60D4493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B09824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1BF74950"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774A7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597073EC"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Други хора в неравностойно положение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A1C03AB"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FC5964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A2315D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F0A5A4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B357EC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E4E5CB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F485F1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3"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6755B3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F39F120" w14:textId="394F7840"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9475F" w:rsidRPr="007D063B">
              <w:rPr>
                <w:rFonts w:ascii="Times New Roman" w:eastAsia="Times New Roman" w:hAnsi="Times New Roman" w:cs="Times New Roman"/>
                <w:color w:val="000000"/>
                <w:sz w:val="24"/>
                <w:szCs w:val="24"/>
                <w:lang w:eastAsia="bg-BG"/>
              </w:rPr>
              <w:t>0</w:t>
            </w:r>
          </w:p>
        </w:tc>
        <w:tc>
          <w:tcPr>
            <w:tcW w:w="26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CE43AC9" w14:textId="74113CE5" w:rsidR="00B54C34" w:rsidRPr="007D063B" w:rsidRDefault="00FE5C3A"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AAFE2B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898B0E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4C7CA5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FAB24F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3B5965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8541D3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DF233A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FB56C7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E0F959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6EB3CD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98AD74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E72B03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0DE0E2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1D203E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0EB7F38" w14:textId="21FD841C" w:rsidR="00B54C34" w:rsidRPr="007D063B" w:rsidRDefault="00B54C34" w:rsidP="00E052E8">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57C4ED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161" w:type="pct"/>
            <w:gridSpan w:val="2"/>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CE8D96F" w14:textId="15C1FD3E"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7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7BEA368F" w14:textId="53B343DE"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633C17D7" w14:textId="6990DFB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136B71BE" w14:textId="1F3F6ADA"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28C2BF0A"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C439E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1AED794E"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Други хора в неравностойно положение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235375E3"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3DE430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0BF55C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74A065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E1EBA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F1B554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6A2F07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F0BCA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8168C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6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09E1AC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75EE7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34AA24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140489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A2CED8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8A0D10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C80890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14EEC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1985C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E2E580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2F3962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5D423F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673C33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215200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F7B4AF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4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7F8DBE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19CAE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61" w:type="pct"/>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8A7FA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7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5D4FDAD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5B8A8A1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6CE1AD5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2260A84D"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227A88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5679A207"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Бездомни или засегнати от изключване от жилищно настаняване</w:t>
            </w:r>
            <w:r w:rsidRPr="007D063B">
              <w:rPr>
                <w:rFonts w:ascii="Times New Roman" w:eastAsia="Times New Roman" w:hAnsi="Times New Roman" w:cs="Times New Roman"/>
                <w:b/>
                <w:bCs/>
                <w:color w:val="000000"/>
                <w:sz w:val="16"/>
                <w:szCs w:val="16"/>
                <w:lang w:eastAsia="bg-BG"/>
              </w:rPr>
              <w:t> </w:t>
            </w:r>
            <w:hyperlink r:id="rId40" w:anchor="ntr14-L_2015038BG.01007201-E0014" w:history="1">
              <w:r w:rsidRPr="007D063B">
                <w:rPr>
                  <w:rFonts w:ascii="Times New Roman" w:eastAsia="Times New Roman" w:hAnsi="Times New Roman" w:cs="Times New Roman"/>
                  <w:color w:val="0000FF"/>
                  <w:sz w:val="16"/>
                  <w:szCs w:val="16"/>
                  <w:u w:val="single"/>
                  <w:lang w:eastAsia="bg-BG"/>
                </w:rPr>
                <w:t> (</w:t>
              </w:r>
              <w:r w:rsidRPr="007D063B">
                <w:rPr>
                  <w:rFonts w:ascii="Times New Roman" w:eastAsia="Times New Roman" w:hAnsi="Times New Roman" w:cs="Times New Roman"/>
                  <w:color w:val="0000FF"/>
                  <w:sz w:val="16"/>
                  <w:szCs w:val="16"/>
                  <w:u w:val="single"/>
                  <w:vertAlign w:val="superscript"/>
                  <w:lang w:eastAsia="bg-BG"/>
                </w:rPr>
                <w:t>14</w:t>
              </w:r>
              <w:r w:rsidRPr="007D063B">
                <w:rPr>
                  <w:rFonts w:ascii="Times New Roman" w:eastAsia="Times New Roman" w:hAnsi="Times New Roman" w:cs="Times New Roman"/>
                  <w:color w:val="0000FF"/>
                  <w:sz w:val="16"/>
                  <w:szCs w:val="16"/>
                  <w:u w:val="single"/>
                  <w:lang w:eastAsia="bg-BG"/>
                </w:rPr>
                <w:t>)</w:t>
              </w:r>
            </w:hyperlink>
            <w:r w:rsidRPr="007D063B">
              <w:rPr>
                <w:rFonts w:ascii="Times New Roman" w:eastAsia="Times New Roman" w:hAnsi="Times New Roman" w:cs="Times New Roman"/>
                <w:b/>
                <w:bCs/>
                <w:i/>
                <w:iCs/>
                <w:color w:val="000000"/>
                <w:sz w:val="16"/>
                <w:szCs w:val="16"/>
                <w:lang w:eastAsia="bg-BG"/>
              </w:rPr>
              <w:t>(ЕСФ)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349D5F7"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2A21C0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01A145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38AC7E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E2416F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9924CC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C989E7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3"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6037D1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EE3AB8F" w14:textId="66581F8A"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E126E2" w:rsidRPr="007D063B">
              <w:rPr>
                <w:rFonts w:ascii="Times New Roman" w:eastAsia="Times New Roman" w:hAnsi="Times New Roman" w:cs="Times New Roman"/>
                <w:color w:val="000000"/>
                <w:sz w:val="24"/>
                <w:szCs w:val="24"/>
                <w:lang w:eastAsia="bg-BG"/>
              </w:rPr>
              <w:t>0</w:t>
            </w:r>
          </w:p>
        </w:tc>
        <w:tc>
          <w:tcPr>
            <w:tcW w:w="26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F39679E" w14:textId="5DBED3E3" w:rsidR="00B54C34" w:rsidRPr="007D063B" w:rsidRDefault="00E126E2"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r w:rsidR="00B54C34"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848C3A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A85F04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F5F7FC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DB5C0A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0AD55F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4C873A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90A602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E16B95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8D01E6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32B6EA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4409B3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D90513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487C36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7612BC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5D847F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54D485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61" w:type="pct"/>
            <w:gridSpan w:val="2"/>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0DDE0C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7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6B0495E5" w14:textId="72B74D2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29F7521A" w14:textId="076082BE"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1015761B" w14:textId="1FD2BD5D"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53D04EBA"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125582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40B4BE1E"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Бездомни или засегнати от изключване от жилищно настаняване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70EE63D4"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478C18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A598F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6EACAD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73BAD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AD4DC0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0991F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30BA7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6F5BF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6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C2938E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77D12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9F8E9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B2E5DB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CCE496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0E24A3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446AF8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C8655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E4CDB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B3C84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01748D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8528CB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1EE1BA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A8C71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E99D8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4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4D59C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678F17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61" w:type="pct"/>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8D35BF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7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3F7BB30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078FD20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3379697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10611EF0"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69148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4F447806"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Лица, които живеят в селските райони</w:t>
            </w:r>
            <w:hyperlink r:id="rId41" w:anchor="ntr14-L_2015038BG.01007201-E0014" w:history="1">
              <w:r w:rsidRPr="007D063B">
                <w:rPr>
                  <w:rFonts w:ascii="Times New Roman" w:eastAsia="Times New Roman" w:hAnsi="Times New Roman" w:cs="Times New Roman"/>
                  <w:color w:val="0000FF"/>
                  <w:sz w:val="16"/>
                  <w:szCs w:val="16"/>
                  <w:u w:val="single"/>
                  <w:lang w:eastAsia="bg-BG"/>
                </w:rPr>
                <w:t> (</w:t>
              </w:r>
              <w:r w:rsidRPr="007D063B">
                <w:rPr>
                  <w:rFonts w:ascii="Times New Roman" w:eastAsia="Times New Roman" w:hAnsi="Times New Roman" w:cs="Times New Roman"/>
                  <w:color w:val="0000FF"/>
                  <w:sz w:val="16"/>
                  <w:szCs w:val="16"/>
                  <w:u w:val="single"/>
                  <w:vertAlign w:val="superscript"/>
                  <w:lang w:eastAsia="bg-BG"/>
                </w:rPr>
                <w:t>14</w:t>
              </w:r>
              <w:r w:rsidRPr="007D063B">
                <w:rPr>
                  <w:rFonts w:ascii="Times New Roman" w:eastAsia="Times New Roman" w:hAnsi="Times New Roman" w:cs="Times New Roman"/>
                  <w:color w:val="0000FF"/>
                  <w:sz w:val="16"/>
                  <w:szCs w:val="16"/>
                  <w:u w:val="single"/>
                  <w:lang w:eastAsia="bg-BG"/>
                </w:rPr>
                <w:t>)</w:t>
              </w:r>
            </w:hyperlink>
            <w:r w:rsidRPr="007D063B">
              <w:rPr>
                <w:rFonts w:ascii="Times New Roman" w:eastAsia="Times New Roman" w:hAnsi="Times New Roman" w:cs="Times New Roman"/>
                <w:color w:val="000000"/>
                <w:sz w:val="16"/>
                <w:szCs w:val="16"/>
                <w:lang w:eastAsia="bg-BG"/>
              </w:rPr>
              <w:t> </w:t>
            </w:r>
            <w:r w:rsidRPr="007D063B">
              <w:rPr>
                <w:rFonts w:ascii="Times New Roman" w:eastAsia="Times New Roman" w:hAnsi="Times New Roman" w:cs="Times New Roman"/>
                <w:b/>
                <w:bCs/>
                <w:i/>
                <w:iCs/>
                <w:color w:val="000000"/>
                <w:sz w:val="16"/>
                <w:szCs w:val="16"/>
                <w:lang w:eastAsia="bg-BG"/>
              </w:rPr>
              <w:t>(ЕСФ)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0BD4C09"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91A9E2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D332B4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F10BB4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FEC92B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1C64C9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0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F75980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3"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D55DD1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5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210B7EB" w14:textId="5BFDF85E"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E126E2" w:rsidRPr="007D063B">
              <w:rPr>
                <w:rFonts w:ascii="Times New Roman" w:eastAsia="Times New Roman" w:hAnsi="Times New Roman" w:cs="Times New Roman"/>
                <w:color w:val="000000"/>
                <w:sz w:val="24"/>
                <w:szCs w:val="24"/>
                <w:lang w:eastAsia="bg-BG"/>
              </w:rPr>
              <w:t>21</w:t>
            </w:r>
          </w:p>
        </w:tc>
        <w:tc>
          <w:tcPr>
            <w:tcW w:w="26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66C7B0D" w14:textId="35264FE5" w:rsidR="00B54C34" w:rsidRPr="007D063B" w:rsidRDefault="00E126E2"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64</w:t>
            </w:r>
            <w:r w:rsidR="00B54C34"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AB982E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9DFC84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9146A3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F3BD94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60B916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4D6B62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C16A87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C48F2A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592F22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161709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228BB8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FAE004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14CA6E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6"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4AB342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6FD506E" w14:textId="24510E5A" w:rsidR="00B54C34" w:rsidRPr="007D063B" w:rsidRDefault="00B54C34" w:rsidP="00DF22D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DF22D1" w:rsidRPr="007D063B">
              <w:rPr>
                <w:rFonts w:ascii="Times New Roman" w:eastAsia="Times New Roman" w:hAnsi="Times New Roman" w:cs="Times New Roman"/>
                <w:color w:val="000000"/>
                <w:sz w:val="24"/>
                <w:szCs w:val="24"/>
                <w:lang w:eastAsia="bg-BG"/>
              </w:rPr>
              <w:t>85</w:t>
            </w:r>
          </w:p>
        </w:tc>
        <w:tc>
          <w:tcPr>
            <w:tcW w:w="15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F035AA2" w14:textId="54A06903" w:rsidR="00B54C34" w:rsidRPr="007D063B" w:rsidRDefault="00B54C34" w:rsidP="00DF22D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DF22D1" w:rsidRPr="007D063B">
              <w:rPr>
                <w:rFonts w:ascii="Times New Roman" w:eastAsia="Times New Roman" w:hAnsi="Times New Roman" w:cs="Times New Roman"/>
                <w:color w:val="000000"/>
                <w:sz w:val="24"/>
                <w:szCs w:val="24"/>
                <w:lang w:eastAsia="bg-BG"/>
              </w:rPr>
              <w:t>21</w:t>
            </w:r>
          </w:p>
        </w:tc>
        <w:tc>
          <w:tcPr>
            <w:tcW w:w="161" w:type="pct"/>
            <w:gridSpan w:val="2"/>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EB8EE6A" w14:textId="28E97B85" w:rsidR="00B54C34" w:rsidRPr="007D063B" w:rsidRDefault="00B54C34" w:rsidP="00E052E8">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DF22D1" w:rsidRPr="007D063B">
              <w:rPr>
                <w:rFonts w:ascii="Times New Roman" w:eastAsia="Times New Roman" w:hAnsi="Times New Roman" w:cs="Times New Roman"/>
                <w:color w:val="000000"/>
                <w:sz w:val="24"/>
                <w:szCs w:val="24"/>
                <w:lang w:eastAsia="bg-BG"/>
              </w:rPr>
              <w:t>64</w:t>
            </w:r>
          </w:p>
        </w:tc>
        <w:tc>
          <w:tcPr>
            <w:tcW w:w="17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579F3232" w14:textId="20347895"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11559244" w14:textId="39107F34"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2"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1AD8F5F9" w14:textId="3E0AAA5E"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6A11E431"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EC899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25686797"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Лица, които живеят в селските райони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315AC2A1"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1E96BD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DBBAC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9A292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F2AD16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B05AD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099148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BB5BB5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5E0BDD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6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9DFB4A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622327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8F6401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A04A14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ACA14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B3CAF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F7EBCC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C1CDD9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A6E6FC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9C40C4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117BC7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6A6BFD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1A1F9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33B2CE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035E76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4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EFBBD6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5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9CECF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61" w:type="pct"/>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13C50F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7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1FC0B1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7D437ED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2"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21663BD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1D6F88" w:rsidRPr="007D063B" w14:paraId="72BC0951"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B6C242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0EB3219E"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Брой проекти, изцяло или частично изпълнявани от социални партньори или НПО</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091D6825"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303"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830FA54" w14:textId="0B5FA40B" w:rsidR="00B54C34" w:rsidRPr="007D063B" w:rsidRDefault="00B54C34" w:rsidP="00695C9F">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95C9F" w:rsidRPr="007D063B">
              <w:rPr>
                <w:rFonts w:ascii="Times New Roman" w:eastAsia="Times New Roman" w:hAnsi="Times New Roman" w:cs="Times New Roman"/>
                <w:color w:val="000000"/>
                <w:sz w:val="24"/>
                <w:szCs w:val="24"/>
                <w:lang w:eastAsia="bg-BG"/>
              </w:rPr>
              <w:t>5</w:t>
            </w:r>
            <w:r w:rsidRPr="007D063B">
              <w:rPr>
                <w:rFonts w:ascii="Times New Roman" w:eastAsia="Times New Roman" w:hAnsi="Times New Roman" w:cs="Times New Roman"/>
                <w:color w:val="000000"/>
                <w:sz w:val="24"/>
                <w:szCs w:val="24"/>
                <w:lang w:eastAsia="bg-BG"/>
              </w:rPr>
              <w:t>0</w:t>
            </w:r>
          </w:p>
        </w:tc>
        <w:tc>
          <w:tcPr>
            <w:tcW w:w="20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A004CC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54"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88DFCC2" w14:textId="2775D359"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31E2C" w:rsidRPr="007D063B">
              <w:rPr>
                <w:rFonts w:ascii="Times New Roman" w:eastAsia="Times New Roman" w:hAnsi="Times New Roman" w:cs="Times New Roman"/>
                <w:color w:val="000000"/>
                <w:sz w:val="24"/>
                <w:szCs w:val="24"/>
                <w:lang w:eastAsia="bg-BG"/>
              </w:rPr>
              <w:t>0</w:t>
            </w:r>
          </w:p>
        </w:tc>
        <w:tc>
          <w:tcPr>
            <w:tcW w:w="417"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A265421" w14:textId="6E39C3C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31E2C" w:rsidRPr="007D063B">
              <w:rPr>
                <w:rFonts w:ascii="Times New Roman" w:eastAsia="Times New Roman" w:hAnsi="Times New Roman" w:cs="Times New Roman"/>
                <w:color w:val="000000"/>
                <w:sz w:val="24"/>
                <w:szCs w:val="24"/>
                <w:lang w:eastAsia="bg-BG"/>
              </w:rPr>
              <w:t>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B762B9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F72084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4B48B3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D4EC89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272982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1450D8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6125C93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6" w:type="pct"/>
            <w:tcBorders>
              <w:top w:val="single" w:sz="6" w:space="0" w:color="000000"/>
              <w:left w:val="single" w:sz="6" w:space="0" w:color="000000"/>
              <w:bottom w:val="single" w:sz="6" w:space="0" w:color="000000"/>
              <w:right w:val="single" w:sz="6" w:space="0" w:color="000000"/>
            </w:tcBorders>
            <w:shd w:val="clear" w:color="auto" w:fill="FFFFFF"/>
            <w:hideMark/>
          </w:tcPr>
          <w:p w14:paraId="01A4370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3DF629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14:paraId="7BD6991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r>
      <w:tr w:rsidR="00241A90" w:rsidRPr="007D063B" w14:paraId="5BAEF69A"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2BE57B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4B371776"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Брой проекти, посветени на трайното участие и напредъка на жените в заетостта</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1B8BF4DE"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303"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33DAAC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0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FCEAFF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54"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740D492" w14:textId="3918062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31E2C" w:rsidRPr="007D063B">
              <w:rPr>
                <w:rFonts w:ascii="Times New Roman" w:eastAsia="Times New Roman" w:hAnsi="Times New Roman" w:cs="Times New Roman"/>
                <w:color w:val="000000"/>
                <w:sz w:val="24"/>
                <w:szCs w:val="24"/>
                <w:lang w:eastAsia="bg-BG"/>
              </w:rPr>
              <w:t>0</w:t>
            </w:r>
          </w:p>
        </w:tc>
        <w:tc>
          <w:tcPr>
            <w:tcW w:w="417"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D27AFF8" w14:textId="69B0D8D0"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31E2C" w:rsidRPr="007D063B">
              <w:rPr>
                <w:rFonts w:ascii="Times New Roman" w:eastAsia="Times New Roman" w:hAnsi="Times New Roman" w:cs="Times New Roman"/>
                <w:color w:val="000000"/>
                <w:sz w:val="24"/>
                <w:szCs w:val="24"/>
                <w:lang w:eastAsia="bg-BG"/>
              </w:rPr>
              <w:t>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696892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818384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43465A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92C40F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1C4E4E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98F1D7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226AD92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6" w:type="pct"/>
            <w:tcBorders>
              <w:top w:val="single" w:sz="6" w:space="0" w:color="000000"/>
              <w:left w:val="single" w:sz="6" w:space="0" w:color="000000"/>
              <w:bottom w:val="single" w:sz="6" w:space="0" w:color="000000"/>
              <w:right w:val="single" w:sz="6" w:space="0" w:color="000000"/>
            </w:tcBorders>
            <w:shd w:val="clear" w:color="auto" w:fill="FFFFFF"/>
            <w:hideMark/>
          </w:tcPr>
          <w:p w14:paraId="781A062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96B2DE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pct"/>
            <w:gridSpan w:val="4"/>
            <w:tcBorders>
              <w:top w:val="single" w:sz="6" w:space="0" w:color="000000"/>
              <w:left w:val="single" w:sz="6" w:space="0" w:color="000000"/>
              <w:bottom w:val="single" w:sz="6" w:space="0" w:color="000000"/>
              <w:right w:val="single" w:sz="6" w:space="0" w:color="000000"/>
            </w:tcBorders>
            <w:shd w:val="clear" w:color="auto" w:fill="FFFFFF"/>
          </w:tcPr>
          <w:p w14:paraId="3FCDF7FA" w14:textId="5C156E1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241A90" w:rsidRPr="007D063B" w14:paraId="2FA089D2"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237686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02AD3E4B"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Брой проекти, насочени към публичните администрации или публичните услуги на национално, регионално или местно равнище</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4B3B74EC"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303"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3016BF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0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89882C2" w14:textId="12AB182D"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31E2C" w:rsidRPr="007D063B">
              <w:rPr>
                <w:rFonts w:ascii="Times New Roman" w:eastAsia="Times New Roman" w:hAnsi="Times New Roman" w:cs="Times New Roman"/>
                <w:color w:val="000000"/>
                <w:sz w:val="24"/>
                <w:szCs w:val="24"/>
                <w:lang w:eastAsia="bg-BG"/>
              </w:rPr>
              <w:t>0</w:t>
            </w:r>
          </w:p>
        </w:tc>
        <w:tc>
          <w:tcPr>
            <w:tcW w:w="254"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DDD08A4" w14:textId="382C32F1"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31E2C" w:rsidRPr="007D063B">
              <w:rPr>
                <w:rFonts w:ascii="Times New Roman" w:eastAsia="Times New Roman" w:hAnsi="Times New Roman" w:cs="Times New Roman"/>
                <w:color w:val="000000"/>
                <w:sz w:val="24"/>
                <w:szCs w:val="24"/>
                <w:lang w:eastAsia="bg-BG"/>
              </w:rPr>
              <w:t>0</w:t>
            </w:r>
          </w:p>
        </w:tc>
        <w:tc>
          <w:tcPr>
            <w:tcW w:w="417"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3A17650" w14:textId="7094451A" w:rsidR="00B54C34" w:rsidRPr="007D063B" w:rsidRDefault="00922628" w:rsidP="00922628">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5</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444A2E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82AF2A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2AADB7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FB30B7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2CB07B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1F4705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985B60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6" w:type="pct"/>
            <w:tcBorders>
              <w:top w:val="single" w:sz="6" w:space="0" w:color="000000"/>
              <w:left w:val="single" w:sz="6" w:space="0" w:color="000000"/>
              <w:bottom w:val="single" w:sz="6" w:space="0" w:color="000000"/>
              <w:right w:val="single" w:sz="6" w:space="0" w:color="000000"/>
            </w:tcBorders>
            <w:shd w:val="clear" w:color="auto" w:fill="FFFFFF"/>
            <w:hideMark/>
          </w:tcPr>
          <w:p w14:paraId="39A52C3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09F477A" w14:textId="48A4EFD9" w:rsidR="00B54C34" w:rsidRPr="007D063B" w:rsidRDefault="00BA264F" w:rsidP="00922628">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5</w:t>
            </w:r>
          </w:p>
        </w:tc>
        <w:tc>
          <w:tcPr>
            <w:tcW w:w="427" w:type="pct"/>
            <w:gridSpan w:val="4"/>
            <w:tcBorders>
              <w:top w:val="single" w:sz="6" w:space="0" w:color="000000"/>
              <w:left w:val="single" w:sz="6" w:space="0" w:color="000000"/>
              <w:bottom w:val="single" w:sz="6" w:space="0" w:color="000000"/>
              <w:right w:val="single" w:sz="6" w:space="0" w:color="000000"/>
            </w:tcBorders>
            <w:shd w:val="clear" w:color="auto" w:fill="FFFFFF"/>
          </w:tcPr>
          <w:p w14:paraId="4985DDF3" w14:textId="498214E6" w:rsidR="00B54C34" w:rsidRPr="007D063B" w:rsidRDefault="00B54C34" w:rsidP="00BA264F">
            <w:pPr>
              <w:spacing w:before="120" w:after="0" w:line="240" w:lineRule="auto"/>
              <w:jc w:val="both"/>
              <w:rPr>
                <w:rFonts w:ascii="Times New Roman" w:eastAsia="Times New Roman" w:hAnsi="Times New Roman" w:cs="Times New Roman"/>
                <w:color w:val="000000"/>
                <w:sz w:val="24"/>
                <w:szCs w:val="24"/>
                <w:lang w:eastAsia="bg-BG"/>
              </w:rPr>
            </w:pPr>
          </w:p>
        </w:tc>
      </w:tr>
      <w:tr w:rsidR="00241A90" w:rsidRPr="007D063B" w14:paraId="7DB6B95B"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CD40F4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6" w:type="pct"/>
            <w:tcBorders>
              <w:top w:val="single" w:sz="6" w:space="0" w:color="000000"/>
              <w:left w:val="single" w:sz="6" w:space="0" w:color="000000"/>
              <w:bottom w:val="single" w:sz="6" w:space="0" w:color="000000"/>
              <w:right w:val="single" w:sz="6" w:space="0" w:color="000000"/>
            </w:tcBorders>
            <w:shd w:val="clear" w:color="auto" w:fill="FFFFFF"/>
            <w:hideMark/>
          </w:tcPr>
          <w:p w14:paraId="2E5A4C3E"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Брой на микро-, малките и средните подкрепени предприятия, (включително кооперативните предприятия и предприятията на социалната икономика)</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592BA443"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303"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A4991F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0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37121E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54"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62E2987" w14:textId="48CB3AE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31E2C" w:rsidRPr="007D063B">
              <w:rPr>
                <w:rFonts w:ascii="Times New Roman" w:eastAsia="Times New Roman" w:hAnsi="Times New Roman" w:cs="Times New Roman"/>
                <w:color w:val="000000"/>
                <w:sz w:val="24"/>
                <w:szCs w:val="24"/>
                <w:lang w:eastAsia="bg-BG"/>
              </w:rPr>
              <w:t>0</w:t>
            </w:r>
          </w:p>
        </w:tc>
        <w:tc>
          <w:tcPr>
            <w:tcW w:w="417"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3FC0A11" w14:textId="379FB7D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31E2C" w:rsidRPr="007D063B">
              <w:rPr>
                <w:rFonts w:ascii="Times New Roman" w:eastAsia="Times New Roman" w:hAnsi="Times New Roman" w:cs="Times New Roman"/>
                <w:color w:val="000000"/>
                <w:sz w:val="24"/>
                <w:szCs w:val="24"/>
                <w:lang w:eastAsia="bg-BG"/>
              </w:rPr>
              <w:t>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71B08D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32EF1B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AFB58C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78AF5E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908B70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E6230D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27F8121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6" w:type="pct"/>
            <w:tcBorders>
              <w:top w:val="single" w:sz="6" w:space="0" w:color="000000"/>
              <w:left w:val="single" w:sz="6" w:space="0" w:color="000000"/>
              <w:bottom w:val="single" w:sz="6" w:space="0" w:color="000000"/>
              <w:right w:val="single" w:sz="6" w:space="0" w:color="000000"/>
            </w:tcBorders>
            <w:shd w:val="clear" w:color="auto" w:fill="FFFFFF"/>
            <w:hideMark/>
          </w:tcPr>
          <w:p w14:paraId="72DA53A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CC8AF1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pct"/>
            <w:gridSpan w:val="4"/>
            <w:tcBorders>
              <w:top w:val="single" w:sz="6" w:space="0" w:color="000000"/>
              <w:left w:val="single" w:sz="6" w:space="0" w:color="000000"/>
              <w:bottom w:val="single" w:sz="6" w:space="0" w:color="000000"/>
              <w:right w:val="single" w:sz="6" w:space="0" w:color="000000"/>
            </w:tcBorders>
            <w:shd w:val="clear" w:color="auto" w:fill="FFFFFF"/>
          </w:tcPr>
          <w:p w14:paraId="79F31698" w14:textId="67DC740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1D6F88" w:rsidRPr="007D063B" w14:paraId="5876DDAA" w14:textId="77777777" w:rsidTr="002725A2">
        <w:tblPrEx>
          <w:tblBorders>
            <w:top w:val="single" w:sz="6" w:space="0" w:color="000000"/>
            <w:left w:val="single" w:sz="6" w:space="0" w:color="000000"/>
            <w:bottom w:val="single" w:sz="6" w:space="0" w:color="000000"/>
            <w:right w:val="single" w:sz="6" w:space="0" w:color="000000"/>
          </w:tblBorders>
        </w:tblPrEx>
        <w:trPr>
          <w:tblCellSpacing w:w="0" w:type="dxa"/>
        </w:trPr>
        <w:tc>
          <w:tcPr>
            <w:tcW w:w="959"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5F1C6E0"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Общ брой на участниците</w:t>
            </w:r>
            <w:r w:rsidRPr="007D063B">
              <w:rPr>
                <w:rFonts w:ascii="Times New Roman" w:eastAsia="Times New Roman" w:hAnsi="Times New Roman" w:cs="Times New Roman"/>
                <w:b/>
                <w:bCs/>
                <w:color w:val="000000"/>
                <w:sz w:val="16"/>
                <w:szCs w:val="16"/>
                <w:lang w:eastAsia="bg-BG"/>
              </w:rPr>
              <w:t> </w:t>
            </w:r>
            <w:hyperlink r:id="rId42" w:anchor="ntr15-L_2015038BG.01007201-E0015" w:history="1">
              <w:r w:rsidRPr="007D063B">
                <w:rPr>
                  <w:rFonts w:ascii="Times New Roman" w:eastAsia="Times New Roman" w:hAnsi="Times New Roman" w:cs="Times New Roman"/>
                  <w:color w:val="0000FF"/>
                  <w:sz w:val="16"/>
                  <w:szCs w:val="16"/>
                  <w:u w:val="single"/>
                  <w:lang w:eastAsia="bg-BG"/>
                </w:rPr>
                <w:t> (</w:t>
              </w:r>
              <w:r w:rsidRPr="007D063B">
                <w:rPr>
                  <w:rFonts w:ascii="Times New Roman" w:eastAsia="Times New Roman" w:hAnsi="Times New Roman" w:cs="Times New Roman"/>
                  <w:color w:val="0000FF"/>
                  <w:sz w:val="16"/>
                  <w:szCs w:val="16"/>
                  <w:u w:val="single"/>
                  <w:vertAlign w:val="superscript"/>
                  <w:lang w:eastAsia="bg-BG"/>
                </w:rPr>
                <w:t>15</w:t>
              </w:r>
              <w:r w:rsidRPr="007D063B">
                <w:rPr>
                  <w:rFonts w:ascii="Times New Roman" w:eastAsia="Times New Roman" w:hAnsi="Times New Roman" w:cs="Times New Roman"/>
                  <w:color w:val="0000FF"/>
                  <w:sz w:val="16"/>
                  <w:szCs w:val="16"/>
                  <w:u w:val="single"/>
                  <w:lang w:eastAsia="bg-BG"/>
                </w:rPr>
                <w:t>)</w:t>
              </w:r>
            </w:hyperlink>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07677218" w14:textId="77777777" w:rsidR="00B54C34" w:rsidRPr="007D063B" w:rsidRDefault="00B54C34" w:rsidP="00450FF1">
            <w:pPr>
              <w:spacing w:before="60" w:after="60" w:line="240" w:lineRule="auto"/>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303"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690B9B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0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93187C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54"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C31F4FF" w14:textId="055C799E"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31E2C" w:rsidRPr="007D063B">
              <w:rPr>
                <w:rFonts w:ascii="Times New Roman" w:eastAsia="Times New Roman" w:hAnsi="Times New Roman" w:cs="Times New Roman"/>
                <w:color w:val="000000"/>
                <w:sz w:val="24"/>
                <w:szCs w:val="24"/>
                <w:lang w:eastAsia="bg-BG"/>
              </w:rPr>
              <w:t>0</w:t>
            </w:r>
          </w:p>
        </w:tc>
        <w:tc>
          <w:tcPr>
            <w:tcW w:w="417"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390941B" w14:textId="18ED539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80724B" w:rsidRPr="007D063B">
              <w:rPr>
                <w:rFonts w:ascii="Times New Roman" w:eastAsia="Times New Roman" w:hAnsi="Times New Roman" w:cs="Times New Roman"/>
                <w:color w:val="000000"/>
                <w:sz w:val="24"/>
                <w:szCs w:val="24"/>
                <w:lang w:eastAsia="bg-BG"/>
              </w:rPr>
              <w:t>536</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C8EB5D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9E3A1E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CC6BA6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EE94CE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737BA5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FF5857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290CD2A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6" w:type="pct"/>
            <w:tcBorders>
              <w:top w:val="single" w:sz="6" w:space="0" w:color="000000"/>
              <w:left w:val="single" w:sz="6" w:space="0" w:color="000000"/>
              <w:bottom w:val="single" w:sz="6" w:space="0" w:color="000000"/>
              <w:right w:val="single" w:sz="6" w:space="0" w:color="000000"/>
            </w:tcBorders>
            <w:shd w:val="clear" w:color="auto" w:fill="FFFFFF"/>
            <w:hideMark/>
          </w:tcPr>
          <w:p w14:paraId="6BF96C7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AC3D6DE" w14:textId="549A963A" w:rsidR="00B54C34" w:rsidRPr="007D063B" w:rsidRDefault="00B54C34" w:rsidP="0080724B">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80724B" w:rsidRPr="007D063B">
              <w:rPr>
                <w:rFonts w:ascii="Times New Roman" w:eastAsia="Times New Roman" w:hAnsi="Times New Roman" w:cs="Times New Roman"/>
                <w:color w:val="000000"/>
                <w:sz w:val="24"/>
                <w:szCs w:val="24"/>
                <w:lang w:eastAsia="bg-BG"/>
              </w:rPr>
              <w:t>536</w:t>
            </w:r>
          </w:p>
        </w:tc>
        <w:tc>
          <w:tcPr>
            <w:tcW w:w="427" w:type="pct"/>
            <w:gridSpan w:val="4"/>
            <w:tcBorders>
              <w:top w:val="single" w:sz="6" w:space="0" w:color="000000"/>
              <w:left w:val="single" w:sz="6" w:space="0" w:color="000000"/>
              <w:bottom w:val="single" w:sz="6" w:space="0" w:color="000000"/>
              <w:right w:val="single" w:sz="6" w:space="0" w:color="000000"/>
            </w:tcBorders>
            <w:shd w:val="clear" w:color="auto" w:fill="FFFFFF"/>
          </w:tcPr>
          <w:p w14:paraId="2616EC60" w14:textId="1E688FA0" w:rsidR="00B54C34" w:rsidRPr="007D063B" w:rsidRDefault="00B54C34" w:rsidP="00671F35">
            <w:pPr>
              <w:spacing w:before="120" w:after="0" w:line="240" w:lineRule="auto"/>
              <w:jc w:val="both"/>
              <w:rPr>
                <w:rFonts w:ascii="Times New Roman" w:eastAsia="Times New Roman" w:hAnsi="Times New Roman" w:cs="Times New Roman"/>
                <w:color w:val="000000"/>
                <w:sz w:val="24"/>
                <w:szCs w:val="24"/>
                <w:lang w:eastAsia="bg-BG"/>
              </w:rPr>
            </w:pPr>
          </w:p>
        </w:tc>
      </w:tr>
    </w:tbl>
    <w:p w14:paraId="6322A4D6" w14:textId="77777777" w:rsidR="00B54C34" w:rsidRPr="007D063B" w:rsidRDefault="00B54C34" w:rsidP="00B54C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bg-BG"/>
        </w:rPr>
      </w:pPr>
    </w:p>
    <w:p w14:paraId="431A9D07" w14:textId="77777777" w:rsidR="00B54C34" w:rsidRPr="007D063B" w:rsidRDefault="00B54C34" w:rsidP="00B54C34">
      <w:pPr>
        <w:rPr>
          <w:rFonts w:ascii="inherit" w:eastAsia="Times New Roman" w:hAnsi="inherit" w:cs="Times New Roman"/>
          <w:i/>
          <w:iCs/>
          <w:color w:val="000000"/>
          <w:sz w:val="24"/>
          <w:szCs w:val="24"/>
          <w:lang w:eastAsia="bg-BG"/>
        </w:rPr>
      </w:pPr>
      <w:r w:rsidRPr="007D063B">
        <w:rPr>
          <w:rFonts w:ascii="inherit" w:eastAsia="Times New Roman" w:hAnsi="inherit" w:cs="Times New Roman"/>
          <w:i/>
          <w:iCs/>
          <w:color w:val="000000"/>
          <w:sz w:val="24"/>
          <w:szCs w:val="24"/>
          <w:lang w:eastAsia="bg-BG"/>
        </w:rPr>
        <w:br w:type="page"/>
      </w:r>
    </w:p>
    <w:p w14:paraId="6F06F5F9" w14:textId="77777777" w:rsidR="00B54C34" w:rsidRPr="007D063B" w:rsidRDefault="00B54C34" w:rsidP="008F4050">
      <w:pPr>
        <w:pStyle w:val="Heading3"/>
        <w:jc w:val="center"/>
        <w:rPr>
          <w:rFonts w:ascii="Times New Roman" w:eastAsia="Times New Roman" w:hAnsi="Times New Roman" w:cs="Times New Roman"/>
          <w:color w:val="000000"/>
          <w:lang w:eastAsia="bg-BG"/>
        </w:rPr>
      </w:pPr>
      <w:bookmarkStart w:id="20" w:name="_Toc481594281"/>
      <w:r w:rsidRPr="007D063B">
        <w:rPr>
          <w:rFonts w:ascii="inherit" w:eastAsia="Times New Roman" w:hAnsi="inherit" w:cs="Times New Roman"/>
          <w:i/>
          <w:iCs/>
          <w:color w:val="000000"/>
          <w:lang w:eastAsia="bg-BG"/>
        </w:rPr>
        <w:lastRenderedPageBreak/>
        <w:t>Таблица 4Б</w:t>
      </w:r>
      <w:bookmarkEnd w:id="20"/>
    </w:p>
    <w:p w14:paraId="791748E4" w14:textId="77777777" w:rsidR="00B54C34" w:rsidRPr="007D063B" w:rsidRDefault="00B54C34" w:rsidP="00B54C34">
      <w:pPr>
        <w:shd w:val="clear" w:color="auto" w:fill="FFFFFF"/>
        <w:spacing w:before="120" w:after="120" w:line="240" w:lineRule="auto"/>
        <w:jc w:val="center"/>
        <w:rPr>
          <w:rFonts w:ascii="Times New Roman" w:eastAsia="Times New Roman" w:hAnsi="Times New Roman" w:cs="Times New Roman"/>
          <w:color w:val="000000"/>
          <w:sz w:val="24"/>
          <w:szCs w:val="24"/>
          <w:lang w:eastAsia="bg-BG"/>
        </w:rPr>
      </w:pPr>
      <w:r w:rsidRPr="007D063B">
        <w:rPr>
          <w:rFonts w:ascii="inherit" w:eastAsia="Times New Roman" w:hAnsi="inherit" w:cs="Times New Roman"/>
          <w:b/>
          <w:bCs/>
          <w:color w:val="000000"/>
          <w:sz w:val="24"/>
          <w:szCs w:val="24"/>
          <w:lang w:eastAsia="bg-BG"/>
        </w:rPr>
        <w:t>Общи специфични за програмата показатели за изпълнение за ЕСФ (по приоритетна ос, инвестиционен приоритет, категория регион; прилага се също така и за приоритетните оси за техническа помощ.) За инициативата за младежка заетост, за всяка приоритетна ос или част от нея не се изисква разделение по категория региони</w:t>
      </w:r>
      <w:r w:rsidRPr="007D063B">
        <w:rPr>
          <w:rFonts w:ascii="Times New Roman" w:eastAsia="Times New Roman" w:hAnsi="Times New Roman" w:cs="Times New Roman"/>
          <w:color w:val="000000"/>
          <w:sz w:val="24"/>
          <w:szCs w:val="24"/>
          <w:lang w:eastAsia="bg-BG"/>
        </w:rPr>
        <w:t> </w:t>
      </w:r>
      <w:hyperlink r:id="rId43" w:anchor="ntr16-L_2015038BG.01007201-E0016" w:history="1">
        <w:r w:rsidRPr="007D063B">
          <w:rPr>
            <w:rFonts w:ascii="inherit" w:eastAsia="Times New Roman" w:hAnsi="inherit" w:cs="Times New Roman"/>
            <w:color w:val="0000FF"/>
            <w:sz w:val="24"/>
            <w:szCs w:val="24"/>
            <w:u w:val="single"/>
            <w:lang w:eastAsia="bg-BG"/>
          </w:rPr>
          <w:t> (</w:t>
        </w:r>
        <w:r w:rsidRPr="007D063B">
          <w:rPr>
            <w:rFonts w:ascii="inherit" w:eastAsia="Times New Roman" w:hAnsi="inherit" w:cs="Times New Roman"/>
            <w:color w:val="0000FF"/>
            <w:sz w:val="17"/>
            <w:szCs w:val="17"/>
            <w:u w:val="single"/>
            <w:vertAlign w:val="superscript"/>
            <w:lang w:eastAsia="bg-BG"/>
          </w:rPr>
          <w:t>16</w:t>
        </w:r>
        <w:r w:rsidRPr="007D063B">
          <w:rPr>
            <w:rFonts w:ascii="inherit" w:eastAsia="Times New Roman" w:hAnsi="inherit" w:cs="Times New Roman"/>
            <w:color w:val="0000FF"/>
            <w:sz w:val="24"/>
            <w:szCs w:val="24"/>
            <w:u w:val="single"/>
            <w:lang w:eastAsia="bg-BG"/>
          </w:rPr>
          <w:t>)</w:t>
        </w:r>
      </w:hyperlink>
    </w:p>
    <w:p w14:paraId="0D54415A" w14:textId="77777777" w:rsidR="00B54C34" w:rsidRPr="007D063B" w:rsidRDefault="00B54C34" w:rsidP="00B54C34">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Инвестиционен приоритет:</w:t>
      </w:r>
    </w:p>
    <w:p w14:paraId="745BCA2C" w14:textId="56BFB111" w:rsidR="00B54C34" w:rsidRPr="007D063B" w:rsidRDefault="00631E2C" w:rsidP="00B54C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xml:space="preserve">Инвестиционен приоритет № 11 </w:t>
      </w:r>
      <w:r w:rsidRPr="007D063B">
        <w:rPr>
          <w:rFonts w:ascii="Times New Roman" w:eastAsia="Times New Roman" w:hAnsi="Times New Roman" w:cs="Times New Roman"/>
          <w:color w:val="000000"/>
          <w:sz w:val="24"/>
          <w:szCs w:val="24"/>
          <w:lang w:val="en-US" w:eastAsia="bg-BG"/>
        </w:rPr>
        <w:t>i</w:t>
      </w:r>
      <w:r w:rsidRPr="007D063B">
        <w:rPr>
          <w:rFonts w:ascii="Times New Roman" w:eastAsia="Times New Roman" w:hAnsi="Times New Roman" w:cs="Times New Roman"/>
          <w:color w:val="000000"/>
          <w:sz w:val="24"/>
          <w:szCs w:val="24"/>
          <w:lang w:eastAsia="bg-BG"/>
        </w:rPr>
        <w:t>: Инвестиции в институционален капацитет и в ефикасността на публичните администрации и публичните услуги на национално, регионално и местно равнище с цел осъществяването на реформи и постигането на по-добро регулиране и добро управление</w:t>
      </w:r>
    </w:p>
    <w:tbl>
      <w:tblPr>
        <w:tblW w:w="4971" w:type="pct"/>
        <w:tblCellSpacing w:w="0"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left w:w="0" w:type="dxa"/>
          <w:right w:w="0" w:type="dxa"/>
        </w:tblCellMar>
        <w:tblLook w:val="04A0" w:firstRow="1" w:lastRow="0" w:firstColumn="1" w:lastColumn="0" w:noHBand="0" w:noVBand="1"/>
      </w:tblPr>
      <w:tblGrid>
        <w:gridCol w:w="560"/>
        <w:gridCol w:w="1849"/>
        <w:gridCol w:w="852"/>
        <w:gridCol w:w="425"/>
        <w:gridCol w:w="724"/>
        <w:gridCol w:w="696"/>
        <w:gridCol w:w="568"/>
        <w:gridCol w:w="300"/>
        <w:gridCol w:w="154"/>
        <w:gridCol w:w="125"/>
        <w:gridCol w:w="30"/>
        <w:gridCol w:w="330"/>
        <w:gridCol w:w="154"/>
        <w:gridCol w:w="125"/>
        <w:gridCol w:w="30"/>
        <w:gridCol w:w="316"/>
        <w:gridCol w:w="93"/>
        <w:gridCol w:w="200"/>
        <w:gridCol w:w="30"/>
        <w:gridCol w:w="184"/>
        <w:gridCol w:w="226"/>
        <w:gridCol w:w="200"/>
        <w:gridCol w:w="30"/>
        <w:gridCol w:w="184"/>
        <w:gridCol w:w="226"/>
        <w:gridCol w:w="200"/>
        <w:gridCol w:w="30"/>
        <w:gridCol w:w="184"/>
        <w:gridCol w:w="226"/>
        <w:gridCol w:w="200"/>
        <w:gridCol w:w="30"/>
        <w:gridCol w:w="184"/>
        <w:gridCol w:w="226"/>
        <w:gridCol w:w="200"/>
        <w:gridCol w:w="30"/>
        <w:gridCol w:w="184"/>
        <w:gridCol w:w="226"/>
        <w:gridCol w:w="200"/>
        <w:gridCol w:w="30"/>
        <w:gridCol w:w="184"/>
        <w:gridCol w:w="226"/>
        <w:gridCol w:w="200"/>
        <w:gridCol w:w="30"/>
        <w:gridCol w:w="184"/>
        <w:gridCol w:w="226"/>
        <w:gridCol w:w="411"/>
        <w:gridCol w:w="448"/>
        <w:gridCol w:w="192"/>
        <w:gridCol w:w="166"/>
        <w:gridCol w:w="30"/>
        <w:gridCol w:w="648"/>
        <w:gridCol w:w="197"/>
        <w:gridCol w:w="21"/>
        <w:gridCol w:w="9"/>
        <w:gridCol w:w="20"/>
      </w:tblGrid>
      <w:tr w:rsidR="00B54C34" w:rsidRPr="007D063B" w14:paraId="7A6562FF" w14:textId="77777777" w:rsidTr="00E87518">
        <w:trPr>
          <w:gridAfter w:val="2"/>
          <w:wAfter w:w="29" w:type="dxa"/>
          <w:tblCellSpacing w:w="0" w:type="dxa"/>
        </w:trPr>
        <w:tc>
          <w:tcPr>
            <w:tcW w:w="561" w:type="dxa"/>
            <w:tcBorders>
              <w:top w:val="single" w:sz="6" w:space="0" w:color="000000"/>
              <w:left w:val="single" w:sz="6" w:space="0" w:color="000000"/>
              <w:bottom w:val="single" w:sz="6" w:space="0" w:color="000000"/>
              <w:right w:val="single" w:sz="6" w:space="0" w:color="000000"/>
            </w:tcBorders>
            <w:shd w:val="clear" w:color="auto" w:fill="FFFFFF"/>
            <w:hideMark/>
          </w:tcPr>
          <w:p w14:paraId="0067E7D5"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Идентификация</w:t>
            </w:r>
          </w:p>
        </w:tc>
        <w:tc>
          <w:tcPr>
            <w:tcW w:w="1849" w:type="dxa"/>
            <w:tcBorders>
              <w:top w:val="single" w:sz="6" w:space="0" w:color="000000"/>
              <w:left w:val="single" w:sz="6" w:space="0" w:color="000000"/>
              <w:bottom w:val="single" w:sz="6" w:space="0" w:color="000000"/>
              <w:right w:val="single" w:sz="6" w:space="0" w:color="000000"/>
            </w:tcBorders>
            <w:shd w:val="clear" w:color="auto" w:fill="FFFFFF"/>
            <w:hideMark/>
          </w:tcPr>
          <w:p w14:paraId="2D3594F2"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Показател (наименование на показателя)</w:t>
            </w:r>
          </w:p>
        </w:tc>
        <w:tc>
          <w:tcPr>
            <w:tcW w:w="852" w:type="dxa"/>
            <w:tcBorders>
              <w:top w:val="single" w:sz="6" w:space="0" w:color="000000"/>
              <w:left w:val="single" w:sz="6" w:space="0" w:color="000000"/>
              <w:bottom w:val="single" w:sz="6" w:space="0" w:color="000000"/>
              <w:right w:val="single" w:sz="6" w:space="0" w:color="000000"/>
            </w:tcBorders>
            <w:shd w:val="clear" w:color="auto" w:fill="FFFFFF"/>
            <w:hideMark/>
          </w:tcPr>
          <w:p w14:paraId="7B9FD517"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Категория региони (когато е уместно)</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DBEBF07"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Мерна единица</w:t>
            </w:r>
          </w:p>
        </w:tc>
        <w:tc>
          <w:tcPr>
            <w:tcW w:w="1988"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9B34A21"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Целева стойност (2023 г.)</w:t>
            </w:r>
          </w:p>
        </w:tc>
        <w:tc>
          <w:tcPr>
            <w:tcW w:w="579"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E2FC4FB"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2014</w:t>
            </w:r>
          </w:p>
        </w:tc>
        <w:tc>
          <w:tcPr>
            <w:tcW w:w="639"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19A4A7BA"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2015</w:t>
            </w:r>
          </w:p>
        </w:tc>
        <w:tc>
          <w:tcPr>
            <w:tcW w:w="639"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5CC35C8A"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2016</w:t>
            </w:r>
          </w:p>
        </w:tc>
        <w:tc>
          <w:tcPr>
            <w:tcW w:w="640"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4DC20F65"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2017</w:t>
            </w:r>
          </w:p>
        </w:tc>
        <w:tc>
          <w:tcPr>
            <w:tcW w:w="640"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28D579CC"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2018</w:t>
            </w:r>
          </w:p>
        </w:tc>
        <w:tc>
          <w:tcPr>
            <w:tcW w:w="640"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20AE545D"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2019</w:t>
            </w:r>
          </w:p>
        </w:tc>
        <w:tc>
          <w:tcPr>
            <w:tcW w:w="640"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5AE731AD"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2020</w:t>
            </w:r>
          </w:p>
        </w:tc>
        <w:tc>
          <w:tcPr>
            <w:tcW w:w="640"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72699508"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2021</w:t>
            </w:r>
          </w:p>
        </w:tc>
        <w:tc>
          <w:tcPr>
            <w:tcW w:w="640"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57875648"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2022</w:t>
            </w:r>
          </w:p>
        </w:tc>
        <w:tc>
          <w:tcPr>
            <w:tcW w:w="851"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7E05E417"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2023</w:t>
            </w:r>
          </w:p>
        </w:tc>
        <w:tc>
          <w:tcPr>
            <w:tcW w:w="806"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30C41B0"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Кумулативна стойност (автоматично изчислена)</w:t>
            </w:r>
          </w:p>
        </w:tc>
        <w:tc>
          <w:tcPr>
            <w:tcW w:w="896"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4840D62D"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Съотношение на постиженията</w:t>
            </w:r>
          </w:p>
        </w:tc>
      </w:tr>
      <w:tr w:rsidR="00B54C34" w:rsidRPr="007D063B" w14:paraId="2A6BD09E" w14:textId="77777777" w:rsidTr="00E87518">
        <w:trPr>
          <w:gridAfter w:val="2"/>
          <w:wAfter w:w="29" w:type="dxa"/>
          <w:tblCellSpacing w:w="0" w:type="dxa"/>
        </w:trPr>
        <w:tc>
          <w:tcPr>
            <w:tcW w:w="561" w:type="dxa"/>
            <w:tcBorders>
              <w:top w:val="single" w:sz="6" w:space="0" w:color="000000"/>
              <w:left w:val="single" w:sz="6" w:space="0" w:color="000000"/>
              <w:bottom w:val="single" w:sz="6" w:space="0" w:color="000000"/>
              <w:right w:val="single" w:sz="6" w:space="0" w:color="000000"/>
            </w:tcBorders>
            <w:shd w:val="clear" w:color="auto" w:fill="FFFFFF"/>
            <w:hideMark/>
          </w:tcPr>
          <w:p w14:paraId="1218E7C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1849" w:type="dxa"/>
            <w:tcBorders>
              <w:top w:val="single" w:sz="6" w:space="0" w:color="000000"/>
              <w:left w:val="single" w:sz="6" w:space="0" w:color="000000"/>
              <w:bottom w:val="single" w:sz="6" w:space="0" w:color="000000"/>
              <w:right w:val="single" w:sz="6" w:space="0" w:color="000000"/>
            </w:tcBorders>
            <w:shd w:val="clear" w:color="auto" w:fill="FFFFFF"/>
            <w:hideMark/>
          </w:tcPr>
          <w:p w14:paraId="6080F82A" w14:textId="77777777" w:rsidR="00B54C34" w:rsidRPr="007D063B" w:rsidRDefault="00B54C34" w:rsidP="00450FF1">
            <w:pPr>
              <w:spacing w:before="120" w:after="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852" w:type="dxa"/>
            <w:tcBorders>
              <w:top w:val="single" w:sz="6" w:space="0" w:color="000000"/>
              <w:left w:val="single" w:sz="6" w:space="0" w:color="000000"/>
              <w:bottom w:val="single" w:sz="6" w:space="0" w:color="000000"/>
              <w:right w:val="single" w:sz="6" w:space="0" w:color="000000"/>
            </w:tcBorders>
            <w:shd w:val="clear" w:color="auto" w:fill="FFFFFF"/>
            <w:hideMark/>
          </w:tcPr>
          <w:p w14:paraId="4EBD3D8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CEEF8F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88"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6D275DA" w14:textId="77777777" w:rsidR="00B54C34" w:rsidRPr="007D063B" w:rsidRDefault="00B54C34" w:rsidP="00450FF1">
            <w:pPr>
              <w:spacing w:before="120" w:after="0" w:line="240" w:lineRule="auto"/>
              <w:jc w:val="center"/>
              <w:rPr>
                <w:rFonts w:ascii="Times New Roman" w:hAnsi="Times New Roman" w:cs="Times New Roman"/>
                <w:sz w:val="16"/>
                <w:szCs w:val="16"/>
              </w:rPr>
            </w:pPr>
          </w:p>
        </w:tc>
        <w:tc>
          <w:tcPr>
            <w:tcW w:w="6548" w:type="dxa"/>
            <w:gridSpan w:val="39"/>
            <w:tcBorders>
              <w:top w:val="single" w:sz="6" w:space="0" w:color="000000"/>
              <w:left w:val="single" w:sz="6" w:space="0" w:color="000000"/>
              <w:bottom w:val="single" w:sz="6" w:space="0" w:color="000000"/>
              <w:right w:val="single" w:sz="6" w:space="0" w:color="000000"/>
            </w:tcBorders>
            <w:shd w:val="clear" w:color="auto" w:fill="FFFFFF"/>
            <w:hideMark/>
          </w:tcPr>
          <w:p w14:paraId="52FFD64E" w14:textId="77777777" w:rsidR="00B54C34" w:rsidRPr="007D063B" w:rsidRDefault="00B54C34" w:rsidP="00450FF1">
            <w:pPr>
              <w:spacing w:before="60" w:after="60" w:line="240" w:lineRule="auto"/>
              <w:ind w:right="195"/>
              <w:jc w:val="center"/>
              <w:rPr>
                <w:rFonts w:ascii="Times New Roman" w:hAnsi="Times New Roman" w:cs="Times New Roman"/>
                <w:sz w:val="16"/>
                <w:szCs w:val="16"/>
              </w:rPr>
            </w:pPr>
            <w:r w:rsidRPr="007D063B">
              <w:rPr>
                <w:rFonts w:ascii="Times New Roman" w:hAnsi="Times New Roman" w:cs="Times New Roman"/>
                <w:sz w:val="16"/>
                <w:szCs w:val="16"/>
              </w:rPr>
              <w:t>Годишна стойност</w:t>
            </w:r>
          </w:p>
        </w:tc>
        <w:tc>
          <w:tcPr>
            <w:tcW w:w="806"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BCD4B53" w14:textId="77777777" w:rsidR="00B54C34" w:rsidRPr="007D063B" w:rsidRDefault="00B54C34" w:rsidP="00450FF1">
            <w:pPr>
              <w:spacing w:before="120" w:after="0" w:line="240" w:lineRule="auto"/>
              <w:jc w:val="center"/>
              <w:rPr>
                <w:rFonts w:ascii="Times New Roman" w:hAnsi="Times New Roman" w:cs="Times New Roman"/>
                <w:sz w:val="16"/>
                <w:szCs w:val="16"/>
              </w:rPr>
            </w:pPr>
          </w:p>
        </w:tc>
        <w:tc>
          <w:tcPr>
            <w:tcW w:w="896"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4DCF7296" w14:textId="77777777" w:rsidR="00B54C34" w:rsidRPr="007D063B" w:rsidRDefault="00B54C34" w:rsidP="00450FF1">
            <w:pPr>
              <w:spacing w:before="120" w:after="0" w:line="240" w:lineRule="auto"/>
              <w:jc w:val="center"/>
              <w:rPr>
                <w:rFonts w:ascii="Times New Roman" w:hAnsi="Times New Roman" w:cs="Times New Roman"/>
                <w:sz w:val="16"/>
                <w:szCs w:val="16"/>
              </w:rPr>
            </w:pPr>
          </w:p>
        </w:tc>
      </w:tr>
      <w:tr w:rsidR="003B73DC" w:rsidRPr="007D063B" w14:paraId="22E3B177" w14:textId="77777777" w:rsidTr="00E87518">
        <w:tblPrEx>
          <w:tblBorders>
            <w:top w:val="single" w:sz="2" w:space="0" w:color="000000"/>
            <w:left w:val="single" w:sz="2" w:space="0" w:color="000000"/>
            <w:bottom w:val="single" w:sz="2" w:space="0" w:color="000000"/>
            <w:right w:val="single" w:sz="2" w:space="0" w:color="000000"/>
          </w:tblBorders>
        </w:tblPrEx>
        <w:trPr>
          <w:gridAfter w:val="1"/>
          <w:wAfter w:w="20" w:type="dxa"/>
          <w:tblCellSpacing w:w="0" w:type="dxa"/>
        </w:trPr>
        <w:tc>
          <w:tcPr>
            <w:tcW w:w="561" w:type="dxa"/>
            <w:tcBorders>
              <w:top w:val="single" w:sz="2" w:space="0" w:color="000000"/>
              <w:left w:val="single" w:sz="2" w:space="0" w:color="000000"/>
              <w:bottom w:val="single" w:sz="2" w:space="0" w:color="000000"/>
              <w:right w:val="single" w:sz="2" w:space="0" w:color="000000"/>
            </w:tcBorders>
            <w:shd w:val="clear" w:color="auto" w:fill="FFFFFF"/>
          </w:tcPr>
          <w:p w14:paraId="0397A01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CO20</w:t>
            </w:r>
          </w:p>
        </w:tc>
        <w:tc>
          <w:tcPr>
            <w:tcW w:w="1849" w:type="dxa"/>
            <w:tcBorders>
              <w:top w:val="single" w:sz="2" w:space="0" w:color="000000"/>
              <w:left w:val="single" w:sz="2" w:space="0" w:color="000000"/>
              <w:bottom w:val="single" w:sz="2" w:space="0" w:color="000000"/>
              <w:right w:val="single" w:sz="2" w:space="0" w:color="000000"/>
            </w:tcBorders>
            <w:shd w:val="clear" w:color="auto" w:fill="FFFFFF"/>
          </w:tcPr>
          <w:p w14:paraId="6AE5A703" w14:textId="6B34A3E6" w:rsidR="00B54C34" w:rsidRPr="007D063B" w:rsidRDefault="00B54C34" w:rsidP="00631E2C">
            <w:pPr>
              <w:spacing w:before="120" w:after="0" w:line="240" w:lineRule="auto"/>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 проекти, изцяло или частично изпълнени от социални партньори или неправителствени организации</w:t>
            </w:r>
          </w:p>
        </w:tc>
        <w:tc>
          <w:tcPr>
            <w:tcW w:w="852" w:type="dxa"/>
            <w:tcBorders>
              <w:top w:val="single" w:sz="2" w:space="0" w:color="000000"/>
              <w:left w:val="single" w:sz="2" w:space="0" w:color="000000"/>
              <w:bottom w:val="single" w:sz="2" w:space="0" w:color="000000"/>
              <w:right w:val="single" w:sz="2" w:space="0" w:color="000000"/>
            </w:tcBorders>
            <w:shd w:val="clear" w:color="auto" w:fill="FFFFFF"/>
          </w:tcPr>
          <w:p w14:paraId="07450652"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425" w:type="dxa"/>
            <w:tcBorders>
              <w:top w:val="single" w:sz="2" w:space="0" w:color="000000"/>
              <w:left w:val="single" w:sz="2" w:space="0" w:color="000000"/>
              <w:bottom w:val="single" w:sz="2" w:space="0" w:color="000000"/>
              <w:right w:val="single" w:sz="2" w:space="0" w:color="000000"/>
            </w:tcBorders>
            <w:shd w:val="clear" w:color="auto" w:fill="FFFFFF"/>
          </w:tcPr>
          <w:p w14:paraId="7E101E60"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Брой</w:t>
            </w:r>
          </w:p>
        </w:tc>
        <w:tc>
          <w:tcPr>
            <w:tcW w:w="724" w:type="dxa"/>
            <w:tcBorders>
              <w:top w:val="single" w:sz="2" w:space="0" w:color="000000"/>
              <w:left w:val="single" w:sz="2" w:space="0" w:color="000000"/>
              <w:bottom w:val="single" w:sz="2" w:space="0" w:color="000000"/>
              <w:right w:val="single" w:sz="2" w:space="0" w:color="000000"/>
            </w:tcBorders>
            <w:shd w:val="clear" w:color="auto" w:fill="FFFFFF"/>
          </w:tcPr>
          <w:p w14:paraId="4B6A379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50,00</w:t>
            </w:r>
          </w:p>
        </w:tc>
        <w:tc>
          <w:tcPr>
            <w:tcW w:w="696" w:type="dxa"/>
            <w:tcBorders>
              <w:top w:val="single" w:sz="2" w:space="0" w:color="000000"/>
              <w:left w:val="single" w:sz="2" w:space="0" w:color="000000"/>
              <w:bottom w:val="single" w:sz="2" w:space="0" w:color="000000"/>
              <w:right w:val="single" w:sz="2" w:space="0" w:color="000000"/>
            </w:tcBorders>
            <w:shd w:val="clear" w:color="auto" w:fill="FFFFFF"/>
          </w:tcPr>
          <w:p w14:paraId="44E4943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68" w:type="dxa"/>
            <w:tcBorders>
              <w:top w:val="single" w:sz="2" w:space="0" w:color="000000"/>
              <w:left w:val="single" w:sz="2" w:space="0" w:color="000000"/>
              <w:bottom w:val="single" w:sz="2" w:space="0" w:color="000000"/>
              <w:right w:val="single" w:sz="2" w:space="0" w:color="000000"/>
            </w:tcBorders>
            <w:shd w:val="clear" w:color="auto" w:fill="FFFFFF"/>
          </w:tcPr>
          <w:p w14:paraId="101710C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00" w:type="dxa"/>
            <w:tcBorders>
              <w:top w:val="single" w:sz="2" w:space="0" w:color="000000"/>
              <w:left w:val="single" w:sz="2" w:space="0" w:color="000000"/>
              <w:bottom w:val="single" w:sz="2" w:space="0" w:color="000000"/>
              <w:right w:val="single" w:sz="2" w:space="0" w:color="000000"/>
            </w:tcBorders>
            <w:shd w:val="clear" w:color="auto" w:fill="FFFFFF"/>
          </w:tcPr>
          <w:p w14:paraId="5FEC1D8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4" w:type="dxa"/>
            <w:tcBorders>
              <w:top w:val="single" w:sz="2" w:space="0" w:color="000000"/>
              <w:left w:val="single" w:sz="2" w:space="0" w:color="000000"/>
              <w:bottom w:val="single" w:sz="2" w:space="0" w:color="000000"/>
              <w:right w:val="single" w:sz="2" w:space="0" w:color="000000"/>
            </w:tcBorders>
            <w:shd w:val="clear" w:color="auto" w:fill="FFFFFF"/>
          </w:tcPr>
          <w:p w14:paraId="00359F7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2" w:space="0" w:color="000000"/>
              <w:left w:val="single" w:sz="2" w:space="0" w:color="000000"/>
              <w:bottom w:val="single" w:sz="2" w:space="0" w:color="000000"/>
              <w:right w:val="single" w:sz="2" w:space="0" w:color="000000"/>
            </w:tcBorders>
            <w:shd w:val="clear" w:color="auto" w:fill="FFFFFF"/>
          </w:tcPr>
          <w:p w14:paraId="2433160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30" w:type="dxa"/>
            <w:tcBorders>
              <w:top w:val="single" w:sz="2" w:space="0" w:color="000000"/>
              <w:left w:val="single" w:sz="2" w:space="0" w:color="000000"/>
              <w:bottom w:val="single" w:sz="2" w:space="0" w:color="000000"/>
              <w:right w:val="single" w:sz="2" w:space="0" w:color="000000"/>
            </w:tcBorders>
            <w:shd w:val="clear" w:color="auto" w:fill="FFFFFF"/>
          </w:tcPr>
          <w:p w14:paraId="56E20D0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4" w:type="dxa"/>
            <w:tcBorders>
              <w:top w:val="single" w:sz="2" w:space="0" w:color="000000"/>
              <w:left w:val="single" w:sz="2" w:space="0" w:color="000000"/>
              <w:bottom w:val="single" w:sz="2" w:space="0" w:color="000000"/>
              <w:right w:val="single" w:sz="2" w:space="0" w:color="000000"/>
            </w:tcBorders>
            <w:shd w:val="clear" w:color="auto" w:fill="FFFFFF"/>
          </w:tcPr>
          <w:p w14:paraId="391A83A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2" w:space="0" w:color="000000"/>
              <w:left w:val="single" w:sz="2" w:space="0" w:color="000000"/>
              <w:bottom w:val="single" w:sz="2" w:space="0" w:color="000000"/>
              <w:right w:val="single" w:sz="2" w:space="0" w:color="000000"/>
            </w:tcBorders>
            <w:shd w:val="clear" w:color="auto" w:fill="FFFFFF"/>
          </w:tcPr>
          <w:p w14:paraId="4939B42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16" w:type="dxa"/>
            <w:tcBorders>
              <w:top w:val="single" w:sz="2" w:space="0" w:color="000000"/>
              <w:left w:val="single" w:sz="2" w:space="0" w:color="000000"/>
              <w:bottom w:val="single" w:sz="2" w:space="0" w:color="000000"/>
              <w:right w:val="single" w:sz="2" w:space="0" w:color="000000"/>
            </w:tcBorders>
            <w:shd w:val="clear" w:color="auto" w:fill="FFFFFF"/>
          </w:tcPr>
          <w:p w14:paraId="45BFFF46" w14:textId="5D808EFC" w:rsidR="00B54C34" w:rsidRPr="007D063B" w:rsidRDefault="00631E2C"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93" w:type="dxa"/>
            <w:tcBorders>
              <w:top w:val="single" w:sz="2" w:space="0" w:color="000000"/>
              <w:left w:val="single" w:sz="2" w:space="0" w:color="000000"/>
              <w:bottom w:val="single" w:sz="2" w:space="0" w:color="000000"/>
              <w:right w:val="single" w:sz="2" w:space="0" w:color="000000"/>
            </w:tcBorders>
            <w:shd w:val="clear" w:color="auto" w:fill="FFFFFF"/>
          </w:tcPr>
          <w:p w14:paraId="71B0FD7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2" w:space="0" w:color="000000"/>
              <w:left w:val="single" w:sz="2" w:space="0" w:color="000000"/>
              <w:bottom w:val="single" w:sz="2" w:space="0" w:color="000000"/>
              <w:right w:val="single" w:sz="2" w:space="0" w:color="000000"/>
            </w:tcBorders>
            <w:shd w:val="clear" w:color="auto" w:fill="FFFFFF"/>
          </w:tcPr>
          <w:p w14:paraId="2DF9952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2" w:space="0" w:color="000000"/>
              <w:left w:val="single" w:sz="2" w:space="0" w:color="000000"/>
              <w:bottom w:val="single" w:sz="2" w:space="0" w:color="000000"/>
              <w:right w:val="single" w:sz="2" w:space="0" w:color="000000"/>
            </w:tcBorders>
            <w:shd w:val="clear" w:color="auto" w:fill="FFFFFF"/>
          </w:tcPr>
          <w:p w14:paraId="5ADCC76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2" w:space="0" w:color="000000"/>
              <w:left w:val="single" w:sz="2" w:space="0" w:color="000000"/>
              <w:bottom w:val="single" w:sz="2" w:space="0" w:color="000000"/>
              <w:right w:val="single" w:sz="2" w:space="0" w:color="000000"/>
            </w:tcBorders>
            <w:shd w:val="clear" w:color="auto" w:fill="FFFFFF"/>
          </w:tcPr>
          <w:p w14:paraId="62DB5F8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2" w:space="0" w:color="000000"/>
              <w:left w:val="single" w:sz="2" w:space="0" w:color="000000"/>
              <w:bottom w:val="single" w:sz="2" w:space="0" w:color="000000"/>
              <w:right w:val="single" w:sz="2" w:space="0" w:color="000000"/>
            </w:tcBorders>
            <w:shd w:val="clear" w:color="auto" w:fill="FFFFFF"/>
          </w:tcPr>
          <w:p w14:paraId="14ECFAC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2" w:space="0" w:color="000000"/>
              <w:left w:val="single" w:sz="2" w:space="0" w:color="000000"/>
              <w:bottom w:val="single" w:sz="2" w:space="0" w:color="000000"/>
              <w:right w:val="single" w:sz="2" w:space="0" w:color="000000"/>
            </w:tcBorders>
            <w:shd w:val="clear" w:color="auto" w:fill="FFFFFF"/>
          </w:tcPr>
          <w:p w14:paraId="625DE01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2" w:space="0" w:color="000000"/>
              <w:left w:val="single" w:sz="2" w:space="0" w:color="000000"/>
              <w:bottom w:val="single" w:sz="2" w:space="0" w:color="000000"/>
              <w:right w:val="single" w:sz="2" w:space="0" w:color="000000"/>
            </w:tcBorders>
            <w:shd w:val="clear" w:color="auto" w:fill="FFFFFF"/>
          </w:tcPr>
          <w:p w14:paraId="4669A6F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2" w:space="0" w:color="000000"/>
              <w:left w:val="single" w:sz="2" w:space="0" w:color="000000"/>
              <w:bottom w:val="single" w:sz="2" w:space="0" w:color="000000"/>
              <w:right w:val="single" w:sz="2" w:space="0" w:color="000000"/>
            </w:tcBorders>
            <w:shd w:val="clear" w:color="auto" w:fill="FFFFFF"/>
          </w:tcPr>
          <w:p w14:paraId="5E384EA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2" w:space="0" w:color="000000"/>
              <w:left w:val="single" w:sz="2" w:space="0" w:color="000000"/>
              <w:bottom w:val="single" w:sz="2" w:space="0" w:color="000000"/>
              <w:right w:val="single" w:sz="2" w:space="0" w:color="000000"/>
            </w:tcBorders>
            <w:shd w:val="clear" w:color="auto" w:fill="FFFFFF"/>
          </w:tcPr>
          <w:p w14:paraId="312EBB4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2" w:space="0" w:color="000000"/>
              <w:left w:val="single" w:sz="2" w:space="0" w:color="000000"/>
              <w:bottom w:val="single" w:sz="2" w:space="0" w:color="000000"/>
              <w:right w:val="single" w:sz="2" w:space="0" w:color="000000"/>
            </w:tcBorders>
            <w:shd w:val="clear" w:color="auto" w:fill="FFFFFF"/>
          </w:tcPr>
          <w:p w14:paraId="68D385B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2" w:space="0" w:color="000000"/>
              <w:left w:val="single" w:sz="2" w:space="0" w:color="000000"/>
              <w:bottom w:val="single" w:sz="2" w:space="0" w:color="000000"/>
              <w:right w:val="single" w:sz="2" w:space="0" w:color="000000"/>
            </w:tcBorders>
            <w:shd w:val="clear" w:color="auto" w:fill="FFFFFF"/>
          </w:tcPr>
          <w:p w14:paraId="15BE493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2" w:space="0" w:color="000000"/>
              <w:left w:val="single" w:sz="2" w:space="0" w:color="000000"/>
              <w:bottom w:val="single" w:sz="2" w:space="0" w:color="000000"/>
              <w:right w:val="single" w:sz="2" w:space="0" w:color="000000"/>
            </w:tcBorders>
            <w:shd w:val="clear" w:color="auto" w:fill="FFFFFF"/>
          </w:tcPr>
          <w:p w14:paraId="400B037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2" w:space="0" w:color="000000"/>
              <w:left w:val="single" w:sz="2" w:space="0" w:color="000000"/>
              <w:bottom w:val="single" w:sz="2" w:space="0" w:color="000000"/>
              <w:right w:val="single" w:sz="2" w:space="0" w:color="000000"/>
            </w:tcBorders>
            <w:shd w:val="clear" w:color="auto" w:fill="FFFFFF"/>
          </w:tcPr>
          <w:p w14:paraId="018FDEB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2" w:space="0" w:color="000000"/>
              <w:left w:val="single" w:sz="2" w:space="0" w:color="000000"/>
              <w:bottom w:val="single" w:sz="2" w:space="0" w:color="000000"/>
              <w:right w:val="single" w:sz="2" w:space="0" w:color="000000"/>
            </w:tcBorders>
            <w:shd w:val="clear" w:color="auto" w:fill="FFFFFF"/>
          </w:tcPr>
          <w:p w14:paraId="075F019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2" w:space="0" w:color="000000"/>
              <w:left w:val="single" w:sz="2" w:space="0" w:color="000000"/>
              <w:bottom w:val="single" w:sz="2" w:space="0" w:color="000000"/>
              <w:right w:val="single" w:sz="2" w:space="0" w:color="000000"/>
            </w:tcBorders>
            <w:shd w:val="clear" w:color="auto" w:fill="FFFFFF"/>
          </w:tcPr>
          <w:p w14:paraId="62CC0CA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2" w:space="0" w:color="000000"/>
              <w:left w:val="single" w:sz="2" w:space="0" w:color="000000"/>
              <w:bottom w:val="single" w:sz="2" w:space="0" w:color="000000"/>
              <w:right w:val="single" w:sz="2" w:space="0" w:color="000000"/>
            </w:tcBorders>
            <w:shd w:val="clear" w:color="auto" w:fill="FFFFFF"/>
          </w:tcPr>
          <w:p w14:paraId="490DC34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2" w:space="0" w:color="000000"/>
              <w:left w:val="single" w:sz="2" w:space="0" w:color="000000"/>
              <w:bottom w:val="single" w:sz="2" w:space="0" w:color="000000"/>
              <w:right w:val="single" w:sz="2" w:space="0" w:color="000000"/>
            </w:tcBorders>
            <w:shd w:val="clear" w:color="auto" w:fill="FFFFFF"/>
          </w:tcPr>
          <w:p w14:paraId="300A9A0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2" w:space="0" w:color="000000"/>
              <w:left w:val="single" w:sz="2" w:space="0" w:color="000000"/>
              <w:bottom w:val="single" w:sz="2" w:space="0" w:color="000000"/>
              <w:right w:val="single" w:sz="2" w:space="0" w:color="000000"/>
            </w:tcBorders>
            <w:shd w:val="clear" w:color="auto" w:fill="FFFFFF"/>
          </w:tcPr>
          <w:p w14:paraId="21C48AD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2" w:space="0" w:color="000000"/>
              <w:left w:val="single" w:sz="2" w:space="0" w:color="000000"/>
              <w:bottom w:val="single" w:sz="2" w:space="0" w:color="000000"/>
              <w:right w:val="single" w:sz="2" w:space="0" w:color="000000"/>
            </w:tcBorders>
            <w:shd w:val="clear" w:color="auto" w:fill="FFFFFF"/>
          </w:tcPr>
          <w:p w14:paraId="0C10053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2" w:space="0" w:color="000000"/>
              <w:left w:val="single" w:sz="2" w:space="0" w:color="000000"/>
              <w:bottom w:val="single" w:sz="2" w:space="0" w:color="000000"/>
              <w:right w:val="single" w:sz="2" w:space="0" w:color="000000"/>
            </w:tcBorders>
            <w:shd w:val="clear" w:color="auto" w:fill="FFFFFF"/>
          </w:tcPr>
          <w:p w14:paraId="5DA5136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2" w:space="0" w:color="000000"/>
              <w:left w:val="single" w:sz="2" w:space="0" w:color="000000"/>
              <w:bottom w:val="single" w:sz="2" w:space="0" w:color="000000"/>
              <w:right w:val="single" w:sz="2" w:space="0" w:color="000000"/>
            </w:tcBorders>
            <w:shd w:val="clear" w:color="auto" w:fill="FFFFFF"/>
          </w:tcPr>
          <w:p w14:paraId="20E5488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2" w:space="0" w:color="000000"/>
              <w:left w:val="single" w:sz="2" w:space="0" w:color="000000"/>
              <w:bottom w:val="single" w:sz="2" w:space="0" w:color="000000"/>
              <w:right w:val="single" w:sz="2" w:space="0" w:color="000000"/>
            </w:tcBorders>
            <w:shd w:val="clear" w:color="auto" w:fill="FFFFFF"/>
          </w:tcPr>
          <w:p w14:paraId="171B55A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11" w:type="dxa"/>
            <w:tcBorders>
              <w:top w:val="single" w:sz="2" w:space="0" w:color="000000"/>
              <w:left w:val="single" w:sz="2" w:space="0" w:color="000000"/>
              <w:bottom w:val="single" w:sz="2" w:space="0" w:color="000000"/>
              <w:right w:val="single" w:sz="2" w:space="0" w:color="000000"/>
            </w:tcBorders>
            <w:shd w:val="clear" w:color="auto" w:fill="FFFFFF"/>
          </w:tcPr>
          <w:p w14:paraId="0EB1CAE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48" w:type="dxa"/>
            <w:tcBorders>
              <w:top w:val="single" w:sz="2" w:space="0" w:color="000000"/>
              <w:left w:val="single" w:sz="2" w:space="0" w:color="000000"/>
              <w:bottom w:val="single" w:sz="2" w:space="0" w:color="000000"/>
              <w:right w:val="single" w:sz="2" w:space="0" w:color="000000"/>
            </w:tcBorders>
            <w:shd w:val="clear" w:color="auto" w:fill="FFFFFF"/>
          </w:tcPr>
          <w:p w14:paraId="55C0B9B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192" w:type="dxa"/>
            <w:tcBorders>
              <w:top w:val="single" w:sz="2" w:space="0" w:color="000000"/>
              <w:left w:val="single" w:sz="2" w:space="0" w:color="000000"/>
              <w:bottom w:val="single" w:sz="2" w:space="0" w:color="000000"/>
              <w:right w:val="single" w:sz="2" w:space="0" w:color="000000"/>
            </w:tcBorders>
            <w:shd w:val="clear" w:color="auto" w:fill="FFFFFF"/>
          </w:tcPr>
          <w:p w14:paraId="5DA22A4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6" w:type="dxa"/>
            <w:gridSpan w:val="2"/>
            <w:tcBorders>
              <w:top w:val="single" w:sz="2" w:space="0" w:color="000000"/>
              <w:left w:val="single" w:sz="2" w:space="0" w:color="000000"/>
              <w:bottom w:val="single" w:sz="2" w:space="0" w:color="000000"/>
              <w:right w:val="single" w:sz="2" w:space="0" w:color="000000"/>
            </w:tcBorders>
            <w:shd w:val="clear" w:color="auto" w:fill="FFFFFF"/>
          </w:tcPr>
          <w:p w14:paraId="313CBC7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48" w:type="dxa"/>
            <w:tcBorders>
              <w:top w:val="single" w:sz="2" w:space="0" w:color="000000"/>
              <w:left w:val="single" w:sz="2" w:space="0" w:color="000000"/>
              <w:bottom w:val="single" w:sz="2" w:space="0" w:color="000000"/>
              <w:right w:val="single" w:sz="2" w:space="0" w:color="000000"/>
            </w:tcBorders>
            <w:shd w:val="clear" w:color="auto" w:fill="FFFFFF"/>
          </w:tcPr>
          <w:p w14:paraId="0217C0F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197" w:type="dxa"/>
            <w:tcBorders>
              <w:top w:val="single" w:sz="2" w:space="0" w:color="000000"/>
              <w:left w:val="single" w:sz="2" w:space="0" w:color="000000"/>
              <w:bottom w:val="single" w:sz="2" w:space="0" w:color="000000"/>
              <w:right w:val="single" w:sz="2" w:space="0" w:color="000000"/>
            </w:tcBorders>
            <w:shd w:val="clear" w:color="auto" w:fill="FFFFFF"/>
          </w:tcPr>
          <w:p w14:paraId="64523DA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0" w:type="dxa"/>
            <w:gridSpan w:val="2"/>
            <w:tcBorders>
              <w:top w:val="single" w:sz="2" w:space="0" w:color="000000"/>
              <w:left w:val="single" w:sz="2" w:space="0" w:color="000000"/>
              <w:bottom w:val="single" w:sz="2" w:space="0" w:color="000000"/>
              <w:right w:val="single" w:sz="2" w:space="0" w:color="000000"/>
            </w:tcBorders>
            <w:shd w:val="clear" w:color="auto" w:fill="FFFFFF"/>
          </w:tcPr>
          <w:p w14:paraId="4214614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6C4701F2" w14:textId="77777777" w:rsidTr="00E87518">
        <w:trPr>
          <w:tblCellSpacing w:w="0" w:type="dxa"/>
        </w:trPr>
        <w:tc>
          <w:tcPr>
            <w:tcW w:w="561" w:type="dxa"/>
            <w:tcBorders>
              <w:top w:val="single" w:sz="6" w:space="0" w:color="000000"/>
              <w:left w:val="single" w:sz="6" w:space="0" w:color="000000"/>
              <w:bottom w:val="single" w:sz="6" w:space="0" w:color="000000"/>
              <w:right w:val="single" w:sz="6" w:space="0" w:color="000000"/>
            </w:tcBorders>
            <w:shd w:val="clear" w:color="auto" w:fill="FFFFFF"/>
          </w:tcPr>
          <w:p w14:paraId="141BD43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O3-1</w:t>
            </w:r>
          </w:p>
        </w:tc>
        <w:tc>
          <w:tcPr>
            <w:tcW w:w="1849" w:type="dxa"/>
            <w:tcBorders>
              <w:top w:val="single" w:sz="6" w:space="0" w:color="000000"/>
              <w:left w:val="single" w:sz="6" w:space="0" w:color="000000"/>
              <w:bottom w:val="single" w:sz="6" w:space="0" w:color="000000"/>
              <w:right w:val="single" w:sz="6" w:space="0" w:color="000000"/>
            </w:tcBorders>
            <w:shd w:val="clear" w:color="auto" w:fill="FFFFFF"/>
          </w:tcPr>
          <w:p w14:paraId="0AA8D504" w14:textId="77777777" w:rsidR="00B54C34" w:rsidRPr="007D063B" w:rsidRDefault="00B54C34" w:rsidP="00450FF1">
            <w:pPr>
              <w:spacing w:before="120" w:after="0" w:line="240" w:lineRule="auto"/>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Подкрепени анализи, проучвания, изследвания, методики и оценки, свързани с дейността на съдебната система</w:t>
            </w:r>
          </w:p>
        </w:tc>
        <w:tc>
          <w:tcPr>
            <w:tcW w:w="852" w:type="dxa"/>
            <w:tcBorders>
              <w:top w:val="single" w:sz="6" w:space="0" w:color="000000"/>
              <w:left w:val="single" w:sz="6" w:space="0" w:color="000000"/>
              <w:bottom w:val="single" w:sz="6" w:space="0" w:color="000000"/>
              <w:right w:val="single" w:sz="6" w:space="0" w:color="000000"/>
            </w:tcBorders>
            <w:shd w:val="clear" w:color="auto" w:fill="FFFFFF"/>
          </w:tcPr>
          <w:p w14:paraId="0A00B32D"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Pr>
          <w:p w14:paraId="57E68C14"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Брой</w:t>
            </w:r>
          </w:p>
        </w:tc>
        <w:tc>
          <w:tcPr>
            <w:tcW w:w="724" w:type="dxa"/>
            <w:tcBorders>
              <w:top w:val="single" w:sz="6" w:space="0" w:color="000000"/>
              <w:left w:val="single" w:sz="6" w:space="0" w:color="000000"/>
              <w:bottom w:val="single" w:sz="6" w:space="0" w:color="000000"/>
              <w:right w:val="single" w:sz="6" w:space="0" w:color="000000"/>
            </w:tcBorders>
            <w:shd w:val="clear" w:color="auto" w:fill="FFFFFF"/>
          </w:tcPr>
          <w:p w14:paraId="4298C71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50,00</w:t>
            </w:r>
          </w:p>
        </w:tc>
        <w:tc>
          <w:tcPr>
            <w:tcW w:w="696" w:type="dxa"/>
            <w:tcBorders>
              <w:top w:val="single" w:sz="6" w:space="0" w:color="000000"/>
              <w:left w:val="single" w:sz="6" w:space="0" w:color="000000"/>
              <w:bottom w:val="single" w:sz="6" w:space="0" w:color="000000"/>
              <w:right w:val="single" w:sz="6" w:space="0" w:color="000000"/>
            </w:tcBorders>
            <w:shd w:val="clear" w:color="auto" w:fill="FFFFFF"/>
          </w:tcPr>
          <w:p w14:paraId="7A1A7F7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68" w:type="dxa"/>
            <w:tcBorders>
              <w:top w:val="single" w:sz="6" w:space="0" w:color="000000"/>
              <w:left w:val="single" w:sz="6" w:space="0" w:color="000000"/>
              <w:bottom w:val="single" w:sz="6" w:space="0" w:color="000000"/>
              <w:right w:val="single" w:sz="6" w:space="0" w:color="000000"/>
            </w:tcBorders>
            <w:shd w:val="clear" w:color="auto" w:fill="FFFFFF"/>
          </w:tcPr>
          <w:p w14:paraId="6597F3D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00" w:type="dxa"/>
            <w:tcBorders>
              <w:top w:val="single" w:sz="6" w:space="0" w:color="000000"/>
              <w:left w:val="single" w:sz="6" w:space="0" w:color="000000"/>
              <w:bottom w:val="single" w:sz="6" w:space="0" w:color="000000"/>
              <w:right w:val="single" w:sz="6" w:space="0" w:color="000000"/>
            </w:tcBorders>
            <w:shd w:val="clear" w:color="auto" w:fill="FFFFFF"/>
          </w:tcPr>
          <w:p w14:paraId="11720DD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4" w:type="dxa"/>
            <w:tcBorders>
              <w:top w:val="single" w:sz="6" w:space="0" w:color="000000"/>
              <w:left w:val="single" w:sz="6" w:space="0" w:color="000000"/>
              <w:bottom w:val="single" w:sz="6" w:space="0" w:color="000000"/>
              <w:right w:val="single" w:sz="6" w:space="0" w:color="000000"/>
            </w:tcBorders>
            <w:shd w:val="clear" w:color="auto" w:fill="FFFFFF"/>
          </w:tcPr>
          <w:p w14:paraId="5F8ACF2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6B3A966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30" w:type="dxa"/>
            <w:tcBorders>
              <w:top w:val="single" w:sz="6" w:space="0" w:color="000000"/>
              <w:left w:val="single" w:sz="6" w:space="0" w:color="000000"/>
              <w:bottom w:val="single" w:sz="6" w:space="0" w:color="000000"/>
              <w:right w:val="single" w:sz="6" w:space="0" w:color="000000"/>
            </w:tcBorders>
            <w:shd w:val="clear" w:color="auto" w:fill="FFFFFF"/>
          </w:tcPr>
          <w:p w14:paraId="41AA1D2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4" w:type="dxa"/>
            <w:tcBorders>
              <w:top w:val="single" w:sz="6" w:space="0" w:color="000000"/>
              <w:left w:val="single" w:sz="6" w:space="0" w:color="000000"/>
              <w:bottom w:val="single" w:sz="6" w:space="0" w:color="000000"/>
              <w:right w:val="single" w:sz="6" w:space="0" w:color="000000"/>
            </w:tcBorders>
            <w:shd w:val="clear" w:color="auto" w:fill="FFFFFF"/>
          </w:tcPr>
          <w:p w14:paraId="362D52A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03C9E48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16" w:type="dxa"/>
            <w:tcBorders>
              <w:top w:val="single" w:sz="6" w:space="0" w:color="000000"/>
              <w:left w:val="single" w:sz="6" w:space="0" w:color="000000"/>
              <w:bottom w:val="single" w:sz="6" w:space="0" w:color="000000"/>
              <w:right w:val="single" w:sz="6" w:space="0" w:color="000000"/>
            </w:tcBorders>
            <w:shd w:val="clear" w:color="auto" w:fill="FFFFFF"/>
          </w:tcPr>
          <w:p w14:paraId="735110E4" w14:textId="27FA510F" w:rsidR="00B54C34" w:rsidRPr="007D063B" w:rsidRDefault="00631E2C"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93" w:type="dxa"/>
            <w:tcBorders>
              <w:top w:val="single" w:sz="6" w:space="0" w:color="000000"/>
              <w:left w:val="single" w:sz="6" w:space="0" w:color="000000"/>
              <w:bottom w:val="single" w:sz="6" w:space="0" w:color="000000"/>
              <w:right w:val="single" w:sz="6" w:space="0" w:color="000000"/>
            </w:tcBorders>
            <w:shd w:val="clear" w:color="auto" w:fill="FFFFFF"/>
          </w:tcPr>
          <w:p w14:paraId="0801F2B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4DC921E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3827A44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63D69C3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3B35164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7EA438C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7D23BAE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5EC542B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509E80B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6BBCB27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41174BB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35C1304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4F67055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3E44AEC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6BF0D4E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1124F4B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51CC027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1A886D9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7EE1478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23828BD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623BAA1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25FA3A2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11" w:type="dxa"/>
            <w:tcBorders>
              <w:top w:val="single" w:sz="6" w:space="0" w:color="000000"/>
              <w:left w:val="single" w:sz="6" w:space="0" w:color="000000"/>
              <w:bottom w:val="single" w:sz="6" w:space="0" w:color="000000"/>
              <w:right w:val="single" w:sz="6" w:space="0" w:color="000000"/>
            </w:tcBorders>
            <w:shd w:val="clear" w:color="auto" w:fill="FFFFFF"/>
          </w:tcPr>
          <w:p w14:paraId="0B95002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48" w:type="dxa"/>
            <w:tcBorders>
              <w:top w:val="single" w:sz="6" w:space="0" w:color="000000"/>
              <w:left w:val="single" w:sz="6" w:space="0" w:color="000000"/>
              <w:bottom w:val="single" w:sz="6" w:space="0" w:color="000000"/>
              <w:right w:val="single" w:sz="6" w:space="0" w:color="000000"/>
            </w:tcBorders>
            <w:shd w:val="clear" w:color="auto" w:fill="FFFFFF"/>
          </w:tcPr>
          <w:p w14:paraId="6E33647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192" w:type="dxa"/>
            <w:tcBorders>
              <w:top w:val="single" w:sz="6" w:space="0" w:color="000000"/>
              <w:left w:val="single" w:sz="6" w:space="0" w:color="000000"/>
              <w:bottom w:val="single" w:sz="6" w:space="0" w:color="000000"/>
              <w:right w:val="single" w:sz="6" w:space="0" w:color="000000"/>
            </w:tcBorders>
            <w:shd w:val="clear" w:color="auto" w:fill="FFFFFF"/>
          </w:tcPr>
          <w:p w14:paraId="44A1AE4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6" w:type="dxa"/>
            <w:gridSpan w:val="2"/>
            <w:tcBorders>
              <w:top w:val="single" w:sz="6" w:space="0" w:color="000000"/>
              <w:left w:val="single" w:sz="6" w:space="0" w:color="000000"/>
              <w:bottom w:val="single" w:sz="6" w:space="0" w:color="000000"/>
              <w:right w:val="single" w:sz="6" w:space="0" w:color="000000"/>
            </w:tcBorders>
            <w:shd w:val="clear" w:color="auto" w:fill="FFFFFF"/>
          </w:tcPr>
          <w:p w14:paraId="09A6ADB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48" w:type="dxa"/>
            <w:tcBorders>
              <w:top w:val="single" w:sz="6" w:space="0" w:color="000000"/>
              <w:left w:val="single" w:sz="6" w:space="0" w:color="000000"/>
              <w:bottom w:val="single" w:sz="6" w:space="0" w:color="000000"/>
              <w:right w:val="single" w:sz="6" w:space="0" w:color="000000"/>
            </w:tcBorders>
            <w:shd w:val="clear" w:color="auto" w:fill="FFFFFF"/>
          </w:tcPr>
          <w:p w14:paraId="5A61E3A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197" w:type="dxa"/>
            <w:tcBorders>
              <w:top w:val="single" w:sz="6" w:space="0" w:color="000000"/>
              <w:left w:val="single" w:sz="6" w:space="0" w:color="000000"/>
              <w:bottom w:val="single" w:sz="6" w:space="0" w:color="000000"/>
              <w:right w:val="single" w:sz="6" w:space="0" w:color="000000"/>
            </w:tcBorders>
            <w:shd w:val="clear" w:color="auto" w:fill="FFFFFF"/>
          </w:tcPr>
          <w:p w14:paraId="78671F4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0" w:type="dxa"/>
            <w:gridSpan w:val="3"/>
            <w:tcBorders>
              <w:top w:val="single" w:sz="6" w:space="0" w:color="000000"/>
              <w:left w:val="single" w:sz="6" w:space="0" w:color="000000"/>
              <w:bottom w:val="single" w:sz="6" w:space="0" w:color="000000"/>
              <w:right w:val="single" w:sz="6" w:space="0" w:color="000000"/>
            </w:tcBorders>
            <w:shd w:val="clear" w:color="auto" w:fill="FFFFFF"/>
          </w:tcPr>
          <w:p w14:paraId="272908E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3DC1FF3E" w14:textId="77777777" w:rsidTr="00E87518">
        <w:trPr>
          <w:tblCellSpacing w:w="0" w:type="dxa"/>
        </w:trPr>
        <w:tc>
          <w:tcPr>
            <w:tcW w:w="561" w:type="dxa"/>
            <w:tcBorders>
              <w:top w:val="single" w:sz="6" w:space="0" w:color="000000"/>
              <w:left w:val="single" w:sz="6" w:space="0" w:color="000000"/>
              <w:bottom w:val="single" w:sz="6" w:space="0" w:color="000000"/>
              <w:right w:val="single" w:sz="6" w:space="0" w:color="000000"/>
            </w:tcBorders>
            <w:shd w:val="clear" w:color="auto" w:fill="FFFFFF"/>
          </w:tcPr>
          <w:p w14:paraId="7B22891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O3-2</w:t>
            </w:r>
          </w:p>
        </w:tc>
        <w:tc>
          <w:tcPr>
            <w:tcW w:w="1849" w:type="dxa"/>
            <w:tcBorders>
              <w:top w:val="single" w:sz="6" w:space="0" w:color="000000"/>
              <w:left w:val="single" w:sz="6" w:space="0" w:color="000000"/>
              <w:bottom w:val="single" w:sz="6" w:space="0" w:color="000000"/>
              <w:right w:val="single" w:sz="6" w:space="0" w:color="000000"/>
            </w:tcBorders>
            <w:shd w:val="clear" w:color="auto" w:fill="FFFFFF"/>
          </w:tcPr>
          <w:p w14:paraId="76F1173B" w14:textId="77777777" w:rsidR="00B54C34" w:rsidRPr="007D063B" w:rsidRDefault="00B54C34" w:rsidP="00450FF1">
            <w:pPr>
              <w:spacing w:before="120" w:after="0" w:line="240" w:lineRule="auto"/>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Проекти за реализиране на съвместни действия</w:t>
            </w:r>
          </w:p>
        </w:tc>
        <w:tc>
          <w:tcPr>
            <w:tcW w:w="852" w:type="dxa"/>
            <w:tcBorders>
              <w:top w:val="single" w:sz="6" w:space="0" w:color="000000"/>
              <w:left w:val="single" w:sz="6" w:space="0" w:color="000000"/>
              <w:bottom w:val="single" w:sz="6" w:space="0" w:color="000000"/>
              <w:right w:val="single" w:sz="6" w:space="0" w:color="000000"/>
            </w:tcBorders>
            <w:shd w:val="clear" w:color="auto" w:fill="FFFFFF"/>
          </w:tcPr>
          <w:p w14:paraId="1A152C58"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Pr>
          <w:p w14:paraId="3952F3D3"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Брой</w:t>
            </w:r>
          </w:p>
        </w:tc>
        <w:tc>
          <w:tcPr>
            <w:tcW w:w="724" w:type="dxa"/>
            <w:tcBorders>
              <w:top w:val="single" w:sz="6" w:space="0" w:color="000000"/>
              <w:left w:val="single" w:sz="6" w:space="0" w:color="000000"/>
              <w:bottom w:val="single" w:sz="6" w:space="0" w:color="000000"/>
              <w:right w:val="single" w:sz="6" w:space="0" w:color="000000"/>
            </w:tcBorders>
            <w:shd w:val="clear" w:color="auto" w:fill="FFFFFF"/>
          </w:tcPr>
          <w:p w14:paraId="3E60C6E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7,00</w:t>
            </w:r>
          </w:p>
        </w:tc>
        <w:tc>
          <w:tcPr>
            <w:tcW w:w="696" w:type="dxa"/>
            <w:tcBorders>
              <w:top w:val="single" w:sz="6" w:space="0" w:color="000000"/>
              <w:left w:val="single" w:sz="6" w:space="0" w:color="000000"/>
              <w:bottom w:val="single" w:sz="6" w:space="0" w:color="000000"/>
              <w:right w:val="single" w:sz="6" w:space="0" w:color="000000"/>
            </w:tcBorders>
            <w:shd w:val="clear" w:color="auto" w:fill="FFFFFF"/>
          </w:tcPr>
          <w:p w14:paraId="21BBA9A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68" w:type="dxa"/>
            <w:tcBorders>
              <w:top w:val="single" w:sz="6" w:space="0" w:color="000000"/>
              <w:left w:val="single" w:sz="6" w:space="0" w:color="000000"/>
              <w:bottom w:val="single" w:sz="6" w:space="0" w:color="000000"/>
              <w:right w:val="single" w:sz="6" w:space="0" w:color="000000"/>
            </w:tcBorders>
            <w:shd w:val="clear" w:color="auto" w:fill="FFFFFF"/>
          </w:tcPr>
          <w:p w14:paraId="3767DFF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00" w:type="dxa"/>
            <w:tcBorders>
              <w:top w:val="single" w:sz="6" w:space="0" w:color="000000"/>
              <w:left w:val="single" w:sz="6" w:space="0" w:color="000000"/>
              <w:bottom w:val="single" w:sz="6" w:space="0" w:color="000000"/>
              <w:right w:val="single" w:sz="6" w:space="0" w:color="000000"/>
            </w:tcBorders>
            <w:shd w:val="clear" w:color="auto" w:fill="FFFFFF"/>
          </w:tcPr>
          <w:p w14:paraId="27086D2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4" w:type="dxa"/>
            <w:tcBorders>
              <w:top w:val="single" w:sz="6" w:space="0" w:color="000000"/>
              <w:left w:val="single" w:sz="6" w:space="0" w:color="000000"/>
              <w:bottom w:val="single" w:sz="6" w:space="0" w:color="000000"/>
              <w:right w:val="single" w:sz="6" w:space="0" w:color="000000"/>
            </w:tcBorders>
            <w:shd w:val="clear" w:color="auto" w:fill="FFFFFF"/>
          </w:tcPr>
          <w:p w14:paraId="094FA01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4EBDA46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30" w:type="dxa"/>
            <w:tcBorders>
              <w:top w:val="single" w:sz="6" w:space="0" w:color="000000"/>
              <w:left w:val="single" w:sz="6" w:space="0" w:color="000000"/>
              <w:bottom w:val="single" w:sz="6" w:space="0" w:color="000000"/>
              <w:right w:val="single" w:sz="6" w:space="0" w:color="000000"/>
            </w:tcBorders>
            <w:shd w:val="clear" w:color="auto" w:fill="FFFFFF"/>
          </w:tcPr>
          <w:p w14:paraId="5C586AD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4" w:type="dxa"/>
            <w:tcBorders>
              <w:top w:val="single" w:sz="6" w:space="0" w:color="000000"/>
              <w:left w:val="single" w:sz="6" w:space="0" w:color="000000"/>
              <w:bottom w:val="single" w:sz="6" w:space="0" w:color="000000"/>
              <w:right w:val="single" w:sz="6" w:space="0" w:color="000000"/>
            </w:tcBorders>
            <w:shd w:val="clear" w:color="auto" w:fill="FFFFFF"/>
          </w:tcPr>
          <w:p w14:paraId="4707A42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0B3060A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16" w:type="dxa"/>
            <w:tcBorders>
              <w:top w:val="single" w:sz="6" w:space="0" w:color="000000"/>
              <w:left w:val="single" w:sz="6" w:space="0" w:color="000000"/>
              <w:bottom w:val="single" w:sz="6" w:space="0" w:color="000000"/>
              <w:right w:val="single" w:sz="6" w:space="0" w:color="000000"/>
            </w:tcBorders>
            <w:shd w:val="clear" w:color="auto" w:fill="FFFFFF"/>
          </w:tcPr>
          <w:p w14:paraId="59F8B843" w14:textId="0855A967" w:rsidR="00B54C34" w:rsidRPr="007D063B" w:rsidRDefault="004421A1" w:rsidP="00396090">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w:t>
            </w:r>
          </w:p>
        </w:tc>
        <w:tc>
          <w:tcPr>
            <w:tcW w:w="93" w:type="dxa"/>
            <w:tcBorders>
              <w:top w:val="single" w:sz="6" w:space="0" w:color="000000"/>
              <w:left w:val="single" w:sz="6" w:space="0" w:color="000000"/>
              <w:bottom w:val="single" w:sz="6" w:space="0" w:color="000000"/>
              <w:right w:val="single" w:sz="6" w:space="0" w:color="000000"/>
            </w:tcBorders>
            <w:shd w:val="clear" w:color="auto" w:fill="FFFFFF"/>
          </w:tcPr>
          <w:p w14:paraId="35C1DB2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69002CF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46CA17D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52013C3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1470E5A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4A26E3F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5103C88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1930C86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7F85A7D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4585677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29DFBB5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0721DFE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399773B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023F024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4648477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5DEABE5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1194976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0C80F9B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4AF8131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2A01CCC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221A8DB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6FBB9CF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11" w:type="dxa"/>
            <w:tcBorders>
              <w:top w:val="single" w:sz="6" w:space="0" w:color="000000"/>
              <w:left w:val="single" w:sz="6" w:space="0" w:color="000000"/>
              <w:bottom w:val="single" w:sz="6" w:space="0" w:color="000000"/>
              <w:right w:val="single" w:sz="6" w:space="0" w:color="000000"/>
            </w:tcBorders>
            <w:shd w:val="clear" w:color="auto" w:fill="FFFFFF"/>
          </w:tcPr>
          <w:p w14:paraId="0B828B4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48" w:type="dxa"/>
            <w:tcBorders>
              <w:top w:val="single" w:sz="6" w:space="0" w:color="000000"/>
              <w:left w:val="single" w:sz="6" w:space="0" w:color="000000"/>
              <w:bottom w:val="single" w:sz="6" w:space="0" w:color="000000"/>
              <w:right w:val="single" w:sz="6" w:space="0" w:color="000000"/>
            </w:tcBorders>
            <w:shd w:val="clear" w:color="auto" w:fill="FFFFFF"/>
          </w:tcPr>
          <w:p w14:paraId="2A24DB1C" w14:textId="59509801" w:rsidR="00B54C34" w:rsidRPr="007D063B" w:rsidRDefault="00000D83"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w:t>
            </w:r>
          </w:p>
        </w:tc>
        <w:tc>
          <w:tcPr>
            <w:tcW w:w="192" w:type="dxa"/>
            <w:tcBorders>
              <w:top w:val="single" w:sz="6" w:space="0" w:color="000000"/>
              <w:left w:val="single" w:sz="6" w:space="0" w:color="000000"/>
              <w:bottom w:val="single" w:sz="6" w:space="0" w:color="000000"/>
              <w:right w:val="single" w:sz="6" w:space="0" w:color="000000"/>
            </w:tcBorders>
            <w:shd w:val="clear" w:color="auto" w:fill="FFFFFF"/>
          </w:tcPr>
          <w:p w14:paraId="62F6983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6" w:type="dxa"/>
            <w:gridSpan w:val="2"/>
            <w:tcBorders>
              <w:top w:val="single" w:sz="6" w:space="0" w:color="000000"/>
              <w:left w:val="single" w:sz="6" w:space="0" w:color="000000"/>
              <w:bottom w:val="single" w:sz="6" w:space="0" w:color="000000"/>
              <w:right w:val="single" w:sz="6" w:space="0" w:color="000000"/>
            </w:tcBorders>
            <w:shd w:val="clear" w:color="auto" w:fill="FFFFFF"/>
          </w:tcPr>
          <w:p w14:paraId="293B388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48" w:type="dxa"/>
            <w:tcBorders>
              <w:top w:val="single" w:sz="6" w:space="0" w:color="000000"/>
              <w:left w:val="single" w:sz="6" w:space="0" w:color="000000"/>
              <w:bottom w:val="single" w:sz="6" w:space="0" w:color="000000"/>
              <w:right w:val="single" w:sz="6" w:space="0" w:color="000000"/>
            </w:tcBorders>
            <w:shd w:val="clear" w:color="auto" w:fill="FFFFFF"/>
          </w:tcPr>
          <w:p w14:paraId="5FF52B46" w14:textId="03E43210" w:rsidR="00B54C34" w:rsidRPr="007D063B" w:rsidRDefault="00B54C34" w:rsidP="004465B9">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r w:rsidR="000A66AF" w:rsidRPr="007D063B">
              <w:rPr>
                <w:rFonts w:ascii="Times New Roman" w:eastAsia="Times New Roman" w:hAnsi="Times New Roman" w:cs="Times New Roman"/>
                <w:color w:val="000000"/>
                <w:sz w:val="16"/>
                <w:szCs w:val="16"/>
                <w:lang w:eastAsia="bg-BG"/>
              </w:rPr>
              <w:t>,2</w:t>
            </w:r>
            <w:r w:rsidR="004465B9" w:rsidRPr="007D063B">
              <w:rPr>
                <w:rFonts w:ascii="Times New Roman" w:eastAsia="Times New Roman" w:hAnsi="Times New Roman" w:cs="Times New Roman"/>
                <w:color w:val="000000"/>
                <w:sz w:val="16"/>
                <w:szCs w:val="16"/>
                <w:lang w:eastAsia="bg-BG"/>
              </w:rPr>
              <w:t>9</w:t>
            </w:r>
          </w:p>
        </w:tc>
        <w:tc>
          <w:tcPr>
            <w:tcW w:w="197" w:type="dxa"/>
            <w:tcBorders>
              <w:top w:val="single" w:sz="6" w:space="0" w:color="000000"/>
              <w:left w:val="single" w:sz="6" w:space="0" w:color="000000"/>
              <w:bottom w:val="single" w:sz="6" w:space="0" w:color="000000"/>
              <w:right w:val="single" w:sz="6" w:space="0" w:color="000000"/>
            </w:tcBorders>
            <w:shd w:val="clear" w:color="auto" w:fill="FFFFFF"/>
          </w:tcPr>
          <w:p w14:paraId="5B8A032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0" w:type="dxa"/>
            <w:gridSpan w:val="3"/>
            <w:tcBorders>
              <w:top w:val="single" w:sz="6" w:space="0" w:color="000000"/>
              <w:left w:val="single" w:sz="6" w:space="0" w:color="000000"/>
              <w:bottom w:val="single" w:sz="6" w:space="0" w:color="000000"/>
              <w:right w:val="single" w:sz="6" w:space="0" w:color="000000"/>
            </w:tcBorders>
            <w:shd w:val="clear" w:color="auto" w:fill="FFFFFF"/>
          </w:tcPr>
          <w:p w14:paraId="58A7F07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2F61AE51" w14:textId="77777777" w:rsidTr="00E87518">
        <w:trPr>
          <w:tblCellSpacing w:w="0" w:type="dxa"/>
        </w:trPr>
        <w:tc>
          <w:tcPr>
            <w:tcW w:w="561" w:type="dxa"/>
            <w:tcBorders>
              <w:top w:val="single" w:sz="6" w:space="0" w:color="000000"/>
              <w:left w:val="single" w:sz="6" w:space="0" w:color="000000"/>
              <w:bottom w:val="single" w:sz="6" w:space="0" w:color="000000"/>
              <w:right w:val="single" w:sz="6" w:space="0" w:color="000000"/>
            </w:tcBorders>
            <w:shd w:val="clear" w:color="auto" w:fill="FFFFFF"/>
          </w:tcPr>
          <w:p w14:paraId="5669D5D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O3-3</w:t>
            </w:r>
          </w:p>
        </w:tc>
        <w:tc>
          <w:tcPr>
            <w:tcW w:w="1849" w:type="dxa"/>
            <w:tcBorders>
              <w:top w:val="single" w:sz="6" w:space="0" w:color="000000"/>
              <w:left w:val="single" w:sz="6" w:space="0" w:color="000000"/>
              <w:bottom w:val="single" w:sz="6" w:space="0" w:color="000000"/>
              <w:right w:val="single" w:sz="6" w:space="0" w:color="000000"/>
            </w:tcBorders>
            <w:shd w:val="clear" w:color="auto" w:fill="FFFFFF"/>
          </w:tcPr>
          <w:p w14:paraId="353CD380" w14:textId="77777777" w:rsidR="00B54C34" w:rsidRPr="007D063B" w:rsidRDefault="00B54C34" w:rsidP="00450FF1">
            <w:pPr>
              <w:spacing w:before="120" w:after="0" w:line="240" w:lineRule="auto"/>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Органи на съдебната власт подкрепени за въвеждане на програмно бюджетиране</w:t>
            </w:r>
          </w:p>
        </w:tc>
        <w:tc>
          <w:tcPr>
            <w:tcW w:w="852" w:type="dxa"/>
            <w:tcBorders>
              <w:top w:val="single" w:sz="6" w:space="0" w:color="000000"/>
              <w:left w:val="single" w:sz="6" w:space="0" w:color="000000"/>
              <w:bottom w:val="single" w:sz="6" w:space="0" w:color="000000"/>
              <w:right w:val="single" w:sz="6" w:space="0" w:color="000000"/>
            </w:tcBorders>
            <w:shd w:val="clear" w:color="auto" w:fill="FFFFFF"/>
          </w:tcPr>
          <w:p w14:paraId="798A92CA"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Pr>
          <w:p w14:paraId="542E3F8D"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Брой</w:t>
            </w:r>
          </w:p>
        </w:tc>
        <w:tc>
          <w:tcPr>
            <w:tcW w:w="724" w:type="dxa"/>
            <w:tcBorders>
              <w:top w:val="single" w:sz="6" w:space="0" w:color="000000"/>
              <w:left w:val="single" w:sz="6" w:space="0" w:color="000000"/>
              <w:bottom w:val="single" w:sz="6" w:space="0" w:color="000000"/>
              <w:right w:val="single" w:sz="6" w:space="0" w:color="000000"/>
            </w:tcBorders>
            <w:shd w:val="clear" w:color="auto" w:fill="FFFFFF"/>
          </w:tcPr>
          <w:p w14:paraId="0D48DAE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180,00</w:t>
            </w:r>
          </w:p>
        </w:tc>
        <w:tc>
          <w:tcPr>
            <w:tcW w:w="696" w:type="dxa"/>
            <w:tcBorders>
              <w:top w:val="single" w:sz="6" w:space="0" w:color="000000"/>
              <w:left w:val="single" w:sz="6" w:space="0" w:color="000000"/>
              <w:bottom w:val="single" w:sz="6" w:space="0" w:color="000000"/>
              <w:right w:val="single" w:sz="6" w:space="0" w:color="000000"/>
            </w:tcBorders>
            <w:shd w:val="clear" w:color="auto" w:fill="FFFFFF"/>
          </w:tcPr>
          <w:p w14:paraId="3F0322E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68" w:type="dxa"/>
            <w:tcBorders>
              <w:top w:val="single" w:sz="6" w:space="0" w:color="000000"/>
              <w:left w:val="single" w:sz="6" w:space="0" w:color="000000"/>
              <w:bottom w:val="single" w:sz="6" w:space="0" w:color="000000"/>
              <w:right w:val="single" w:sz="6" w:space="0" w:color="000000"/>
            </w:tcBorders>
            <w:shd w:val="clear" w:color="auto" w:fill="FFFFFF"/>
          </w:tcPr>
          <w:p w14:paraId="765F580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00" w:type="dxa"/>
            <w:tcBorders>
              <w:top w:val="single" w:sz="6" w:space="0" w:color="000000"/>
              <w:left w:val="single" w:sz="6" w:space="0" w:color="000000"/>
              <w:bottom w:val="single" w:sz="6" w:space="0" w:color="000000"/>
              <w:right w:val="single" w:sz="6" w:space="0" w:color="000000"/>
            </w:tcBorders>
            <w:shd w:val="clear" w:color="auto" w:fill="FFFFFF"/>
          </w:tcPr>
          <w:p w14:paraId="42C0E96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4" w:type="dxa"/>
            <w:tcBorders>
              <w:top w:val="single" w:sz="6" w:space="0" w:color="000000"/>
              <w:left w:val="single" w:sz="6" w:space="0" w:color="000000"/>
              <w:bottom w:val="single" w:sz="6" w:space="0" w:color="000000"/>
              <w:right w:val="single" w:sz="6" w:space="0" w:color="000000"/>
            </w:tcBorders>
            <w:shd w:val="clear" w:color="auto" w:fill="FFFFFF"/>
          </w:tcPr>
          <w:p w14:paraId="7DC6B46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4B040F7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30" w:type="dxa"/>
            <w:tcBorders>
              <w:top w:val="single" w:sz="6" w:space="0" w:color="000000"/>
              <w:left w:val="single" w:sz="6" w:space="0" w:color="000000"/>
              <w:bottom w:val="single" w:sz="6" w:space="0" w:color="000000"/>
              <w:right w:val="single" w:sz="6" w:space="0" w:color="000000"/>
            </w:tcBorders>
            <w:shd w:val="clear" w:color="auto" w:fill="FFFFFF"/>
          </w:tcPr>
          <w:p w14:paraId="75D3054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4" w:type="dxa"/>
            <w:tcBorders>
              <w:top w:val="single" w:sz="6" w:space="0" w:color="000000"/>
              <w:left w:val="single" w:sz="6" w:space="0" w:color="000000"/>
              <w:bottom w:val="single" w:sz="6" w:space="0" w:color="000000"/>
              <w:right w:val="single" w:sz="6" w:space="0" w:color="000000"/>
            </w:tcBorders>
            <w:shd w:val="clear" w:color="auto" w:fill="FFFFFF"/>
          </w:tcPr>
          <w:p w14:paraId="3B7D561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525CBBA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16" w:type="dxa"/>
            <w:tcBorders>
              <w:top w:val="single" w:sz="6" w:space="0" w:color="000000"/>
              <w:left w:val="single" w:sz="6" w:space="0" w:color="000000"/>
              <w:bottom w:val="single" w:sz="6" w:space="0" w:color="000000"/>
              <w:right w:val="single" w:sz="6" w:space="0" w:color="000000"/>
            </w:tcBorders>
            <w:shd w:val="clear" w:color="auto" w:fill="FFFFFF"/>
          </w:tcPr>
          <w:p w14:paraId="4A979C7B" w14:textId="49047B6C" w:rsidR="00B54C34" w:rsidRPr="007D063B" w:rsidRDefault="00631E2C"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93" w:type="dxa"/>
            <w:tcBorders>
              <w:top w:val="single" w:sz="6" w:space="0" w:color="000000"/>
              <w:left w:val="single" w:sz="6" w:space="0" w:color="000000"/>
              <w:bottom w:val="single" w:sz="6" w:space="0" w:color="000000"/>
              <w:right w:val="single" w:sz="6" w:space="0" w:color="000000"/>
            </w:tcBorders>
            <w:shd w:val="clear" w:color="auto" w:fill="FFFFFF"/>
          </w:tcPr>
          <w:p w14:paraId="355AF7F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7DE7C46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3F667F0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5A251B9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5CA16CF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37DD2CA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3B06A0A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084D803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203D2A4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658CC82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64E6730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77D6BF1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046E758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1C9FACA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34AFA97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5204D41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1E48F6A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702B5A6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4A3722C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403E7A6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37EB4F4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594E6DE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11" w:type="dxa"/>
            <w:tcBorders>
              <w:top w:val="single" w:sz="6" w:space="0" w:color="000000"/>
              <w:left w:val="single" w:sz="6" w:space="0" w:color="000000"/>
              <w:bottom w:val="single" w:sz="6" w:space="0" w:color="000000"/>
              <w:right w:val="single" w:sz="6" w:space="0" w:color="000000"/>
            </w:tcBorders>
            <w:shd w:val="clear" w:color="auto" w:fill="FFFFFF"/>
          </w:tcPr>
          <w:p w14:paraId="30DA24F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48" w:type="dxa"/>
            <w:tcBorders>
              <w:top w:val="single" w:sz="6" w:space="0" w:color="000000"/>
              <w:left w:val="single" w:sz="6" w:space="0" w:color="000000"/>
              <w:bottom w:val="single" w:sz="6" w:space="0" w:color="000000"/>
              <w:right w:val="single" w:sz="6" w:space="0" w:color="000000"/>
            </w:tcBorders>
            <w:shd w:val="clear" w:color="auto" w:fill="FFFFFF"/>
          </w:tcPr>
          <w:p w14:paraId="3BC8AB2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192" w:type="dxa"/>
            <w:tcBorders>
              <w:top w:val="single" w:sz="6" w:space="0" w:color="000000"/>
              <w:left w:val="single" w:sz="6" w:space="0" w:color="000000"/>
              <w:bottom w:val="single" w:sz="6" w:space="0" w:color="000000"/>
              <w:right w:val="single" w:sz="6" w:space="0" w:color="000000"/>
            </w:tcBorders>
            <w:shd w:val="clear" w:color="auto" w:fill="FFFFFF"/>
          </w:tcPr>
          <w:p w14:paraId="1C5A394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6" w:type="dxa"/>
            <w:gridSpan w:val="2"/>
            <w:tcBorders>
              <w:top w:val="single" w:sz="6" w:space="0" w:color="000000"/>
              <w:left w:val="single" w:sz="6" w:space="0" w:color="000000"/>
              <w:bottom w:val="single" w:sz="6" w:space="0" w:color="000000"/>
              <w:right w:val="single" w:sz="6" w:space="0" w:color="000000"/>
            </w:tcBorders>
            <w:shd w:val="clear" w:color="auto" w:fill="FFFFFF"/>
          </w:tcPr>
          <w:p w14:paraId="4C54314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48" w:type="dxa"/>
            <w:tcBorders>
              <w:top w:val="single" w:sz="6" w:space="0" w:color="000000"/>
              <w:left w:val="single" w:sz="6" w:space="0" w:color="000000"/>
              <w:bottom w:val="single" w:sz="6" w:space="0" w:color="000000"/>
              <w:right w:val="single" w:sz="6" w:space="0" w:color="000000"/>
            </w:tcBorders>
            <w:shd w:val="clear" w:color="auto" w:fill="FFFFFF"/>
          </w:tcPr>
          <w:p w14:paraId="54F384D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197" w:type="dxa"/>
            <w:tcBorders>
              <w:top w:val="single" w:sz="6" w:space="0" w:color="000000"/>
              <w:left w:val="single" w:sz="6" w:space="0" w:color="000000"/>
              <w:bottom w:val="single" w:sz="6" w:space="0" w:color="000000"/>
              <w:right w:val="single" w:sz="6" w:space="0" w:color="000000"/>
            </w:tcBorders>
            <w:shd w:val="clear" w:color="auto" w:fill="FFFFFF"/>
          </w:tcPr>
          <w:p w14:paraId="1D3C760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0" w:type="dxa"/>
            <w:gridSpan w:val="3"/>
            <w:tcBorders>
              <w:top w:val="single" w:sz="6" w:space="0" w:color="000000"/>
              <w:left w:val="single" w:sz="6" w:space="0" w:color="000000"/>
              <w:bottom w:val="single" w:sz="6" w:space="0" w:color="000000"/>
              <w:right w:val="single" w:sz="6" w:space="0" w:color="000000"/>
            </w:tcBorders>
            <w:shd w:val="clear" w:color="auto" w:fill="FFFFFF"/>
          </w:tcPr>
          <w:p w14:paraId="3389251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209BFA00" w14:textId="77777777" w:rsidTr="00E87518">
        <w:trPr>
          <w:tblCellSpacing w:w="0" w:type="dxa"/>
        </w:trPr>
        <w:tc>
          <w:tcPr>
            <w:tcW w:w="561" w:type="dxa"/>
            <w:tcBorders>
              <w:top w:val="single" w:sz="6" w:space="0" w:color="000000"/>
              <w:left w:val="single" w:sz="6" w:space="0" w:color="000000"/>
              <w:bottom w:val="single" w:sz="6" w:space="0" w:color="000000"/>
              <w:right w:val="single" w:sz="6" w:space="0" w:color="000000"/>
            </w:tcBorders>
            <w:shd w:val="clear" w:color="auto" w:fill="FFFFFF"/>
          </w:tcPr>
          <w:p w14:paraId="516918A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O3-4</w:t>
            </w:r>
          </w:p>
        </w:tc>
        <w:tc>
          <w:tcPr>
            <w:tcW w:w="1849" w:type="dxa"/>
            <w:tcBorders>
              <w:top w:val="single" w:sz="6" w:space="0" w:color="000000"/>
              <w:left w:val="single" w:sz="6" w:space="0" w:color="000000"/>
              <w:bottom w:val="single" w:sz="6" w:space="0" w:color="000000"/>
              <w:right w:val="single" w:sz="6" w:space="0" w:color="000000"/>
            </w:tcBorders>
            <w:shd w:val="clear" w:color="auto" w:fill="FFFFFF"/>
          </w:tcPr>
          <w:p w14:paraId="47E41749" w14:textId="77777777" w:rsidR="00B54C34" w:rsidRPr="007D063B" w:rsidRDefault="00B54C34" w:rsidP="00450FF1">
            <w:pPr>
              <w:spacing w:before="120" w:after="0" w:line="240" w:lineRule="auto"/>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 xml:space="preserve">Проекти за насърчаване и развитие на алтернативни </w:t>
            </w:r>
            <w:r w:rsidRPr="007D063B">
              <w:rPr>
                <w:rFonts w:ascii="Times New Roman" w:hAnsi="Times New Roman" w:cs="Times New Roman"/>
                <w:sz w:val="16"/>
                <w:szCs w:val="16"/>
              </w:rPr>
              <w:lastRenderedPageBreak/>
              <w:t>методи за решаване на правни спорове</w:t>
            </w:r>
          </w:p>
        </w:tc>
        <w:tc>
          <w:tcPr>
            <w:tcW w:w="852" w:type="dxa"/>
            <w:tcBorders>
              <w:top w:val="single" w:sz="6" w:space="0" w:color="000000"/>
              <w:left w:val="single" w:sz="6" w:space="0" w:color="000000"/>
              <w:bottom w:val="single" w:sz="6" w:space="0" w:color="000000"/>
              <w:right w:val="single" w:sz="6" w:space="0" w:color="000000"/>
            </w:tcBorders>
            <w:shd w:val="clear" w:color="auto" w:fill="FFFFFF"/>
          </w:tcPr>
          <w:p w14:paraId="145E2A15"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lastRenderedPageBreak/>
              <w:t xml:space="preserve">По-слабо развити </w:t>
            </w:r>
            <w:r w:rsidRPr="007D063B">
              <w:rPr>
                <w:rFonts w:ascii="Times New Roman" w:hAnsi="Times New Roman" w:cs="Times New Roman"/>
                <w:sz w:val="16"/>
                <w:szCs w:val="16"/>
              </w:rPr>
              <w:lastRenderedPageBreak/>
              <w:t>региони</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Pr>
          <w:p w14:paraId="7B8123F1"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lastRenderedPageBreak/>
              <w:t>Брой</w:t>
            </w:r>
          </w:p>
        </w:tc>
        <w:tc>
          <w:tcPr>
            <w:tcW w:w="724" w:type="dxa"/>
            <w:tcBorders>
              <w:top w:val="single" w:sz="6" w:space="0" w:color="000000"/>
              <w:left w:val="single" w:sz="6" w:space="0" w:color="000000"/>
              <w:bottom w:val="single" w:sz="6" w:space="0" w:color="000000"/>
              <w:right w:val="single" w:sz="6" w:space="0" w:color="000000"/>
            </w:tcBorders>
            <w:shd w:val="clear" w:color="auto" w:fill="FFFFFF"/>
          </w:tcPr>
          <w:p w14:paraId="244CDD3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5,00</w:t>
            </w:r>
          </w:p>
        </w:tc>
        <w:tc>
          <w:tcPr>
            <w:tcW w:w="696" w:type="dxa"/>
            <w:tcBorders>
              <w:top w:val="single" w:sz="6" w:space="0" w:color="000000"/>
              <w:left w:val="single" w:sz="6" w:space="0" w:color="000000"/>
              <w:bottom w:val="single" w:sz="6" w:space="0" w:color="000000"/>
              <w:right w:val="single" w:sz="6" w:space="0" w:color="000000"/>
            </w:tcBorders>
            <w:shd w:val="clear" w:color="auto" w:fill="FFFFFF"/>
          </w:tcPr>
          <w:p w14:paraId="33CF932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68" w:type="dxa"/>
            <w:tcBorders>
              <w:top w:val="single" w:sz="6" w:space="0" w:color="000000"/>
              <w:left w:val="single" w:sz="6" w:space="0" w:color="000000"/>
              <w:bottom w:val="single" w:sz="6" w:space="0" w:color="000000"/>
              <w:right w:val="single" w:sz="6" w:space="0" w:color="000000"/>
            </w:tcBorders>
            <w:shd w:val="clear" w:color="auto" w:fill="FFFFFF"/>
          </w:tcPr>
          <w:p w14:paraId="3D4DD30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00" w:type="dxa"/>
            <w:tcBorders>
              <w:top w:val="single" w:sz="6" w:space="0" w:color="000000"/>
              <w:left w:val="single" w:sz="6" w:space="0" w:color="000000"/>
              <w:bottom w:val="single" w:sz="6" w:space="0" w:color="000000"/>
              <w:right w:val="single" w:sz="6" w:space="0" w:color="000000"/>
            </w:tcBorders>
            <w:shd w:val="clear" w:color="auto" w:fill="FFFFFF"/>
          </w:tcPr>
          <w:p w14:paraId="6DA6924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4" w:type="dxa"/>
            <w:tcBorders>
              <w:top w:val="single" w:sz="6" w:space="0" w:color="000000"/>
              <w:left w:val="single" w:sz="6" w:space="0" w:color="000000"/>
              <w:bottom w:val="single" w:sz="6" w:space="0" w:color="000000"/>
              <w:right w:val="single" w:sz="6" w:space="0" w:color="000000"/>
            </w:tcBorders>
            <w:shd w:val="clear" w:color="auto" w:fill="FFFFFF"/>
          </w:tcPr>
          <w:p w14:paraId="2A46B7F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760C301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30" w:type="dxa"/>
            <w:tcBorders>
              <w:top w:val="single" w:sz="6" w:space="0" w:color="000000"/>
              <w:left w:val="single" w:sz="6" w:space="0" w:color="000000"/>
              <w:bottom w:val="single" w:sz="6" w:space="0" w:color="000000"/>
              <w:right w:val="single" w:sz="6" w:space="0" w:color="000000"/>
            </w:tcBorders>
            <w:shd w:val="clear" w:color="auto" w:fill="FFFFFF"/>
          </w:tcPr>
          <w:p w14:paraId="4C9E708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4" w:type="dxa"/>
            <w:tcBorders>
              <w:top w:val="single" w:sz="6" w:space="0" w:color="000000"/>
              <w:left w:val="single" w:sz="6" w:space="0" w:color="000000"/>
              <w:bottom w:val="single" w:sz="6" w:space="0" w:color="000000"/>
              <w:right w:val="single" w:sz="6" w:space="0" w:color="000000"/>
            </w:tcBorders>
            <w:shd w:val="clear" w:color="auto" w:fill="FFFFFF"/>
          </w:tcPr>
          <w:p w14:paraId="755084B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2CFF98B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16" w:type="dxa"/>
            <w:tcBorders>
              <w:top w:val="single" w:sz="6" w:space="0" w:color="000000"/>
              <w:left w:val="single" w:sz="6" w:space="0" w:color="000000"/>
              <w:bottom w:val="single" w:sz="6" w:space="0" w:color="000000"/>
              <w:right w:val="single" w:sz="6" w:space="0" w:color="000000"/>
            </w:tcBorders>
            <w:shd w:val="clear" w:color="auto" w:fill="FFFFFF"/>
          </w:tcPr>
          <w:p w14:paraId="6491E491" w14:textId="4BFFC94E" w:rsidR="00B54C34" w:rsidRPr="007D063B" w:rsidRDefault="00631E2C"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93" w:type="dxa"/>
            <w:tcBorders>
              <w:top w:val="single" w:sz="6" w:space="0" w:color="000000"/>
              <w:left w:val="single" w:sz="6" w:space="0" w:color="000000"/>
              <w:bottom w:val="single" w:sz="6" w:space="0" w:color="000000"/>
              <w:right w:val="single" w:sz="6" w:space="0" w:color="000000"/>
            </w:tcBorders>
            <w:shd w:val="clear" w:color="auto" w:fill="FFFFFF"/>
          </w:tcPr>
          <w:p w14:paraId="4BFA6AD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60E17D9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459CE32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2EC21C7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67CAD2E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6B09C14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7049C1E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58A16CD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43D9B33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11BE5FB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4F6BA60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6FCE637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5BCABA2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0B542FA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37B3F59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0DE0EA3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0884E87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6DD7CDF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0B054C4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654D229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5B34643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03F5E47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11" w:type="dxa"/>
            <w:tcBorders>
              <w:top w:val="single" w:sz="6" w:space="0" w:color="000000"/>
              <w:left w:val="single" w:sz="6" w:space="0" w:color="000000"/>
              <w:bottom w:val="single" w:sz="6" w:space="0" w:color="000000"/>
              <w:right w:val="single" w:sz="6" w:space="0" w:color="000000"/>
            </w:tcBorders>
            <w:shd w:val="clear" w:color="auto" w:fill="FFFFFF"/>
          </w:tcPr>
          <w:p w14:paraId="0B4A18C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48" w:type="dxa"/>
            <w:tcBorders>
              <w:top w:val="single" w:sz="6" w:space="0" w:color="000000"/>
              <w:left w:val="single" w:sz="6" w:space="0" w:color="000000"/>
              <w:bottom w:val="single" w:sz="6" w:space="0" w:color="000000"/>
              <w:right w:val="single" w:sz="6" w:space="0" w:color="000000"/>
            </w:tcBorders>
            <w:shd w:val="clear" w:color="auto" w:fill="FFFFFF"/>
          </w:tcPr>
          <w:p w14:paraId="34A432B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192" w:type="dxa"/>
            <w:tcBorders>
              <w:top w:val="single" w:sz="6" w:space="0" w:color="000000"/>
              <w:left w:val="single" w:sz="6" w:space="0" w:color="000000"/>
              <w:bottom w:val="single" w:sz="6" w:space="0" w:color="000000"/>
              <w:right w:val="single" w:sz="6" w:space="0" w:color="000000"/>
            </w:tcBorders>
            <w:shd w:val="clear" w:color="auto" w:fill="FFFFFF"/>
          </w:tcPr>
          <w:p w14:paraId="1A3ACD2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6" w:type="dxa"/>
            <w:gridSpan w:val="2"/>
            <w:tcBorders>
              <w:top w:val="single" w:sz="6" w:space="0" w:color="000000"/>
              <w:left w:val="single" w:sz="6" w:space="0" w:color="000000"/>
              <w:bottom w:val="single" w:sz="6" w:space="0" w:color="000000"/>
              <w:right w:val="single" w:sz="6" w:space="0" w:color="000000"/>
            </w:tcBorders>
            <w:shd w:val="clear" w:color="auto" w:fill="FFFFFF"/>
          </w:tcPr>
          <w:p w14:paraId="5CDD4B3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48" w:type="dxa"/>
            <w:tcBorders>
              <w:top w:val="single" w:sz="6" w:space="0" w:color="000000"/>
              <w:left w:val="single" w:sz="6" w:space="0" w:color="000000"/>
              <w:bottom w:val="single" w:sz="6" w:space="0" w:color="000000"/>
              <w:right w:val="single" w:sz="6" w:space="0" w:color="000000"/>
            </w:tcBorders>
            <w:shd w:val="clear" w:color="auto" w:fill="FFFFFF"/>
          </w:tcPr>
          <w:p w14:paraId="309BC5C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197" w:type="dxa"/>
            <w:tcBorders>
              <w:top w:val="single" w:sz="6" w:space="0" w:color="000000"/>
              <w:left w:val="single" w:sz="6" w:space="0" w:color="000000"/>
              <w:bottom w:val="single" w:sz="6" w:space="0" w:color="000000"/>
              <w:right w:val="single" w:sz="6" w:space="0" w:color="000000"/>
            </w:tcBorders>
            <w:shd w:val="clear" w:color="auto" w:fill="FFFFFF"/>
          </w:tcPr>
          <w:p w14:paraId="62FFA86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0" w:type="dxa"/>
            <w:gridSpan w:val="3"/>
            <w:tcBorders>
              <w:top w:val="single" w:sz="6" w:space="0" w:color="000000"/>
              <w:left w:val="single" w:sz="6" w:space="0" w:color="000000"/>
              <w:bottom w:val="single" w:sz="6" w:space="0" w:color="000000"/>
              <w:right w:val="single" w:sz="6" w:space="0" w:color="000000"/>
            </w:tcBorders>
            <w:shd w:val="clear" w:color="auto" w:fill="FFFFFF"/>
          </w:tcPr>
          <w:p w14:paraId="04ED59D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013E2F0F" w14:textId="77777777" w:rsidTr="00E87518">
        <w:trPr>
          <w:tblCellSpacing w:w="0" w:type="dxa"/>
        </w:trPr>
        <w:tc>
          <w:tcPr>
            <w:tcW w:w="561" w:type="dxa"/>
            <w:tcBorders>
              <w:top w:val="single" w:sz="6" w:space="0" w:color="000000"/>
              <w:left w:val="single" w:sz="6" w:space="0" w:color="000000"/>
              <w:bottom w:val="single" w:sz="6" w:space="0" w:color="000000"/>
              <w:right w:val="single" w:sz="6" w:space="0" w:color="000000"/>
            </w:tcBorders>
            <w:shd w:val="clear" w:color="auto" w:fill="FFFFFF"/>
          </w:tcPr>
          <w:p w14:paraId="1AD29FA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O3-5</w:t>
            </w:r>
          </w:p>
        </w:tc>
        <w:tc>
          <w:tcPr>
            <w:tcW w:w="1849" w:type="dxa"/>
            <w:tcBorders>
              <w:top w:val="single" w:sz="6" w:space="0" w:color="000000"/>
              <w:left w:val="single" w:sz="6" w:space="0" w:color="000000"/>
              <w:bottom w:val="single" w:sz="6" w:space="0" w:color="000000"/>
              <w:right w:val="single" w:sz="6" w:space="0" w:color="000000"/>
            </w:tcBorders>
            <w:shd w:val="clear" w:color="auto" w:fill="FFFFFF"/>
          </w:tcPr>
          <w:p w14:paraId="1D429DDC" w14:textId="14F23DA6" w:rsidR="00B54C34" w:rsidRPr="007D063B" w:rsidRDefault="00B54C34" w:rsidP="00450FF1">
            <w:pPr>
              <w:spacing w:before="120" w:after="0" w:line="240" w:lineRule="auto"/>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Брой институции, на които е извършен одит на ИТ и комуникационната инфраструктура</w:t>
            </w:r>
          </w:p>
        </w:tc>
        <w:tc>
          <w:tcPr>
            <w:tcW w:w="852" w:type="dxa"/>
            <w:tcBorders>
              <w:top w:val="single" w:sz="6" w:space="0" w:color="000000"/>
              <w:left w:val="single" w:sz="6" w:space="0" w:color="000000"/>
              <w:bottom w:val="single" w:sz="6" w:space="0" w:color="000000"/>
              <w:right w:val="single" w:sz="6" w:space="0" w:color="000000"/>
            </w:tcBorders>
            <w:shd w:val="clear" w:color="auto" w:fill="FFFFFF"/>
          </w:tcPr>
          <w:p w14:paraId="1FAEC782"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Pr>
          <w:p w14:paraId="0F287DC0"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Брой</w:t>
            </w:r>
          </w:p>
        </w:tc>
        <w:tc>
          <w:tcPr>
            <w:tcW w:w="724" w:type="dxa"/>
            <w:tcBorders>
              <w:top w:val="single" w:sz="6" w:space="0" w:color="000000"/>
              <w:left w:val="single" w:sz="6" w:space="0" w:color="000000"/>
              <w:bottom w:val="single" w:sz="6" w:space="0" w:color="000000"/>
              <w:right w:val="single" w:sz="6" w:space="0" w:color="000000"/>
            </w:tcBorders>
            <w:shd w:val="clear" w:color="auto" w:fill="FFFFFF"/>
          </w:tcPr>
          <w:p w14:paraId="1F6CF91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180,00</w:t>
            </w:r>
          </w:p>
        </w:tc>
        <w:tc>
          <w:tcPr>
            <w:tcW w:w="696" w:type="dxa"/>
            <w:tcBorders>
              <w:top w:val="single" w:sz="6" w:space="0" w:color="000000"/>
              <w:left w:val="single" w:sz="6" w:space="0" w:color="000000"/>
              <w:bottom w:val="single" w:sz="6" w:space="0" w:color="000000"/>
              <w:right w:val="single" w:sz="6" w:space="0" w:color="000000"/>
            </w:tcBorders>
            <w:shd w:val="clear" w:color="auto" w:fill="FFFFFF"/>
          </w:tcPr>
          <w:p w14:paraId="329C554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68" w:type="dxa"/>
            <w:tcBorders>
              <w:top w:val="single" w:sz="6" w:space="0" w:color="000000"/>
              <w:left w:val="single" w:sz="6" w:space="0" w:color="000000"/>
              <w:bottom w:val="single" w:sz="6" w:space="0" w:color="000000"/>
              <w:right w:val="single" w:sz="6" w:space="0" w:color="000000"/>
            </w:tcBorders>
            <w:shd w:val="clear" w:color="auto" w:fill="FFFFFF"/>
          </w:tcPr>
          <w:p w14:paraId="3281271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00" w:type="dxa"/>
            <w:tcBorders>
              <w:top w:val="single" w:sz="6" w:space="0" w:color="000000"/>
              <w:left w:val="single" w:sz="6" w:space="0" w:color="000000"/>
              <w:bottom w:val="single" w:sz="6" w:space="0" w:color="000000"/>
              <w:right w:val="single" w:sz="6" w:space="0" w:color="000000"/>
            </w:tcBorders>
            <w:shd w:val="clear" w:color="auto" w:fill="FFFFFF"/>
          </w:tcPr>
          <w:p w14:paraId="1FC4849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lang w:val="en-US"/>
              </w:rPr>
              <w:t>0</w:t>
            </w:r>
          </w:p>
        </w:tc>
        <w:tc>
          <w:tcPr>
            <w:tcW w:w="154" w:type="dxa"/>
            <w:tcBorders>
              <w:top w:val="single" w:sz="6" w:space="0" w:color="000000"/>
              <w:left w:val="single" w:sz="6" w:space="0" w:color="000000"/>
              <w:bottom w:val="single" w:sz="6" w:space="0" w:color="000000"/>
              <w:right w:val="single" w:sz="6" w:space="0" w:color="000000"/>
            </w:tcBorders>
            <w:shd w:val="clear" w:color="auto" w:fill="FFFFFF"/>
          </w:tcPr>
          <w:p w14:paraId="511EED9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2A8DB32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30" w:type="dxa"/>
            <w:tcBorders>
              <w:top w:val="single" w:sz="6" w:space="0" w:color="000000"/>
              <w:left w:val="single" w:sz="6" w:space="0" w:color="000000"/>
              <w:bottom w:val="single" w:sz="6" w:space="0" w:color="000000"/>
              <w:right w:val="single" w:sz="6" w:space="0" w:color="000000"/>
            </w:tcBorders>
            <w:shd w:val="clear" w:color="auto" w:fill="FFFFFF"/>
          </w:tcPr>
          <w:p w14:paraId="191F2F0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4" w:type="dxa"/>
            <w:tcBorders>
              <w:top w:val="single" w:sz="6" w:space="0" w:color="000000"/>
              <w:left w:val="single" w:sz="6" w:space="0" w:color="000000"/>
              <w:bottom w:val="single" w:sz="6" w:space="0" w:color="000000"/>
              <w:right w:val="single" w:sz="6" w:space="0" w:color="000000"/>
            </w:tcBorders>
            <w:shd w:val="clear" w:color="auto" w:fill="FFFFFF"/>
          </w:tcPr>
          <w:p w14:paraId="5C5BA7B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433DC33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16" w:type="dxa"/>
            <w:tcBorders>
              <w:top w:val="single" w:sz="6" w:space="0" w:color="000000"/>
              <w:left w:val="single" w:sz="6" w:space="0" w:color="000000"/>
              <w:bottom w:val="single" w:sz="6" w:space="0" w:color="000000"/>
              <w:right w:val="single" w:sz="6" w:space="0" w:color="000000"/>
            </w:tcBorders>
            <w:shd w:val="clear" w:color="auto" w:fill="FFFFFF"/>
          </w:tcPr>
          <w:p w14:paraId="3377D7FF" w14:textId="2EDAA4D5" w:rsidR="00B54C34" w:rsidRPr="007D063B" w:rsidRDefault="00631E2C"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93" w:type="dxa"/>
            <w:tcBorders>
              <w:top w:val="single" w:sz="6" w:space="0" w:color="000000"/>
              <w:left w:val="single" w:sz="6" w:space="0" w:color="000000"/>
              <w:bottom w:val="single" w:sz="6" w:space="0" w:color="000000"/>
              <w:right w:val="single" w:sz="6" w:space="0" w:color="000000"/>
            </w:tcBorders>
            <w:shd w:val="clear" w:color="auto" w:fill="FFFFFF"/>
          </w:tcPr>
          <w:p w14:paraId="17A62D8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5D2C558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08D8ECB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04FDDA7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19B29A4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73D4DB6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47F2AB5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43A3A15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777148B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4FFE901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73EA511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7F36BD6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720DA3A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104D6D7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056DD9B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6246B0C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4CF9887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1BF4BE2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172ED8B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7B3CF7C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6CFADE4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6F2DC77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11" w:type="dxa"/>
            <w:tcBorders>
              <w:top w:val="single" w:sz="6" w:space="0" w:color="000000"/>
              <w:left w:val="single" w:sz="6" w:space="0" w:color="000000"/>
              <w:bottom w:val="single" w:sz="6" w:space="0" w:color="000000"/>
              <w:right w:val="single" w:sz="6" w:space="0" w:color="000000"/>
            </w:tcBorders>
            <w:shd w:val="clear" w:color="auto" w:fill="FFFFFF"/>
          </w:tcPr>
          <w:p w14:paraId="4A4A2EA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48" w:type="dxa"/>
            <w:tcBorders>
              <w:top w:val="single" w:sz="6" w:space="0" w:color="000000"/>
              <w:left w:val="single" w:sz="6" w:space="0" w:color="000000"/>
              <w:bottom w:val="single" w:sz="6" w:space="0" w:color="000000"/>
              <w:right w:val="single" w:sz="6" w:space="0" w:color="000000"/>
            </w:tcBorders>
            <w:shd w:val="clear" w:color="auto" w:fill="FFFFFF"/>
          </w:tcPr>
          <w:p w14:paraId="1AED3B8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192" w:type="dxa"/>
            <w:tcBorders>
              <w:top w:val="single" w:sz="6" w:space="0" w:color="000000"/>
              <w:left w:val="single" w:sz="6" w:space="0" w:color="000000"/>
              <w:bottom w:val="single" w:sz="6" w:space="0" w:color="000000"/>
              <w:right w:val="single" w:sz="6" w:space="0" w:color="000000"/>
            </w:tcBorders>
            <w:shd w:val="clear" w:color="auto" w:fill="FFFFFF"/>
          </w:tcPr>
          <w:p w14:paraId="1A106E2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6" w:type="dxa"/>
            <w:gridSpan w:val="2"/>
            <w:tcBorders>
              <w:top w:val="single" w:sz="6" w:space="0" w:color="000000"/>
              <w:left w:val="single" w:sz="6" w:space="0" w:color="000000"/>
              <w:bottom w:val="single" w:sz="6" w:space="0" w:color="000000"/>
              <w:right w:val="single" w:sz="6" w:space="0" w:color="000000"/>
            </w:tcBorders>
            <w:shd w:val="clear" w:color="auto" w:fill="FFFFFF"/>
          </w:tcPr>
          <w:p w14:paraId="035D863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48" w:type="dxa"/>
            <w:tcBorders>
              <w:top w:val="single" w:sz="6" w:space="0" w:color="000000"/>
              <w:left w:val="single" w:sz="6" w:space="0" w:color="000000"/>
              <w:bottom w:val="single" w:sz="6" w:space="0" w:color="000000"/>
              <w:right w:val="single" w:sz="6" w:space="0" w:color="000000"/>
            </w:tcBorders>
            <w:shd w:val="clear" w:color="auto" w:fill="FFFFFF"/>
          </w:tcPr>
          <w:p w14:paraId="35F19AA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197" w:type="dxa"/>
            <w:tcBorders>
              <w:top w:val="single" w:sz="6" w:space="0" w:color="000000"/>
              <w:left w:val="single" w:sz="6" w:space="0" w:color="000000"/>
              <w:bottom w:val="single" w:sz="6" w:space="0" w:color="000000"/>
              <w:right w:val="single" w:sz="6" w:space="0" w:color="000000"/>
            </w:tcBorders>
            <w:shd w:val="clear" w:color="auto" w:fill="FFFFFF"/>
          </w:tcPr>
          <w:p w14:paraId="10C5FF5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0" w:type="dxa"/>
            <w:gridSpan w:val="3"/>
            <w:tcBorders>
              <w:top w:val="single" w:sz="6" w:space="0" w:color="000000"/>
              <w:left w:val="single" w:sz="6" w:space="0" w:color="000000"/>
              <w:bottom w:val="single" w:sz="6" w:space="0" w:color="000000"/>
              <w:right w:val="single" w:sz="6" w:space="0" w:color="000000"/>
            </w:tcBorders>
            <w:shd w:val="clear" w:color="auto" w:fill="FFFFFF"/>
          </w:tcPr>
          <w:p w14:paraId="16E2435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2F4E5517" w14:textId="77777777" w:rsidTr="00E87518">
        <w:trPr>
          <w:tblCellSpacing w:w="0" w:type="dxa"/>
        </w:trPr>
        <w:tc>
          <w:tcPr>
            <w:tcW w:w="561" w:type="dxa"/>
            <w:tcBorders>
              <w:top w:val="single" w:sz="6" w:space="0" w:color="000000"/>
              <w:left w:val="single" w:sz="6" w:space="0" w:color="000000"/>
              <w:bottom w:val="single" w:sz="6" w:space="0" w:color="000000"/>
              <w:right w:val="single" w:sz="6" w:space="0" w:color="000000"/>
            </w:tcBorders>
            <w:shd w:val="clear" w:color="auto" w:fill="FFFFFF"/>
          </w:tcPr>
          <w:p w14:paraId="49A00CBE" w14:textId="77777777" w:rsidR="00B54C34" w:rsidRPr="007D063B" w:rsidRDefault="00B54C34" w:rsidP="00450FF1">
            <w:pPr>
              <w:spacing w:before="120" w:after="0" w:line="240" w:lineRule="auto"/>
              <w:jc w:val="both"/>
              <w:rPr>
                <w:rFonts w:ascii="Times New Roman" w:hAnsi="Times New Roman" w:cs="Times New Roman"/>
                <w:sz w:val="16"/>
                <w:szCs w:val="16"/>
              </w:rPr>
            </w:pPr>
            <w:r w:rsidRPr="007D063B">
              <w:rPr>
                <w:rFonts w:ascii="Times New Roman" w:hAnsi="Times New Roman" w:cs="Times New Roman"/>
                <w:sz w:val="16"/>
                <w:szCs w:val="16"/>
              </w:rPr>
              <w:t>O3-6</w:t>
            </w:r>
          </w:p>
        </w:tc>
        <w:tc>
          <w:tcPr>
            <w:tcW w:w="1849" w:type="dxa"/>
            <w:tcBorders>
              <w:top w:val="single" w:sz="6" w:space="0" w:color="000000"/>
              <w:left w:val="single" w:sz="6" w:space="0" w:color="000000"/>
              <w:bottom w:val="single" w:sz="6" w:space="0" w:color="000000"/>
              <w:right w:val="single" w:sz="6" w:space="0" w:color="000000"/>
            </w:tcBorders>
            <w:shd w:val="clear" w:color="auto" w:fill="FFFFFF"/>
          </w:tcPr>
          <w:p w14:paraId="1C15BB01"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Брой подкрепени електронни услуги на съдебната власт</w:t>
            </w:r>
          </w:p>
        </w:tc>
        <w:tc>
          <w:tcPr>
            <w:tcW w:w="852" w:type="dxa"/>
            <w:tcBorders>
              <w:top w:val="single" w:sz="6" w:space="0" w:color="000000"/>
              <w:left w:val="single" w:sz="6" w:space="0" w:color="000000"/>
              <w:bottom w:val="single" w:sz="6" w:space="0" w:color="000000"/>
              <w:right w:val="single" w:sz="6" w:space="0" w:color="000000"/>
            </w:tcBorders>
            <w:shd w:val="clear" w:color="auto" w:fill="FFFFFF"/>
          </w:tcPr>
          <w:p w14:paraId="08B3DC79"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Pr>
          <w:p w14:paraId="771DCFE4"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Брой</w:t>
            </w:r>
          </w:p>
        </w:tc>
        <w:tc>
          <w:tcPr>
            <w:tcW w:w="724" w:type="dxa"/>
            <w:tcBorders>
              <w:top w:val="single" w:sz="6" w:space="0" w:color="000000"/>
              <w:left w:val="single" w:sz="6" w:space="0" w:color="000000"/>
              <w:bottom w:val="single" w:sz="6" w:space="0" w:color="000000"/>
              <w:right w:val="single" w:sz="6" w:space="0" w:color="000000"/>
            </w:tcBorders>
            <w:shd w:val="clear" w:color="auto" w:fill="FFFFFF"/>
          </w:tcPr>
          <w:p w14:paraId="4DBD580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5,00</w:t>
            </w:r>
          </w:p>
        </w:tc>
        <w:tc>
          <w:tcPr>
            <w:tcW w:w="696" w:type="dxa"/>
            <w:tcBorders>
              <w:top w:val="single" w:sz="6" w:space="0" w:color="000000"/>
              <w:left w:val="single" w:sz="6" w:space="0" w:color="000000"/>
              <w:bottom w:val="single" w:sz="6" w:space="0" w:color="000000"/>
              <w:right w:val="single" w:sz="6" w:space="0" w:color="000000"/>
            </w:tcBorders>
            <w:shd w:val="clear" w:color="auto" w:fill="FFFFFF"/>
          </w:tcPr>
          <w:p w14:paraId="73E734F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68" w:type="dxa"/>
            <w:tcBorders>
              <w:top w:val="single" w:sz="6" w:space="0" w:color="000000"/>
              <w:left w:val="single" w:sz="6" w:space="0" w:color="000000"/>
              <w:bottom w:val="single" w:sz="6" w:space="0" w:color="000000"/>
              <w:right w:val="single" w:sz="6" w:space="0" w:color="000000"/>
            </w:tcBorders>
            <w:shd w:val="clear" w:color="auto" w:fill="FFFFFF"/>
          </w:tcPr>
          <w:p w14:paraId="07E911C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00" w:type="dxa"/>
            <w:tcBorders>
              <w:top w:val="single" w:sz="6" w:space="0" w:color="000000"/>
              <w:left w:val="single" w:sz="6" w:space="0" w:color="000000"/>
              <w:bottom w:val="single" w:sz="6" w:space="0" w:color="000000"/>
              <w:right w:val="single" w:sz="6" w:space="0" w:color="000000"/>
            </w:tcBorders>
            <w:shd w:val="clear" w:color="auto" w:fill="FFFFFF"/>
          </w:tcPr>
          <w:p w14:paraId="135BAB9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4" w:type="dxa"/>
            <w:tcBorders>
              <w:top w:val="single" w:sz="6" w:space="0" w:color="000000"/>
              <w:left w:val="single" w:sz="6" w:space="0" w:color="000000"/>
              <w:bottom w:val="single" w:sz="6" w:space="0" w:color="000000"/>
              <w:right w:val="single" w:sz="6" w:space="0" w:color="000000"/>
            </w:tcBorders>
            <w:shd w:val="clear" w:color="auto" w:fill="FFFFFF"/>
          </w:tcPr>
          <w:p w14:paraId="3ED20DA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1B62A50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30" w:type="dxa"/>
            <w:tcBorders>
              <w:top w:val="single" w:sz="6" w:space="0" w:color="000000"/>
              <w:left w:val="single" w:sz="6" w:space="0" w:color="000000"/>
              <w:bottom w:val="single" w:sz="6" w:space="0" w:color="000000"/>
              <w:right w:val="single" w:sz="6" w:space="0" w:color="000000"/>
            </w:tcBorders>
            <w:shd w:val="clear" w:color="auto" w:fill="FFFFFF"/>
          </w:tcPr>
          <w:p w14:paraId="32628DF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4" w:type="dxa"/>
            <w:tcBorders>
              <w:top w:val="single" w:sz="6" w:space="0" w:color="000000"/>
              <w:left w:val="single" w:sz="6" w:space="0" w:color="000000"/>
              <w:bottom w:val="single" w:sz="6" w:space="0" w:color="000000"/>
              <w:right w:val="single" w:sz="6" w:space="0" w:color="000000"/>
            </w:tcBorders>
            <w:shd w:val="clear" w:color="auto" w:fill="FFFFFF"/>
          </w:tcPr>
          <w:p w14:paraId="09EDC11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01160A5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16" w:type="dxa"/>
            <w:tcBorders>
              <w:top w:val="single" w:sz="6" w:space="0" w:color="000000"/>
              <w:left w:val="single" w:sz="6" w:space="0" w:color="000000"/>
              <w:bottom w:val="single" w:sz="6" w:space="0" w:color="000000"/>
              <w:right w:val="single" w:sz="6" w:space="0" w:color="000000"/>
            </w:tcBorders>
            <w:shd w:val="clear" w:color="auto" w:fill="FFFFFF"/>
          </w:tcPr>
          <w:p w14:paraId="45987EA8" w14:textId="2C33BA9C" w:rsidR="00B54C34" w:rsidRPr="007D063B" w:rsidRDefault="00631E2C"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93" w:type="dxa"/>
            <w:tcBorders>
              <w:top w:val="single" w:sz="6" w:space="0" w:color="000000"/>
              <w:left w:val="single" w:sz="6" w:space="0" w:color="000000"/>
              <w:bottom w:val="single" w:sz="6" w:space="0" w:color="000000"/>
              <w:right w:val="single" w:sz="6" w:space="0" w:color="000000"/>
            </w:tcBorders>
            <w:shd w:val="clear" w:color="auto" w:fill="FFFFFF"/>
          </w:tcPr>
          <w:p w14:paraId="063FC9F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5833493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428BB57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04BC855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4F53696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4DFEE98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4752F0A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53E84C5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11C51BC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51C7F61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7F38A4C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3B171B2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0079502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4904CFB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58A1A0B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4BA017E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57C1B6F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3D94BE2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0E4ECBC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7FEBAE2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0F854F3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083B945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11" w:type="dxa"/>
            <w:tcBorders>
              <w:top w:val="single" w:sz="6" w:space="0" w:color="000000"/>
              <w:left w:val="single" w:sz="6" w:space="0" w:color="000000"/>
              <w:bottom w:val="single" w:sz="6" w:space="0" w:color="000000"/>
              <w:right w:val="single" w:sz="6" w:space="0" w:color="000000"/>
            </w:tcBorders>
            <w:shd w:val="clear" w:color="auto" w:fill="FFFFFF"/>
          </w:tcPr>
          <w:p w14:paraId="70B5C3E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48" w:type="dxa"/>
            <w:tcBorders>
              <w:top w:val="single" w:sz="6" w:space="0" w:color="000000"/>
              <w:left w:val="single" w:sz="6" w:space="0" w:color="000000"/>
              <w:bottom w:val="single" w:sz="6" w:space="0" w:color="000000"/>
              <w:right w:val="single" w:sz="6" w:space="0" w:color="000000"/>
            </w:tcBorders>
            <w:shd w:val="clear" w:color="auto" w:fill="FFFFFF"/>
          </w:tcPr>
          <w:p w14:paraId="0828BAD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192" w:type="dxa"/>
            <w:tcBorders>
              <w:top w:val="single" w:sz="6" w:space="0" w:color="000000"/>
              <w:left w:val="single" w:sz="6" w:space="0" w:color="000000"/>
              <w:bottom w:val="single" w:sz="6" w:space="0" w:color="000000"/>
              <w:right w:val="single" w:sz="6" w:space="0" w:color="000000"/>
            </w:tcBorders>
            <w:shd w:val="clear" w:color="auto" w:fill="FFFFFF"/>
          </w:tcPr>
          <w:p w14:paraId="1D94F98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6" w:type="dxa"/>
            <w:gridSpan w:val="2"/>
            <w:tcBorders>
              <w:top w:val="single" w:sz="6" w:space="0" w:color="000000"/>
              <w:left w:val="single" w:sz="6" w:space="0" w:color="000000"/>
              <w:bottom w:val="single" w:sz="6" w:space="0" w:color="000000"/>
              <w:right w:val="single" w:sz="6" w:space="0" w:color="000000"/>
            </w:tcBorders>
            <w:shd w:val="clear" w:color="auto" w:fill="FFFFFF"/>
          </w:tcPr>
          <w:p w14:paraId="7734F8E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48" w:type="dxa"/>
            <w:tcBorders>
              <w:top w:val="single" w:sz="6" w:space="0" w:color="000000"/>
              <w:left w:val="single" w:sz="6" w:space="0" w:color="000000"/>
              <w:bottom w:val="single" w:sz="6" w:space="0" w:color="000000"/>
              <w:right w:val="single" w:sz="6" w:space="0" w:color="000000"/>
            </w:tcBorders>
            <w:shd w:val="clear" w:color="auto" w:fill="FFFFFF"/>
          </w:tcPr>
          <w:p w14:paraId="463D4F0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197" w:type="dxa"/>
            <w:tcBorders>
              <w:top w:val="single" w:sz="6" w:space="0" w:color="000000"/>
              <w:left w:val="single" w:sz="6" w:space="0" w:color="000000"/>
              <w:bottom w:val="single" w:sz="6" w:space="0" w:color="000000"/>
              <w:right w:val="single" w:sz="6" w:space="0" w:color="000000"/>
            </w:tcBorders>
            <w:shd w:val="clear" w:color="auto" w:fill="FFFFFF"/>
          </w:tcPr>
          <w:p w14:paraId="390D46F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0" w:type="dxa"/>
            <w:gridSpan w:val="3"/>
            <w:tcBorders>
              <w:top w:val="single" w:sz="6" w:space="0" w:color="000000"/>
              <w:left w:val="single" w:sz="6" w:space="0" w:color="000000"/>
              <w:bottom w:val="single" w:sz="6" w:space="0" w:color="000000"/>
              <w:right w:val="single" w:sz="6" w:space="0" w:color="000000"/>
            </w:tcBorders>
            <w:shd w:val="clear" w:color="auto" w:fill="FFFFFF"/>
          </w:tcPr>
          <w:p w14:paraId="4D68248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75FE30B3" w14:textId="77777777" w:rsidTr="00E87518">
        <w:trPr>
          <w:tblCellSpacing w:w="0" w:type="dxa"/>
        </w:trPr>
        <w:tc>
          <w:tcPr>
            <w:tcW w:w="561" w:type="dxa"/>
            <w:tcBorders>
              <w:top w:val="single" w:sz="6" w:space="0" w:color="000000"/>
              <w:left w:val="single" w:sz="6" w:space="0" w:color="000000"/>
              <w:bottom w:val="single" w:sz="6" w:space="0" w:color="000000"/>
              <w:right w:val="single" w:sz="6" w:space="0" w:color="000000"/>
            </w:tcBorders>
            <w:shd w:val="clear" w:color="auto" w:fill="FFFFFF"/>
          </w:tcPr>
          <w:p w14:paraId="6B232B7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O3-7</w:t>
            </w:r>
          </w:p>
        </w:tc>
        <w:tc>
          <w:tcPr>
            <w:tcW w:w="1849" w:type="dxa"/>
            <w:tcBorders>
              <w:top w:val="single" w:sz="6" w:space="0" w:color="000000"/>
              <w:left w:val="single" w:sz="6" w:space="0" w:color="000000"/>
              <w:bottom w:val="single" w:sz="6" w:space="0" w:color="000000"/>
              <w:right w:val="single" w:sz="6" w:space="0" w:color="000000"/>
            </w:tcBorders>
            <w:shd w:val="clear" w:color="auto" w:fill="FFFFFF"/>
          </w:tcPr>
          <w:p w14:paraId="3F478BD0" w14:textId="77777777" w:rsidR="00B54C34" w:rsidRPr="007D063B" w:rsidRDefault="00B54C34" w:rsidP="00450FF1">
            <w:pPr>
              <w:spacing w:before="120" w:after="0" w:line="240" w:lineRule="auto"/>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Разработена ЕИСС</w:t>
            </w:r>
          </w:p>
        </w:tc>
        <w:tc>
          <w:tcPr>
            <w:tcW w:w="852" w:type="dxa"/>
            <w:tcBorders>
              <w:top w:val="single" w:sz="6" w:space="0" w:color="000000"/>
              <w:left w:val="single" w:sz="6" w:space="0" w:color="000000"/>
              <w:bottom w:val="single" w:sz="6" w:space="0" w:color="000000"/>
              <w:right w:val="single" w:sz="6" w:space="0" w:color="000000"/>
            </w:tcBorders>
            <w:shd w:val="clear" w:color="auto" w:fill="FFFFFF"/>
          </w:tcPr>
          <w:p w14:paraId="36CB6FB9"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Pr>
          <w:p w14:paraId="3589D8C9"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Брой</w:t>
            </w:r>
          </w:p>
        </w:tc>
        <w:tc>
          <w:tcPr>
            <w:tcW w:w="724" w:type="dxa"/>
            <w:tcBorders>
              <w:top w:val="single" w:sz="6" w:space="0" w:color="000000"/>
              <w:left w:val="single" w:sz="6" w:space="0" w:color="000000"/>
              <w:bottom w:val="single" w:sz="6" w:space="0" w:color="000000"/>
              <w:right w:val="single" w:sz="6" w:space="0" w:color="000000"/>
            </w:tcBorders>
            <w:shd w:val="clear" w:color="auto" w:fill="FFFFFF"/>
          </w:tcPr>
          <w:p w14:paraId="044E62E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1,00</w:t>
            </w:r>
          </w:p>
        </w:tc>
        <w:tc>
          <w:tcPr>
            <w:tcW w:w="696" w:type="dxa"/>
            <w:tcBorders>
              <w:top w:val="single" w:sz="6" w:space="0" w:color="000000"/>
              <w:left w:val="single" w:sz="6" w:space="0" w:color="000000"/>
              <w:bottom w:val="single" w:sz="6" w:space="0" w:color="000000"/>
              <w:right w:val="single" w:sz="6" w:space="0" w:color="000000"/>
            </w:tcBorders>
            <w:shd w:val="clear" w:color="auto" w:fill="FFFFFF"/>
          </w:tcPr>
          <w:p w14:paraId="4E35D1A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68" w:type="dxa"/>
            <w:tcBorders>
              <w:top w:val="single" w:sz="6" w:space="0" w:color="000000"/>
              <w:left w:val="single" w:sz="6" w:space="0" w:color="000000"/>
              <w:bottom w:val="single" w:sz="6" w:space="0" w:color="000000"/>
              <w:right w:val="single" w:sz="6" w:space="0" w:color="000000"/>
            </w:tcBorders>
            <w:shd w:val="clear" w:color="auto" w:fill="FFFFFF"/>
          </w:tcPr>
          <w:p w14:paraId="01B8A5F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00" w:type="dxa"/>
            <w:tcBorders>
              <w:top w:val="single" w:sz="6" w:space="0" w:color="000000"/>
              <w:left w:val="single" w:sz="6" w:space="0" w:color="000000"/>
              <w:bottom w:val="single" w:sz="6" w:space="0" w:color="000000"/>
              <w:right w:val="single" w:sz="6" w:space="0" w:color="000000"/>
            </w:tcBorders>
            <w:shd w:val="clear" w:color="auto" w:fill="FFFFFF"/>
          </w:tcPr>
          <w:p w14:paraId="23C30A2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4" w:type="dxa"/>
            <w:tcBorders>
              <w:top w:val="single" w:sz="6" w:space="0" w:color="000000"/>
              <w:left w:val="single" w:sz="6" w:space="0" w:color="000000"/>
              <w:bottom w:val="single" w:sz="6" w:space="0" w:color="000000"/>
              <w:right w:val="single" w:sz="6" w:space="0" w:color="000000"/>
            </w:tcBorders>
            <w:shd w:val="clear" w:color="auto" w:fill="FFFFFF"/>
          </w:tcPr>
          <w:p w14:paraId="0C6A7BA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6C177B1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30" w:type="dxa"/>
            <w:tcBorders>
              <w:top w:val="single" w:sz="6" w:space="0" w:color="000000"/>
              <w:left w:val="single" w:sz="6" w:space="0" w:color="000000"/>
              <w:bottom w:val="single" w:sz="6" w:space="0" w:color="000000"/>
              <w:right w:val="single" w:sz="6" w:space="0" w:color="000000"/>
            </w:tcBorders>
            <w:shd w:val="clear" w:color="auto" w:fill="FFFFFF"/>
          </w:tcPr>
          <w:p w14:paraId="5BD9A94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4" w:type="dxa"/>
            <w:tcBorders>
              <w:top w:val="single" w:sz="6" w:space="0" w:color="000000"/>
              <w:left w:val="single" w:sz="6" w:space="0" w:color="000000"/>
              <w:bottom w:val="single" w:sz="6" w:space="0" w:color="000000"/>
              <w:right w:val="single" w:sz="6" w:space="0" w:color="000000"/>
            </w:tcBorders>
            <w:shd w:val="clear" w:color="auto" w:fill="FFFFFF"/>
          </w:tcPr>
          <w:p w14:paraId="4840AC5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7420566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16" w:type="dxa"/>
            <w:tcBorders>
              <w:top w:val="single" w:sz="6" w:space="0" w:color="000000"/>
              <w:left w:val="single" w:sz="6" w:space="0" w:color="000000"/>
              <w:bottom w:val="single" w:sz="6" w:space="0" w:color="000000"/>
              <w:right w:val="single" w:sz="6" w:space="0" w:color="000000"/>
            </w:tcBorders>
            <w:shd w:val="clear" w:color="auto" w:fill="FFFFFF"/>
          </w:tcPr>
          <w:p w14:paraId="179E99BD" w14:textId="578ABA14" w:rsidR="00B54C34" w:rsidRPr="007D063B" w:rsidRDefault="00631E2C"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93" w:type="dxa"/>
            <w:tcBorders>
              <w:top w:val="single" w:sz="6" w:space="0" w:color="000000"/>
              <w:left w:val="single" w:sz="6" w:space="0" w:color="000000"/>
              <w:bottom w:val="single" w:sz="6" w:space="0" w:color="000000"/>
              <w:right w:val="single" w:sz="6" w:space="0" w:color="000000"/>
            </w:tcBorders>
            <w:shd w:val="clear" w:color="auto" w:fill="FFFFFF"/>
          </w:tcPr>
          <w:p w14:paraId="3A7C9AB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5947202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18A9B70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41DEBA1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1894FF1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2709B6F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3ABD1DB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042AA6B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734B7AA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31AD11E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57950F2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0C73408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3C7E7FF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5BFEE35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5C637F0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700E13C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67189A8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35ECBE3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56499B3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60D4946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564D095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646BCF4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11" w:type="dxa"/>
            <w:tcBorders>
              <w:top w:val="single" w:sz="6" w:space="0" w:color="000000"/>
              <w:left w:val="single" w:sz="6" w:space="0" w:color="000000"/>
              <w:bottom w:val="single" w:sz="6" w:space="0" w:color="000000"/>
              <w:right w:val="single" w:sz="6" w:space="0" w:color="000000"/>
            </w:tcBorders>
            <w:shd w:val="clear" w:color="auto" w:fill="FFFFFF"/>
          </w:tcPr>
          <w:p w14:paraId="16FBC8F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48" w:type="dxa"/>
            <w:tcBorders>
              <w:top w:val="single" w:sz="6" w:space="0" w:color="000000"/>
              <w:left w:val="single" w:sz="6" w:space="0" w:color="000000"/>
              <w:bottom w:val="single" w:sz="6" w:space="0" w:color="000000"/>
              <w:right w:val="single" w:sz="6" w:space="0" w:color="000000"/>
            </w:tcBorders>
            <w:shd w:val="clear" w:color="auto" w:fill="FFFFFF"/>
          </w:tcPr>
          <w:p w14:paraId="545A3E7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192" w:type="dxa"/>
            <w:tcBorders>
              <w:top w:val="single" w:sz="6" w:space="0" w:color="000000"/>
              <w:left w:val="single" w:sz="6" w:space="0" w:color="000000"/>
              <w:bottom w:val="single" w:sz="6" w:space="0" w:color="000000"/>
              <w:right w:val="single" w:sz="6" w:space="0" w:color="000000"/>
            </w:tcBorders>
            <w:shd w:val="clear" w:color="auto" w:fill="FFFFFF"/>
          </w:tcPr>
          <w:p w14:paraId="251C448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6" w:type="dxa"/>
            <w:gridSpan w:val="2"/>
            <w:tcBorders>
              <w:top w:val="single" w:sz="6" w:space="0" w:color="000000"/>
              <w:left w:val="single" w:sz="6" w:space="0" w:color="000000"/>
              <w:bottom w:val="single" w:sz="6" w:space="0" w:color="000000"/>
              <w:right w:val="single" w:sz="6" w:space="0" w:color="000000"/>
            </w:tcBorders>
            <w:shd w:val="clear" w:color="auto" w:fill="FFFFFF"/>
          </w:tcPr>
          <w:p w14:paraId="487E10A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48" w:type="dxa"/>
            <w:tcBorders>
              <w:top w:val="single" w:sz="6" w:space="0" w:color="000000"/>
              <w:left w:val="single" w:sz="6" w:space="0" w:color="000000"/>
              <w:bottom w:val="single" w:sz="6" w:space="0" w:color="000000"/>
              <w:right w:val="single" w:sz="6" w:space="0" w:color="000000"/>
            </w:tcBorders>
            <w:shd w:val="clear" w:color="auto" w:fill="FFFFFF"/>
          </w:tcPr>
          <w:p w14:paraId="27521BE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197" w:type="dxa"/>
            <w:tcBorders>
              <w:top w:val="single" w:sz="6" w:space="0" w:color="000000"/>
              <w:left w:val="single" w:sz="6" w:space="0" w:color="000000"/>
              <w:bottom w:val="single" w:sz="6" w:space="0" w:color="000000"/>
              <w:right w:val="single" w:sz="6" w:space="0" w:color="000000"/>
            </w:tcBorders>
            <w:shd w:val="clear" w:color="auto" w:fill="FFFFFF"/>
          </w:tcPr>
          <w:p w14:paraId="1404639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0" w:type="dxa"/>
            <w:gridSpan w:val="3"/>
            <w:tcBorders>
              <w:top w:val="single" w:sz="6" w:space="0" w:color="000000"/>
              <w:left w:val="single" w:sz="6" w:space="0" w:color="000000"/>
              <w:bottom w:val="single" w:sz="6" w:space="0" w:color="000000"/>
              <w:right w:val="single" w:sz="6" w:space="0" w:color="000000"/>
            </w:tcBorders>
            <w:shd w:val="clear" w:color="auto" w:fill="FFFFFF"/>
          </w:tcPr>
          <w:p w14:paraId="076CDA4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74B35330" w14:textId="77777777" w:rsidTr="00E87518">
        <w:trPr>
          <w:tblCellSpacing w:w="0" w:type="dxa"/>
        </w:trPr>
        <w:tc>
          <w:tcPr>
            <w:tcW w:w="561" w:type="dxa"/>
            <w:tcBorders>
              <w:top w:val="single" w:sz="6" w:space="0" w:color="000000"/>
              <w:left w:val="single" w:sz="6" w:space="0" w:color="000000"/>
              <w:bottom w:val="single" w:sz="6" w:space="0" w:color="000000"/>
              <w:right w:val="single" w:sz="6" w:space="0" w:color="000000"/>
            </w:tcBorders>
            <w:shd w:val="clear" w:color="auto" w:fill="FFFFFF"/>
          </w:tcPr>
          <w:p w14:paraId="339F469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O3-8</w:t>
            </w:r>
          </w:p>
        </w:tc>
        <w:tc>
          <w:tcPr>
            <w:tcW w:w="1849" w:type="dxa"/>
            <w:tcBorders>
              <w:top w:val="single" w:sz="6" w:space="0" w:color="000000"/>
              <w:left w:val="single" w:sz="6" w:space="0" w:color="000000"/>
              <w:bottom w:val="single" w:sz="6" w:space="0" w:color="000000"/>
              <w:right w:val="single" w:sz="6" w:space="0" w:color="000000"/>
            </w:tcBorders>
            <w:shd w:val="clear" w:color="auto" w:fill="FFFFFF"/>
          </w:tcPr>
          <w:p w14:paraId="00645A4A" w14:textId="77777777" w:rsidR="00B54C34" w:rsidRPr="007D063B" w:rsidRDefault="00B54C34" w:rsidP="00450FF1">
            <w:pPr>
              <w:spacing w:before="120" w:after="0" w:line="240" w:lineRule="auto"/>
              <w:rPr>
                <w:rFonts w:ascii="Times New Roman" w:eastAsia="Times New Roman" w:hAnsi="Times New Roman" w:cs="Times New Roman"/>
                <w:color w:val="000000"/>
                <w:sz w:val="16"/>
                <w:szCs w:val="16"/>
                <w:lang w:eastAsia="bg-BG"/>
              </w:rPr>
            </w:pPr>
            <w:r w:rsidRPr="007D063B">
              <w:rPr>
                <w:rFonts w:ascii="Times New Roman" w:hAnsi="Times New Roman" w:cs="Times New Roman"/>
                <w:sz w:val="16"/>
                <w:szCs w:val="16"/>
              </w:rPr>
              <w:t>Обучени магистрати, съдебни служители, служители на разследващи органи съгласно НПК</w:t>
            </w:r>
          </w:p>
        </w:tc>
        <w:tc>
          <w:tcPr>
            <w:tcW w:w="852" w:type="dxa"/>
            <w:tcBorders>
              <w:top w:val="single" w:sz="6" w:space="0" w:color="000000"/>
              <w:left w:val="single" w:sz="6" w:space="0" w:color="000000"/>
              <w:bottom w:val="single" w:sz="6" w:space="0" w:color="000000"/>
              <w:right w:val="single" w:sz="6" w:space="0" w:color="000000"/>
            </w:tcBorders>
            <w:shd w:val="clear" w:color="auto" w:fill="FFFFFF"/>
          </w:tcPr>
          <w:p w14:paraId="24E88248"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Pr>
          <w:p w14:paraId="06DABCE2"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Брой</w:t>
            </w:r>
          </w:p>
        </w:tc>
        <w:tc>
          <w:tcPr>
            <w:tcW w:w="724" w:type="dxa"/>
            <w:tcBorders>
              <w:top w:val="single" w:sz="6" w:space="0" w:color="000000"/>
              <w:left w:val="single" w:sz="6" w:space="0" w:color="000000"/>
              <w:bottom w:val="single" w:sz="6" w:space="0" w:color="000000"/>
              <w:right w:val="single" w:sz="6" w:space="0" w:color="000000"/>
            </w:tcBorders>
            <w:shd w:val="clear" w:color="auto" w:fill="FFFFFF"/>
          </w:tcPr>
          <w:p w14:paraId="108CD8D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25000,00</w:t>
            </w:r>
          </w:p>
        </w:tc>
        <w:tc>
          <w:tcPr>
            <w:tcW w:w="696" w:type="dxa"/>
            <w:tcBorders>
              <w:top w:val="single" w:sz="6" w:space="0" w:color="000000"/>
              <w:left w:val="single" w:sz="6" w:space="0" w:color="000000"/>
              <w:bottom w:val="single" w:sz="6" w:space="0" w:color="000000"/>
              <w:right w:val="single" w:sz="6" w:space="0" w:color="000000"/>
            </w:tcBorders>
            <w:shd w:val="clear" w:color="auto" w:fill="FFFFFF"/>
          </w:tcPr>
          <w:p w14:paraId="0668309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68" w:type="dxa"/>
            <w:tcBorders>
              <w:top w:val="single" w:sz="6" w:space="0" w:color="000000"/>
              <w:left w:val="single" w:sz="6" w:space="0" w:color="000000"/>
              <w:bottom w:val="single" w:sz="6" w:space="0" w:color="000000"/>
              <w:right w:val="single" w:sz="6" w:space="0" w:color="000000"/>
            </w:tcBorders>
            <w:shd w:val="clear" w:color="auto" w:fill="FFFFFF"/>
          </w:tcPr>
          <w:p w14:paraId="661CBAF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00" w:type="dxa"/>
            <w:tcBorders>
              <w:top w:val="single" w:sz="6" w:space="0" w:color="000000"/>
              <w:left w:val="single" w:sz="6" w:space="0" w:color="000000"/>
              <w:bottom w:val="single" w:sz="6" w:space="0" w:color="000000"/>
              <w:right w:val="single" w:sz="6" w:space="0" w:color="000000"/>
            </w:tcBorders>
            <w:shd w:val="clear" w:color="auto" w:fill="FFFFFF"/>
          </w:tcPr>
          <w:p w14:paraId="773D72B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4" w:type="dxa"/>
            <w:tcBorders>
              <w:top w:val="single" w:sz="6" w:space="0" w:color="000000"/>
              <w:left w:val="single" w:sz="6" w:space="0" w:color="000000"/>
              <w:bottom w:val="single" w:sz="6" w:space="0" w:color="000000"/>
              <w:right w:val="single" w:sz="6" w:space="0" w:color="000000"/>
            </w:tcBorders>
            <w:shd w:val="clear" w:color="auto" w:fill="FFFFFF"/>
          </w:tcPr>
          <w:p w14:paraId="0B66C04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7FEB4FE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330" w:type="dxa"/>
            <w:tcBorders>
              <w:top w:val="single" w:sz="6" w:space="0" w:color="000000"/>
              <w:left w:val="single" w:sz="6" w:space="0" w:color="000000"/>
              <w:bottom w:val="single" w:sz="6" w:space="0" w:color="000000"/>
              <w:right w:val="single" w:sz="6" w:space="0" w:color="000000"/>
            </w:tcBorders>
            <w:shd w:val="clear" w:color="auto" w:fill="FFFFFF"/>
          </w:tcPr>
          <w:p w14:paraId="0165A1F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hAnsi="Times New Roman" w:cs="Times New Roman"/>
                <w:sz w:val="16"/>
                <w:szCs w:val="16"/>
                <w:lang w:val="en-US"/>
              </w:rPr>
              <w:t>0</w:t>
            </w:r>
          </w:p>
        </w:tc>
        <w:tc>
          <w:tcPr>
            <w:tcW w:w="154" w:type="dxa"/>
            <w:tcBorders>
              <w:top w:val="single" w:sz="6" w:space="0" w:color="000000"/>
              <w:left w:val="single" w:sz="6" w:space="0" w:color="000000"/>
              <w:bottom w:val="single" w:sz="6" w:space="0" w:color="000000"/>
              <w:right w:val="single" w:sz="6" w:space="0" w:color="000000"/>
            </w:tcBorders>
            <w:shd w:val="clear" w:color="auto" w:fill="FFFFFF"/>
          </w:tcPr>
          <w:p w14:paraId="3303788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273430F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316" w:type="dxa"/>
            <w:tcBorders>
              <w:top w:val="single" w:sz="6" w:space="0" w:color="000000"/>
              <w:left w:val="single" w:sz="6" w:space="0" w:color="000000"/>
              <w:bottom w:val="single" w:sz="6" w:space="0" w:color="000000"/>
              <w:right w:val="single" w:sz="6" w:space="0" w:color="000000"/>
            </w:tcBorders>
            <w:shd w:val="clear" w:color="auto" w:fill="FFFFFF"/>
          </w:tcPr>
          <w:p w14:paraId="1847F347" w14:textId="74A4A223" w:rsidR="00B54C34" w:rsidRPr="007D063B" w:rsidRDefault="0031070D"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567</w:t>
            </w:r>
            <w:r w:rsidR="008F02EC" w:rsidRPr="007D063B">
              <w:rPr>
                <w:rStyle w:val="FootnoteReference"/>
                <w:rFonts w:ascii="Times New Roman" w:eastAsia="Times New Roman" w:hAnsi="Times New Roman" w:cs="Times New Roman"/>
                <w:color w:val="000000"/>
                <w:sz w:val="16"/>
                <w:szCs w:val="16"/>
                <w:lang w:eastAsia="bg-BG"/>
              </w:rPr>
              <w:footnoteReference w:id="2"/>
            </w:r>
          </w:p>
        </w:tc>
        <w:tc>
          <w:tcPr>
            <w:tcW w:w="93" w:type="dxa"/>
            <w:tcBorders>
              <w:top w:val="single" w:sz="6" w:space="0" w:color="000000"/>
              <w:left w:val="single" w:sz="6" w:space="0" w:color="000000"/>
              <w:bottom w:val="single" w:sz="6" w:space="0" w:color="000000"/>
              <w:right w:val="single" w:sz="6" w:space="0" w:color="000000"/>
            </w:tcBorders>
            <w:shd w:val="clear" w:color="auto" w:fill="FFFFFF"/>
          </w:tcPr>
          <w:p w14:paraId="1B4C9DB6" w14:textId="129C14CB"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654AFFB5" w14:textId="08D67B34"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0940A7E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1074E16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6EF788D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2948FC2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6FFDC3B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754A777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44D5A90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53C2768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664A75C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519557D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6957B94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656CDC3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1C4A40D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67A65DC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7468AE2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6EEDE89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3801657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289D5F8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4" w:type="dxa"/>
            <w:tcBorders>
              <w:top w:val="single" w:sz="6" w:space="0" w:color="000000"/>
              <w:left w:val="single" w:sz="6" w:space="0" w:color="000000"/>
              <w:bottom w:val="single" w:sz="6" w:space="0" w:color="000000"/>
              <w:right w:val="single" w:sz="6" w:space="0" w:color="000000"/>
            </w:tcBorders>
            <w:shd w:val="clear" w:color="auto" w:fill="FFFFFF"/>
          </w:tcPr>
          <w:p w14:paraId="38661F0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6" w:type="dxa"/>
            <w:tcBorders>
              <w:top w:val="single" w:sz="6" w:space="0" w:color="000000"/>
              <w:left w:val="single" w:sz="6" w:space="0" w:color="000000"/>
              <w:bottom w:val="single" w:sz="6" w:space="0" w:color="000000"/>
              <w:right w:val="single" w:sz="6" w:space="0" w:color="000000"/>
            </w:tcBorders>
            <w:shd w:val="clear" w:color="auto" w:fill="FFFFFF"/>
          </w:tcPr>
          <w:p w14:paraId="40C0FB6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11" w:type="dxa"/>
            <w:tcBorders>
              <w:top w:val="single" w:sz="6" w:space="0" w:color="000000"/>
              <w:left w:val="single" w:sz="6" w:space="0" w:color="000000"/>
              <w:bottom w:val="single" w:sz="6" w:space="0" w:color="000000"/>
              <w:right w:val="single" w:sz="6" w:space="0" w:color="000000"/>
            </w:tcBorders>
            <w:shd w:val="clear" w:color="auto" w:fill="FFFFFF"/>
          </w:tcPr>
          <w:p w14:paraId="467875A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48" w:type="dxa"/>
            <w:tcBorders>
              <w:top w:val="single" w:sz="6" w:space="0" w:color="000000"/>
              <w:left w:val="single" w:sz="6" w:space="0" w:color="000000"/>
              <w:bottom w:val="single" w:sz="6" w:space="0" w:color="000000"/>
              <w:right w:val="single" w:sz="6" w:space="0" w:color="000000"/>
            </w:tcBorders>
            <w:shd w:val="clear" w:color="auto" w:fill="FFFFFF"/>
          </w:tcPr>
          <w:p w14:paraId="16476BF4" w14:textId="64613F2A" w:rsidR="00B54C34" w:rsidRPr="007D063B" w:rsidRDefault="00BB21C2"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567</w:t>
            </w:r>
          </w:p>
        </w:tc>
        <w:tc>
          <w:tcPr>
            <w:tcW w:w="192" w:type="dxa"/>
            <w:tcBorders>
              <w:top w:val="single" w:sz="6" w:space="0" w:color="000000"/>
              <w:left w:val="single" w:sz="6" w:space="0" w:color="000000"/>
              <w:bottom w:val="single" w:sz="6" w:space="0" w:color="000000"/>
              <w:right w:val="single" w:sz="6" w:space="0" w:color="000000"/>
            </w:tcBorders>
            <w:shd w:val="clear" w:color="auto" w:fill="FFFFFF"/>
          </w:tcPr>
          <w:p w14:paraId="4D053E0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196" w:type="dxa"/>
            <w:gridSpan w:val="2"/>
            <w:tcBorders>
              <w:top w:val="single" w:sz="6" w:space="0" w:color="000000"/>
              <w:left w:val="single" w:sz="6" w:space="0" w:color="000000"/>
              <w:bottom w:val="single" w:sz="6" w:space="0" w:color="000000"/>
              <w:right w:val="single" w:sz="6" w:space="0" w:color="000000"/>
            </w:tcBorders>
            <w:shd w:val="clear" w:color="auto" w:fill="FFFFFF"/>
          </w:tcPr>
          <w:p w14:paraId="5D28F92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648" w:type="dxa"/>
            <w:tcBorders>
              <w:top w:val="single" w:sz="6" w:space="0" w:color="000000"/>
              <w:left w:val="single" w:sz="6" w:space="0" w:color="000000"/>
              <w:bottom w:val="single" w:sz="6" w:space="0" w:color="000000"/>
              <w:right w:val="single" w:sz="6" w:space="0" w:color="000000"/>
            </w:tcBorders>
            <w:shd w:val="clear" w:color="auto" w:fill="FFFFFF"/>
          </w:tcPr>
          <w:p w14:paraId="07EAC42E" w14:textId="1339D57A"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r w:rsidR="00BB21C2" w:rsidRPr="007D063B">
              <w:rPr>
                <w:rFonts w:ascii="Times New Roman" w:eastAsia="Times New Roman" w:hAnsi="Times New Roman" w:cs="Times New Roman"/>
                <w:color w:val="000000"/>
                <w:sz w:val="16"/>
                <w:szCs w:val="16"/>
                <w:lang w:eastAsia="bg-BG"/>
              </w:rPr>
              <w:t>,02</w:t>
            </w:r>
          </w:p>
        </w:tc>
        <w:tc>
          <w:tcPr>
            <w:tcW w:w="197" w:type="dxa"/>
            <w:tcBorders>
              <w:top w:val="single" w:sz="6" w:space="0" w:color="000000"/>
              <w:left w:val="single" w:sz="6" w:space="0" w:color="000000"/>
              <w:bottom w:val="single" w:sz="6" w:space="0" w:color="000000"/>
              <w:right w:val="single" w:sz="6" w:space="0" w:color="000000"/>
            </w:tcBorders>
            <w:shd w:val="clear" w:color="auto" w:fill="FFFFFF"/>
          </w:tcPr>
          <w:p w14:paraId="5474D3FA" w14:textId="274129FF"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50" w:type="dxa"/>
            <w:gridSpan w:val="3"/>
            <w:tcBorders>
              <w:top w:val="single" w:sz="6" w:space="0" w:color="000000"/>
              <w:left w:val="single" w:sz="6" w:space="0" w:color="000000"/>
              <w:bottom w:val="single" w:sz="6" w:space="0" w:color="000000"/>
              <w:right w:val="single" w:sz="6" w:space="0" w:color="000000"/>
            </w:tcBorders>
            <w:shd w:val="clear" w:color="auto" w:fill="FFFFFF"/>
          </w:tcPr>
          <w:p w14:paraId="20F511A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eastAsia="bg-BG"/>
              </w:rPr>
              <w:t>0</w:t>
            </w:r>
          </w:p>
        </w:tc>
      </w:tr>
    </w:tbl>
    <w:p w14:paraId="3480A625" w14:textId="77777777" w:rsidR="00B54C34" w:rsidRPr="007D063B" w:rsidRDefault="00B54C34" w:rsidP="00B54C34">
      <w:pPr>
        <w:shd w:val="clear" w:color="auto" w:fill="FFFFFF"/>
        <w:spacing w:before="240" w:after="120" w:line="240" w:lineRule="auto"/>
        <w:jc w:val="both"/>
        <w:rPr>
          <w:rFonts w:ascii="Times New Roman" w:eastAsia="Times New Roman" w:hAnsi="Times New Roman" w:cs="Times New Roman"/>
          <w:b/>
          <w:bCs/>
          <w:color w:val="000000"/>
          <w:sz w:val="24"/>
          <w:szCs w:val="24"/>
          <w:lang w:eastAsia="bg-BG"/>
        </w:rPr>
      </w:pPr>
    </w:p>
    <w:p w14:paraId="4672BB4C" w14:textId="77777777" w:rsidR="00B54C34" w:rsidRPr="007D063B" w:rsidRDefault="00B54C34" w:rsidP="00B54C34">
      <w:pPr>
        <w:rPr>
          <w:rFonts w:ascii="Times New Roman" w:eastAsia="Times New Roman" w:hAnsi="Times New Roman" w:cs="Times New Roman"/>
          <w:b/>
          <w:bCs/>
          <w:color w:val="000000"/>
          <w:sz w:val="24"/>
          <w:szCs w:val="24"/>
          <w:lang w:eastAsia="bg-BG"/>
        </w:rPr>
      </w:pPr>
      <w:r w:rsidRPr="007D063B">
        <w:rPr>
          <w:rFonts w:ascii="Times New Roman" w:eastAsia="Times New Roman" w:hAnsi="Times New Roman" w:cs="Times New Roman"/>
          <w:b/>
          <w:bCs/>
          <w:color w:val="000000"/>
          <w:sz w:val="24"/>
          <w:szCs w:val="24"/>
          <w:lang w:eastAsia="bg-BG"/>
        </w:rPr>
        <w:br w:type="page"/>
      </w:r>
    </w:p>
    <w:p w14:paraId="56D8D215" w14:textId="651B6D49" w:rsidR="00D279B7" w:rsidRPr="007D063B" w:rsidRDefault="00D279B7" w:rsidP="00D279B7">
      <w:pPr>
        <w:pStyle w:val="Heading2"/>
        <w:rPr>
          <w:rFonts w:ascii="inherit" w:eastAsia="Times New Roman" w:hAnsi="inherit" w:cs="Times New Roman"/>
          <w:b/>
          <w:bCs/>
          <w:color w:val="000000"/>
          <w:sz w:val="24"/>
          <w:szCs w:val="24"/>
          <w:lang w:eastAsia="bg-BG"/>
        </w:rPr>
      </w:pPr>
      <w:bookmarkStart w:id="21" w:name="_Toc481594282"/>
      <w:r w:rsidRPr="007D063B">
        <w:rPr>
          <w:rFonts w:ascii="Times New Roman" w:eastAsia="Times New Roman" w:hAnsi="Times New Roman" w:cs="Times New Roman"/>
          <w:b/>
          <w:bCs/>
          <w:color w:val="000000"/>
          <w:sz w:val="24"/>
          <w:szCs w:val="24"/>
          <w:lang w:eastAsia="bg-BG"/>
        </w:rPr>
        <w:lastRenderedPageBreak/>
        <w:t>3.1   </w:t>
      </w:r>
      <w:r w:rsidRPr="007D063B">
        <w:rPr>
          <w:rFonts w:ascii="inherit" w:eastAsia="Times New Roman" w:hAnsi="inherit" w:cs="Times New Roman"/>
          <w:b/>
          <w:bCs/>
          <w:color w:val="000000"/>
          <w:sz w:val="24"/>
          <w:szCs w:val="24"/>
          <w:lang w:eastAsia="bg-BG"/>
        </w:rPr>
        <w:t>Преглед на изпълнението – приоритетна ос 4</w:t>
      </w:r>
      <w:bookmarkEnd w:id="21"/>
    </w:p>
    <w:p w14:paraId="683C68E7" w14:textId="77777777" w:rsidR="00D279B7" w:rsidRPr="007D063B" w:rsidRDefault="00D279B7" w:rsidP="008F4050">
      <w:pPr>
        <w:rPr>
          <w:rFonts w:ascii="Times New Roman" w:hAnsi="Times New Roman" w:cs="Times New Roman"/>
          <w:lang w:eastAsia="bg-BG"/>
        </w:rPr>
      </w:pP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884"/>
        <w:gridCol w:w="1667"/>
        <w:gridCol w:w="10483"/>
      </w:tblGrid>
      <w:tr w:rsidR="004D7E1E" w:rsidRPr="007D063B" w14:paraId="081CEE0D" w14:textId="77777777" w:rsidTr="00627D2B">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2B28449" w14:textId="77777777" w:rsidR="004D7E1E" w:rsidRPr="007D063B" w:rsidRDefault="004D7E1E" w:rsidP="004D7E1E">
            <w:pPr>
              <w:spacing w:before="60" w:after="60" w:line="240" w:lineRule="auto"/>
              <w:ind w:right="195"/>
              <w:jc w:val="center"/>
              <w:rPr>
                <w:rFonts w:ascii="Times New Roman" w:eastAsia="Times New Roman" w:hAnsi="Times New Roman" w:cs="Times New Roman"/>
                <w:b/>
                <w:bCs/>
                <w:color w:val="000000"/>
                <w:lang w:eastAsia="bg-BG"/>
              </w:rPr>
            </w:pPr>
            <w:r w:rsidRPr="007D063B">
              <w:rPr>
                <w:rFonts w:ascii="Times New Roman" w:eastAsia="Times New Roman" w:hAnsi="Times New Roman" w:cs="Times New Roman"/>
                <w:b/>
                <w:bCs/>
                <w:color w:val="000000"/>
                <w:lang w:eastAsia="bg-BG"/>
              </w:rPr>
              <w:t>Идентификация</w:t>
            </w:r>
          </w:p>
        </w:tc>
        <w:tc>
          <w:tcPr>
            <w:tcW w:w="594" w:type="pct"/>
            <w:tcBorders>
              <w:top w:val="single" w:sz="6" w:space="0" w:color="000000"/>
              <w:left w:val="single" w:sz="6" w:space="0" w:color="000000"/>
              <w:bottom w:val="single" w:sz="6" w:space="0" w:color="000000"/>
              <w:right w:val="single" w:sz="6" w:space="0" w:color="000000"/>
            </w:tcBorders>
            <w:shd w:val="clear" w:color="auto" w:fill="FFFFFF"/>
            <w:hideMark/>
          </w:tcPr>
          <w:p w14:paraId="65899F90" w14:textId="77777777" w:rsidR="004D7E1E" w:rsidRPr="007D063B" w:rsidRDefault="004D7E1E" w:rsidP="004D7E1E">
            <w:pPr>
              <w:spacing w:before="60" w:after="60" w:line="240" w:lineRule="auto"/>
              <w:ind w:right="195"/>
              <w:jc w:val="center"/>
              <w:rPr>
                <w:rFonts w:ascii="Times New Roman" w:eastAsia="Times New Roman" w:hAnsi="Times New Roman" w:cs="Times New Roman"/>
                <w:b/>
                <w:bCs/>
                <w:color w:val="000000"/>
                <w:lang w:eastAsia="bg-BG"/>
              </w:rPr>
            </w:pPr>
            <w:r w:rsidRPr="007D063B">
              <w:rPr>
                <w:rFonts w:ascii="Times New Roman" w:eastAsia="Times New Roman" w:hAnsi="Times New Roman" w:cs="Times New Roman"/>
                <w:b/>
                <w:bCs/>
                <w:color w:val="000000"/>
                <w:lang w:eastAsia="bg-BG"/>
              </w:rPr>
              <w:t>Приоритетна ос</w:t>
            </w:r>
          </w:p>
        </w:tc>
        <w:tc>
          <w:tcPr>
            <w:tcW w:w="3735" w:type="pct"/>
            <w:tcBorders>
              <w:top w:val="single" w:sz="6" w:space="0" w:color="000000"/>
              <w:left w:val="single" w:sz="6" w:space="0" w:color="000000"/>
              <w:bottom w:val="single" w:sz="6" w:space="0" w:color="000000"/>
              <w:right w:val="single" w:sz="6" w:space="0" w:color="000000"/>
            </w:tcBorders>
            <w:shd w:val="clear" w:color="auto" w:fill="FFFFFF"/>
            <w:hideMark/>
          </w:tcPr>
          <w:p w14:paraId="6BBB363F" w14:textId="77777777" w:rsidR="004D7E1E" w:rsidRPr="007D063B" w:rsidRDefault="004D7E1E" w:rsidP="004D7E1E">
            <w:pPr>
              <w:spacing w:before="60" w:after="60" w:line="240" w:lineRule="auto"/>
              <w:ind w:right="195"/>
              <w:jc w:val="center"/>
              <w:rPr>
                <w:rFonts w:ascii="Times New Roman" w:eastAsia="Times New Roman" w:hAnsi="Times New Roman" w:cs="Times New Roman"/>
                <w:b/>
                <w:bCs/>
                <w:color w:val="000000"/>
                <w:lang w:eastAsia="bg-BG"/>
              </w:rPr>
            </w:pPr>
            <w:r w:rsidRPr="007D063B">
              <w:rPr>
                <w:rFonts w:ascii="Times New Roman" w:eastAsia="Times New Roman" w:hAnsi="Times New Roman" w:cs="Times New Roman"/>
                <w:b/>
                <w:bCs/>
                <w:color w:val="000000"/>
                <w:lang w:eastAsia="bg-BG"/>
              </w:rPr>
              <w:t>Ключова информация относно изпълнението на приоритетната ос с позоваване на ключови събития, значителни проблеми и стъпките, предприети за преодоляване на тези проблеми</w:t>
            </w:r>
          </w:p>
        </w:tc>
      </w:tr>
      <w:tr w:rsidR="004D7E1E" w:rsidRPr="007D063B" w14:paraId="23058028" w14:textId="77777777" w:rsidTr="00627D2B">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8E51035" w14:textId="77777777" w:rsidR="004D7E1E" w:rsidRPr="007D063B" w:rsidRDefault="004D7E1E" w:rsidP="004D7E1E">
            <w:pPr>
              <w:spacing w:before="60" w:after="60" w:line="240" w:lineRule="auto"/>
              <w:rPr>
                <w:rFonts w:ascii="Times New Roman" w:eastAsia="Times New Roman" w:hAnsi="Times New Roman" w:cs="Times New Roman"/>
                <w:color w:val="000000"/>
                <w:lang w:eastAsia="bg-BG"/>
              </w:rPr>
            </w:pPr>
            <w:r w:rsidRPr="007D063B">
              <w:rPr>
                <w:rFonts w:ascii="Times New Roman" w:eastAsia="Times New Roman" w:hAnsi="Times New Roman" w:cs="Times New Roman"/>
                <w:i/>
                <w:iCs/>
                <w:color w:val="000000"/>
                <w:lang w:eastAsia="bg-BG"/>
              </w:rPr>
              <w:t>&lt;type='S' input='G'&gt;</w:t>
            </w:r>
          </w:p>
        </w:tc>
        <w:tc>
          <w:tcPr>
            <w:tcW w:w="594" w:type="pct"/>
            <w:tcBorders>
              <w:top w:val="single" w:sz="6" w:space="0" w:color="000000"/>
              <w:left w:val="single" w:sz="6" w:space="0" w:color="000000"/>
              <w:bottom w:val="single" w:sz="6" w:space="0" w:color="000000"/>
              <w:right w:val="single" w:sz="6" w:space="0" w:color="000000"/>
            </w:tcBorders>
            <w:shd w:val="clear" w:color="auto" w:fill="FFFFFF"/>
            <w:hideMark/>
          </w:tcPr>
          <w:p w14:paraId="66ABB6E4" w14:textId="77777777" w:rsidR="004D7E1E" w:rsidRPr="007D063B" w:rsidRDefault="004D7E1E" w:rsidP="004D7E1E">
            <w:pPr>
              <w:spacing w:before="60" w:after="60" w:line="240" w:lineRule="auto"/>
              <w:rPr>
                <w:rFonts w:ascii="Times New Roman" w:eastAsia="Times New Roman" w:hAnsi="Times New Roman" w:cs="Times New Roman"/>
                <w:color w:val="000000"/>
                <w:lang w:eastAsia="bg-BG"/>
              </w:rPr>
            </w:pPr>
            <w:r w:rsidRPr="007D063B">
              <w:rPr>
                <w:rFonts w:ascii="Times New Roman" w:eastAsia="Times New Roman" w:hAnsi="Times New Roman" w:cs="Times New Roman"/>
                <w:i/>
                <w:iCs/>
                <w:color w:val="000000"/>
                <w:lang w:eastAsia="bg-BG"/>
              </w:rPr>
              <w:t>&lt;type='S' input='G'&gt;</w:t>
            </w:r>
          </w:p>
        </w:tc>
        <w:tc>
          <w:tcPr>
            <w:tcW w:w="3735" w:type="pct"/>
            <w:tcBorders>
              <w:top w:val="single" w:sz="6" w:space="0" w:color="000000"/>
              <w:left w:val="single" w:sz="6" w:space="0" w:color="000000"/>
              <w:bottom w:val="single" w:sz="6" w:space="0" w:color="000000"/>
              <w:right w:val="single" w:sz="6" w:space="0" w:color="000000"/>
            </w:tcBorders>
            <w:shd w:val="clear" w:color="auto" w:fill="FFFFFF"/>
            <w:hideMark/>
          </w:tcPr>
          <w:p w14:paraId="64942969" w14:textId="77777777" w:rsidR="004D7E1E" w:rsidRPr="007D063B" w:rsidRDefault="004D7E1E" w:rsidP="004D7E1E">
            <w:pPr>
              <w:spacing w:before="60" w:after="60" w:line="240" w:lineRule="auto"/>
              <w:rPr>
                <w:rFonts w:ascii="Times New Roman" w:eastAsia="Times New Roman" w:hAnsi="Times New Roman" w:cs="Times New Roman"/>
                <w:color w:val="000000"/>
                <w:lang w:eastAsia="bg-BG"/>
              </w:rPr>
            </w:pPr>
            <w:r w:rsidRPr="007D063B">
              <w:rPr>
                <w:rFonts w:ascii="Times New Roman" w:eastAsia="Times New Roman" w:hAnsi="Times New Roman" w:cs="Times New Roman"/>
                <w:i/>
                <w:iCs/>
                <w:color w:val="000000"/>
                <w:lang w:eastAsia="bg-BG"/>
              </w:rPr>
              <w:t>&lt;type='S' maxlength=1750 input='M'&gt;</w:t>
            </w:r>
          </w:p>
        </w:tc>
      </w:tr>
      <w:tr w:rsidR="004D7E1E" w:rsidRPr="007D063B" w14:paraId="5937ABDF" w14:textId="77777777" w:rsidTr="00627D2B">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3DB50132" w14:textId="77777777" w:rsidR="004D7E1E" w:rsidRPr="007D063B" w:rsidRDefault="004D7E1E" w:rsidP="004D7E1E">
            <w:pPr>
              <w:spacing w:before="60" w:after="60" w:line="240" w:lineRule="auto"/>
              <w:rPr>
                <w:rFonts w:ascii="Times New Roman" w:eastAsia="Times New Roman" w:hAnsi="Times New Roman" w:cs="Times New Roman"/>
                <w:i/>
                <w:iCs/>
                <w:color w:val="000000"/>
                <w:lang w:eastAsia="bg-BG"/>
              </w:rPr>
            </w:pPr>
          </w:p>
        </w:tc>
        <w:tc>
          <w:tcPr>
            <w:tcW w:w="594" w:type="pct"/>
            <w:tcBorders>
              <w:top w:val="single" w:sz="6" w:space="0" w:color="000000"/>
              <w:left w:val="single" w:sz="6" w:space="0" w:color="000000"/>
              <w:bottom w:val="single" w:sz="6" w:space="0" w:color="000000"/>
              <w:right w:val="single" w:sz="6" w:space="0" w:color="000000"/>
            </w:tcBorders>
            <w:shd w:val="clear" w:color="auto" w:fill="FFFFFF"/>
          </w:tcPr>
          <w:p w14:paraId="63FBB11B" w14:textId="77777777" w:rsidR="004D7E1E" w:rsidRPr="007D063B" w:rsidRDefault="004D7E1E" w:rsidP="004D7E1E">
            <w:pPr>
              <w:spacing w:before="60" w:after="60" w:line="240" w:lineRule="auto"/>
              <w:ind w:right="195"/>
              <w:jc w:val="center"/>
              <w:rPr>
                <w:rFonts w:ascii="Times New Roman" w:eastAsia="Times New Roman" w:hAnsi="Times New Roman" w:cs="Times New Roman"/>
                <w:b/>
                <w:bCs/>
                <w:color w:val="000000"/>
                <w:lang w:eastAsia="bg-BG"/>
              </w:rPr>
            </w:pPr>
            <w:r w:rsidRPr="007D063B">
              <w:rPr>
                <w:rFonts w:ascii="Times New Roman" w:eastAsia="Times New Roman" w:hAnsi="Times New Roman" w:cs="Times New Roman"/>
                <w:b/>
                <w:bCs/>
                <w:color w:val="000000"/>
                <w:lang w:eastAsia="bg-BG"/>
              </w:rPr>
              <w:t>ПО 4</w:t>
            </w:r>
          </w:p>
        </w:tc>
        <w:tc>
          <w:tcPr>
            <w:tcW w:w="3735" w:type="pct"/>
            <w:tcBorders>
              <w:top w:val="single" w:sz="6" w:space="0" w:color="000000"/>
              <w:left w:val="single" w:sz="6" w:space="0" w:color="000000"/>
              <w:bottom w:val="single" w:sz="6" w:space="0" w:color="000000"/>
              <w:right w:val="single" w:sz="6" w:space="0" w:color="000000"/>
            </w:tcBorders>
            <w:shd w:val="clear" w:color="auto" w:fill="FFFFFF"/>
          </w:tcPr>
          <w:p w14:paraId="49C63FC3" w14:textId="70C79614" w:rsidR="004D7E1E" w:rsidRPr="007D063B" w:rsidRDefault="004D7E1E" w:rsidP="00FB0433">
            <w:pPr>
              <w:spacing w:before="60" w:after="60" w:line="240" w:lineRule="auto"/>
              <w:jc w:val="both"/>
              <w:rPr>
                <w:rFonts w:ascii="Times New Roman" w:eastAsia="Times New Roman" w:hAnsi="Times New Roman" w:cs="Times New Roman"/>
                <w:iCs/>
                <w:color w:val="000000"/>
                <w:lang w:eastAsia="bg-BG"/>
              </w:rPr>
            </w:pPr>
            <w:r w:rsidRPr="007D063B">
              <w:rPr>
                <w:rFonts w:ascii="Times New Roman" w:eastAsia="Times New Roman" w:hAnsi="Times New Roman" w:cs="Times New Roman"/>
                <w:iCs/>
                <w:color w:val="000000"/>
                <w:lang w:eastAsia="bg-BG"/>
              </w:rPr>
              <w:t>П</w:t>
            </w:r>
            <w:r w:rsidR="00E50987" w:rsidRPr="007D063B">
              <w:rPr>
                <w:rFonts w:ascii="Times New Roman" w:eastAsia="Times New Roman" w:hAnsi="Times New Roman" w:cs="Times New Roman"/>
                <w:iCs/>
                <w:color w:val="000000"/>
                <w:lang w:eastAsia="bg-BG"/>
              </w:rPr>
              <w:t>о п</w:t>
            </w:r>
            <w:r w:rsidRPr="007D063B">
              <w:rPr>
                <w:rFonts w:ascii="Times New Roman" w:eastAsia="Times New Roman" w:hAnsi="Times New Roman" w:cs="Times New Roman"/>
                <w:iCs/>
                <w:color w:val="000000"/>
                <w:lang w:eastAsia="bg-BG"/>
              </w:rPr>
              <w:t>роцедура</w:t>
            </w:r>
            <w:r w:rsidR="007924E6" w:rsidRPr="007D063B">
              <w:rPr>
                <w:rFonts w:ascii="Times New Roman" w:eastAsia="Times New Roman" w:hAnsi="Times New Roman" w:cs="Times New Roman"/>
                <w:iCs/>
                <w:color w:val="000000"/>
                <w:lang w:eastAsia="bg-BG"/>
              </w:rPr>
              <w:t xml:space="preserve"> BG05SFOP001-4.001</w:t>
            </w:r>
            <w:r w:rsidRPr="007D063B">
              <w:rPr>
                <w:rFonts w:ascii="Times New Roman" w:eastAsia="Times New Roman" w:hAnsi="Times New Roman" w:cs="Times New Roman"/>
                <w:i/>
                <w:iCs/>
                <w:color w:val="000000"/>
                <w:lang w:eastAsia="bg-BG"/>
              </w:rPr>
              <w:t xml:space="preserve"> „Осигуряване функционирането на националната мрежа от областни информационни центрове“</w:t>
            </w:r>
            <w:r w:rsidR="00C777A7" w:rsidRPr="007D063B">
              <w:rPr>
                <w:rFonts w:ascii="Times New Roman" w:eastAsia="Times New Roman" w:hAnsi="Times New Roman" w:cs="Times New Roman"/>
                <w:i/>
                <w:iCs/>
                <w:color w:val="000000"/>
                <w:lang w:val="ru-RU" w:eastAsia="bg-BG"/>
              </w:rPr>
              <w:t>(</w:t>
            </w:r>
            <w:r w:rsidR="00C777A7" w:rsidRPr="007D063B">
              <w:rPr>
                <w:rFonts w:ascii="Times New Roman" w:eastAsia="Times New Roman" w:hAnsi="Times New Roman" w:cs="Times New Roman"/>
                <w:i/>
                <w:iCs/>
                <w:color w:val="000000"/>
                <w:lang w:eastAsia="bg-BG"/>
              </w:rPr>
              <w:t>ОИЦ)</w:t>
            </w:r>
            <w:r w:rsidRPr="007D063B">
              <w:rPr>
                <w:rFonts w:ascii="Times New Roman" w:eastAsia="Times New Roman" w:hAnsi="Times New Roman" w:cs="Times New Roman"/>
                <w:i/>
                <w:iCs/>
                <w:color w:val="000000"/>
                <w:lang w:eastAsia="bg-BG"/>
              </w:rPr>
              <w:t xml:space="preserve"> </w:t>
            </w:r>
            <w:r w:rsidR="00E50987" w:rsidRPr="007D063B">
              <w:rPr>
                <w:rFonts w:ascii="Times New Roman" w:eastAsia="Times New Roman" w:hAnsi="Times New Roman" w:cs="Times New Roman"/>
                <w:iCs/>
                <w:color w:val="000000"/>
                <w:lang w:eastAsia="bg-BG"/>
              </w:rPr>
              <w:t xml:space="preserve">от ИГРП 2015 </w:t>
            </w:r>
            <w:r w:rsidRPr="007D063B">
              <w:rPr>
                <w:rFonts w:ascii="Times New Roman" w:eastAsia="Times New Roman" w:hAnsi="Times New Roman" w:cs="Times New Roman"/>
                <w:iCs/>
                <w:color w:val="000000"/>
                <w:lang w:eastAsia="bg-BG"/>
              </w:rPr>
              <w:t xml:space="preserve">с общ бюджет от 10 млн. лв. </w:t>
            </w:r>
            <w:r w:rsidR="00E50987" w:rsidRPr="007D063B">
              <w:rPr>
                <w:rFonts w:ascii="Times New Roman" w:eastAsia="Times New Roman" w:hAnsi="Times New Roman" w:cs="Times New Roman"/>
                <w:iCs/>
                <w:color w:val="000000"/>
                <w:lang w:eastAsia="bg-BG"/>
              </w:rPr>
              <w:t>и бенефициенти</w:t>
            </w:r>
            <w:r w:rsidRPr="007D063B">
              <w:rPr>
                <w:rFonts w:ascii="Times New Roman" w:eastAsia="Times New Roman" w:hAnsi="Times New Roman" w:cs="Times New Roman"/>
                <w:iCs/>
                <w:color w:val="000000"/>
                <w:lang w:eastAsia="bg-BG"/>
              </w:rPr>
              <w:t xml:space="preserve"> общините, на чиято територия са административните центрове на 27-те области на територията на Република България</w:t>
            </w:r>
            <w:r w:rsidR="009A1752" w:rsidRPr="007D063B">
              <w:rPr>
                <w:rFonts w:ascii="Times New Roman" w:eastAsia="Times New Roman" w:hAnsi="Times New Roman" w:cs="Times New Roman"/>
                <w:iCs/>
                <w:color w:val="000000"/>
                <w:lang w:eastAsia="bg-BG"/>
              </w:rPr>
              <w:t xml:space="preserve"> от</w:t>
            </w:r>
            <w:r w:rsidR="00E50987" w:rsidRPr="007D063B">
              <w:rPr>
                <w:rFonts w:ascii="Times New Roman" w:eastAsia="Times New Roman" w:hAnsi="Times New Roman" w:cs="Times New Roman"/>
                <w:iCs/>
                <w:color w:val="000000"/>
                <w:lang w:eastAsia="bg-BG"/>
              </w:rPr>
              <w:t xml:space="preserve"> </w:t>
            </w:r>
            <w:r w:rsidR="009A1752" w:rsidRPr="007D063B">
              <w:rPr>
                <w:rFonts w:ascii="Times New Roman" w:eastAsia="Times New Roman" w:hAnsi="Times New Roman" w:cs="Times New Roman"/>
                <w:iCs/>
                <w:color w:val="000000"/>
                <w:lang w:eastAsia="bg-BG"/>
              </w:rPr>
              <w:t>март</w:t>
            </w:r>
            <w:r w:rsidR="00E50987" w:rsidRPr="007D063B">
              <w:rPr>
                <w:rFonts w:ascii="Times New Roman" w:eastAsia="Times New Roman" w:hAnsi="Times New Roman" w:cs="Times New Roman"/>
                <w:iCs/>
                <w:color w:val="000000"/>
                <w:lang w:eastAsia="bg-BG"/>
              </w:rPr>
              <w:t xml:space="preserve"> 2016 г. са в изпълнение 27 проекта</w:t>
            </w:r>
            <w:r w:rsidR="00C777A7" w:rsidRPr="007D063B">
              <w:rPr>
                <w:rFonts w:ascii="Times New Roman" w:eastAsia="Times New Roman" w:hAnsi="Times New Roman" w:cs="Times New Roman"/>
                <w:iCs/>
                <w:color w:val="000000"/>
                <w:lang w:val="ru-RU" w:eastAsia="bg-BG"/>
              </w:rPr>
              <w:t>.</w:t>
            </w:r>
            <w:r w:rsidRPr="007D063B">
              <w:rPr>
                <w:rFonts w:ascii="Times New Roman" w:eastAsia="Times New Roman" w:hAnsi="Times New Roman" w:cs="Times New Roman"/>
                <w:iCs/>
                <w:color w:val="000000"/>
                <w:lang w:eastAsia="bg-BG"/>
              </w:rPr>
              <w:t xml:space="preserve"> </w:t>
            </w:r>
          </w:p>
          <w:p w14:paraId="3BA98521" w14:textId="0B88A447" w:rsidR="00C777A7" w:rsidRPr="007D063B" w:rsidRDefault="00C777A7" w:rsidP="00FB0433">
            <w:pPr>
              <w:spacing w:before="60" w:after="60" w:line="240" w:lineRule="auto"/>
              <w:jc w:val="both"/>
              <w:rPr>
                <w:rFonts w:ascii="Times New Roman" w:eastAsia="Times New Roman" w:hAnsi="Times New Roman" w:cs="Times New Roman"/>
                <w:iCs/>
                <w:color w:val="000000"/>
                <w:lang w:eastAsia="bg-BG"/>
              </w:rPr>
            </w:pPr>
            <w:r w:rsidRPr="007D063B">
              <w:rPr>
                <w:rFonts w:ascii="Times New Roman" w:eastAsia="Times New Roman" w:hAnsi="Times New Roman" w:cs="Times New Roman"/>
                <w:bCs/>
                <w:snapToGrid w:val="0"/>
              </w:rPr>
              <w:t>27</w:t>
            </w:r>
            <w:r w:rsidRPr="007D063B">
              <w:rPr>
                <w:rFonts w:ascii="Times New Roman" w:eastAsia="Times New Roman" w:hAnsi="Times New Roman" w:cs="Times New Roman"/>
                <w:bCs/>
                <w:snapToGrid w:val="0"/>
                <w:vertAlign w:val="superscript"/>
              </w:rPr>
              <w:t>те</w:t>
            </w:r>
            <w:r w:rsidRPr="007D063B">
              <w:rPr>
                <w:rFonts w:ascii="Times New Roman" w:eastAsia="Times New Roman" w:hAnsi="Times New Roman" w:cs="Times New Roman"/>
                <w:bCs/>
                <w:snapToGrid w:val="0"/>
              </w:rPr>
              <w:t xml:space="preserve"> ОИЦ функционират на принципа „едно гише“ и работят активно с управляващите органи, като ги подпомагат при реализирането на информационни кампании на територията на областите. Мрежата сътрудничи активно с местните администрации, бюрата по труда и регионалните инспекторати по образование, университетите и средно образователните училища, за да се повиши информираността на гражданите относно възможностите, които се предоставят чрез европейските структурни и инвестиционни фондове.</w:t>
            </w:r>
          </w:p>
          <w:p w14:paraId="675869F2" w14:textId="5D3D162D" w:rsidR="00145621" w:rsidRPr="007D063B" w:rsidRDefault="00145621" w:rsidP="00145621">
            <w:pPr>
              <w:spacing w:before="60" w:after="60" w:line="240" w:lineRule="auto"/>
              <w:jc w:val="both"/>
              <w:rPr>
                <w:rFonts w:ascii="Times New Roman" w:eastAsia="Times New Roman" w:hAnsi="Times New Roman" w:cs="Times New Roman"/>
                <w:iCs/>
                <w:color w:val="000000"/>
                <w:lang w:eastAsia="bg-BG"/>
              </w:rPr>
            </w:pPr>
            <w:r w:rsidRPr="007D063B">
              <w:rPr>
                <w:rFonts w:ascii="Times New Roman" w:eastAsia="Times New Roman" w:hAnsi="Times New Roman" w:cs="Times New Roman"/>
                <w:iCs/>
                <w:color w:val="000000"/>
                <w:lang w:eastAsia="bg-BG"/>
              </w:rPr>
              <w:t xml:space="preserve">През 2016 </w:t>
            </w:r>
            <w:r w:rsidR="002754E1" w:rsidRPr="007D063B">
              <w:rPr>
                <w:rFonts w:ascii="Times New Roman" w:eastAsia="Times New Roman" w:hAnsi="Times New Roman" w:cs="Times New Roman"/>
                <w:iCs/>
                <w:color w:val="000000"/>
                <w:lang w:eastAsia="bg-BG"/>
              </w:rPr>
              <w:t>г. п</w:t>
            </w:r>
            <w:r w:rsidRPr="007D063B">
              <w:rPr>
                <w:rFonts w:ascii="Times New Roman" w:eastAsia="Times New Roman" w:hAnsi="Times New Roman" w:cs="Times New Roman"/>
                <w:iCs/>
                <w:color w:val="000000"/>
                <w:lang w:eastAsia="bg-BG"/>
              </w:rPr>
              <w:t>осетители</w:t>
            </w:r>
            <w:r w:rsidR="002754E1" w:rsidRPr="007D063B">
              <w:rPr>
                <w:rFonts w:ascii="Times New Roman" w:eastAsia="Times New Roman" w:hAnsi="Times New Roman" w:cs="Times New Roman"/>
                <w:iCs/>
                <w:color w:val="000000"/>
                <w:lang w:eastAsia="bg-BG"/>
              </w:rPr>
              <w:t>те</w:t>
            </w:r>
            <w:r w:rsidRPr="007D063B">
              <w:rPr>
                <w:rFonts w:ascii="Times New Roman" w:eastAsia="Times New Roman" w:hAnsi="Times New Roman" w:cs="Times New Roman"/>
                <w:iCs/>
                <w:color w:val="000000"/>
                <w:lang w:eastAsia="bg-BG"/>
              </w:rPr>
              <w:t xml:space="preserve"> в 27 ОИЦ </w:t>
            </w:r>
            <w:r w:rsidR="008E2A19" w:rsidRPr="007D063B">
              <w:rPr>
                <w:rFonts w:ascii="Times New Roman" w:eastAsia="Times New Roman" w:hAnsi="Times New Roman" w:cs="Times New Roman"/>
                <w:iCs/>
                <w:color w:val="000000"/>
                <w:lang w:eastAsia="bg-BG"/>
              </w:rPr>
              <w:t xml:space="preserve">са </w:t>
            </w:r>
            <w:r w:rsidRPr="007D063B">
              <w:rPr>
                <w:rFonts w:ascii="Times New Roman" w:eastAsia="Times New Roman" w:hAnsi="Times New Roman" w:cs="Times New Roman"/>
                <w:iCs/>
                <w:color w:val="000000"/>
                <w:lang w:eastAsia="bg-BG"/>
              </w:rPr>
              <w:t>11</w:t>
            </w:r>
            <w:r w:rsidR="008E2A19" w:rsidRPr="007D063B">
              <w:rPr>
                <w:rFonts w:ascii="Times New Roman" w:eastAsia="Times New Roman" w:hAnsi="Times New Roman" w:cs="Times New Roman"/>
                <w:iCs/>
                <w:color w:val="000000"/>
                <w:lang w:eastAsia="bg-BG"/>
              </w:rPr>
              <w:t> </w:t>
            </w:r>
            <w:r w:rsidRPr="007D063B">
              <w:rPr>
                <w:rFonts w:ascii="Times New Roman" w:eastAsia="Times New Roman" w:hAnsi="Times New Roman" w:cs="Times New Roman"/>
                <w:iCs/>
                <w:color w:val="000000"/>
                <w:lang w:eastAsia="bg-BG"/>
              </w:rPr>
              <w:t>327</w:t>
            </w:r>
            <w:r w:rsidR="008E2A19" w:rsidRPr="007D063B">
              <w:rPr>
                <w:rFonts w:ascii="Times New Roman" w:eastAsia="Times New Roman" w:hAnsi="Times New Roman" w:cs="Times New Roman"/>
                <w:iCs/>
                <w:color w:val="000000"/>
                <w:lang w:eastAsia="bg-BG"/>
              </w:rPr>
              <w:t>,</w:t>
            </w:r>
            <w:r w:rsidR="00627D2B" w:rsidRPr="007D063B">
              <w:rPr>
                <w:rFonts w:ascii="Times New Roman" w:eastAsia="Times New Roman" w:hAnsi="Times New Roman" w:cs="Times New Roman"/>
                <w:iCs/>
                <w:color w:val="000000"/>
                <w:lang w:eastAsia="bg-BG"/>
              </w:rPr>
              <w:t xml:space="preserve"> </w:t>
            </w:r>
            <w:r w:rsidR="008E2A19" w:rsidRPr="007D063B">
              <w:rPr>
                <w:rFonts w:ascii="Times New Roman" w:eastAsia="Times New Roman" w:hAnsi="Times New Roman" w:cs="Times New Roman"/>
                <w:iCs/>
                <w:color w:val="000000"/>
                <w:lang w:eastAsia="bg-BG"/>
              </w:rPr>
              <w:t>п</w:t>
            </w:r>
            <w:r w:rsidRPr="007D063B">
              <w:rPr>
                <w:rFonts w:ascii="Times New Roman" w:eastAsia="Times New Roman" w:hAnsi="Times New Roman" w:cs="Times New Roman"/>
                <w:iCs/>
                <w:color w:val="000000"/>
                <w:lang w:eastAsia="bg-BG"/>
              </w:rPr>
              <w:t>остъпили</w:t>
            </w:r>
            <w:r w:rsidR="008E2A19" w:rsidRPr="007D063B">
              <w:rPr>
                <w:rFonts w:ascii="Times New Roman" w:eastAsia="Times New Roman" w:hAnsi="Times New Roman" w:cs="Times New Roman"/>
                <w:iCs/>
                <w:color w:val="000000"/>
                <w:lang w:eastAsia="bg-BG"/>
              </w:rPr>
              <w:t>те</w:t>
            </w:r>
            <w:r w:rsidRPr="007D063B">
              <w:rPr>
                <w:rFonts w:ascii="Times New Roman" w:eastAsia="Times New Roman" w:hAnsi="Times New Roman" w:cs="Times New Roman"/>
                <w:iCs/>
                <w:color w:val="000000"/>
                <w:lang w:eastAsia="bg-BG"/>
              </w:rPr>
              <w:t xml:space="preserve"> въпроси</w:t>
            </w:r>
            <w:r w:rsidR="00627D2B" w:rsidRPr="007D063B">
              <w:rPr>
                <w:rFonts w:ascii="Times New Roman" w:eastAsia="Times New Roman" w:hAnsi="Times New Roman" w:cs="Times New Roman"/>
                <w:iCs/>
                <w:color w:val="000000"/>
                <w:lang w:eastAsia="bg-BG"/>
              </w:rPr>
              <w:t xml:space="preserve"> </w:t>
            </w:r>
            <w:r w:rsidR="008E2A19" w:rsidRPr="007D063B">
              <w:rPr>
                <w:rFonts w:ascii="Times New Roman" w:eastAsia="Times New Roman" w:hAnsi="Times New Roman" w:cs="Times New Roman"/>
                <w:iCs/>
                <w:color w:val="000000"/>
                <w:lang w:eastAsia="bg-BG"/>
              </w:rPr>
              <w:t>са</w:t>
            </w:r>
            <w:r w:rsidRPr="007D063B">
              <w:rPr>
                <w:rFonts w:ascii="Times New Roman" w:eastAsia="Times New Roman" w:hAnsi="Times New Roman" w:cs="Times New Roman"/>
                <w:iCs/>
                <w:color w:val="000000"/>
                <w:lang w:eastAsia="bg-BG"/>
              </w:rPr>
              <w:t xml:space="preserve"> 13</w:t>
            </w:r>
            <w:r w:rsidR="002754E1" w:rsidRPr="007D063B">
              <w:rPr>
                <w:rFonts w:ascii="Times New Roman" w:eastAsia="Times New Roman" w:hAnsi="Times New Roman" w:cs="Times New Roman"/>
                <w:iCs/>
                <w:color w:val="000000"/>
                <w:lang w:eastAsia="bg-BG"/>
              </w:rPr>
              <w:t> </w:t>
            </w:r>
            <w:r w:rsidRPr="007D063B">
              <w:rPr>
                <w:rFonts w:ascii="Times New Roman" w:eastAsia="Times New Roman" w:hAnsi="Times New Roman" w:cs="Times New Roman"/>
                <w:iCs/>
                <w:color w:val="000000"/>
                <w:lang w:eastAsia="bg-BG"/>
              </w:rPr>
              <w:t>144</w:t>
            </w:r>
            <w:r w:rsidR="002754E1" w:rsidRPr="007D063B">
              <w:rPr>
                <w:rFonts w:ascii="Times New Roman" w:eastAsia="Times New Roman" w:hAnsi="Times New Roman" w:cs="Times New Roman"/>
                <w:iCs/>
                <w:color w:val="000000"/>
                <w:lang w:eastAsia="bg-BG"/>
              </w:rPr>
              <w:t>.</w:t>
            </w:r>
          </w:p>
          <w:p w14:paraId="0BDC22A3" w14:textId="686C04F2" w:rsidR="00145621" w:rsidRPr="007D063B" w:rsidRDefault="00145621" w:rsidP="00145621">
            <w:pPr>
              <w:spacing w:before="60" w:after="60" w:line="240" w:lineRule="auto"/>
              <w:jc w:val="both"/>
              <w:rPr>
                <w:rFonts w:ascii="Times New Roman" w:eastAsia="Times New Roman" w:hAnsi="Times New Roman" w:cs="Times New Roman"/>
                <w:iCs/>
                <w:color w:val="000000"/>
                <w:lang w:eastAsia="bg-BG"/>
              </w:rPr>
            </w:pPr>
            <w:r w:rsidRPr="007D063B">
              <w:rPr>
                <w:rFonts w:ascii="Times New Roman" w:eastAsia="Times New Roman" w:hAnsi="Times New Roman" w:cs="Times New Roman"/>
                <w:iCs/>
                <w:color w:val="000000"/>
                <w:lang w:eastAsia="bg-BG"/>
              </w:rPr>
              <w:t>Публикации</w:t>
            </w:r>
            <w:r w:rsidR="008E2A19" w:rsidRPr="007D063B">
              <w:rPr>
                <w:rFonts w:ascii="Times New Roman" w:eastAsia="Times New Roman" w:hAnsi="Times New Roman" w:cs="Times New Roman"/>
                <w:iCs/>
                <w:color w:val="000000"/>
                <w:lang w:eastAsia="bg-BG"/>
              </w:rPr>
              <w:t>те</w:t>
            </w:r>
            <w:r w:rsidRPr="007D063B">
              <w:rPr>
                <w:rFonts w:ascii="Times New Roman" w:eastAsia="Times New Roman" w:hAnsi="Times New Roman" w:cs="Times New Roman"/>
                <w:iCs/>
                <w:color w:val="000000"/>
                <w:lang w:eastAsia="bg-BG"/>
              </w:rPr>
              <w:t xml:space="preserve"> в медиите</w:t>
            </w:r>
            <w:r w:rsidR="008E2A19" w:rsidRPr="007D063B">
              <w:rPr>
                <w:rFonts w:ascii="Times New Roman" w:eastAsia="Times New Roman" w:hAnsi="Times New Roman" w:cs="Times New Roman"/>
                <w:iCs/>
                <w:color w:val="000000"/>
                <w:lang w:eastAsia="bg-BG"/>
              </w:rPr>
              <w:t xml:space="preserve"> са</w:t>
            </w:r>
            <w:r w:rsidRPr="007D063B">
              <w:rPr>
                <w:rFonts w:ascii="Times New Roman" w:eastAsia="Times New Roman" w:hAnsi="Times New Roman" w:cs="Times New Roman"/>
                <w:iCs/>
                <w:color w:val="000000"/>
                <w:lang w:eastAsia="bg-BG"/>
              </w:rPr>
              <w:t xml:space="preserve"> 4</w:t>
            </w:r>
            <w:r w:rsidR="002754E1" w:rsidRPr="007D063B">
              <w:rPr>
                <w:rFonts w:ascii="Times New Roman" w:eastAsia="Times New Roman" w:hAnsi="Times New Roman" w:cs="Times New Roman"/>
                <w:iCs/>
                <w:color w:val="000000"/>
                <w:lang w:eastAsia="bg-BG"/>
              </w:rPr>
              <w:t> </w:t>
            </w:r>
            <w:r w:rsidRPr="007D063B">
              <w:rPr>
                <w:rFonts w:ascii="Times New Roman" w:eastAsia="Times New Roman" w:hAnsi="Times New Roman" w:cs="Times New Roman"/>
                <w:iCs/>
                <w:color w:val="000000"/>
                <w:lang w:eastAsia="bg-BG"/>
              </w:rPr>
              <w:t>370</w:t>
            </w:r>
            <w:r w:rsidR="002754E1" w:rsidRPr="007D063B">
              <w:rPr>
                <w:rFonts w:ascii="Times New Roman" w:eastAsia="Times New Roman" w:hAnsi="Times New Roman" w:cs="Times New Roman"/>
                <w:iCs/>
                <w:color w:val="000000"/>
                <w:lang w:eastAsia="bg-BG"/>
              </w:rPr>
              <w:t>.</w:t>
            </w:r>
          </w:p>
          <w:p w14:paraId="2C6614B5" w14:textId="2A8E9C43" w:rsidR="00145621" w:rsidRPr="007D063B" w:rsidRDefault="00145621" w:rsidP="00145621">
            <w:pPr>
              <w:spacing w:before="60" w:after="60" w:line="240" w:lineRule="auto"/>
              <w:jc w:val="both"/>
              <w:rPr>
                <w:rFonts w:ascii="Times New Roman" w:eastAsia="Times New Roman" w:hAnsi="Times New Roman" w:cs="Times New Roman"/>
                <w:iCs/>
                <w:color w:val="000000"/>
                <w:lang w:eastAsia="bg-BG"/>
              </w:rPr>
            </w:pPr>
            <w:r w:rsidRPr="007D063B">
              <w:rPr>
                <w:rFonts w:ascii="Times New Roman" w:eastAsia="Times New Roman" w:hAnsi="Times New Roman" w:cs="Times New Roman"/>
                <w:iCs/>
                <w:color w:val="000000"/>
                <w:lang w:eastAsia="bg-BG"/>
              </w:rPr>
              <w:t xml:space="preserve">Организирани </w:t>
            </w:r>
            <w:r w:rsidR="002754E1" w:rsidRPr="007D063B">
              <w:rPr>
                <w:rFonts w:ascii="Times New Roman" w:eastAsia="Times New Roman" w:hAnsi="Times New Roman" w:cs="Times New Roman"/>
                <w:iCs/>
                <w:color w:val="000000"/>
                <w:lang w:eastAsia="bg-BG"/>
              </w:rPr>
              <w:t xml:space="preserve">са 721 </w:t>
            </w:r>
            <w:r w:rsidRPr="007D063B">
              <w:rPr>
                <w:rFonts w:ascii="Times New Roman" w:eastAsia="Times New Roman" w:hAnsi="Times New Roman" w:cs="Times New Roman"/>
                <w:iCs/>
                <w:color w:val="000000"/>
                <w:lang w:eastAsia="bg-BG"/>
              </w:rPr>
              <w:t>събития</w:t>
            </w:r>
            <w:r w:rsidR="008E2A19" w:rsidRPr="007D063B">
              <w:rPr>
                <w:rFonts w:ascii="Times New Roman" w:eastAsia="Times New Roman" w:hAnsi="Times New Roman" w:cs="Times New Roman"/>
                <w:iCs/>
                <w:color w:val="000000"/>
                <w:lang w:eastAsia="bg-BG"/>
              </w:rPr>
              <w:t xml:space="preserve"> </w:t>
            </w:r>
            <w:r w:rsidR="002754E1" w:rsidRPr="007D063B">
              <w:rPr>
                <w:rFonts w:ascii="Times New Roman" w:eastAsia="Times New Roman" w:hAnsi="Times New Roman" w:cs="Times New Roman"/>
                <w:iCs/>
                <w:color w:val="000000"/>
                <w:lang w:eastAsia="bg-BG"/>
              </w:rPr>
              <w:t>с 21 123 участници.</w:t>
            </w:r>
          </w:p>
          <w:p w14:paraId="669ABC53" w14:textId="5BA6FB73" w:rsidR="008F4050" w:rsidRPr="007D063B" w:rsidRDefault="004D7E1E" w:rsidP="00176D55">
            <w:pPr>
              <w:spacing w:before="60" w:after="60" w:line="240" w:lineRule="auto"/>
              <w:jc w:val="both"/>
              <w:rPr>
                <w:rFonts w:ascii="Times New Roman" w:eastAsia="Times New Roman" w:hAnsi="Times New Roman" w:cs="Times New Roman"/>
                <w:i/>
                <w:iCs/>
                <w:color w:val="000000"/>
                <w:lang w:eastAsia="bg-BG"/>
              </w:rPr>
            </w:pPr>
            <w:r w:rsidRPr="007D063B">
              <w:rPr>
                <w:rFonts w:ascii="Times New Roman" w:eastAsia="Times New Roman" w:hAnsi="Times New Roman" w:cs="Times New Roman"/>
                <w:iCs/>
                <w:color w:val="000000"/>
                <w:lang w:eastAsia="bg-BG"/>
              </w:rPr>
              <w:t>П</w:t>
            </w:r>
            <w:r w:rsidR="009A1752" w:rsidRPr="007D063B">
              <w:rPr>
                <w:rFonts w:ascii="Times New Roman" w:eastAsia="Times New Roman" w:hAnsi="Times New Roman" w:cs="Times New Roman"/>
                <w:iCs/>
                <w:color w:val="000000"/>
                <w:lang w:eastAsia="bg-BG"/>
              </w:rPr>
              <w:t>о п</w:t>
            </w:r>
            <w:r w:rsidRPr="007D063B">
              <w:rPr>
                <w:rFonts w:ascii="Times New Roman" w:eastAsia="Times New Roman" w:hAnsi="Times New Roman" w:cs="Times New Roman"/>
                <w:iCs/>
                <w:color w:val="000000"/>
                <w:lang w:eastAsia="bg-BG"/>
              </w:rPr>
              <w:t>роцедура</w:t>
            </w:r>
            <w:r w:rsidR="007924E6" w:rsidRPr="007D063B">
              <w:rPr>
                <w:rFonts w:ascii="Times New Roman" w:eastAsia="Times New Roman" w:hAnsi="Times New Roman" w:cs="Times New Roman"/>
                <w:iCs/>
                <w:color w:val="000000"/>
                <w:lang w:eastAsia="bg-BG"/>
              </w:rPr>
              <w:t xml:space="preserve"> BG05SFOP001-4.002</w:t>
            </w:r>
            <w:r w:rsidRPr="007D063B">
              <w:rPr>
                <w:rFonts w:ascii="Times New Roman" w:eastAsia="Times New Roman" w:hAnsi="Times New Roman" w:cs="Times New Roman"/>
                <w:i/>
                <w:iCs/>
                <w:color w:val="000000"/>
                <w:lang w:eastAsia="bg-BG"/>
              </w:rPr>
              <w:t xml:space="preserve"> „Техническа помощ за хоризонталните структури за програмиране, наблюдение, управление, контрол, координация, сертифициране и одит на ЕСИФ” </w:t>
            </w:r>
            <w:r w:rsidR="009A1752" w:rsidRPr="007D063B">
              <w:rPr>
                <w:rFonts w:ascii="Times New Roman" w:eastAsia="Times New Roman" w:hAnsi="Times New Roman" w:cs="Times New Roman"/>
                <w:iCs/>
                <w:color w:val="000000"/>
                <w:lang w:eastAsia="bg-BG"/>
              </w:rPr>
              <w:t xml:space="preserve">от ИГРП 2015 от 2016 г. в изпълнение са </w:t>
            </w:r>
            <w:r w:rsidR="008F4050" w:rsidRPr="007D063B">
              <w:rPr>
                <w:rFonts w:ascii="Times New Roman" w:eastAsia="Times New Roman" w:hAnsi="Times New Roman" w:cs="Times New Roman"/>
                <w:iCs/>
                <w:color w:val="000000"/>
                <w:lang w:eastAsia="bg-BG"/>
              </w:rPr>
              <w:t xml:space="preserve">10 </w:t>
            </w:r>
            <w:r w:rsidR="009A1752" w:rsidRPr="007D063B">
              <w:rPr>
                <w:rFonts w:ascii="Times New Roman" w:eastAsia="Times New Roman" w:hAnsi="Times New Roman" w:cs="Times New Roman"/>
                <w:iCs/>
                <w:color w:val="000000"/>
                <w:lang w:eastAsia="bg-BG"/>
              </w:rPr>
              <w:t>финансови план</w:t>
            </w:r>
            <w:r w:rsidR="008F4050" w:rsidRPr="007D063B">
              <w:rPr>
                <w:rFonts w:ascii="Times New Roman" w:eastAsia="Times New Roman" w:hAnsi="Times New Roman" w:cs="Times New Roman"/>
                <w:iCs/>
                <w:color w:val="000000"/>
                <w:lang w:eastAsia="bg-BG"/>
              </w:rPr>
              <w:t>а:</w:t>
            </w:r>
            <w:r w:rsidR="009A1752" w:rsidRPr="007D063B">
              <w:rPr>
                <w:rFonts w:ascii="Times New Roman" w:eastAsia="Times New Roman" w:hAnsi="Times New Roman" w:cs="Times New Roman"/>
                <w:iCs/>
                <w:color w:val="000000"/>
                <w:lang w:eastAsia="bg-BG"/>
              </w:rPr>
              <w:t xml:space="preserve"> на</w:t>
            </w:r>
            <w:r w:rsidRPr="007D063B">
              <w:rPr>
                <w:rFonts w:ascii="Times New Roman" w:eastAsia="Times New Roman" w:hAnsi="Times New Roman" w:cs="Times New Roman"/>
                <w:iCs/>
                <w:color w:val="000000"/>
                <w:lang w:eastAsia="bg-BG"/>
              </w:rPr>
              <w:t xml:space="preserve"> Ц</w:t>
            </w:r>
            <w:r w:rsidR="008F4050" w:rsidRPr="007D063B">
              <w:rPr>
                <w:rFonts w:ascii="Times New Roman" w:eastAsia="Times New Roman" w:hAnsi="Times New Roman" w:cs="Times New Roman"/>
                <w:iCs/>
                <w:color w:val="000000"/>
                <w:lang w:eastAsia="bg-BG"/>
              </w:rPr>
              <w:t>КЗ</w:t>
            </w:r>
            <w:r w:rsidR="009A1752" w:rsidRPr="007D063B">
              <w:rPr>
                <w:rFonts w:ascii="Times New Roman" w:eastAsia="Times New Roman" w:hAnsi="Times New Roman" w:cs="Times New Roman"/>
                <w:iCs/>
                <w:color w:val="000000"/>
                <w:lang w:eastAsia="bg-BG"/>
              </w:rPr>
              <w:t xml:space="preserve"> (2 бр.)</w:t>
            </w:r>
            <w:r w:rsidRPr="007D063B">
              <w:rPr>
                <w:rFonts w:ascii="Times New Roman" w:eastAsia="Times New Roman" w:hAnsi="Times New Roman" w:cs="Times New Roman"/>
                <w:iCs/>
                <w:color w:val="000000"/>
                <w:lang w:eastAsia="bg-BG"/>
              </w:rPr>
              <w:t>; С</w:t>
            </w:r>
            <w:r w:rsidR="008F4050" w:rsidRPr="007D063B">
              <w:rPr>
                <w:rFonts w:ascii="Times New Roman" w:eastAsia="Times New Roman" w:hAnsi="Times New Roman" w:cs="Times New Roman"/>
                <w:iCs/>
                <w:color w:val="000000"/>
                <w:lang w:eastAsia="bg-BG"/>
              </w:rPr>
              <w:t>О</w:t>
            </w:r>
            <w:r w:rsidR="009A1752" w:rsidRPr="007D063B">
              <w:rPr>
                <w:rFonts w:ascii="Times New Roman" w:eastAsia="Times New Roman" w:hAnsi="Times New Roman" w:cs="Times New Roman"/>
                <w:iCs/>
                <w:color w:val="000000"/>
                <w:lang w:eastAsia="bg-BG"/>
              </w:rPr>
              <w:t xml:space="preserve"> (2 бр.)</w:t>
            </w:r>
            <w:r w:rsidRPr="007D063B">
              <w:rPr>
                <w:rFonts w:ascii="Times New Roman" w:eastAsia="Times New Roman" w:hAnsi="Times New Roman" w:cs="Times New Roman"/>
                <w:iCs/>
                <w:color w:val="000000"/>
                <w:lang w:eastAsia="bg-BG"/>
              </w:rPr>
              <w:t>; О</w:t>
            </w:r>
            <w:r w:rsidR="008F4050" w:rsidRPr="007D063B">
              <w:rPr>
                <w:rFonts w:ascii="Times New Roman" w:eastAsia="Times New Roman" w:hAnsi="Times New Roman" w:cs="Times New Roman"/>
                <w:iCs/>
                <w:color w:val="000000"/>
                <w:lang w:eastAsia="bg-BG"/>
              </w:rPr>
              <w:t xml:space="preserve">О </w:t>
            </w:r>
            <w:r w:rsidR="009A1752" w:rsidRPr="007D063B">
              <w:rPr>
                <w:rFonts w:ascii="Times New Roman" w:eastAsia="Times New Roman" w:hAnsi="Times New Roman" w:cs="Times New Roman"/>
                <w:iCs/>
                <w:color w:val="000000"/>
                <w:lang w:eastAsia="bg-BG"/>
              </w:rPr>
              <w:t xml:space="preserve"> (2 бр.)</w:t>
            </w:r>
            <w:r w:rsidRPr="007D063B">
              <w:rPr>
                <w:rFonts w:ascii="Times New Roman" w:eastAsia="Times New Roman" w:hAnsi="Times New Roman" w:cs="Times New Roman"/>
                <w:iCs/>
                <w:color w:val="000000"/>
                <w:lang w:eastAsia="bg-BG"/>
              </w:rPr>
              <w:t>; А</w:t>
            </w:r>
            <w:r w:rsidR="008F4050" w:rsidRPr="007D063B">
              <w:rPr>
                <w:rFonts w:ascii="Times New Roman" w:eastAsia="Times New Roman" w:hAnsi="Times New Roman" w:cs="Times New Roman"/>
                <w:iCs/>
                <w:color w:val="000000"/>
                <w:lang w:eastAsia="bg-BG"/>
              </w:rPr>
              <w:t>ОП</w:t>
            </w:r>
            <w:r w:rsidR="009A1752" w:rsidRPr="007D063B">
              <w:rPr>
                <w:rFonts w:ascii="Times New Roman" w:eastAsia="Times New Roman" w:hAnsi="Times New Roman" w:cs="Times New Roman"/>
                <w:iCs/>
                <w:color w:val="000000"/>
                <w:lang w:eastAsia="bg-BG"/>
              </w:rPr>
              <w:t xml:space="preserve"> (1 бр.)</w:t>
            </w:r>
            <w:r w:rsidRPr="007D063B">
              <w:rPr>
                <w:rFonts w:ascii="Times New Roman" w:eastAsia="Times New Roman" w:hAnsi="Times New Roman" w:cs="Times New Roman"/>
                <w:iCs/>
                <w:color w:val="000000"/>
                <w:lang w:eastAsia="bg-BG"/>
              </w:rPr>
              <w:t>; Дирекция „Държавни помощи и реален сектор“ на М</w:t>
            </w:r>
            <w:r w:rsidR="008F4050" w:rsidRPr="007D063B">
              <w:rPr>
                <w:rFonts w:ascii="Times New Roman" w:eastAsia="Times New Roman" w:hAnsi="Times New Roman" w:cs="Times New Roman"/>
                <w:iCs/>
                <w:color w:val="000000"/>
                <w:lang w:eastAsia="bg-BG"/>
              </w:rPr>
              <w:t>Ф</w:t>
            </w:r>
            <w:r w:rsidR="009A1752" w:rsidRPr="007D063B">
              <w:rPr>
                <w:rFonts w:ascii="Times New Roman" w:eastAsia="Times New Roman" w:hAnsi="Times New Roman" w:cs="Times New Roman"/>
                <w:iCs/>
                <w:color w:val="000000"/>
                <w:lang w:eastAsia="bg-BG"/>
              </w:rPr>
              <w:t xml:space="preserve"> (1 бр.)</w:t>
            </w:r>
            <w:r w:rsidRPr="007D063B">
              <w:rPr>
                <w:rFonts w:ascii="Times New Roman" w:eastAsia="Times New Roman" w:hAnsi="Times New Roman" w:cs="Times New Roman"/>
                <w:iCs/>
                <w:color w:val="000000"/>
                <w:lang w:eastAsia="bg-BG"/>
              </w:rPr>
              <w:t>; Дирекция „Защита на финансовите интереси на Европейския съюз“ на М</w:t>
            </w:r>
            <w:r w:rsidR="008F4050" w:rsidRPr="007D063B">
              <w:rPr>
                <w:rFonts w:ascii="Times New Roman" w:eastAsia="Times New Roman" w:hAnsi="Times New Roman" w:cs="Times New Roman"/>
                <w:iCs/>
                <w:color w:val="000000"/>
                <w:lang w:eastAsia="bg-BG"/>
              </w:rPr>
              <w:t>ВР</w:t>
            </w:r>
            <w:r w:rsidR="009A1752" w:rsidRPr="007D063B">
              <w:rPr>
                <w:rFonts w:ascii="Times New Roman" w:eastAsia="Times New Roman" w:hAnsi="Times New Roman" w:cs="Times New Roman"/>
                <w:iCs/>
                <w:color w:val="000000"/>
                <w:lang w:eastAsia="bg-BG"/>
              </w:rPr>
              <w:t xml:space="preserve"> (2 бр.)</w:t>
            </w:r>
            <w:r w:rsidRPr="007D063B">
              <w:rPr>
                <w:rFonts w:ascii="Times New Roman" w:eastAsia="Times New Roman" w:hAnsi="Times New Roman" w:cs="Times New Roman"/>
                <w:iCs/>
                <w:color w:val="000000"/>
                <w:lang w:eastAsia="bg-BG"/>
              </w:rPr>
              <w:t xml:space="preserve">. Финансовите планове чрез бюджетна линия на кандидатите по процедурата са подадени през 2016 г. </w:t>
            </w:r>
            <w:r w:rsidR="008E2A19" w:rsidRPr="007D063B">
              <w:rPr>
                <w:rFonts w:ascii="Times New Roman" w:eastAsia="Times New Roman" w:hAnsi="Times New Roman" w:cs="Times New Roman"/>
                <w:iCs/>
                <w:color w:val="000000"/>
                <w:lang w:eastAsia="bg-BG"/>
              </w:rPr>
              <w:t xml:space="preserve"> Изпълнението на финан</w:t>
            </w:r>
            <w:r w:rsidR="00627D2B" w:rsidRPr="007D063B">
              <w:rPr>
                <w:rFonts w:ascii="Times New Roman" w:eastAsia="Times New Roman" w:hAnsi="Times New Roman" w:cs="Times New Roman"/>
                <w:iCs/>
                <w:color w:val="000000"/>
                <w:lang w:eastAsia="bg-BG"/>
              </w:rPr>
              <w:t>с</w:t>
            </w:r>
            <w:r w:rsidR="008E2A19" w:rsidRPr="007D063B">
              <w:rPr>
                <w:rFonts w:ascii="Times New Roman" w:eastAsia="Times New Roman" w:hAnsi="Times New Roman" w:cs="Times New Roman"/>
                <w:iCs/>
                <w:color w:val="000000"/>
                <w:lang w:eastAsia="bg-BG"/>
              </w:rPr>
              <w:t xml:space="preserve">овите планове на хоризонталните структури е </w:t>
            </w:r>
            <w:r w:rsidR="00176D55" w:rsidRPr="007D063B">
              <w:rPr>
                <w:rFonts w:ascii="Times New Roman" w:eastAsia="Times New Roman" w:hAnsi="Times New Roman" w:cs="Times New Roman"/>
                <w:iCs/>
                <w:color w:val="000000"/>
                <w:lang w:eastAsia="bg-BG"/>
              </w:rPr>
              <w:t>без отклонения съгласно договореното.</w:t>
            </w:r>
            <w:r w:rsidR="00627D2B" w:rsidRPr="007D063B">
              <w:rPr>
                <w:rFonts w:ascii="Times New Roman" w:eastAsia="Times New Roman" w:hAnsi="Times New Roman" w:cs="Times New Roman"/>
                <w:iCs/>
                <w:color w:val="000000"/>
                <w:lang w:eastAsia="bg-BG"/>
              </w:rPr>
              <w:t xml:space="preserve"> </w:t>
            </w:r>
            <w:r w:rsidR="008F4050" w:rsidRPr="007D063B">
              <w:rPr>
                <w:rFonts w:ascii="Times New Roman" w:eastAsia="Times New Roman" w:hAnsi="Times New Roman" w:cs="Times New Roman"/>
                <w:iCs/>
                <w:color w:val="000000"/>
                <w:lang w:eastAsia="bg-BG"/>
              </w:rPr>
              <w:t>Към момента не са идентифицирани проблеми по ПО 4.</w:t>
            </w:r>
          </w:p>
        </w:tc>
      </w:tr>
    </w:tbl>
    <w:p w14:paraId="73F051DD" w14:textId="7A3E482B" w:rsidR="00D279B7" w:rsidRPr="007D063B" w:rsidRDefault="00D279B7" w:rsidP="00D279B7">
      <w:pPr>
        <w:rPr>
          <w:rFonts w:ascii="Times New Roman" w:eastAsia="Times New Roman" w:hAnsi="Times New Roman" w:cs="Times New Roman"/>
          <w:b/>
          <w:bCs/>
          <w:color w:val="000000"/>
          <w:sz w:val="24"/>
          <w:szCs w:val="24"/>
          <w:lang w:eastAsia="bg-BG"/>
        </w:rPr>
      </w:pPr>
    </w:p>
    <w:p w14:paraId="65818112" w14:textId="34F2DBA4" w:rsidR="00D279B7" w:rsidRPr="007D063B" w:rsidRDefault="00D279B7" w:rsidP="00D279B7">
      <w:pPr>
        <w:pStyle w:val="Heading2"/>
        <w:rPr>
          <w:rFonts w:ascii="inherit" w:eastAsia="Times New Roman" w:hAnsi="inherit" w:cs="Times New Roman"/>
          <w:b/>
          <w:bCs/>
          <w:color w:val="000000"/>
          <w:sz w:val="24"/>
          <w:szCs w:val="24"/>
          <w:lang w:eastAsia="bg-BG"/>
        </w:rPr>
      </w:pPr>
      <w:bookmarkStart w:id="22" w:name="_Toc481594283"/>
      <w:r w:rsidRPr="007D063B">
        <w:rPr>
          <w:rFonts w:ascii="Times New Roman" w:eastAsia="Times New Roman" w:hAnsi="Times New Roman" w:cs="Times New Roman"/>
          <w:b/>
          <w:bCs/>
          <w:color w:val="000000"/>
          <w:sz w:val="24"/>
          <w:szCs w:val="24"/>
          <w:lang w:eastAsia="bg-BG"/>
        </w:rPr>
        <w:t>3.2   </w:t>
      </w:r>
      <w:r w:rsidRPr="007D063B">
        <w:rPr>
          <w:rFonts w:ascii="inherit" w:eastAsia="Times New Roman" w:hAnsi="inherit" w:cs="Times New Roman"/>
          <w:b/>
          <w:bCs/>
          <w:color w:val="000000"/>
          <w:sz w:val="24"/>
          <w:szCs w:val="24"/>
          <w:lang w:eastAsia="bg-BG"/>
        </w:rPr>
        <w:t>Общи и специфични за програмата показатели (член 50, параграф 2 от Регламент (ЕС) № 1303/2013) – приоритетна ос 4</w:t>
      </w:r>
      <w:bookmarkEnd w:id="22"/>
    </w:p>
    <w:p w14:paraId="02814456" w14:textId="77777777" w:rsidR="00B54C34" w:rsidRPr="007D063B" w:rsidRDefault="00B54C34" w:rsidP="00B54C34">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Данните за общите и специфичните за програмата показатели по инвестиционен приоритет, предавани в таблици 1—4 по-долу.</w:t>
      </w:r>
    </w:p>
    <w:p w14:paraId="34273D4F" w14:textId="77777777" w:rsidR="00B54C34" w:rsidRPr="007D063B" w:rsidRDefault="00B54C34" w:rsidP="00B54C34">
      <w:pPr>
        <w:shd w:val="clear" w:color="auto" w:fill="FFFFFF"/>
        <w:spacing w:before="120" w:after="120" w:line="240" w:lineRule="auto"/>
        <w:jc w:val="center"/>
        <w:rPr>
          <w:rFonts w:eastAsia="Times New Roman" w:cs="Times New Roman"/>
          <w:i/>
          <w:iCs/>
          <w:color w:val="000000"/>
          <w:sz w:val="24"/>
          <w:szCs w:val="24"/>
          <w:lang w:eastAsia="bg-BG"/>
        </w:rPr>
      </w:pPr>
    </w:p>
    <w:p w14:paraId="6067BDAA" w14:textId="77777777" w:rsidR="00B54C34" w:rsidRPr="007D063B" w:rsidRDefault="00B54C34" w:rsidP="00B54C34">
      <w:pPr>
        <w:rPr>
          <w:rFonts w:ascii="inherit" w:eastAsia="Times New Roman" w:hAnsi="inherit" w:cs="Times New Roman"/>
          <w:i/>
          <w:iCs/>
          <w:color w:val="000000"/>
          <w:sz w:val="24"/>
          <w:szCs w:val="24"/>
          <w:lang w:eastAsia="bg-BG"/>
        </w:rPr>
      </w:pPr>
      <w:r w:rsidRPr="007D063B">
        <w:rPr>
          <w:rFonts w:ascii="inherit" w:eastAsia="Times New Roman" w:hAnsi="inherit" w:cs="Times New Roman"/>
          <w:i/>
          <w:iCs/>
          <w:color w:val="000000"/>
          <w:sz w:val="24"/>
          <w:szCs w:val="24"/>
          <w:lang w:eastAsia="bg-BG"/>
        </w:rPr>
        <w:br w:type="page"/>
      </w:r>
    </w:p>
    <w:p w14:paraId="06E41BEC" w14:textId="77777777" w:rsidR="00B54C34" w:rsidRPr="007D063B" w:rsidRDefault="00B54C34" w:rsidP="00421321">
      <w:pPr>
        <w:pStyle w:val="Heading3"/>
        <w:jc w:val="center"/>
        <w:rPr>
          <w:rFonts w:ascii="Times New Roman" w:eastAsia="Times New Roman" w:hAnsi="Times New Roman" w:cs="Times New Roman"/>
          <w:color w:val="000000"/>
          <w:lang w:eastAsia="bg-BG"/>
        </w:rPr>
      </w:pPr>
      <w:bookmarkStart w:id="23" w:name="_Toc481594284"/>
      <w:r w:rsidRPr="007D063B">
        <w:rPr>
          <w:rFonts w:ascii="inherit" w:eastAsia="Times New Roman" w:hAnsi="inherit" w:cs="Times New Roman"/>
          <w:i/>
          <w:iCs/>
          <w:color w:val="000000"/>
          <w:lang w:eastAsia="bg-BG"/>
        </w:rPr>
        <w:lastRenderedPageBreak/>
        <w:t>Таблица 2А</w:t>
      </w:r>
      <w:bookmarkEnd w:id="23"/>
    </w:p>
    <w:p w14:paraId="780FD531" w14:textId="77777777" w:rsidR="00B54C34" w:rsidRPr="007D063B" w:rsidRDefault="00B54C34" w:rsidP="00B54C34">
      <w:pPr>
        <w:shd w:val="clear" w:color="auto" w:fill="FFFFFF"/>
        <w:spacing w:before="120" w:after="120" w:line="240" w:lineRule="auto"/>
        <w:jc w:val="center"/>
        <w:rPr>
          <w:rFonts w:ascii="Times New Roman" w:eastAsia="Times New Roman" w:hAnsi="Times New Roman" w:cs="Times New Roman"/>
          <w:color w:val="000000"/>
          <w:sz w:val="24"/>
          <w:szCs w:val="24"/>
          <w:lang w:eastAsia="bg-BG"/>
        </w:rPr>
      </w:pPr>
      <w:r w:rsidRPr="007D063B">
        <w:rPr>
          <w:rFonts w:ascii="inherit" w:eastAsia="Times New Roman" w:hAnsi="inherit" w:cs="Times New Roman"/>
          <w:b/>
          <w:bCs/>
          <w:color w:val="000000"/>
          <w:sz w:val="24"/>
          <w:szCs w:val="24"/>
          <w:lang w:eastAsia="bg-BG"/>
        </w:rPr>
        <w:t>Общи показатели за резултатите за ЕСФ (по приоритетна ос, инвестиционен приоритет и по категория регион). Данните за всички общи показатели за резултатите по ЕСФ (със и без целева стойност) се отчитат с разпределение по пол. По приоритетната ос за техническа помощ се отчитат само тези общи показатели, за които е определена целева стойност</w:t>
      </w:r>
      <w:r w:rsidRPr="007D063B">
        <w:rPr>
          <w:rFonts w:ascii="Times New Roman" w:eastAsia="Times New Roman" w:hAnsi="Times New Roman" w:cs="Times New Roman"/>
          <w:color w:val="000000"/>
          <w:sz w:val="24"/>
          <w:szCs w:val="24"/>
          <w:lang w:eastAsia="bg-BG"/>
        </w:rPr>
        <w:t> </w:t>
      </w:r>
      <w:hyperlink r:id="rId44" w:anchor="ntr4-L_2015038BG.01007201-E0004" w:history="1">
        <w:r w:rsidRPr="007D063B">
          <w:rPr>
            <w:rFonts w:ascii="inherit" w:eastAsia="Times New Roman" w:hAnsi="inherit" w:cs="Times New Roman"/>
            <w:color w:val="0000FF"/>
            <w:sz w:val="24"/>
            <w:szCs w:val="24"/>
            <w:u w:val="single"/>
            <w:lang w:eastAsia="bg-BG"/>
          </w:rPr>
          <w:t> (</w:t>
        </w:r>
        <w:r w:rsidRPr="007D063B">
          <w:rPr>
            <w:rFonts w:ascii="inherit" w:eastAsia="Times New Roman" w:hAnsi="inherit" w:cs="Times New Roman"/>
            <w:color w:val="0000FF"/>
            <w:sz w:val="17"/>
            <w:szCs w:val="17"/>
            <w:u w:val="single"/>
            <w:vertAlign w:val="superscript"/>
            <w:lang w:eastAsia="bg-BG"/>
          </w:rPr>
          <w:t>4</w:t>
        </w:r>
        <w:r w:rsidRPr="007D063B">
          <w:rPr>
            <w:rFonts w:ascii="inherit" w:eastAsia="Times New Roman" w:hAnsi="inherit" w:cs="Times New Roman"/>
            <w:color w:val="0000FF"/>
            <w:sz w:val="24"/>
            <w:szCs w:val="24"/>
            <w:u w:val="single"/>
            <w:lang w:eastAsia="bg-BG"/>
          </w:rPr>
          <w:t>)</w:t>
        </w:r>
      </w:hyperlink>
      <w:r w:rsidRPr="007D063B">
        <w:rPr>
          <w:rFonts w:ascii="Times New Roman" w:eastAsia="Times New Roman" w:hAnsi="Times New Roman" w:cs="Times New Roman"/>
          <w:color w:val="000000"/>
          <w:sz w:val="24"/>
          <w:szCs w:val="24"/>
          <w:lang w:eastAsia="bg-BG"/>
        </w:rPr>
        <w:t> </w:t>
      </w:r>
      <w:hyperlink r:id="rId45" w:anchor="ntr5-L_2015038BG.01007201-E0005" w:history="1">
        <w:r w:rsidRPr="007D063B">
          <w:rPr>
            <w:rFonts w:ascii="inherit" w:eastAsia="Times New Roman" w:hAnsi="inherit" w:cs="Times New Roman"/>
            <w:color w:val="0000FF"/>
            <w:sz w:val="24"/>
            <w:szCs w:val="24"/>
            <w:u w:val="single"/>
            <w:lang w:eastAsia="bg-BG"/>
          </w:rPr>
          <w:t> (</w:t>
        </w:r>
        <w:r w:rsidRPr="007D063B">
          <w:rPr>
            <w:rFonts w:ascii="inherit" w:eastAsia="Times New Roman" w:hAnsi="inherit" w:cs="Times New Roman"/>
            <w:color w:val="0000FF"/>
            <w:sz w:val="17"/>
            <w:szCs w:val="17"/>
            <w:u w:val="single"/>
            <w:vertAlign w:val="superscript"/>
            <w:lang w:eastAsia="bg-BG"/>
          </w:rPr>
          <w:t>5</w:t>
        </w:r>
        <w:r w:rsidRPr="007D063B">
          <w:rPr>
            <w:rFonts w:ascii="inherit" w:eastAsia="Times New Roman" w:hAnsi="inherit" w:cs="Times New Roman"/>
            <w:color w:val="0000FF"/>
            <w:sz w:val="24"/>
            <w:szCs w:val="24"/>
            <w:u w:val="single"/>
            <w:lang w:eastAsia="bg-BG"/>
          </w:rPr>
          <w:t>)</w:t>
        </w:r>
      </w:hyperlink>
    </w:p>
    <w:p w14:paraId="1272BC4E" w14:textId="77777777" w:rsidR="00B54C34" w:rsidRPr="007D063B" w:rsidRDefault="00B54C34" w:rsidP="00B54C34">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Инвестиционен приоритет:</w:t>
      </w:r>
    </w:p>
    <w:p w14:paraId="56AEA76B" w14:textId="77777777" w:rsidR="00B54C34" w:rsidRPr="007D063B" w:rsidRDefault="00B54C34" w:rsidP="00B54C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xml:space="preserve">Инвестиционен приоритет № 11 </w:t>
      </w:r>
      <w:r w:rsidRPr="007D063B">
        <w:rPr>
          <w:rFonts w:ascii="Times New Roman" w:eastAsia="Times New Roman" w:hAnsi="Times New Roman" w:cs="Times New Roman"/>
          <w:color w:val="000000"/>
          <w:sz w:val="24"/>
          <w:szCs w:val="24"/>
          <w:lang w:val="en-US" w:eastAsia="bg-BG"/>
        </w:rPr>
        <w:t>i</w:t>
      </w:r>
      <w:r w:rsidRPr="007D063B">
        <w:rPr>
          <w:rFonts w:ascii="Times New Roman" w:eastAsia="Times New Roman" w:hAnsi="Times New Roman" w:cs="Times New Roman"/>
          <w:color w:val="000000"/>
          <w:sz w:val="24"/>
          <w:szCs w:val="24"/>
          <w:lang w:eastAsia="bg-BG"/>
        </w:rPr>
        <w:t>: Инвестиции в институционален капацитет и в ефикасността на публичните администрации и публичните услуги на национално, регионално и местно равнище с цел осъществяването на реформи и постигането на по-добро регулиране и добро управление</w:t>
      </w:r>
    </w:p>
    <w:p w14:paraId="05599EB9" w14:textId="77777777" w:rsidR="00B54C34" w:rsidRPr="007D063B" w:rsidRDefault="00B54C34" w:rsidP="00B54C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Категория регион: По-слабо развити региони</w:t>
      </w:r>
    </w:p>
    <w:tbl>
      <w:tblPr>
        <w:tblW w:w="5018" w:type="pct"/>
        <w:jc w:val="center"/>
        <w:tblCellSpacing w:w="0"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left w:w="0" w:type="dxa"/>
          <w:right w:w="0" w:type="dxa"/>
        </w:tblCellMar>
        <w:tblLook w:val="04A0" w:firstRow="1" w:lastRow="0" w:firstColumn="1" w:lastColumn="0" w:noHBand="0" w:noVBand="1"/>
      </w:tblPr>
      <w:tblGrid>
        <w:gridCol w:w="704"/>
        <w:gridCol w:w="1281"/>
        <w:gridCol w:w="427"/>
        <w:gridCol w:w="996"/>
        <w:gridCol w:w="712"/>
        <w:gridCol w:w="992"/>
        <w:gridCol w:w="286"/>
        <w:gridCol w:w="426"/>
        <w:gridCol w:w="12"/>
        <w:gridCol w:w="275"/>
        <w:gridCol w:w="377"/>
        <w:gridCol w:w="51"/>
        <w:gridCol w:w="142"/>
        <w:gridCol w:w="284"/>
        <w:gridCol w:w="129"/>
        <w:gridCol w:w="13"/>
        <w:gridCol w:w="32"/>
        <w:gridCol w:w="277"/>
        <w:gridCol w:w="375"/>
        <w:gridCol w:w="27"/>
        <w:gridCol w:w="250"/>
        <w:gridCol w:w="319"/>
        <w:gridCol w:w="56"/>
        <w:gridCol w:w="277"/>
        <w:gridCol w:w="377"/>
        <w:gridCol w:w="277"/>
        <w:gridCol w:w="375"/>
        <w:gridCol w:w="59"/>
        <w:gridCol w:w="218"/>
        <w:gridCol w:w="351"/>
        <w:gridCol w:w="24"/>
        <w:gridCol w:w="277"/>
        <w:gridCol w:w="375"/>
        <w:gridCol w:w="35"/>
        <w:gridCol w:w="284"/>
        <w:gridCol w:w="142"/>
        <w:gridCol w:w="285"/>
        <w:gridCol w:w="426"/>
        <w:gridCol w:w="426"/>
        <w:gridCol w:w="426"/>
        <w:gridCol w:w="263"/>
        <w:gridCol w:w="353"/>
        <w:gridCol w:w="341"/>
        <w:gridCol w:w="51"/>
      </w:tblGrid>
      <w:tr w:rsidR="00B54C34" w:rsidRPr="007D063B" w14:paraId="0B0A8499" w14:textId="77777777" w:rsidTr="00450FF1">
        <w:trPr>
          <w:gridAfter w:val="1"/>
          <w:wAfter w:w="51" w:type="dxa"/>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5A2AD36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Идентификация</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37FE13F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Показател</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29504E2F"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Категория региони</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08D4330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Общ показател за изпълнението, използван като основа за определяне на целеви стойности</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4FB72242"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Мерна единица за базовата и целевата стойност</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3FAA2215"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Целева стойност (2023 г.)</w:t>
            </w:r>
          </w:p>
          <w:p w14:paraId="7CEA4CE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(Разпределението по пол е незадължително за целевата стойност)</w:t>
            </w:r>
          </w:p>
        </w:tc>
        <w:tc>
          <w:tcPr>
            <w:tcW w:w="7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39437F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2014</w:t>
            </w:r>
          </w:p>
        </w:tc>
        <w:tc>
          <w:tcPr>
            <w:tcW w:w="65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834E69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2015</w:t>
            </w:r>
          </w:p>
        </w:tc>
        <w:tc>
          <w:tcPr>
            <w:tcW w:w="650" w:type="dxa"/>
            <w:gridSpan w:val="6"/>
            <w:tcBorders>
              <w:top w:val="single" w:sz="6" w:space="0" w:color="000000"/>
              <w:left w:val="single" w:sz="6" w:space="0" w:color="000000"/>
              <w:bottom w:val="single" w:sz="6" w:space="0" w:color="000000"/>
              <w:right w:val="single" w:sz="6" w:space="0" w:color="000000"/>
            </w:tcBorders>
            <w:shd w:val="clear" w:color="auto" w:fill="FFFFFF"/>
            <w:hideMark/>
          </w:tcPr>
          <w:p w14:paraId="107FD8A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2016</w:t>
            </w:r>
          </w:p>
        </w:tc>
        <w:tc>
          <w:tcPr>
            <w:tcW w:w="65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3A61F7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2017</w:t>
            </w:r>
          </w:p>
        </w:tc>
        <w:tc>
          <w:tcPr>
            <w:tcW w:w="650"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6711A138"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2018</w:t>
            </w:r>
          </w:p>
        </w:tc>
        <w:tc>
          <w:tcPr>
            <w:tcW w:w="65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A62D9C1"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2019</w:t>
            </w:r>
          </w:p>
        </w:tc>
        <w:tc>
          <w:tcPr>
            <w:tcW w:w="65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D4896FC"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2020</w:t>
            </w:r>
          </w:p>
        </w:tc>
        <w:tc>
          <w:tcPr>
            <w:tcW w:w="650"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54D4FB2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2021</w:t>
            </w:r>
          </w:p>
        </w:tc>
        <w:tc>
          <w:tcPr>
            <w:tcW w:w="65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9B46E4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2022</w:t>
            </w:r>
          </w:p>
        </w:tc>
        <w:tc>
          <w:tcPr>
            <w:tcW w:w="744"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69F6479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2023</w:t>
            </w:r>
          </w:p>
        </w:tc>
        <w:tc>
          <w:tcPr>
            <w:tcW w:w="1275"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8266559"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Кумулативна стойност</w:t>
            </w:r>
          </w:p>
          <w:p w14:paraId="640ABED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(автоматично изчислена)</w:t>
            </w:r>
          </w:p>
        </w:tc>
        <w:tc>
          <w:tcPr>
            <w:tcW w:w="9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B48A1E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Съотношение на постиженията</w:t>
            </w:r>
          </w:p>
          <w:p w14:paraId="7C77627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Разпределение по пол (незадължително)</w:t>
            </w:r>
          </w:p>
        </w:tc>
      </w:tr>
      <w:tr w:rsidR="00B54C34" w:rsidRPr="007D063B" w14:paraId="5A1DEBF6" w14:textId="77777777" w:rsidTr="00450FF1">
        <w:trPr>
          <w:gridAfter w:val="1"/>
          <w:wAfter w:w="51" w:type="dxa"/>
          <w:tblCellSpacing w:w="0" w:type="dxa"/>
          <w:jc w:val="center"/>
        </w:trPr>
        <w:tc>
          <w:tcPr>
            <w:tcW w:w="5091" w:type="dxa"/>
            <w:gridSpan w:val="6"/>
            <w:tcBorders>
              <w:top w:val="single" w:sz="6" w:space="0" w:color="000000"/>
              <w:left w:val="single" w:sz="6" w:space="0" w:color="000000"/>
              <w:bottom w:val="single" w:sz="6" w:space="0" w:color="000000"/>
              <w:right w:val="single" w:sz="6" w:space="0" w:color="000000"/>
            </w:tcBorders>
            <w:shd w:val="clear" w:color="auto" w:fill="FFFFFF"/>
            <w:hideMark/>
          </w:tcPr>
          <w:p w14:paraId="729A6EA2" w14:textId="77777777" w:rsidR="00B54C34" w:rsidRPr="007D063B" w:rsidRDefault="00B54C34" w:rsidP="00450FF1">
            <w:pPr>
              <w:spacing w:before="120" w:after="0" w:line="240" w:lineRule="auto"/>
              <w:jc w:val="both"/>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color w:val="000000"/>
                <w:sz w:val="16"/>
                <w:szCs w:val="16"/>
                <w:lang w:eastAsia="bg-BG"/>
              </w:rPr>
              <w:t> </w:t>
            </w:r>
          </w:p>
        </w:tc>
        <w:tc>
          <w:tcPr>
            <w:tcW w:w="6667" w:type="dxa"/>
            <w:gridSpan w:val="31"/>
            <w:tcBorders>
              <w:top w:val="single" w:sz="6" w:space="0" w:color="000000"/>
              <w:left w:val="single" w:sz="6" w:space="0" w:color="000000"/>
              <w:bottom w:val="single" w:sz="6" w:space="0" w:color="000000"/>
              <w:right w:val="single" w:sz="6" w:space="0" w:color="000000"/>
            </w:tcBorders>
            <w:shd w:val="clear" w:color="auto" w:fill="FFFFFF"/>
            <w:hideMark/>
          </w:tcPr>
          <w:p w14:paraId="2993275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lang w:eastAsia="bg-BG"/>
              </w:rPr>
            </w:pPr>
            <w:r w:rsidRPr="007D063B">
              <w:rPr>
                <w:rFonts w:ascii="Times New Roman" w:eastAsia="Times New Roman" w:hAnsi="Times New Roman" w:cs="Times New Roman"/>
                <w:b/>
                <w:bCs/>
                <w:color w:val="000000"/>
                <w:lang w:eastAsia="bg-BG"/>
              </w:rPr>
              <w:t>Годишна стойност</w:t>
            </w:r>
          </w:p>
        </w:tc>
        <w:tc>
          <w:tcPr>
            <w:tcW w:w="1275"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D58795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633BE7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r>
      <w:tr w:rsidR="00E133C6" w:rsidRPr="007D063B" w14:paraId="3758F6D3" w14:textId="77777777" w:rsidTr="00450FF1">
        <w:trPr>
          <w:trHeight w:val="380"/>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48F2205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0BCECF78" w14:textId="77777777" w:rsidR="00B54C34" w:rsidRPr="007D063B" w:rsidRDefault="00B54C34" w:rsidP="00450FF1">
            <w:pPr>
              <w:spacing w:before="120" w:after="0" w:line="240" w:lineRule="auto"/>
              <w:jc w:val="both"/>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color w:val="000000"/>
                <w:sz w:val="16"/>
                <w:szCs w:val="16"/>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17F9F4B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6B2E5E0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6CD955C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68BCB897"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Общо</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2B025817"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13FA3F07"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250ACC3"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C0077AC"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68FC029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26FC241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4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2003F0C"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30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E7F82E7"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CCDC611"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4D342E1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65D9709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1C02B5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244B7915"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7E70D14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9186E0C"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4942AE7B"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1E2C82A5"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C9CC53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5479213"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75BB9F5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39DDC96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0C83DF11"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A114B92"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Общо</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48CE2F3"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6BEB65FB"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262" w:type="dxa"/>
            <w:tcBorders>
              <w:top w:val="single" w:sz="6" w:space="0" w:color="000000"/>
              <w:left w:val="single" w:sz="6" w:space="0" w:color="000000"/>
              <w:bottom w:val="single" w:sz="6" w:space="0" w:color="000000"/>
              <w:right w:val="single" w:sz="6" w:space="0" w:color="000000"/>
            </w:tcBorders>
            <w:shd w:val="clear" w:color="auto" w:fill="FFFFFF"/>
            <w:hideMark/>
          </w:tcPr>
          <w:p w14:paraId="40B448F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352" w:type="dxa"/>
            <w:tcBorders>
              <w:top w:val="single" w:sz="6" w:space="0" w:color="000000"/>
              <w:left w:val="single" w:sz="6" w:space="0" w:color="000000"/>
              <w:bottom w:val="single" w:sz="6" w:space="0" w:color="000000"/>
              <w:right w:val="single" w:sz="6" w:space="0" w:color="000000"/>
            </w:tcBorders>
            <w:shd w:val="clear" w:color="auto" w:fill="FFFFFF"/>
            <w:hideMark/>
          </w:tcPr>
          <w:p w14:paraId="5F610705"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8574759"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r>
      <w:tr w:rsidR="00E133C6" w:rsidRPr="007D063B" w14:paraId="682A8A12" w14:textId="77777777" w:rsidTr="007924E6">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6B01E02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420140C3" w14:textId="77777777" w:rsidR="00B54C34" w:rsidRPr="007D063B" w:rsidRDefault="00B54C34"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Неактивни участници, които при напускане на операцията са започнали да търсят работа</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51E57C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381A261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5E340E0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0E0C16C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00D305D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A940DB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CDF85B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val="en-US" w:eastAsia="bg-BG"/>
              </w:rPr>
              <w:t>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61AA1E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val="en-US" w:eastAsia="bg-BG"/>
              </w:rPr>
              <w:t>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46C26A52" w14:textId="2E945BB2" w:rsidR="00B54C34" w:rsidRPr="007D063B" w:rsidRDefault="003120C7"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2B759D3D" w14:textId="4CFEFC3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3120C7" w:rsidRPr="007D063B">
              <w:rPr>
                <w:rFonts w:ascii="Times New Roman" w:eastAsia="Times New Roman" w:hAnsi="Times New Roman" w:cs="Times New Roman"/>
                <w:color w:val="000000"/>
                <w:sz w:val="24"/>
                <w:szCs w:val="24"/>
                <w:lang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5A1DF1A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9CC218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72F290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274614D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4699418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073F3A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7B57CB3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721C3D5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06962A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25FAA83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1C14100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8B7084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0C44BD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759DCFE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423E444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69CE7D2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1A4632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0A7D10D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7AFC902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tcPr>
          <w:p w14:paraId="463305E7" w14:textId="2466807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52" w:type="dxa"/>
            <w:tcBorders>
              <w:top w:val="single" w:sz="6" w:space="0" w:color="000000"/>
              <w:left w:val="single" w:sz="6" w:space="0" w:color="000000"/>
              <w:bottom w:val="single" w:sz="6" w:space="0" w:color="000000"/>
              <w:right w:val="single" w:sz="6" w:space="0" w:color="000000"/>
            </w:tcBorders>
            <w:shd w:val="clear" w:color="auto" w:fill="FFFFFF"/>
          </w:tcPr>
          <w:p w14:paraId="2E7651C0" w14:textId="234ED19F"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tcPr>
          <w:p w14:paraId="0C2AFCA2" w14:textId="3D5485A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246A39A9" w14:textId="77777777" w:rsidTr="007924E6">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42FFCFB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lastRenderedPageBreak/>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6AD0B75C" w14:textId="77777777" w:rsidR="00B54C34" w:rsidRPr="007D063B" w:rsidRDefault="00B54C34"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които при напускане на операцията са ангажирани с образование/обучение</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6417256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6701D5E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4C76D1D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055CC1F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528984D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00BAAFE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4FA414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FA701E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250100B4" w14:textId="64292BC0" w:rsidR="00B54C34" w:rsidRPr="007D063B" w:rsidRDefault="003120C7"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3284CC43" w14:textId="31B7A9E5"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3120C7" w:rsidRPr="007D063B">
              <w:rPr>
                <w:rFonts w:ascii="Times New Roman" w:eastAsia="Times New Roman" w:hAnsi="Times New Roman" w:cs="Times New Roman"/>
                <w:color w:val="000000"/>
                <w:sz w:val="24"/>
                <w:szCs w:val="24"/>
                <w:lang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2B9CFC2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0817D5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2B350E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7433418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6D66885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188CAB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47D5C45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6EDA331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3E6F25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0DECC11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4EB93B8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32D29D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6AA223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27EFC2B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340ECB4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3699AEA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0CEDFB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B684FA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BC4CF6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tcPr>
          <w:p w14:paraId="58546C91" w14:textId="6E9860B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52" w:type="dxa"/>
            <w:tcBorders>
              <w:top w:val="single" w:sz="6" w:space="0" w:color="000000"/>
              <w:left w:val="single" w:sz="6" w:space="0" w:color="000000"/>
              <w:bottom w:val="single" w:sz="6" w:space="0" w:color="000000"/>
              <w:right w:val="single" w:sz="6" w:space="0" w:color="000000"/>
            </w:tcBorders>
            <w:shd w:val="clear" w:color="auto" w:fill="FFFFFF"/>
          </w:tcPr>
          <w:p w14:paraId="39D5D696" w14:textId="6326FD0F"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tcPr>
          <w:p w14:paraId="5B95FF26" w14:textId="17920A4D"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2AD11912" w14:textId="77777777" w:rsidTr="007924E6">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1A32CE9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2A2CCB5B" w14:textId="77777777" w:rsidR="00B54C34" w:rsidRPr="007D063B" w:rsidRDefault="00B54C34"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които при напускане на операцията получават квалификация</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13821AA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014471A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39C8BB0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64BAFD1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748B431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1D9A12B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ACBC67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689F64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65BB132F" w14:textId="582CB4EE" w:rsidR="00B54C34" w:rsidRPr="007D063B" w:rsidRDefault="003120C7"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54DBCDC9" w14:textId="316EECE5"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3120C7" w:rsidRPr="007D063B">
              <w:rPr>
                <w:rFonts w:ascii="Times New Roman" w:eastAsia="Times New Roman" w:hAnsi="Times New Roman" w:cs="Times New Roman"/>
                <w:color w:val="000000"/>
                <w:sz w:val="24"/>
                <w:szCs w:val="24"/>
                <w:lang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0F727E7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669C0D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218DC3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5EC5F6F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6BA01D4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890D5F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676D00D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5BC5A35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818817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6F2BC74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7D883A0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E2796A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FCA883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17D864D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63A19B9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49DAE9F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6E4F6B9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77DF9A8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837437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tcPr>
          <w:p w14:paraId="5B242F21" w14:textId="58A1E96A"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52" w:type="dxa"/>
            <w:tcBorders>
              <w:top w:val="single" w:sz="6" w:space="0" w:color="000000"/>
              <w:left w:val="single" w:sz="6" w:space="0" w:color="000000"/>
              <w:bottom w:val="single" w:sz="6" w:space="0" w:color="000000"/>
              <w:right w:val="single" w:sz="6" w:space="0" w:color="000000"/>
            </w:tcBorders>
            <w:shd w:val="clear" w:color="auto" w:fill="FFFFFF"/>
          </w:tcPr>
          <w:p w14:paraId="1630EB58" w14:textId="2F46E8A0"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tcPr>
          <w:p w14:paraId="6DC14716" w14:textId="7ED2E4A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73983E24" w14:textId="77777777" w:rsidTr="007924E6">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32BB879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5F4E0466" w14:textId="77777777" w:rsidR="00B54C34" w:rsidRPr="007D063B" w:rsidRDefault="00B54C34"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които при напускане на операцията имат работа, включително като самостоятелно заети лица</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F0B94A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0A5264B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15EFAEF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2717AFF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52C7659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690FBD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3194FF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D1DF58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415FF482" w14:textId="1E69B40A" w:rsidR="00B54C34" w:rsidRPr="007D063B" w:rsidRDefault="003120C7"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1934043C" w14:textId="63F00290"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3120C7" w:rsidRPr="007D063B">
              <w:rPr>
                <w:rFonts w:ascii="Times New Roman" w:eastAsia="Times New Roman" w:hAnsi="Times New Roman" w:cs="Times New Roman"/>
                <w:color w:val="000000"/>
                <w:sz w:val="24"/>
                <w:szCs w:val="24"/>
                <w:lang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7B931F9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62F49E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F340F4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3B3B964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7801CAB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7CB621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507E030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0D46660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0C4EF8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7E254DA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7821E4E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758345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DDC91C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31D20EA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628A25A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68D3DFA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2337A49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28B1308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09FB3C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tcPr>
          <w:p w14:paraId="79C112D0" w14:textId="7B9B090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52" w:type="dxa"/>
            <w:tcBorders>
              <w:top w:val="single" w:sz="6" w:space="0" w:color="000000"/>
              <w:left w:val="single" w:sz="6" w:space="0" w:color="000000"/>
              <w:bottom w:val="single" w:sz="6" w:space="0" w:color="000000"/>
              <w:right w:val="single" w:sz="6" w:space="0" w:color="000000"/>
            </w:tcBorders>
            <w:shd w:val="clear" w:color="auto" w:fill="FFFFFF"/>
          </w:tcPr>
          <w:p w14:paraId="7EFBABDF" w14:textId="36D3B58F"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tcPr>
          <w:p w14:paraId="17FD8306" w14:textId="6FC9AD2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60E5F35A" w14:textId="77777777" w:rsidTr="007924E6">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3294D76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13193D41" w14:textId="77777777" w:rsidR="00B54C34" w:rsidRPr="007D063B" w:rsidRDefault="00B54C34"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в неравностойно положение, които при напускане на операцията са започнали да търсят работа, са ангажирани с образование/обучение, са получили квалификация, имат работа, включително като самостоятелно заети лица</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A4F931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69CBE20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4DAC0C1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5C59133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60421F2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63B231F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634F62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8D3187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555D99B1" w14:textId="34B8C7A4" w:rsidR="00B54C34" w:rsidRPr="007D063B" w:rsidRDefault="003120C7"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r w:rsidR="00B54C34"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02DDF1D9" w14:textId="2FCFAA6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3120C7" w:rsidRPr="007D063B">
              <w:rPr>
                <w:rFonts w:ascii="Times New Roman" w:eastAsia="Times New Roman" w:hAnsi="Times New Roman" w:cs="Times New Roman"/>
                <w:color w:val="000000"/>
                <w:sz w:val="24"/>
                <w:szCs w:val="24"/>
                <w:lang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1793BD7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9D766F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795736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3B78612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1433D40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35A1FF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5388C6C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413FADA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2F5607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5A839B8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05F2C7D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DE93A4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76C9D7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6CE1AD8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28CA0E7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6A990A7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0C34973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89A9E4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EB60C1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tcPr>
          <w:p w14:paraId="68F9A397" w14:textId="27047F7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52" w:type="dxa"/>
            <w:tcBorders>
              <w:top w:val="single" w:sz="6" w:space="0" w:color="000000"/>
              <w:left w:val="single" w:sz="6" w:space="0" w:color="000000"/>
              <w:bottom w:val="single" w:sz="6" w:space="0" w:color="000000"/>
              <w:right w:val="single" w:sz="6" w:space="0" w:color="000000"/>
            </w:tcBorders>
            <w:shd w:val="clear" w:color="auto" w:fill="FFFFFF"/>
          </w:tcPr>
          <w:p w14:paraId="4C05D9A1" w14:textId="3D2B582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tcPr>
          <w:p w14:paraId="177AE668" w14:textId="66C25AB5"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7CDC8A4D" w14:textId="77777777" w:rsidTr="007924E6">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70B5C02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079966B2" w14:textId="77777777" w:rsidR="00B54C34" w:rsidRPr="007D063B" w:rsidRDefault="00B54C34"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 xml:space="preserve">Участници, които в рамките на шест месеца след напускане на операцията </w:t>
            </w:r>
            <w:r w:rsidRPr="007D063B">
              <w:rPr>
                <w:rFonts w:ascii="Times New Roman" w:eastAsia="Times New Roman" w:hAnsi="Times New Roman" w:cs="Times New Roman"/>
                <w:b/>
                <w:i/>
                <w:iCs/>
                <w:color w:val="000000"/>
                <w:sz w:val="16"/>
                <w:szCs w:val="16"/>
                <w:lang w:eastAsia="bg-BG"/>
              </w:rPr>
              <w:lastRenderedPageBreak/>
              <w:t>имат работа, включително като самостоятелно заети лица</w:t>
            </w:r>
            <w:r w:rsidRPr="007D063B">
              <w:rPr>
                <w:rFonts w:ascii="Times New Roman" w:eastAsia="Times New Roman" w:hAnsi="Times New Roman" w:cs="Times New Roman"/>
                <w:b/>
                <w:color w:val="000000"/>
                <w:sz w:val="16"/>
                <w:szCs w:val="16"/>
                <w:lang w:eastAsia="bg-BG"/>
              </w:rPr>
              <w:t> </w:t>
            </w:r>
            <w:hyperlink r:id="rId46" w:anchor="ntr6-L_2015038BG.01007201-E0006" w:history="1">
              <w:r w:rsidRPr="007D063B">
                <w:rPr>
                  <w:rFonts w:ascii="Times New Roman" w:eastAsia="Times New Roman" w:hAnsi="Times New Roman" w:cs="Times New Roman"/>
                  <w:b/>
                  <w:color w:val="0000FF"/>
                  <w:sz w:val="16"/>
                  <w:szCs w:val="16"/>
                  <w:u w:val="single"/>
                  <w:lang w:eastAsia="bg-BG"/>
                </w:rPr>
                <w:t> (</w:t>
              </w:r>
              <w:r w:rsidRPr="007D063B">
                <w:rPr>
                  <w:rFonts w:ascii="Times New Roman" w:eastAsia="Times New Roman" w:hAnsi="Times New Roman" w:cs="Times New Roman"/>
                  <w:b/>
                  <w:color w:val="0000FF"/>
                  <w:sz w:val="16"/>
                  <w:szCs w:val="16"/>
                  <w:u w:val="single"/>
                  <w:vertAlign w:val="superscript"/>
                  <w:lang w:eastAsia="bg-BG"/>
                </w:rPr>
                <w:t>6</w:t>
              </w:r>
              <w:r w:rsidRPr="007D063B">
                <w:rPr>
                  <w:rFonts w:ascii="Times New Roman" w:eastAsia="Times New Roman" w:hAnsi="Times New Roman" w:cs="Times New Roman"/>
                  <w:b/>
                  <w:color w:val="0000FF"/>
                  <w:sz w:val="16"/>
                  <w:szCs w:val="16"/>
                  <w:u w:val="single"/>
                  <w:lang w:eastAsia="bg-BG"/>
                </w:rPr>
                <w:t>)</w:t>
              </w:r>
            </w:hyperlink>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23057BE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lastRenderedPageBreak/>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247014F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7AE0B70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19DA279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612E81F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03D731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076262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FA39C3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32AC93DE" w14:textId="003C2525" w:rsidR="00B54C34" w:rsidRPr="007D063B" w:rsidRDefault="003120C7"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21B173BB" w14:textId="099F2B8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3120C7" w:rsidRPr="007D063B">
              <w:rPr>
                <w:rFonts w:ascii="Times New Roman" w:eastAsia="Times New Roman" w:hAnsi="Times New Roman" w:cs="Times New Roman"/>
                <w:color w:val="000000"/>
                <w:sz w:val="24"/>
                <w:szCs w:val="24"/>
                <w:lang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2FB19CB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BD69CE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34F3EF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1230324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5E0664E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659D3D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2F21152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23366E6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A359C4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75B991E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6B20499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0B37ED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114FFD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6DA8258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66B5D73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690DFA9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85494F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FE343C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0CAB51A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tcPr>
          <w:p w14:paraId="23675366" w14:textId="491EB5A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52" w:type="dxa"/>
            <w:tcBorders>
              <w:top w:val="single" w:sz="6" w:space="0" w:color="000000"/>
              <w:left w:val="single" w:sz="6" w:space="0" w:color="000000"/>
              <w:bottom w:val="single" w:sz="6" w:space="0" w:color="000000"/>
              <w:right w:val="single" w:sz="6" w:space="0" w:color="000000"/>
            </w:tcBorders>
            <w:shd w:val="clear" w:color="auto" w:fill="FFFFFF"/>
          </w:tcPr>
          <w:p w14:paraId="4DF73596" w14:textId="1ADBEC9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tcPr>
          <w:p w14:paraId="1FCFAAEA" w14:textId="2099493D"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40626509" w14:textId="77777777" w:rsidTr="007924E6">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33B2AE2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68CEC8BB" w14:textId="77777777" w:rsidR="00B54C34" w:rsidRPr="007D063B" w:rsidRDefault="00B54C34"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чието положение на пазара на труда в рамките на шест месеца след напускане на операцията е по-добро</w:t>
            </w:r>
            <w:r w:rsidRPr="007D063B">
              <w:rPr>
                <w:rFonts w:ascii="Times New Roman" w:eastAsia="Times New Roman" w:hAnsi="Times New Roman" w:cs="Times New Roman"/>
                <w:b/>
                <w:color w:val="000000"/>
                <w:sz w:val="16"/>
                <w:szCs w:val="16"/>
                <w:lang w:eastAsia="bg-BG"/>
              </w:rPr>
              <w:t> </w:t>
            </w:r>
            <w:hyperlink r:id="rId47" w:anchor="ntr6-L_2015038BG.01007201-E0006" w:history="1">
              <w:r w:rsidRPr="007D063B">
                <w:rPr>
                  <w:rFonts w:ascii="Times New Roman" w:eastAsia="Times New Roman" w:hAnsi="Times New Roman" w:cs="Times New Roman"/>
                  <w:b/>
                  <w:color w:val="0000FF"/>
                  <w:sz w:val="16"/>
                  <w:szCs w:val="16"/>
                  <w:u w:val="single"/>
                  <w:lang w:eastAsia="bg-BG"/>
                </w:rPr>
                <w:t> (</w:t>
              </w:r>
              <w:r w:rsidRPr="007D063B">
                <w:rPr>
                  <w:rFonts w:ascii="Times New Roman" w:eastAsia="Times New Roman" w:hAnsi="Times New Roman" w:cs="Times New Roman"/>
                  <w:b/>
                  <w:color w:val="0000FF"/>
                  <w:sz w:val="16"/>
                  <w:szCs w:val="16"/>
                  <w:u w:val="single"/>
                  <w:vertAlign w:val="superscript"/>
                  <w:lang w:eastAsia="bg-BG"/>
                </w:rPr>
                <w:t>6</w:t>
              </w:r>
              <w:r w:rsidRPr="007D063B">
                <w:rPr>
                  <w:rFonts w:ascii="Times New Roman" w:eastAsia="Times New Roman" w:hAnsi="Times New Roman" w:cs="Times New Roman"/>
                  <w:b/>
                  <w:color w:val="0000FF"/>
                  <w:sz w:val="16"/>
                  <w:szCs w:val="16"/>
                  <w:u w:val="single"/>
                  <w:lang w:eastAsia="bg-BG"/>
                </w:rPr>
                <w:t>)</w:t>
              </w:r>
            </w:hyperlink>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FF7963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384B4FA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3C3B2A3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44D0099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7C0D2F8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20E6804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5D3087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BF8A8A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1D6BE0D2" w14:textId="3A558C05" w:rsidR="00B54C34" w:rsidRPr="007D063B" w:rsidRDefault="003120C7"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r w:rsidR="00B54C34"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4E9CA850" w14:textId="7EE97B92" w:rsidR="00B54C34" w:rsidRPr="007D063B" w:rsidRDefault="003120C7"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r w:rsidR="00B54C34" w:rsidRPr="007D063B">
              <w:rPr>
                <w:rFonts w:ascii="Times New Roman" w:eastAsia="Times New Roman" w:hAnsi="Times New Roman" w:cs="Times New Roman"/>
                <w:color w:val="000000"/>
                <w:sz w:val="24"/>
                <w:szCs w:val="24"/>
                <w:lang w:eastAsia="bg-BG"/>
              </w:rPr>
              <w:t> </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6AF1DE9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BF5961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78C73D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62448D0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7AE3B0B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C00496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020BFED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213CF1A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A0E475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50D3B8A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655F0B7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A48EF8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B194F6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050801F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1F3FB7D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6A7BC66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2976884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357BEA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1838D30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tcPr>
          <w:p w14:paraId="5703566E" w14:textId="339B7631"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52" w:type="dxa"/>
            <w:tcBorders>
              <w:top w:val="single" w:sz="6" w:space="0" w:color="000000"/>
              <w:left w:val="single" w:sz="6" w:space="0" w:color="000000"/>
              <w:bottom w:val="single" w:sz="6" w:space="0" w:color="000000"/>
              <w:right w:val="single" w:sz="6" w:space="0" w:color="000000"/>
            </w:tcBorders>
            <w:shd w:val="clear" w:color="auto" w:fill="FFFFFF"/>
          </w:tcPr>
          <w:p w14:paraId="361792FA" w14:textId="420F24DE"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tcPr>
          <w:p w14:paraId="416E5291" w14:textId="3B1673B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083CDBA2" w14:textId="77777777" w:rsidTr="007924E6">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19CAD46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15423301" w14:textId="77777777" w:rsidR="00B54C34" w:rsidRPr="007D063B" w:rsidRDefault="00B54C34"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на възраст над 54 години, които в рамките на шест месеца след напускане на операцията имат работа, включително като самостоятелно заети лица</w:t>
            </w:r>
            <w:r w:rsidRPr="007D063B">
              <w:rPr>
                <w:rFonts w:ascii="Times New Roman" w:eastAsia="Times New Roman" w:hAnsi="Times New Roman" w:cs="Times New Roman"/>
                <w:b/>
                <w:color w:val="000000"/>
                <w:sz w:val="16"/>
                <w:szCs w:val="16"/>
                <w:lang w:eastAsia="bg-BG"/>
              </w:rPr>
              <w:t> </w:t>
            </w:r>
            <w:hyperlink r:id="rId48" w:anchor="ntr6-L_2015038BG.01007201-E0006" w:history="1">
              <w:r w:rsidRPr="007D063B">
                <w:rPr>
                  <w:rFonts w:ascii="Times New Roman" w:eastAsia="Times New Roman" w:hAnsi="Times New Roman" w:cs="Times New Roman"/>
                  <w:b/>
                  <w:color w:val="0000FF"/>
                  <w:sz w:val="16"/>
                  <w:szCs w:val="16"/>
                  <w:u w:val="single"/>
                  <w:lang w:eastAsia="bg-BG"/>
                </w:rPr>
                <w:t> (</w:t>
              </w:r>
              <w:r w:rsidRPr="007D063B">
                <w:rPr>
                  <w:rFonts w:ascii="Times New Roman" w:eastAsia="Times New Roman" w:hAnsi="Times New Roman" w:cs="Times New Roman"/>
                  <w:b/>
                  <w:color w:val="0000FF"/>
                  <w:sz w:val="16"/>
                  <w:szCs w:val="16"/>
                  <w:u w:val="single"/>
                  <w:vertAlign w:val="superscript"/>
                  <w:lang w:eastAsia="bg-BG"/>
                </w:rPr>
                <w:t>6</w:t>
              </w:r>
              <w:r w:rsidRPr="007D063B">
                <w:rPr>
                  <w:rFonts w:ascii="Times New Roman" w:eastAsia="Times New Roman" w:hAnsi="Times New Roman" w:cs="Times New Roman"/>
                  <w:b/>
                  <w:color w:val="0000FF"/>
                  <w:sz w:val="16"/>
                  <w:szCs w:val="16"/>
                  <w:u w:val="single"/>
                  <w:lang w:eastAsia="bg-BG"/>
                </w:rPr>
                <w:t>)</w:t>
              </w:r>
            </w:hyperlink>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27AB75D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77D3C59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124F221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00DAD0A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65834E6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796417B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FEFB42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9DF3E2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0460D715" w14:textId="1A8061F5" w:rsidR="00B54C34" w:rsidRPr="007D063B" w:rsidRDefault="00B54C34" w:rsidP="00885F2F">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122803FE" w14:textId="6F11A33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3120C7" w:rsidRPr="007D063B">
              <w:rPr>
                <w:rFonts w:ascii="Times New Roman" w:eastAsia="Times New Roman" w:hAnsi="Times New Roman" w:cs="Times New Roman"/>
                <w:color w:val="000000"/>
                <w:sz w:val="24"/>
                <w:szCs w:val="24"/>
                <w:lang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242DE61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FDFD5E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91D831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1C3BCFF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3DA62E2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B45EFA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3506BC5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5E735E8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AFEE2A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6F49C03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7B5FC38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3DC680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98EF27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5BF87B9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66AB6C0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595C76F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B4D294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6A34E46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0A2A2C7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tcPr>
          <w:p w14:paraId="0EF79E4E" w14:textId="67623B2C"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52" w:type="dxa"/>
            <w:tcBorders>
              <w:top w:val="single" w:sz="6" w:space="0" w:color="000000"/>
              <w:left w:val="single" w:sz="6" w:space="0" w:color="000000"/>
              <w:bottom w:val="single" w:sz="6" w:space="0" w:color="000000"/>
              <w:right w:val="single" w:sz="6" w:space="0" w:color="000000"/>
            </w:tcBorders>
            <w:shd w:val="clear" w:color="auto" w:fill="FFFFFF"/>
          </w:tcPr>
          <w:p w14:paraId="4C80D31A" w14:textId="1029B159"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tcPr>
          <w:p w14:paraId="052F7234" w14:textId="56800A7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490F43B4" w14:textId="77777777" w:rsidTr="007924E6">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21C285C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3E941344" w14:textId="77777777" w:rsidR="00B54C34" w:rsidRPr="007D063B" w:rsidRDefault="00B54C34"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в неравностойно положение, които в рамките на шест месеца след напускане на операцията имат работа, включително като самостоятелно заети лица</w:t>
            </w:r>
            <w:r w:rsidRPr="007D063B">
              <w:rPr>
                <w:rFonts w:ascii="Times New Roman" w:eastAsia="Times New Roman" w:hAnsi="Times New Roman" w:cs="Times New Roman"/>
                <w:b/>
                <w:color w:val="000000"/>
                <w:sz w:val="16"/>
                <w:szCs w:val="16"/>
                <w:lang w:eastAsia="bg-BG"/>
              </w:rPr>
              <w:t> </w:t>
            </w:r>
            <w:hyperlink r:id="rId49" w:anchor="ntr6-L_2015038BG.01007201-E0006" w:history="1">
              <w:r w:rsidRPr="007D063B">
                <w:rPr>
                  <w:rFonts w:ascii="Times New Roman" w:eastAsia="Times New Roman" w:hAnsi="Times New Roman" w:cs="Times New Roman"/>
                  <w:b/>
                  <w:color w:val="0000FF"/>
                  <w:sz w:val="16"/>
                  <w:szCs w:val="16"/>
                  <w:u w:val="single"/>
                  <w:lang w:eastAsia="bg-BG"/>
                </w:rPr>
                <w:t> (</w:t>
              </w:r>
              <w:r w:rsidRPr="007D063B">
                <w:rPr>
                  <w:rFonts w:ascii="Times New Roman" w:eastAsia="Times New Roman" w:hAnsi="Times New Roman" w:cs="Times New Roman"/>
                  <w:b/>
                  <w:color w:val="0000FF"/>
                  <w:sz w:val="16"/>
                  <w:szCs w:val="16"/>
                  <w:u w:val="single"/>
                  <w:vertAlign w:val="superscript"/>
                  <w:lang w:eastAsia="bg-BG"/>
                </w:rPr>
                <w:t>6</w:t>
              </w:r>
              <w:r w:rsidRPr="007D063B">
                <w:rPr>
                  <w:rFonts w:ascii="Times New Roman" w:eastAsia="Times New Roman" w:hAnsi="Times New Roman" w:cs="Times New Roman"/>
                  <w:b/>
                  <w:color w:val="0000FF"/>
                  <w:sz w:val="16"/>
                  <w:szCs w:val="16"/>
                  <w:u w:val="single"/>
                  <w:lang w:eastAsia="bg-BG"/>
                </w:rPr>
                <w:t>)</w:t>
              </w:r>
            </w:hyperlink>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1B3F2F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7F7CD0B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725FADE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5BA07F2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373B6A4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7D687DC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CAE3BA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33308A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47DEBA3E" w14:textId="12AF67C6" w:rsidR="00B54C34" w:rsidRPr="007D063B" w:rsidRDefault="003120C7"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r w:rsidR="00B54C34"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469BA760" w14:textId="6E2CD4E5"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3120C7" w:rsidRPr="007D063B">
              <w:rPr>
                <w:rFonts w:ascii="Times New Roman" w:eastAsia="Times New Roman" w:hAnsi="Times New Roman" w:cs="Times New Roman"/>
                <w:color w:val="000000"/>
                <w:sz w:val="24"/>
                <w:szCs w:val="24"/>
                <w:lang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5C70F95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519AAC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4B8CAD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704B59D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15C1CFE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751286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0F87072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4A2B1F7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362009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11BCEF0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182AC17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B4D284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A10210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77CF406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64E6F18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0ACDC6B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134CB35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0089FE0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8E34D6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tcPr>
          <w:p w14:paraId="531E243E" w14:textId="091E74AA"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52" w:type="dxa"/>
            <w:tcBorders>
              <w:top w:val="single" w:sz="6" w:space="0" w:color="000000"/>
              <w:left w:val="single" w:sz="6" w:space="0" w:color="000000"/>
              <w:bottom w:val="single" w:sz="6" w:space="0" w:color="000000"/>
              <w:right w:val="single" w:sz="6" w:space="0" w:color="000000"/>
            </w:tcBorders>
            <w:shd w:val="clear" w:color="auto" w:fill="FFFFFF"/>
          </w:tcPr>
          <w:p w14:paraId="46613511" w14:textId="5390F81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tcPr>
          <w:p w14:paraId="1A3D9F26" w14:textId="6C6258AA"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bl>
    <w:p w14:paraId="69A5347E" w14:textId="77777777" w:rsidR="00B54C34" w:rsidRPr="007D063B" w:rsidRDefault="00B54C34" w:rsidP="00B54C34">
      <w:pPr>
        <w:shd w:val="clear" w:color="auto" w:fill="FFFFFF"/>
        <w:spacing w:before="120" w:after="120" w:line="240" w:lineRule="auto"/>
        <w:jc w:val="center"/>
        <w:rPr>
          <w:rFonts w:ascii="inherit" w:eastAsia="Times New Roman" w:hAnsi="inherit" w:cs="Times New Roman"/>
          <w:i/>
          <w:iCs/>
          <w:color w:val="000000"/>
          <w:sz w:val="24"/>
          <w:szCs w:val="24"/>
          <w:lang w:eastAsia="bg-BG"/>
        </w:rPr>
      </w:pPr>
    </w:p>
    <w:p w14:paraId="01DBB964" w14:textId="77777777" w:rsidR="00B54C34" w:rsidRPr="007D063B" w:rsidRDefault="00B54C34" w:rsidP="00421321">
      <w:pPr>
        <w:pStyle w:val="Heading3"/>
        <w:jc w:val="center"/>
        <w:rPr>
          <w:rFonts w:ascii="Times New Roman" w:eastAsia="Times New Roman" w:hAnsi="Times New Roman" w:cs="Times New Roman"/>
          <w:color w:val="000000"/>
          <w:lang w:eastAsia="bg-BG"/>
        </w:rPr>
      </w:pPr>
      <w:bookmarkStart w:id="24" w:name="_Toc481594285"/>
      <w:r w:rsidRPr="007D063B">
        <w:rPr>
          <w:rFonts w:ascii="inherit" w:eastAsia="Times New Roman" w:hAnsi="inherit" w:cs="Times New Roman"/>
          <w:i/>
          <w:iCs/>
          <w:color w:val="000000"/>
          <w:lang w:eastAsia="bg-BG"/>
        </w:rPr>
        <w:t>Таблица 2В</w:t>
      </w:r>
      <w:bookmarkEnd w:id="24"/>
    </w:p>
    <w:p w14:paraId="6563EF38" w14:textId="77777777" w:rsidR="00B54C34" w:rsidRPr="007D063B" w:rsidRDefault="00B54C34" w:rsidP="00B54C34">
      <w:pPr>
        <w:shd w:val="clear" w:color="auto" w:fill="FFFFFF"/>
        <w:spacing w:before="120" w:after="120" w:line="240" w:lineRule="auto"/>
        <w:jc w:val="center"/>
        <w:rPr>
          <w:rFonts w:ascii="Times New Roman" w:eastAsia="Times New Roman" w:hAnsi="Times New Roman" w:cs="Times New Roman"/>
          <w:color w:val="000000"/>
          <w:sz w:val="24"/>
          <w:szCs w:val="24"/>
          <w:lang w:eastAsia="bg-BG"/>
        </w:rPr>
      </w:pPr>
      <w:r w:rsidRPr="007D063B">
        <w:rPr>
          <w:rFonts w:ascii="inherit" w:eastAsia="Times New Roman" w:hAnsi="inherit" w:cs="Times New Roman"/>
          <w:b/>
          <w:bCs/>
          <w:color w:val="000000"/>
          <w:sz w:val="24"/>
          <w:szCs w:val="24"/>
          <w:lang w:eastAsia="bg-BG"/>
        </w:rPr>
        <w:t>Специфични за програмата показатели за резултатите за ЕСФ (по приоритетна ос, инвестиционен приоритет и по категория регион, когато е приложимо); прилага се също за приоритетната ос за техническа помощ</w:t>
      </w:r>
    </w:p>
    <w:p w14:paraId="45DD1289" w14:textId="77777777" w:rsidR="00B54C34" w:rsidRPr="007D063B" w:rsidRDefault="00B54C34" w:rsidP="00B54C34">
      <w:pPr>
        <w:shd w:val="clear" w:color="auto" w:fill="FFFFFF"/>
        <w:spacing w:before="120" w:after="120" w:line="240" w:lineRule="auto"/>
        <w:jc w:val="center"/>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lastRenderedPageBreak/>
        <w:t>(по отношение на ИМЗ и специфичните за програмата показатели за всяка приоритетна ос или част от нея, по която се предоставя подкрепа за ИМЗ, не се изисква разпределение по категория региони)</w:t>
      </w:r>
      <w:hyperlink r:id="rId50" w:anchor="ntr10-L_2015038BG.01007201-E0010" w:history="1">
        <w:r w:rsidRPr="007D063B">
          <w:rPr>
            <w:rFonts w:ascii="inherit" w:eastAsia="Times New Roman" w:hAnsi="inherit" w:cs="Times New Roman"/>
            <w:color w:val="0000FF"/>
            <w:sz w:val="24"/>
            <w:szCs w:val="24"/>
            <w:u w:val="single"/>
            <w:lang w:eastAsia="bg-BG"/>
          </w:rPr>
          <w:t> (</w:t>
        </w:r>
        <w:r w:rsidRPr="007D063B">
          <w:rPr>
            <w:rFonts w:ascii="inherit" w:eastAsia="Times New Roman" w:hAnsi="inherit" w:cs="Times New Roman"/>
            <w:color w:val="0000FF"/>
            <w:sz w:val="17"/>
            <w:szCs w:val="17"/>
            <w:u w:val="single"/>
            <w:vertAlign w:val="superscript"/>
            <w:lang w:eastAsia="bg-BG"/>
          </w:rPr>
          <w:t>10</w:t>
        </w:r>
        <w:r w:rsidRPr="007D063B">
          <w:rPr>
            <w:rFonts w:ascii="inherit" w:eastAsia="Times New Roman" w:hAnsi="inherit" w:cs="Times New Roman"/>
            <w:color w:val="0000FF"/>
            <w:sz w:val="24"/>
            <w:szCs w:val="24"/>
            <w:u w:val="single"/>
            <w:lang w:eastAsia="bg-BG"/>
          </w:rPr>
          <w:t>)</w:t>
        </w:r>
      </w:hyperlink>
    </w:p>
    <w:p w14:paraId="4D1CDE6C" w14:textId="77777777" w:rsidR="00B54C34" w:rsidRPr="007D063B" w:rsidRDefault="00B54C34" w:rsidP="00B54C34">
      <w:pPr>
        <w:shd w:val="clear" w:color="auto" w:fill="FFFFFF"/>
        <w:spacing w:before="120" w:after="0" w:line="240" w:lineRule="auto"/>
        <w:jc w:val="both"/>
        <w:rPr>
          <w:rFonts w:ascii="Times New Roman" w:eastAsia="Times New Roman" w:hAnsi="Times New Roman" w:cs="Times New Roman"/>
          <w:color w:val="000000"/>
          <w:sz w:val="24"/>
          <w:szCs w:val="24"/>
          <w:lang w:val="ru-RU" w:eastAsia="bg-BG"/>
        </w:rPr>
      </w:pPr>
      <w:r w:rsidRPr="007D063B">
        <w:rPr>
          <w:rFonts w:ascii="Times New Roman" w:eastAsia="Times New Roman" w:hAnsi="Times New Roman" w:cs="Times New Roman"/>
          <w:color w:val="000000"/>
          <w:sz w:val="24"/>
          <w:szCs w:val="24"/>
          <w:lang w:eastAsia="bg-BG"/>
        </w:rPr>
        <w:t>Инвестиционен приоритет:</w:t>
      </w:r>
      <w:r w:rsidRPr="007D063B">
        <w:rPr>
          <w:rFonts w:ascii="Times New Roman" w:eastAsia="Times New Roman" w:hAnsi="Times New Roman" w:cs="Times New Roman"/>
          <w:color w:val="000000"/>
          <w:sz w:val="24"/>
          <w:szCs w:val="24"/>
          <w:lang w:val="ru-RU" w:eastAsia="bg-BG"/>
        </w:rPr>
        <w:t xml:space="preserve"> </w:t>
      </w:r>
    </w:p>
    <w:p w14:paraId="678DA81A" w14:textId="77777777" w:rsidR="00B54C34" w:rsidRPr="007D063B" w:rsidRDefault="00B54C34" w:rsidP="00B54C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xml:space="preserve">Инвестиционен приоритет № 11 </w:t>
      </w:r>
      <w:r w:rsidRPr="007D063B">
        <w:rPr>
          <w:rFonts w:ascii="Times New Roman" w:eastAsia="Times New Roman" w:hAnsi="Times New Roman" w:cs="Times New Roman"/>
          <w:color w:val="000000"/>
          <w:sz w:val="24"/>
          <w:szCs w:val="24"/>
          <w:lang w:val="en-US" w:eastAsia="bg-BG"/>
        </w:rPr>
        <w:t>i</w:t>
      </w:r>
      <w:r w:rsidRPr="007D063B">
        <w:rPr>
          <w:rFonts w:ascii="Times New Roman" w:eastAsia="Times New Roman" w:hAnsi="Times New Roman" w:cs="Times New Roman"/>
          <w:color w:val="000000"/>
          <w:sz w:val="24"/>
          <w:szCs w:val="24"/>
          <w:lang w:eastAsia="bg-BG"/>
        </w:rPr>
        <w:t>: Инвестиции в институционален капацитет и в ефикасността на публичните администрации и публичните услуги на национално, регионално и местно равнище с цел осъществяването на реформи и постигането на по-добро регулиране и добро управление</w:t>
      </w:r>
    </w:p>
    <w:p w14:paraId="4076E99A" w14:textId="77777777" w:rsidR="00B54C34" w:rsidRPr="007D063B" w:rsidRDefault="00B54C34" w:rsidP="00B54C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Категория регион: По-слабо развити региони</w:t>
      </w:r>
    </w:p>
    <w:tbl>
      <w:tblPr>
        <w:tblW w:w="5008" w:type="pct"/>
        <w:jc w:val="center"/>
        <w:tblCellSpacing w:w="0"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left w:w="0" w:type="dxa"/>
          <w:right w:w="0" w:type="dxa"/>
        </w:tblCellMar>
        <w:tblLook w:val="04A0" w:firstRow="1" w:lastRow="0" w:firstColumn="1" w:lastColumn="0" w:noHBand="0" w:noVBand="1"/>
      </w:tblPr>
      <w:tblGrid>
        <w:gridCol w:w="556"/>
        <w:gridCol w:w="1697"/>
        <w:gridCol w:w="606"/>
        <w:gridCol w:w="832"/>
        <w:gridCol w:w="540"/>
        <w:gridCol w:w="568"/>
        <w:gridCol w:w="849"/>
        <w:gridCol w:w="427"/>
        <w:gridCol w:w="486"/>
        <w:gridCol w:w="211"/>
        <w:gridCol w:w="214"/>
        <w:gridCol w:w="233"/>
        <w:gridCol w:w="211"/>
        <w:gridCol w:w="214"/>
        <w:gridCol w:w="233"/>
        <w:gridCol w:w="211"/>
        <w:gridCol w:w="214"/>
        <w:gridCol w:w="233"/>
        <w:gridCol w:w="211"/>
        <w:gridCol w:w="214"/>
        <w:gridCol w:w="233"/>
        <w:gridCol w:w="211"/>
        <w:gridCol w:w="214"/>
        <w:gridCol w:w="233"/>
        <w:gridCol w:w="211"/>
        <w:gridCol w:w="214"/>
        <w:gridCol w:w="233"/>
        <w:gridCol w:w="211"/>
        <w:gridCol w:w="214"/>
        <w:gridCol w:w="233"/>
        <w:gridCol w:w="211"/>
        <w:gridCol w:w="214"/>
        <w:gridCol w:w="233"/>
        <w:gridCol w:w="211"/>
        <w:gridCol w:w="214"/>
        <w:gridCol w:w="233"/>
        <w:gridCol w:w="211"/>
        <w:gridCol w:w="214"/>
        <w:gridCol w:w="166"/>
        <w:gridCol w:w="278"/>
        <w:gridCol w:w="51"/>
        <w:gridCol w:w="34"/>
        <w:gridCol w:w="17"/>
        <w:gridCol w:w="461"/>
        <w:gridCol w:w="31"/>
        <w:gridCol w:w="20"/>
        <w:gridCol w:w="90"/>
      </w:tblGrid>
      <w:tr w:rsidR="00CF0E28" w:rsidRPr="007D063B" w14:paraId="70751019" w14:textId="77777777" w:rsidTr="005A1442">
        <w:trPr>
          <w:tblCellSpacing w:w="0" w:type="dxa"/>
          <w:jc w:val="center"/>
        </w:trPr>
        <w:tc>
          <w:tcPr>
            <w:tcW w:w="198" w:type="pct"/>
            <w:tcBorders>
              <w:top w:val="single" w:sz="6" w:space="0" w:color="000000"/>
              <w:left w:val="single" w:sz="6" w:space="0" w:color="000000"/>
              <w:bottom w:val="single" w:sz="6" w:space="0" w:color="000000"/>
              <w:right w:val="single" w:sz="6" w:space="0" w:color="000000"/>
            </w:tcBorders>
            <w:shd w:val="clear" w:color="auto" w:fill="FFFFFF"/>
            <w:hideMark/>
          </w:tcPr>
          <w:p w14:paraId="2CEC91F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Идентификация</w:t>
            </w:r>
          </w:p>
        </w:tc>
        <w:tc>
          <w:tcPr>
            <w:tcW w:w="604" w:type="pct"/>
            <w:tcBorders>
              <w:top w:val="single" w:sz="6" w:space="0" w:color="000000"/>
              <w:left w:val="single" w:sz="6" w:space="0" w:color="000000"/>
              <w:bottom w:val="single" w:sz="6" w:space="0" w:color="000000"/>
              <w:right w:val="single" w:sz="6" w:space="0" w:color="000000"/>
            </w:tcBorders>
            <w:shd w:val="clear" w:color="auto" w:fill="FFFFFF"/>
            <w:hideMark/>
          </w:tcPr>
          <w:p w14:paraId="0AA85C1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Показател</w:t>
            </w:r>
          </w:p>
        </w:tc>
        <w:tc>
          <w:tcPr>
            <w:tcW w:w="216" w:type="pct"/>
            <w:tcBorders>
              <w:top w:val="single" w:sz="6" w:space="0" w:color="000000"/>
              <w:left w:val="single" w:sz="6" w:space="0" w:color="000000"/>
              <w:bottom w:val="single" w:sz="6" w:space="0" w:color="000000"/>
              <w:right w:val="single" w:sz="6" w:space="0" w:color="000000"/>
            </w:tcBorders>
            <w:shd w:val="clear" w:color="auto" w:fill="FFFFFF"/>
            <w:hideMark/>
          </w:tcPr>
          <w:p w14:paraId="77E2A4E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ЕСФ/ИМЗ</w:t>
            </w:r>
          </w:p>
        </w:tc>
        <w:tc>
          <w:tcPr>
            <w:tcW w:w="296" w:type="pct"/>
            <w:tcBorders>
              <w:top w:val="single" w:sz="6" w:space="0" w:color="000000"/>
              <w:left w:val="single" w:sz="6" w:space="0" w:color="000000"/>
              <w:bottom w:val="single" w:sz="6" w:space="0" w:color="000000"/>
              <w:right w:val="single" w:sz="6" w:space="0" w:color="000000"/>
            </w:tcBorders>
            <w:shd w:val="clear" w:color="auto" w:fill="FFFFFF"/>
            <w:hideMark/>
          </w:tcPr>
          <w:p w14:paraId="4CDCAF4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Категория региони (когато е уместно)</w:t>
            </w:r>
          </w:p>
        </w:tc>
        <w:tc>
          <w:tcPr>
            <w:tcW w:w="192" w:type="pct"/>
            <w:tcBorders>
              <w:top w:val="single" w:sz="6" w:space="0" w:color="000000"/>
              <w:left w:val="single" w:sz="6" w:space="0" w:color="000000"/>
              <w:bottom w:val="single" w:sz="6" w:space="0" w:color="000000"/>
              <w:right w:val="single" w:sz="6" w:space="0" w:color="000000"/>
            </w:tcBorders>
            <w:shd w:val="clear" w:color="auto" w:fill="FFFFFF"/>
            <w:hideMark/>
          </w:tcPr>
          <w:p w14:paraId="493DC2D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Мерна единица за показател</w:t>
            </w:r>
          </w:p>
        </w:tc>
        <w:tc>
          <w:tcPr>
            <w:tcW w:w="202" w:type="pct"/>
            <w:tcBorders>
              <w:top w:val="single" w:sz="6" w:space="0" w:color="000000"/>
              <w:left w:val="single" w:sz="6" w:space="0" w:color="000000"/>
              <w:bottom w:val="single" w:sz="6" w:space="0" w:color="000000"/>
              <w:right w:val="single" w:sz="6" w:space="0" w:color="000000"/>
            </w:tcBorders>
            <w:shd w:val="clear" w:color="auto" w:fill="FFFFFF"/>
            <w:hideMark/>
          </w:tcPr>
          <w:p w14:paraId="616774F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Мерна единица за базовата и целевата стойност</w:t>
            </w:r>
          </w:p>
        </w:tc>
        <w:tc>
          <w:tcPr>
            <w:tcW w:w="627"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8FFD61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Целева стойност (2023 г.)</w:t>
            </w: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9C420F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2014</w:t>
            </w: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430A46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2015</w:t>
            </w: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920D27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2016</w:t>
            </w: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B38375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2017</w:t>
            </w: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6B0D3E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2018</w:t>
            </w: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8BE657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2019</w:t>
            </w: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B485010" w14:textId="77777777" w:rsidR="00B54C34" w:rsidRPr="007D063B" w:rsidRDefault="00B54C34" w:rsidP="00450FF1">
            <w:pPr>
              <w:spacing w:before="60" w:after="60" w:line="240" w:lineRule="auto"/>
              <w:ind w:right="195"/>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2020</w:t>
            </w: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03465FC" w14:textId="77777777" w:rsidR="00B54C34" w:rsidRPr="007D063B" w:rsidRDefault="00B54C34" w:rsidP="00450FF1">
            <w:pPr>
              <w:spacing w:before="60" w:after="60" w:line="240" w:lineRule="auto"/>
              <w:ind w:right="195"/>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2021</w:t>
            </w: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53924E1" w14:textId="77777777" w:rsidR="00B54C34" w:rsidRPr="007D063B" w:rsidRDefault="00B54C34" w:rsidP="00450FF1">
            <w:pPr>
              <w:spacing w:before="60" w:after="60" w:line="240" w:lineRule="auto"/>
              <w:ind w:right="195"/>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2022</w:t>
            </w:r>
          </w:p>
        </w:tc>
        <w:tc>
          <w:tcPr>
            <w:tcW w:w="209"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C488548" w14:textId="77777777" w:rsidR="00B54C34" w:rsidRPr="007D063B" w:rsidRDefault="00B54C34" w:rsidP="00450FF1">
            <w:pPr>
              <w:spacing w:before="60" w:after="60" w:line="240" w:lineRule="auto"/>
              <w:ind w:right="195"/>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2023</w:t>
            </w:r>
          </w:p>
        </w:tc>
        <w:tc>
          <w:tcPr>
            <w:tcW w:w="129"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52E082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1" w:type="pct"/>
            <w:gridSpan w:val="5"/>
            <w:tcBorders>
              <w:top w:val="single" w:sz="6" w:space="0" w:color="000000"/>
              <w:left w:val="single" w:sz="6" w:space="0" w:color="000000"/>
              <w:bottom w:val="single" w:sz="6" w:space="0" w:color="000000"/>
              <w:right w:val="single" w:sz="6" w:space="0" w:color="000000"/>
            </w:tcBorders>
            <w:shd w:val="clear" w:color="auto" w:fill="FFFFFF"/>
            <w:hideMark/>
          </w:tcPr>
          <w:p w14:paraId="21FC8B34" w14:textId="77777777" w:rsidR="00B54C34" w:rsidRPr="007D063B" w:rsidRDefault="00B54C34" w:rsidP="00450FF1">
            <w:pPr>
              <w:spacing w:before="60" w:after="60" w:line="240" w:lineRule="auto"/>
              <w:ind w:right="195"/>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Съотношение на постиженията</w:t>
            </w:r>
          </w:p>
        </w:tc>
      </w:tr>
      <w:tr w:rsidR="00B54C34" w:rsidRPr="007D063B" w14:paraId="55DF091F" w14:textId="77777777" w:rsidTr="005A1442">
        <w:trPr>
          <w:tblCellSpacing w:w="0" w:type="dxa"/>
          <w:jc w:val="center"/>
        </w:trPr>
        <w:tc>
          <w:tcPr>
            <w:tcW w:w="2334" w:type="pct"/>
            <w:gridSpan w:val="9"/>
            <w:tcBorders>
              <w:top w:val="single" w:sz="6" w:space="0" w:color="000000"/>
              <w:left w:val="single" w:sz="6" w:space="0" w:color="000000"/>
              <w:bottom w:val="single" w:sz="6" w:space="0" w:color="000000"/>
              <w:right w:val="single" w:sz="6" w:space="0" w:color="000000"/>
            </w:tcBorders>
            <w:shd w:val="clear" w:color="auto" w:fill="FFFFFF"/>
            <w:hideMark/>
          </w:tcPr>
          <w:p w14:paraId="04B4CEF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16" w:type="pct"/>
            <w:gridSpan w:val="30"/>
            <w:tcBorders>
              <w:top w:val="single" w:sz="6" w:space="0" w:color="000000"/>
              <w:left w:val="single" w:sz="6" w:space="0" w:color="000000"/>
              <w:bottom w:val="single" w:sz="6" w:space="0" w:color="000000"/>
              <w:right w:val="single" w:sz="6" w:space="0" w:color="000000"/>
            </w:tcBorders>
            <w:shd w:val="clear" w:color="auto" w:fill="FFFFFF"/>
            <w:hideMark/>
          </w:tcPr>
          <w:p w14:paraId="27755D6F" w14:textId="77777777" w:rsidR="00B54C34" w:rsidRPr="007D063B" w:rsidRDefault="00B54C34" w:rsidP="00450FF1">
            <w:pPr>
              <w:spacing w:before="60" w:after="6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Годишна стойност</w:t>
            </w:r>
          </w:p>
        </w:tc>
        <w:tc>
          <w:tcPr>
            <w:tcW w:w="129"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C8E348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1" w:type="pct"/>
            <w:gridSpan w:val="5"/>
            <w:tcBorders>
              <w:top w:val="single" w:sz="6" w:space="0" w:color="000000"/>
              <w:left w:val="single" w:sz="6" w:space="0" w:color="000000"/>
              <w:bottom w:val="single" w:sz="6" w:space="0" w:color="000000"/>
              <w:right w:val="single" w:sz="6" w:space="0" w:color="000000"/>
            </w:tcBorders>
            <w:shd w:val="clear" w:color="auto" w:fill="FFFFFF"/>
            <w:hideMark/>
          </w:tcPr>
          <w:p w14:paraId="56820AA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CF0E28" w:rsidRPr="007D063B" w14:paraId="14C434E5" w14:textId="77777777" w:rsidTr="005A1442">
        <w:trPr>
          <w:tblCellSpacing w:w="0" w:type="dxa"/>
          <w:jc w:val="center"/>
        </w:trPr>
        <w:tc>
          <w:tcPr>
            <w:tcW w:w="198" w:type="pct"/>
            <w:tcBorders>
              <w:top w:val="single" w:sz="6" w:space="0" w:color="000000"/>
              <w:left w:val="single" w:sz="6" w:space="0" w:color="000000"/>
              <w:bottom w:val="single" w:sz="6" w:space="0" w:color="000000"/>
              <w:right w:val="single" w:sz="6" w:space="0" w:color="000000"/>
            </w:tcBorders>
            <w:shd w:val="clear" w:color="auto" w:fill="FFFFFF"/>
            <w:hideMark/>
          </w:tcPr>
          <w:p w14:paraId="686DD86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04" w:type="pct"/>
            <w:tcBorders>
              <w:top w:val="single" w:sz="6" w:space="0" w:color="000000"/>
              <w:left w:val="single" w:sz="6" w:space="0" w:color="000000"/>
              <w:bottom w:val="single" w:sz="6" w:space="0" w:color="000000"/>
              <w:right w:val="single" w:sz="6" w:space="0" w:color="000000"/>
            </w:tcBorders>
            <w:shd w:val="clear" w:color="auto" w:fill="FFFFFF"/>
            <w:hideMark/>
          </w:tcPr>
          <w:p w14:paraId="5913E81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16" w:type="pct"/>
            <w:tcBorders>
              <w:top w:val="single" w:sz="6" w:space="0" w:color="000000"/>
              <w:left w:val="single" w:sz="6" w:space="0" w:color="000000"/>
              <w:bottom w:val="single" w:sz="6" w:space="0" w:color="000000"/>
              <w:right w:val="single" w:sz="6" w:space="0" w:color="000000"/>
            </w:tcBorders>
            <w:shd w:val="clear" w:color="auto" w:fill="FFFFFF"/>
            <w:hideMark/>
          </w:tcPr>
          <w:p w14:paraId="6BBACFA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96" w:type="pct"/>
            <w:tcBorders>
              <w:top w:val="single" w:sz="6" w:space="0" w:color="000000"/>
              <w:left w:val="single" w:sz="6" w:space="0" w:color="000000"/>
              <w:bottom w:val="single" w:sz="6" w:space="0" w:color="000000"/>
              <w:right w:val="single" w:sz="6" w:space="0" w:color="000000"/>
            </w:tcBorders>
            <w:shd w:val="clear" w:color="auto" w:fill="FFFFFF"/>
            <w:hideMark/>
          </w:tcPr>
          <w:p w14:paraId="78BD470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2" w:type="pct"/>
            <w:tcBorders>
              <w:top w:val="single" w:sz="6" w:space="0" w:color="000000"/>
              <w:left w:val="single" w:sz="6" w:space="0" w:color="000000"/>
              <w:bottom w:val="single" w:sz="6" w:space="0" w:color="000000"/>
              <w:right w:val="single" w:sz="6" w:space="0" w:color="000000"/>
            </w:tcBorders>
            <w:shd w:val="clear" w:color="auto" w:fill="FFFFFF"/>
            <w:hideMark/>
          </w:tcPr>
          <w:p w14:paraId="105BDB0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02" w:type="pct"/>
            <w:tcBorders>
              <w:top w:val="single" w:sz="6" w:space="0" w:color="000000"/>
              <w:left w:val="single" w:sz="6" w:space="0" w:color="000000"/>
              <w:bottom w:val="single" w:sz="6" w:space="0" w:color="000000"/>
              <w:right w:val="single" w:sz="6" w:space="0" w:color="000000"/>
            </w:tcBorders>
            <w:shd w:val="clear" w:color="auto" w:fill="FFFFFF"/>
            <w:hideMark/>
          </w:tcPr>
          <w:p w14:paraId="2EED4CA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27"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0A3026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8A011C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FD7738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779147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B13A33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B69BB2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23E24F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51C97A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4F2DAE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4"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3C4A5D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09"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A1BCFE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29"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8028DE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1" w:type="pct"/>
            <w:gridSpan w:val="5"/>
            <w:tcBorders>
              <w:top w:val="single" w:sz="6" w:space="0" w:color="000000"/>
              <w:left w:val="single" w:sz="6" w:space="0" w:color="000000"/>
              <w:bottom w:val="single" w:sz="6" w:space="0" w:color="000000"/>
              <w:right w:val="single" w:sz="6" w:space="0" w:color="000000"/>
            </w:tcBorders>
            <w:shd w:val="clear" w:color="auto" w:fill="FFFFFF"/>
            <w:hideMark/>
          </w:tcPr>
          <w:p w14:paraId="7509D1D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24458801" w14:textId="77777777" w:rsidTr="005A1442">
        <w:tblPrEx>
          <w:tblBorders>
            <w:top w:val="single" w:sz="2" w:space="0" w:color="000000"/>
            <w:left w:val="single" w:sz="2" w:space="0" w:color="000000"/>
            <w:bottom w:val="single" w:sz="2" w:space="0" w:color="000000"/>
            <w:right w:val="single" w:sz="2" w:space="0" w:color="000000"/>
          </w:tblBorders>
        </w:tblPrEx>
        <w:trPr>
          <w:tblCellSpacing w:w="0" w:type="dxa"/>
          <w:jc w:val="center"/>
        </w:trPr>
        <w:tc>
          <w:tcPr>
            <w:tcW w:w="198" w:type="pct"/>
            <w:tcBorders>
              <w:top w:val="single" w:sz="2" w:space="0" w:color="000000"/>
              <w:left w:val="single" w:sz="2" w:space="0" w:color="000000"/>
              <w:bottom w:val="single" w:sz="2" w:space="0" w:color="000000"/>
              <w:right w:val="single" w:sz="2" w:space="0" w:color="000000"/>
            </w:tcBorders>
            <w:shd w:val="clear" w:color="auto" w:fill="FFFFFF"/>
            <w:hideMark/>
          </w:tcPr>
          <w:p w14:paraId="1253D01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04" w:type="pct"/>
            <w:tcBorders>
              <w:top w:val="single" w:sz="2" w:space="0" w:color="000000"/>
              <w:left w:val="single" w:sz="2" w:space="0" w:color="000000"/>
              <w:bottom w:val="single" w:sz="2" w:space="0" w:color="000000"/>
              <w:right w:val="single" w:sz="2" w:space="0" w:color="000000"/>
            </w:tcBorders>
            <w:shd w:val="clear" w:color="auto" w:fill="FFFFFF"/>
            <w:hideMark/>
          </w:tcPr>
          <w:p w14:paraId="346229C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16" w:type="pct"/>
            <w:tcBorders>
              <w:top w:val="single" w:sz="2" w:space="0" w:color="000000"/>
              <w:left w:val="single" w:sz="2" w:space="0" w:color="000000"/>
              <w:bottom w:val="single" w:sz="2" w:space="0" w:color="000000"/>
              <w:right w:val="single" w:sz="2" w:space="0" w:color="000000"/>
            </w:tcBorders>
            <w:shd w:val="clear" w:color="auto" w:fill="FFFFFF"/>
            <w:hideMark/>
          </w:tcPr>
          <w:p w14:paraId="34EA0FC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96" w:type="pct"/>
            <w:tcBorders>
              <w:top w:val="single" w:sz="2" w:space="0" w:color="000000"/>
              <w:left w:val="single" w:sz="2" w:space="0" w:color="000000"/>
              <w:bottom w:val="single" w:sz="2" w:space="0" w:color="000000"/>
              <w:right w:val="single" w:sz="2" w:space="0" w:color="000000"/>
            </w:tcBorders>
            <w:shd w:val="clear" w:color="auto" w:fill="FFFFFF"/>
            <w:hideMark/>
          </w:tcPr>
          <w:p w14:paraId="126B7C7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2" w:type="pct"/>
            <w:tcBorders>
              <w:top w:val="single" w:sz="2" w:space="0" w:color="000000"/>
              <w:left w:val="single" w:sz="2" w:space="0" w:color="000000"/>
              <w:bottom w:val="single" w:sz="2" w:space="0" w:color="000000"/>
              <w:right w:val="single" w:sz="2" w:space="0" w:color="000000"/>
            </w:tcBorders>
            <w:shd w:val="clear" w:color="auto" w:fill="FFFFFF"/>
            <w:hideMark/>
          </w:tcPr>
          <w:p w14:paraId="4092A5C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02" w:type="pct"/>
            <w:tcBorders>
              <w:top w:val="single" w:sz="2" w:space="0" w:color="000000"/>
              <w:left w:val="single" w:sz="2" w:space="0" w:color="000000"/>
              <w:bottom w:val="single" w:sz="2" w:space="0" w:color="000000"/>
              <w:right w:val="single" w:sz="2" w:space="0" w:color="000000"/>
            </w:tcBorders>
            <w:shd w:val="clear" w:color="auto" w:fill="FFFFFF"/>
            <w:hideMark/>
          </w:tcPr>
          <w:p w14:paraId="54EF17F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02" w:type="pct"/>
            <w:tcBorders>
              <w:top w:val="single" w:sz="2" w:space="0" w:color="000000"/>
              <w:left w:val="single" w:sz="2" w:space="0" w:color="000000"/>
              <w:bottom w:val="single" w:sz="2" w:space="0" w:color="000000"/>
              <w:right w:val="single" w:sz="2" w:space="0" w:color="000000"/>
            </w:tcBorders>
            <w:shd w:val="clear" w:color="auto" w:fill="FFFFFF"/>
            <w:hideMark/>
          </w:tcPr>
          <w:p w14:paraId="73763F0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152" w:type="pct"/>
            <w:tcBorders>
              <w:top w:val="single" w:sz="2" w:space="0" w:color="000000"/>
              <w:left w:val="single" w:sz="2" w:space="0" w:color="000000"/>
              <w:bottom w:val="single" w:sz="2" w:space="0" w:color="000000"/>
              <w:right w:val="single" w:sz="2" w:space="0" w:color="000000"/>
            </w:tcBorders>
            <w:shd w:val="clear" w:color="auto" w:fill="FFFFFF"/>
            <w:hideMark/>
          </w:tcPr>
          <w:p w14:paraId="1A5DF95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73" w:type="pct"/>
            <w:tcBorders>
              <w:top w:val="single" w:sz="2" w:space="0" w:color="000000"/>
              <w:left w:val="single" w:sz="2" w:space="0" w:color="000000"/>
              <w:bottom w:val="single" w:sz="2" w:space="0" w:color="000000"/>
              <w:right w:val="single" w:sz="2" w:space="0" w:color="000000"/>
            </w:tcBorders>
            <w:shd w:val="clear" w:color="auto" w:fill="FFFFFF"/>
            <w:hideMark/>
          </w:tcPr>
          <w:p w14:paraId="2234599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75" w:type="pct"/>
            <w:tcBorders>
              <w:top w:val="single" w:sz="2" w:space="0" w:color="000000"/>
              <w:left w:val="single" w:sz="2" w:space="0" w:color="000000"/>
              <w:bottom w:val="single" w:sz="2" w:space="0" w:color="000000"/>
              <w:right w:val="single" w:sz="2" w:space="0" w:color="000000"/>
            </w:tcBorders>
            <w:shd w:val="clear" w:color="auto" w:fill="FFFFFF"/>
            <w:hideMark/>
          </w:tcPr>
          <w:p w14:paraId="4D5E233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76" w:type="pct"/>
            <w:tcBorders>
              <w:top w:val="single" w:sz="2" w:space="0" w:color="000000"/>
              <w:left w:val="single" w:sz="2" w:space="0" w:color="000000"/>
              <w:bottom w:val="single" w:sz="2" w:space="0" w:color="000000"/>
              <w:right w:val="single" w:sz="2" w:space="0" w:color="000000"/>
            </w:tcBorders>
            <w:shd w:val="clear" w:color="auto" w:fill="FFFFFF"/>
            <w:hideMark/>
          </w:tcPr>
          <w:p w14:paraId="2F7AC12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83" w:type="pct"/>
            <w:tcBorders>
              <w:top w:val="single" w:sz="2" w:space="0" w:color="000000"/>
              <w:left w:val="single" w:sz="2" w:space="0" w:color="000000"/>
              <w:bottom w:val="single" w:sz="2" w:space="0" w:color="000000"/>
              <w:right w:val="single" w:sz="2" w:space="0" w:color="000000"/>
            </w:tcBorders>
            <w:shd w:val="clear" w:color="auto" w:fill="FFFFFF"/>
            <w:hideMark/>
          </w:tcPr>
          <w:p w14:paraId="13503DB9"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75" w:type="pct"/>
            <w:tcBorders>
              <w:top w:val="single" w:sz="2" w:space="0" w:color="000000"/>
              <w:left w:val="single" w:sz="2" w:space="0" w:color="000000"/>
              <w:bottom w:val="single" w:sz="2" w:space="0" w:color="000000"/>
              <w:right w:val="single" w:sz="2" w:space="0" w:color="000000"/>
            </w:tcBorders>
            <w:shd w:val="clear" w:color="auto" w:fill="FFFFFF"/>
            <w:hideMark/>
          </w:tcPr>
          <w:p w14:paraId="085CAC2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76" w:type="pct"/>
            <w:tcBorders>
              <w:top w:val="single" w:sz="2" w:space="0" w:color="000000"/>
              <w:left w:val="single" w:sz="2" w:space="0" w:color="000000"/>
              <w:bottom w:val="single" w:sz="2" w:space="0" w:color="000000"/>
              <w:right w:val="single" w:sz="2" w:space="0" w:color="000000"/>
            </w:tcBorders>
            <w:shd w:val="clear" w:color="auto" w:fill="FFFFFF"/>
            <w:hideMark/>
          </w:tcPr>
          <w:p w14:paraId="66458572"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83" w:type="pct"/>
            <w:tcBorders>
              <w:top w:val="single" w:sz="2" w:space="0" w:color="000000"/>
              <w:left w:val="single" w:sz="2" w:space="0" w:color="000000"/>
              <w:bottom w:val="single" w:sz="2" w:space="0" w:color="000000"/>
              <w:right w:val="single" w:sz="2" w:space="0" w:color="000000"/>
            </w:tcBorders>
            <w:shd w:val="clear" w:color="auto" w:fill="FFFFFF"/>
            <w:hideMark/>
          </w:tcPr>
          <w:p w14:paraId="141D5D7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75" w:type="pct"/>
            <w:tcBorders>
              <w:top w:val="single" w:sz="2" w:space="0" w:color="000000"/>
              <w:left w:val="single" w:sz="2" w:space="0" w:color="000000"/>
              <w:bottom w:val="single" w:sz="2" w:space="0" w:color="000000"/>
              <w:right w:val="single" w:sz="2" w:space="0" w:color="000000"/>
            </w:tcBorders>
            <w:shd w:val="clear" w:color="auto" w:fill="FFFFFF"/>
            <w:hideMark/>
          </w:tcPr>
          <w:p w14:paraId="4597DCD9"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76" w:type="pct"/>
            <w:tcBorders>
              <w:top w:val="single" w:sz="2" w:space="0" w:color="000000"/>
              <w:left w:val="single" w:sz="2" w:space="0" w:color="000000"/>
              <w:bottom w:val="single" w:sz="2" w:space="0" w:color="000000"/>
              <w:right w:val="single" w:sz="2" w:space="0" w:color="000000"/>
            </w:tcBorders>
            <w:shd w:val="clear" w:color="auto" w:fill="FFFFFF"/>
            <w:hideMark/>
          </w:tcPr>
          <w:p w14:paraId="6E004E4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83" w:type="pct"/>
            <w:tcBorders>
              <w:top w:val="single" w:sz="2" w:space="0" w:color="000000"/>
              <w:left w:val="single" w:sz="2" w:space="0" w:color="000000"/>
              <w:bottom w:val="single" w:sz="2" w:space="0" w:color="000000"/>
              <w:right w:val="single" w:sz="2" w:space="0" w:color="000000"/>
            </w:tcBorders>
            <w:shd w:val="clear" w:color="auto" w:fill="FFFFFF"/>
            <w:hideMark/>
          </w:tcPr>
          <w:p w14:paraId="1CC773F3"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75" w:type="pct"/>
            <w:tcBorders>
              <w:top w:val="single" w:sz="2" w:space="0" w:color="000000"/>
              <w:left w:val="single" w:sz="2" w:space="0" w:color="000000"/>
              <w:bottom w:val="single" w:sz="2" w:space="0" w:color="000000"/>
              <w:right w:val="single" w:sz="2" w:space="0" w:color="000000"/>
            </w:tcBorders>
            <w:shd w:val="clear" w:color="auto" w:fill="FFFFFF"/>
            <w:hideMark/>
          </w:tcPr>
          <w:p w14:paraId="2AB804D3"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76" w:type="pct"/>
            <w:tcBorders>
              <w:top w:val="single" w:sz="2" w:space="0" w:color="000000"/>
              <w:left w:val="single" w:sz="2" w:space="0" w:color="000000"/>
              <w:bottom w:val="single" w:sz="2" w:space="0" w:color="000000"/>
              <w:right w:val="single" w:sz="2" w:space="0" w:color="000000"/>
            </w:tcBorders>
            <w:shd w:val="clear" w:color="auto" w:fill="FFFFFF"/>
            <w:hideMark/>
          </w:tcPr>
          <w:p w14:paraId="709DDA6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83" w:type="pct"/>
            <w:tcBorders>
              <w:top w:val="single" w:sz="2" w:space="0" w:color="000000"/>
              <w:left w:val="single" w:sz="2" w:space="0" w:color="000000"/>
              <w:bottom w:val="single" w:sz="2" w:space="0" w:color="000000"/>
              <w:right w:val="single" w:sz="2" w:space="0" w:color="000000"/>
            </w:tcBorders>
            <w:shd w:val="clear" w:color="auto" w:fill="FFFFFF"/>
            <w:hideMark/>
          </w:tcPr>
          <w:p w14:paraId="72D1AE9C"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75" w:type="pct"/>
            <w:tcBorders>
              <w:top w:val="single" w:sz="2" w:space="0" w:color="000000"/>
              <w:left w:val="single" w:sz="2" w:space="0" w:color="000000"/>
              <w:bottom w:val="single" w:sz="2" w:space="0" w:color="000000"/>
              <w:right w:val="single" w:sz="2" w:space="0" w:color="000000"/>
            </w:tcBorders>
            <w:shd w:val="clear" w:color="auto" w:fill="FFFFFF"/>
            <w:hideMark/>
          </w:tcPr>
          <w:p w14:paraId="7124923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76" w:type="pct"/>
            <w:tcBorders>
              <w:top w:val="single" w:sz="2" w:space="0" w:color="000000"/>
              <w:left w:val="single" w:sz="2" w:space="0" w:color="000000"/>
              <w:bottom w:val="single" w:sz="2" w:space="0" w:color="000000"/>
              <w:right w:val="single" w:sz="2" w:space="0" w:color="000000"/>
            </w:tcBorders>
            <w:shd w:val="clear" w:color="auto" w:fill="FFFFFF"/>
            <w:hideMark/>
          </w:tcPr>
          <w:p w14:paraId="230AA92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83" w:type="pct"/>
            <w:tcBorders>
              <w:top w:val="single" w:sz="2" w:space="0" w:color="000000"/>
              <w:left w:val="single" w:sz="2" w:space="0" w:color="000000"/>
              <w:bottom w:val="single" w:sz="2" w:space="0" w:color="000000"/>
              <w:right w:val="single" w:sz="2" w:space="0" w:color="000000"/>
            </w:tcBorders>
            <w:shd w:val="clear" w:color="auto" w:fill="FFFFFF"/>
            <w:hideMark/>
          </w:tcPr>
          <w:p w14:paraId="6B079D79"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75" w:type="pct"/>
            <w:tcBorders>
              <w:top w:val="single" w:sz="2" w:space="0" w:color="000000"/>
              <w:left w:val="single" w:sz="2" w:space="0" w:color="000000"/>
              <w:bottom w:val="single" w:sz="2" w:space="0" w:color="000000"/>
              <w:right w:val="single" w:sz="2" w:space="0" w:color="000000"/>
            </w:tcBorders>
            <w:shd w:val="clear" w:color="auto" w:fill="FFFFFF"/>
            <w:hideMark/>
          </w:tcPr>
          <w:p w14:paraId="1E310B2B"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76" w:type="pct"/>
            <w:tcBorders>
              <w:top w:val="single" w:sz="2" w:space="0" w:color="000000"/>
              <w:left w:val="single" w:sz="2" w:space="0" w:color="000000"/>
              <w:bottom w:val="single" w:sz="2" w:space="0" w:color="000000"/>
              <w:right w:val="single" w:sz="2" w:space="0" w:color="000000"/>
            </w:tcBorders>
            <w:shd w:val="clear" w:color="auto" w:fill="FFFFFF"/>
            <w:hideMark/>
          </w:tcPr>
          <w:p w14:paraId="5A862CC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83" w:type="pct"/>
            <w:tcBorders>
              <w:top w:val="single" w:sz="2" w:space="0" w:color="000000"/>
              <w:left w:val="single" w:sz="2" w:space="0" w:color="000000"/>
              <w:bottom w:val="single" w:sz="2" w:space="0" w:color="000000"/>
              <w:right w:val="single" w:sz="2" w:space="0" w:color="000000"/>
            </w:tcBorders>
            <w:shd w:val="clear" w:color="auto" w:fill="FFFFFF"/>
            <w:hideMark/>
          </w:tcPr>
          <w:p w14:paraId="687115C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75" w:type="pct"/>
            <w:tcBorders>
              <w:top w:val="single" w:sz="2" w:space="0" w:color="000000"/>
              <w:left w:val="single" w:sz="2" w:space="0" w:color="000000"/>
              <w:bottom w:val="single" w:sz="2" w:space="0" w:color="000000"/>
              <w:right w:val="single" w:sz="2" w:space="0" w:color="000000"/>
            </w:tcBorders>
            <w:shd w:val="clear" w:color="auto" w:fill="FFFFFF"/>
            <w:hideMark/>
          </w:tcPr>
          <w:p w14:paraId="555C54D2"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76" w:type="pct"/>
            <w:tcBorders>
              <w:top w:val="single" w:sz="2" w:space="0" w:color="000000"/>
              <w:left w:val="single" w:sz="2" w:space="0" w:color="000000"/>
              <w:bottom w:val="single" w:sz="2" w:space="0" w:color="000000"/>
              <w:right w:val="single" w:sz="2" w:space="0" w:color="000000"/>
            </w:tcBorders>
            <w:shd w:val="clear" w:color="auto" w:fill="FFFFFF"/>
            <w:hideMark/>
          </w:tcPr>
          <w:p w14:paraId="522ECF9C"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83" w:type="pct"/>
            <w:tcBorders>
              <w:top w:val="single" w:sz="2" w:space="0" w:color="000000"/>
              <w:left w:val="single" w:sz="2" w:space="0" w:color="000000"/>
              <w:bottom w:val="single" w:sz="2" w:space="0" w:color="000000"/>
              <w:right w:val="single" w:sz="2" w:space="0" w:color="000000"/>
            </w:tcBorders>
            <w:shd w:val="clear" w:color="auto" w:fill="FFFFFF"/>
            <w:hideMark/>
          </w:tcPr>
          <w:p w14:paraId="68DF6CE9"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75" w:type="pct"/>
            <w:tcBorders>
              <w:top w:val="single" w:sz="2" w:space="0" w:color="000000"/>
              <w:left w:val="single" w:sz="2" w:space="0" w:color="000000"/>
              <w:bottom w:val="single" w:sz="2" w:space="0" w:color="000000"/>
              <w:right w:val="single" w:sz="2" w:space="0" w:color="000000"/>
            </w:tcBorders>
            <w:shd w:val="clear" w:color="auto" w:fill="FFFFFF"/>
            <w:hideMark/>
          </w:tcPr>
          <w:p w14:paraId="5E620D4B"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76" w:type="pct"/>
            <w:tcBorders>
              <w:top w:val="single" w:sz="2" w:space="0" w:color="000000"/>
              <w:left w:val="single" w:sz="2" w:space="0" w:color="000000"/>
              <w:bottom w:val="single" w:sz="2" w:space="0" w:color="000000"/>
              <w:right w:val="single" w:sz="2" w:space="0" w:color="000000"/>
            </w:tcBorders>
            <w:shd w:val="clear" w:color="auto" w:fill="FFFFFF"/>
            <w:hideMark/>
          </w:tcPr>
          <w:p w14:paraId="72A4F09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83" w:type="pct"/>
            <w:tcBorders>
              <w:top w:val="single" w:sz="2" w:space="0" w:color="000000"/>
              <w:left w:val="single" w:sz="2" w:space="0" w:color="000000"/>
              <w:bottom w:val="single" w:sz="2" w:space="0" w:color="000000"/>
              <w:right w:val="single" w:sz="2" w:space="0" w:color="000000"/>
            </w:tcBorders>
            <w:shd w:val="clear" w:color="auto" w:fill="FFFFFF"/>
            <w:hideMark/>
          </w:tcPr>
          <w:p w14:paraId="3CAF358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75" w:type="pct"/>
            <w:tcBorders>
              <w:top w:val="single" w:sz="2" w:space="0" w:color="000000"/>
              <w:left w:val="single" w:sz="2" w:space="0" w:color="000000"/>
              <w:bottom w:val="single" w:sz="2" w:space="0" w:color="000000"/>
              <w:right w:val="single" w:sz="2" w:space="0" w:color="000000"/>
            </w:tcBorders>
            <w:shd w:val="clear" w:color="auto" w:fill="FFFFFF"/>
            <w:hideMark/>
          </w:tcPr>
          <w:p w14:paraId="28A5B0B2"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76" w:type="pct"/>
            <w:tcBorders>
              <w:top w:val="single" w:sz="2" w:space="0" w:color="000000"/>
              <w:left w:val="single" w:sz="2" w:space="0" w:color="000000"/>
              <w:bottom w:val="single" w:sz="2" w:space="0" w:color="000000"/>
              <w:right w:val="single" w:sz="2" w:space="0" w:color="000000"/>
            </w:tcBorders>
            <w:shd w:val="clear" w:color="auto" w:fill="FFFFFF"/>
            <w:hideMark/>
          </w:tcPr>
          <w:p w14:paraId="77787407"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83" w:type="pct"/>
            <w:tcBorders>
              <w:top w:val="single" w:sz="2" w:space="0" w:color="000000"/>
              <w:left w:val="single" w:sz="2" w:space="0" w:color="000000"/>
              <w:bottom w:val="single" w:sz="2" w:space="0" w:color="000000"/>
              <w:right w:val="single" w:sz="2" w:space="0" w:color="000000"/>
            </w:tcBorders>
            <w:shd w:val="clear" w:color="auto" w:fill="FFFFFF"/>
            <w:hideMark/>
          </w:tcPr>
          <w:p w14:paraId="630828C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75" w:type="pct"/>
            <w:tcBorders>
              <w:top w:val="single" w:sz="2" w:space="0" w:color="000000"/>
              <w:left w:val="single" w:sz="2" w:space="0" w:color="000000"/>
              <w:bottom w:val="single" w:sz="2" w:space="0" w:color="000000"/>
              <w:right w:val="single" w:sz="2" w:space="0" w:color="000000"/>
            </w:tcBorders>
            <w:shd w:val="clear" w:color="auto" w:fill="FFFFFF"/>
            <w:hideMark/>
          </w:tcPr>
          <w:p w14:paraId="4B122ED7"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76" w:type="pct"/>
            <w:tcBorders>
              <w:top w:val="single" w:sz="2" w:space="0" w:color="000000"/>
              <w:left w:val="single" w:sz="2" w:space="0" w:color="000000"/>
              <w:bottom w:val="single" w:sz="2" w:space="0" w:color="000000"/>
              <w:right w:val="single" w:sz="2" w:space="0" w:color="000000"/>
            </w:tcBorders>
            <w:shd w:val="clear" w:color="auto" w:fill="FFFFFF"/>
            <w:hideMark/>
          </w:tcPr>
          <w:p w14:paraId="139BDD4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58" w:type="pct"/>
            <w:tcBorders>
              <w:top w:val="single" w:sz="2" w:space="0" w:color="000000"/>
              <w:left w:val="single" w:sz="2" w:space="0" w:color="000000"/>
              <w:bottom w:val="single" w:sz="2" w:space="0" w:color="000000"/>
              <w:right w:val="single" w:sz="2" w:space="0" w:color="000000"/>
            </w:tcBorders>
            <w:shd w:val="clear" w:color="auto" w:fill="FFFFFF"/>
            <w:hideMark/>
          </w:tcPr>
          <w:p w14:paraId="5D859BB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99" w:type="pct"/>
            <w:tcBorders>
              <w:top w:val="single" w:sz="2" w:space="0" w:color="000000"/>
              <w:left w:val="single" w:sz="2" w:space="0" w:color="000000"/>
              <w:bottom w:val="single" w:sz="2" w:space="0" w:color="000000"/>
              <w:right w:val="single" w:sz="2" w:space="0" w:color="000000"/>
            </w:tcBorders>
            <w:shd w:val="clear" w:color="auto" w:fill="FFFFFF"/>
            <w:hideMark/>
          </w:tcPr>
          <w:p w14:paraId="69B416B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 w:type="pct"/>
            <w:tcBorders>
              <w:top w:val="single" w:sz="2" w:space="0" w:color="000000"/>
              <w:left w:val="single" w:sz="2" w:space="0" w:color="000000"/>
              <w:bottom w:val="single" w:sz="2" w:space="0" w:color="000000"/>
              <w:right w:val="single" w:sz="2" w:space="0" w:color="000000"/>
            </w:tcBorders>
            <w:shd w:val="clear" w:color="auto" w:fill="FFFFFF"/>
            <w:hideMark/>
          </w:tcPr>
          <w:p w14:paraId="3CD87D1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1" w:type="pct"/>
            <w:tcBorders>
              <w:top w:val="single" w:sz="2" w:space="0" w:color="000000"/>
              <w:left w:val="single" w:sz="2" w:space="0" w:color="000000"/>
              <w:bottom w:val="single" w:sz="2" w:space="0" w:color="000000"/>
              <w:right w:val="single" w:sz="2" w:space="0" w:color="000000"/>
            </w:tcBorders>
            <w:shd w:val="clear" w:color="auto" w:fill="FFFFFF"/>
            <w:hideMark/>
          </w:tcPr>
          <w:p w14:paraId="5844AD6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70" w:type="pct"/>
            <w:gridSpan w:val="2"/>
            <w:tcBorders>
              <w:top w:val="single" w:sz="2" w:space="0" w:color="000000"/>
              <w:left w:val="single" w:sz="2" w:space="0" w:color="000000"/>
              <w:bottom w:val="single" w:sz="2" w:space="0" w:color="000000"/>
              <w:right w:val="single" w:sz="2" w:space="0" w:color="000000"/>
            </w:tcBorders>
            <w:shd w:val="clear" w:color="auto" w:fill="FFFFFF"/>
            <w:hideMark/>
          </w:tcPr>
          <w:p w14:paraId="5DBE4461"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11" w:type="pct"/>
            <w:tcBorders>
              <w:top w:val="single" w:sz="2" w:space="0" w:color="000000"/>
              <w:left w:val="single" w:sz="2" w:space="0" w:color="000000"/>
              <w:bottom w:val="single" w:sz="2" w:space="0" w:color="000000"/>
              <w:right w:val="single" w:sz="2" w:space="0" w:color="000000"/>
            </w:tcBorders>
            <w:shd w:val="clear" w:color="auto" w:fill="FFFFFF"/>
            <w:hideMark/>
          </w:tcPr>
          <w:p w14:paraId="67521AE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40" w:type="pct"/>
            <w:gridSpan w:val="2"/>
            <w:tcBorders>
              <w:top w:val="single" w:sz="2" w:space="0" w:color="000000"/>
              <w:left w:val="single" w:sz="2" w:space="0" w:color="000000"/>
              <w:bottom w:val="single" w:sz="2" w:space="0" w:color="000000"/>
              <w:right w:val="single" w:sz="2" w:space="0" w:color="000000"/>
            </w:tcBorders>
            <w:shd w:val="clear" w:color="auto" w:fill="FFFFFF"/>
            <w:hideMark/>
          </w:tcPr>
          <w:p w14:paraId="53DEC557"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r>
      <w:tr w:rsidR="003B73DC" w:rsidRPr="007D063B" w14:paraId="23A9AA85" w14:textId="77777777" w:rsidTr="005A1442">
        <w:trPr>
          <w:tblCellSpacing w:w="0" w:type="dxa"/>
          <w:jc w:val="center"/>
        </w:trPr>
        <w:tc>
          <w:tcPr>
            <w:tcW w:w="198" w:type="pct"/>
            <w:tcBorders>
              <w:top w:val="single" w:sz="6" w:space="0" w:color="000000"/>
              <w:left w:val="single" w:sz="6" w:space="0" w:color="000000"/>
              <w:bottom w:val="single" w:sz="6" w:space="0" w:color="000000"/>
              <w:right w:val="single" w:sz="6" w:space="0" w:color="000000"/>
            </w:tcBorders>
            <w:shd w:val="clear" w:color="auto" w:fill="FFFFFF"/>
          </w:tcPr>
          <w:p w14:paraId="4465ED95" w14:textId="77777777" w:rsidR="00B54C34" w:rsidRPr="007D063B" w:rsidRDefault="00B54C34" w:rsidP="00450FF1">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lang w:val="en-US"/>
              </w:rPr>
              <w:t>R4-1</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Pr>
          <w:p w14:paraId="155849F8"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Текучество на персонала на бенефициентите за година</w:t>
            </w:r>
          </w:p>
        </w:tc>
        <w:tc>
          <w:tcPr>
            <w:tcW w:w="216" w:type="pct"/>
            <w:tcBorders>
              <w:top w:val="single" w:sz="6" w:space="0" w:color="000000"/>
              <w:left w:val="single" w:sz="6" w:space="0" w:color="000000"/>
              <w:bottom w:val="single" w:sz="6" w:space="0" w:color="000000"/>
              <w:right w:val="single" w:sz="6" w:space="0" w:color="000000"/>
            </w:tcBorders>
            <w:shd w:val="clear" w:color="auto" w:fill="FFFFFF"/>
          </w:tcPr>
          <w:p w14:paraId="771A649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ЕСФ</w:t>
            </w:r>
          </w:p>
        </w:tc>
        <w:tc>
          <w:tcPr>
            <w:tcW w:w="296" w:type="pct"/>
            <w:tcBorders>
              <w:top w:val="single" w:sz="6" w:space="0" w:color="000000"/>
              <w:left w:val="single" w:sz="6" w:space="0" w:color="000000"/>
              <w:bottom w:val="single" w:sz="6" w:space="0" w:color="000000"/>
              <w:right w:val="single" w:sz="6" w:space="0" w:color="000000"/>
            </w:tcBorders>
            <w:shd w:val="clear" w:color="auto" w:fill="FFFFFF"/>
          </w:tcPr>
          <w:p w14:paraId="4A91E938"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192" w:type="pct"/>
            <w:tcBorders>
              <w:top w:val="single" w:sz="6" w:space="0" w:color="000000"/>
              <w:left w:val="single" w:sz="6" w:space="0" w:color="000000"/>
              <w:bottom w:val="single" w:sz="6" w:space="0" w:color="000000"/>
              <w:right w:val="single" w:sz="6" w:space="0" w:color="000000"/>
            </w:tcBorders>
            <w:shd w:val="clear" w:color="auto" w:fill="FFFFFF"/>
          </w:tcPr>
          <w:p w14:paraId="5AACE6A1"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Процент</w:t>
            </w:r>
          </w:p>
        </w:tc>
        <w:tc>
          <w:tcPr>
            <w:tcW w:w="202" w:type="pct"/>
            <w:tcBorders>
              <w:top w:val="single" w:sz="6" w:space="0" w:color="000000"/>
              <w:left w:val="single" w:sz="6" w:space="0" w:color="000000"/>
              <w:bottom w:val="single" w:sz="6" w:space="0" w:color="000000"/>
              <w:right w:val="single" w:sz="6" w:space="0" w:color="000000"/>
            </w:tcBorders>
            <w:shd w:val="clear" w:color="auto" w:fill="FFFFFF"/>
          </w:tcPr>
          <w:p w14:paraId="36188DCC"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Процент</w:t>
            </w:r>
          </w:p>
        </w:tc>
        <w:tc>
          <w:tcPr>
            <w:tcW w:w="302" w:type="pct"/>
            <w:tcBorders>
              <w:top w:val="single" w:sz="6" w:space="0" w:color="000000"/>
              <w:left w:val="single" w:sz="6" w:space="0" w:color="000000"/>
              <w:bottom w:val="single" w:sz="6" w:space="0" w:color="000000"/>
              <w:right w:val="single" w:sz="6" w:space="0" w:color="000000"/>
            </w:tcBorders>
            <w:shd w:val="clear" w:color="auto" w:fill="FFFFFF"/>
          </w:tcPr>
          <w:p w14:paraId="6704A6BF"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eastAsia="Times New Roman" w:hAnsi="Times New Roman" w:cs="Times New Roman"/>
                <w:sz w:val="18"/>
                <w:szCs w:val="18"/>
              </w:rPr>
              <w:t>5%</w:t>
            </w:r>
          </w:p>
        </w:tc>
        <w:tc>
          <w:tcPr>
            <w:tcW w:w="152" w:type="pct"/>
            <w:tcBorders>
              <w:top w:val="single" w:sz="6" w:space="0" w:color="000000"/>
              <w:left w:val="single" w:sz="6" w:space="0" w:color="000000"/>
              <w:bottom w:val="single" w:sz="6" w:space="0" w:color="000000"/>
              <w:right w:val="single" w:sz="6" w:space="0" w:color="000000"/>
            </w:tcBorders>
            <w:shd w:val="clear" w:color="auto" w:fill="FFFFFF"/>
          </w:tcPr>
          <w:p w14:paraId="387DCCD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73" w:type="pct"/>
            <w:tcBorders>
              <w:top w:val="single" w:sz="6" w:space="0" w:color="000000"/>
              <w:left w:val="single" w:sz="6" w:space="0" w:color="000000"/>
              <w:bottom w:val="single" w:sz="6" w:space="0" w:color="000000"/>
              <w:right w:val="single" w:sz="6" w:space="0" w:color="000000"/>
            </w:tcBorders>
            <w:shd w:val="clear" w:color="auto" w:fill="FFFFFF"/>
          </w:tcPr>
          <w:p w14:paraId="4D28640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2192D13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1870EEF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3F8B63B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617D97A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2A30E87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3154146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019F52BE" w14:textId="739A69F3" w:rsidR="00B54C34" w:rsidRPr="007D063B" w:rsidRDefault="00E013CB"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6,57</w:t>
            </w: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5835F3A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28D1231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7A3BEAF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67B2F09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56C55E8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6CC809F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5132B63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218587C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1AB73D7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02BE5D2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5C08168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3D551AD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04F3031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79C98B0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43E75BF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1DBF02A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43D5427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6763B6D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776AD16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57F0B1E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47E53E5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4095402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8" w:type="pct"/>
            <w:tcBorders>
              <w:top w:val="single" w:sz="6" w:space="0" w:color="000000"/>
              <w:left w:val="single" w:sz="6" w:space="0" w:color="000000"/>
              <w:bottom w:val="single" w:sz="6" w:space="0" w:color="000000"/>
              <w:right w:val="single" w:sz="6" w:space="0" w:color="000000"/>
            </w:tcBorders>
            <w:shd w:val="clear" w:color="auto" w:fill="FFFFFF"/>
          </w:tcPr>
          <w:p w14:paraId="38CB335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99" w:type="pct"/>
            <w:tcBorders>
              <w:top w:val="single" w:sz="6" w:space="0" w:color="000000"/>
              <w:left w:val="single" w:sz="6" w:space="0" w:color="000000"/>
              <w:bottom w:val="single" w:sz="6" w:space="0" w:color="000000"/>
              <w:right w:val="single" w:sz="6" w:space="0" w:color="000000"/>
            </w:tcBorders>
            <w:shd w:val="clear" w:color="auto" w:fill="FFFFFF"/>
          </w:tcPr>
          <w:p w14:paraId="667D97A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 w:type="pct"/>
            <w:tcBorders>
              <w:top w:val="single" w:sz="6" w:space="0" w:color="000000"/>
              <w:left w:val="single" w:sz="6" w:space="0" w:color="000000"/>
              <w:bottom w:val="single" w:sz="6" w:space="0" w:color="000000"/>
              <w:right w:val="single" w:sz="6" w:space="0" w:color="000000"/>
            </w:tcBorders>
            <w:shd w:val="clear" w:color="auto" w:fill="FFFFFF"/>
          </w:tcPr>
          <w:p w14:paraId="7B2EBB1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 w:type="pct"/>
            <w:gridSpan w:val="2"/>
            <w:tcBorders>
              <w:top w:val="single" w:sz="6" w:space="0" w:color="000000"/>
              <w:left w:val="single" w:sz="6" w:space="0" w:color="000000"/>
              <w:bottom w:val="single" w:sz="6" w:space="0" w:color="000000"/>
              <w:right w:val="single" w:sz="6" w:space="0" w:color="000000"/>
            </w:tcBorders>
            <w:shd w:val="clear" w:color="auto" w:fill="FFFFFF"/>
          </w:tcPr>
          <w:p w14:paraId="4ACCB67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63" w:type="pct"/>
            <w:tcBorders>
              <w:top w:val="single" w:sz="6" w:space="0" w:color="000000"/>
              <w:left w:val="single" w:sz="6" w:space="0" w:color="000000"/>
              <w:bottom w:val="single" w:sz="6" w:space="0" w:color="000000"/>
              <w:right w:val="single" w:sz="6" w:space="0" w:color="000000"/>
            </w:tcBorders>
            <w:shd w:val="clear" w:color="auto" w:fill="FFFFFF"/>
          </w:tcPr>
          <w:p w14:paraId="2A804A19" w14:textId="5020FFAE" w:rsidR="00B54C34" w:rsidRPr="007D063B" w:rsidRDefault="00C627CF"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0,01</w:t>
            </w:r>
          </w:p>
        </w:tc>
        <w:tc>
          <w:tcPr>
            <w:tcW w:w="18" w:type="pct"/>
            <w:gridSpan w:val="2"/>
            <w:tcBorders>
              <w:top w:val="single" w:sz="6" w:space="0" w:color="000000"/>
              <w:left w:val="single" w:sz="6" w:space="0" w:color="000000"/>
              <w:bottom w:val="single" w:sz="6" w:space="0" w:color="000000"/>
              <w:right w:val="single" w:sz="6" w:space="0" w:color="000000"/>
            </w:tcBorders>
            <w:shd w:val="clear" w:color="auto" w:fill="FFFFFF"/>
          </w:tcPr>
          <w:p w14:paraId="16A75F4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3" w:type="pct"/>
            <w:tcBorders>
              <w:top w:val="single" w:sz="6" w:space="0" w:color="000000"/>
              <w:left w:val="single" w:sz="6" w:space="0" w:color="000000"/>
              <w:bottom w:val="single" w:sz="6" w:space="0" w:color="000000"/>
              <w:right w:val="single" w:sz="6" w:space="0" w:color="000000"/>
            </w:tcBorders>
            <w:shd w:val="clear" w:color="auto" w:fill="FFFFFF"/>
          </w:tcPr>
          <w:p w14:paraId="2DFED12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5EF06DC3" w14:textId="77777777" w:rsidTr="005A1442">
        <w:trPr>
          <w:tblCellSpacing w:w="0" w:type="dxa"/>
          <w:jc w:val="center"/>
        </w:trPr>
        <w:tc>
          <w:tcPr>
            <w:tcW w:w="198" w:type="pct"/>
            <w:tcBorders>
              <w:top w:val="single" w:sz="6" w:space="0" w:color="000000"/>
              <w:left w:val="single" w:sz="6" w:space="0" w:color="000000"/>
              <w:bottom w:val="single" w:sz="6" w:space="0" w:color="000000"/>
              <w:right w:val="single" w:sz="6" w:space="0" w:color="000000"/>
            </w:tcBorders>
            <w:shd w:val="clear" w:color="auto" w:fill="FFFFFF"/>
          </w:tcPr>
          <w:p w14:paraId="3EFF6764" w14:textId="77777777" w:rsidR="00B54C34" w:rsidRPr="007D063B" w:rsidRDefault="00B54C34" w:rsidP="00450FF1">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lang w:val="en-US"/>
              </w:rPr>
              <w:t>R4-2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Pr>
          <w:p w14:paraId="672E2E35"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Удовлетвореност на участниците от проведеното обучение</w:t>
            </w:r>
          </w:p>
        </w:tc>
        <w:tc>
          <w:tcPr>
            <w:tcW w:w="216" w:type="pct"/>
            <w:tcBorders>
              <w:top w:val="single" w:sz="6" w:space="0" w:color="000000"/>
              <w:left w:val="single" w:sz="6" w:space="0" w:color="000000"/>
              <w:bottom w:val="single" w:sz="6" w:space="0" w:color="000000"/>
              <w:right w:val="single" w:sz="6" w:space="0" w:color="000000"/>
            </w:tcBorders>
            <w:shd w:val="clear" w:color="auto" w:fill="FFFFFF"/>
          </w:tcPr>
          <w:p w14:paraId="71AFA10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ЕСФ</w:t>
            </w:r>
          </w:p>
        </w:tc>
        <w:tc>
          <w:tcPr>
            <w:tcW w:w="296" w:type="pct"/>
            <w:tcBorders>
              <w:top w:val="single" w:sz="6" w:space="0" w:color="000000"/>
              <w:left w:val="single" w:sz="6" w:space="0" w:color="000000"/>
              <w:bottom w:val="single" w:sz="6" w:space="0" w:color="000000"/>
              <w:right w:val="single" w:sz="6" w:space="0" w:color="000000"/>
            </w:tcBorders>
            <w:shd w:val="clear" w:color="auto" w:fill="FFFFFF"/>
          </w:tcPr>
          <w:p w14:paraId="79C0D04B"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192" w:type="pct"/>
            <w:tcBorders>
              <w:top w:val="single" w:sz="6" w:space="0" w:color="000000"/>
              <w:left w:val="single" w:sz="6" w:space="0" w:color="000000"/>
              <w:bottom w:val="single" w:sz="6" w:space="0" w:color="000000"/>
              <w:right w:val="single" w:sz="6" w:space="0" w:color="000000"/>
            </w:tcBorders>
            <w:shd w:val="clear" w:color="auto" w:fill="FFFFFF"/>
          </w:tcPr>
          <w:p w14:paraId="7503D623"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Процент</w:t>
            </w:r>
          </w:p>
        </w:tc>
        <w:tc>
          <w:tcPr>
            <w:tcW w:w="202" w:type="pct"/>
            <w:tcBorders>
              <w:top w:val="single" w:sz="6" w:space="0" w:color="000000"/>
              <w:left w:val="single" w:sz="6" w:space="0" w:color="000000"/>
              <w:bottom w:val="single" w:sz="6" w:space="0" w:color="000000"/>
              <w:right w:val="single" w:sz="6" w:space="0" w:color="000000"/>
            </w:tcBorders>
            <w:shd w:val="clear" w:color="auto" w:fill="FFFFFF"/>
          </w:tcPr>
          <w:p w14:paraId="2F3AF786"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Процент</w:t>
            </w:r>
          </w:p>
        </w:tc>
        <w:tc>
          <w:tcPr>
            <w:tcW w:w="302" w:type="pct"/>
            <w:tcBorders>
              <w:top w:val="single" w:sz="6" w:space="0" w:color="000000"/>
              <w:left w:val="single" w:sz="6" w:space="0" w:color="000000"/>
              <w:bottom w:val="single" w:sz="6" w:space="0" w:color="000000"/>
              <w:right w:val="single" w:sz="6" w:space="0" w:color="000000"/>
            </w:tcBorders>
            <w:shd w:val="clear" w:color="auto" w:fill="FFFFFF"/>
          </w:tcPr>
          <w:p w14:paraId="04369E6F"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eastAsia="Times New Roman" w:hAnsi="Times New Roman" w:cs="Times New Roman"/>
                <w:sz w:val="18"/>
                <w:szCs w:val="18"/>
              </w:rPr>
              <w:t>85%</w:t>
            </w:r>
          </w:p>
        </w:tc>
        <w:tc>
          <w:tcPr>
            <w:tcW w:w="152" w:type="pct"/>
            <w:tcBorders>
              <w:top w:val="single" w:sz="6" w:space="0" w:color="000000"/>
              <w:left w:val="single" w:sz="6" w:space="0" w:color="000000"/>
              <w:bottom w:val="single" w:sz="6" w:space="0" w:color="000000"/>
              <w:right w:val="single" w:sz="6" w:space="0" w:color="000000"/>
            </w:tcBorders>
            <w:shd w:val="clear" w:color="auto" w:fill="FFFFFF"/>
          </w:tcPr>
          <w:p w14:paraId="3E68B82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73" w:type="pct"/>
            <w:tcBorders>
              <w:top w:val="single" w:sz="6" w:space="0" w:color="000000"/>
              <w:left w:val="single" w:sz="6" w:space="0" w:color="000000"/>
              <w:bottom w:val="single" w:sz="6" w:space="0" w:color="000000"/>
              <w:right w:val="single" w:sz="6" w:space="0" w:color="000000"/>
            </w:tcBorders>
            <w:shd w:val="clear" w:color="auto" w:fill="FFFFFF"/>
          </w:tcPr>
          <w:p w14:paraId="526C9F7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2C2F153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254CB4A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0ABBE2F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64FF8F5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3B2C27B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27FBBEF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7FDADC41" w14:textId="5AACEEAB" w:rsidR="00B54C34" w:rsidRPr="007D063B" w:rsidRDefault="003120C7"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95,77</w:t>
            </w: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0A409C7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6BBFDFB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3AF56E4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74957A7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258899D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0482F9A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2FB0D4D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2DE0F22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29B76E2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7D0ABFA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2066C3C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2170A08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78CC081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465FC73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6369F62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7315DF7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292B684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014CF3C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00307CF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5F371CF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605F4A7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42B9A38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8" w:type="pct"/>
            <w:tcBorders>
              <w:top w:val="single" w:sz="6" w:space="0" w:color="000000"/>
              <w:left w:val="single" w:sz="6" w:space="0" w:color="000000"/>
              <w:bottom w:val="single" w:sz="6" w:space="0" w:color="000000"/>
              <w:right w:val="single" w:sz="6" w:space="0" w:color="000000"/>
            </w:tcBorders>
            <w:shd w:val="clear" w:color="auto" w:fill="FFFFFF"/>
          </w:tcPr>
          <w:p w14:paraId="66C3777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99" w:type="pct"/>
            <w:tcBorders>
              <w:top w:val="single" w:sz="6" w:space="0" w:color="000000"/>
              <w:left w:val="single" w:sz="6" w:space="0" w:color="000000"/>
              <w:bottom w:val="single" w:sz="6" w:space="0" w:color="000000"/>
              <w:right w:val="single" w:sz="6" w:space="0" w:color="000000"/>
            </w:tcBorders>
            <w:shd w:val="clear" w:color="auto" w:fill="FFFFFF"/>
          </w:tcPr>
          <w:p w14:paraId="73CBE38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 w:type="pct"/>
            <w:tcBorders>
              <w:top w:val="single" w:sz="6" w:space="0" w:color="000000"/>
              <w:left w:val="single" w:sz="6" w:space="0" w:color="000000"/>
              <w:bottom w:val="single" w:sz="6" w:space="0" w:color="000000"/>
              <w:right w:val="single" w:sz="6" w:space="0" w:color="000000"/>
            </w:tcBorders>
            <w:shd w:val="clear" w:color="auto" w:fill="FFFFFF"/>
          </w:tcPr>
          <w:p w14:paraId="6FE3B7A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 w:type="pct"/>
            <w:gridSpan w:val="2"/>
            <w:tcBorders>
              <w:top w:val="single" w:sz="6" w:space="0" w:color="000000"/>
              <w:left w:val="single" w:sz="6" w:space="0" w:color="000000"/>
              <w:bottom w:val="single" w:sz="6" w:space="0" w:color="000000"/>
              <w:right w:val="single" w:sz="6" w:space="0" w:color="000000"/>
            </w:tcBorders>
            <w:shd w:val="clear" w:color="auto" w:fill="FFFFFF"/>
          </w:tcPr>
          <w:p w14:paraId="0E0A9D1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63" w:type="pct"/>
            <w:tcBorders>
              <w:top w:val="single" w:sz="6" w:space="0" w:color="000000"/>
              <w:left w:val="single" w:sz="6" w:space="0" w:color="000000"/>
              <w:bottom w:val="single" w:sz="6" w:space="0" w:color="000000"/>
              <w:right w:val="single" w:sz="6" w:space="0" w:color="000000"/>
            </w:tcBorders>
            <w:shd w:val="clear" w:color="auto" w:fill="FFFFFF"/>
          </w:tcPr>
          <w:p w14:paraId="4839B0E8" w14:textId="4569C175" w:rsidR="00B54C34" w:rsidRPr="007D063B" w:rsidRDefault="00C627CF"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112,67</w:t>
            </w:r>
          </w:p>
        </w:tc>
        <w:tc>
          <w:tcPr>
            <w:tcW w:w="18" w:type="pct"/>
            <w:gridSpan w:val="2"/>
            <w:tcBorders>
              <w:top w:val="single" w:sz="6" w:space="0" w:color="000000"/>
              <w:left w:val="single" w:sz="6" w:space="0" w:color="000000"/>
              <w:bottom w:val="single" w:sz="6" w:space="0" w:color="000000"/>
              <w:right w:val="single" w:sz="6" w:space="0" w:color="000000"/>
            </w:tcBorders>
            <w:shd w:val="clear" w:color="auto" w:fill="FFFFFF"/>
          </w:tcPr>
          <w:p w14:paraId="6844928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3" w:type="pct"/>
            <w:tcBorders>
              <w:top w:val="single" w:sz="6" w:space="0" w:color="000000"/>
              <w:left w:val="single" w:sz="6" w:space="0" w:color="000000"/>
              <w:bottom w:val="single" w:sz="6" w:space="0" w:color="000000"/>
              <w:right w:val="single" w:sz="6" w:space="0" w:color="000000"/>
            </w:tcBorders>
            <w:shd w:val="clear" w:color="auto" w:fill="FFFFFF"/>
          </w:tcPr>
          <w:p w14:paraId="29B6A54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4B8346E2" w14:textId="77777777" w:rsidTr="005A1442">
        <w:trPr>
          <w:tblCellSpacing w:w="0" w:type="dxa"/>
          <w:jc w:val="center"/>
        </w:trPr>
        <w:tc>
          <w:tcPr>
            <w:tcW w:w="198" w:type="pct"/>
            <w:tcBorders>
              <w:top w:val="single" w:sz="6" w:space="0" w:color="000000"/>
              <w:left w:val="single" w:sz="6" w:space="0" w:color="000000"/>
              <w:bottom w:val="single" w:sz="6" w:space="0" w:color="000000"/>
              <w:right w:val="single" w:sz="6" w:space="0" w:color="000000"/>
            </w:tcBorders>
            <w:shd w:val="clear" w:color="auto" w:fill="FFFFFF"/>
          </w:tcPr>
          <w:p w14:paraId="48AFB62B" w14:textId="77777777" w:rsidR="00B54C34" w:rsidRPr="007D063B" w:rsidRDefault="00B54C34" w:rsidP="00450FF1">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lang w:val="en-US"/>
              </w:rPr>
              <w:t>R4-3</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Pr>
          <w:p w14:paraId="17EC71C8"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Удовлетвореност на потребителите на ИСУН</w:t>
            </w:r>
          </w:p>
        </w:tc>
        <w:tc>
          <w:tcPr>
            <w:tcW w:w="216" w:type="pct"/>
            <w:tcBorders>
              <w:top w:val="single" w:sz="6" w:space="0" w:color="000000"/>
              <w:left w:val="single" w:sz="6" w:space="0" w:color="000000"/>
              <w:bottom w:val="single" w:sz="6" w:space="0" w:color="000000"/>
              <w:right w:val="single" w:sz="6" w:space="0" w:color="000000"/>
            </w:tcBorders>
            <w:shd w:val="clear" w:color="auto" w:fill="FFFFFF"/>
          </w:tcPr>
          <w:p w14:paraId="64D5B72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ЕСФ</w:t>
            </w:r>
          </w:p>
        </w:tc>
        <w:tc>
          <w:tcPr>
            <w:tcW w:w="296" w:type="pct"/>
            <w:tcBorders>
              <w:top w:val="single" w:sz="6" w:space="0" w:color="000000"/>
              <w:left w:val="single" w:sz="6" w:space="0" w:color="000000"/>
              <w:bottom w:val="single" w:sz="6" w:space="0" w:color="000000"/>
              <w:right w:val="single" w:sz="6" w:space="0" w:color="000000"/>
            </w:tcBorders>
            <w:shd w:val="clear" w:color="auto" w:fill="FFFFFF"/>
          </w:tcPr>
          <w:p w14:paraId="75E16262"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192" w:type="pct"/>
            <w:tcBorders>
              <w:top w:val="single" w:sz="6" w:space="0" w:color="000000"/>
              <w:left w:val="single" w:sz="6" w:space="0" w:color="000000"/>
              <w:bottom w:val="single" w:sz="6" w:space="0" w:color="000000"/>
              <w:right w:val="single" w:sz="6" w:space="0" w:color="000000"/>
            </w:tcBorders>
            <w:shd w:val="clear" w:color="auto" w:fill="FFFFFF"/>
          </w:tcPr>
          <w:p w14:paraId="62884169"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Процент</w:t>
            </w:r>
          </w:p>
        </w:tc>
        <w:tc>
          <w:tcPr>
            <w:tcW w:w="202" w:type="pct"/>
            <w:tcBorders>
              <w:top w:val="single" w:sz="6" w:space="0" w:color="000000"/>
              <w:left w:val="single" w:sz="6" w:space="0" w:color="000000"/>
              <w:bottom w:val="single" w:sz="6" w:space="0" w:color="000000"/>
              <w:right w:val="single" w:sz="6" w:space="0" w:color="000000"/>
            </w:tcBorders>
            <w:shd w:val="clear" w:color="auto" w:fill="FFFFFF"/>
          </w:tcPr>
          <w:p w14:paraId="20424412"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Процент</w:t>
            </w:r>
          </w:p>
        </w:tc>
        <w:tc>
          <w:tcPr>
            <w:tcW w:w="302" w:type="pct"/>
            <w:tcBorders>
              <w:top w:val="single" w:sz="6" w:space="0" w:color="000000"/>
              <w:left w:val="single" w:sz="6" w:space="0" w:color="000000"/>
              <w:bottom w:val="single" w:sz="6" w:space="0" w:color="000000"/>
              <w:right w:val="single" w:sz="6" w:space="0" w:color="000000"/>
            </w:tcBorders>
            <w:shd w:val="clear" w:color="auto" w:fill="FFFFFF"/>
          </w:tcPr>
          <w:p w14:paraId="293A21BC"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83%</w:t>
            </w:r>
          </w:p>
        </w:tc>
        <w:tc>
          <w:tcPr>
            <w:tcW w:w="152" w:type="pct"/>
            <w:tcBorders>
              <w:top w:val="single" w:sz="6" w:space="0" w:color="000000"/>
              <w:left w:val="single" w:sz="6" w:space="0" w:color="000000"/>
              <w:bottom w:val="single" w:sz="6" w:space="0" w:color="000000"/>
              <w:right w:val="single" w:sz="6" w:space="0" w:color="000000"/>
            </w:tcBorders>
            <w:shd w:val="clear" w:color="auto" w:fill="FFFFFF"/>
          </w:tcPr>
          <w:p w14:paraId="362CEFC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73" w:type="pct"/>
            <w:tcBorders>
              <w:top w:val="single" w:sz="6" w:space="0" w:color="000000"/>
              <w:left w:val="single" w:sz="6" w:space="0" w:color="000000"/>
              <w:bottom w:val="single" w:sz="6" w:space="0" w:color="000000"/>
              <w:right w:val="single" w:sz="6" w:space="0" w:color="000000"/>
            </w:tcBorders>
            <w:shd w:val="clear" w:color="auto" w:fill="FFFFFF"/>
          </w:tcPr>
          <w:p w14:paraId="74F888C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7DA3228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7671CF0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0720C60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0F596C6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749FB8C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2E80879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13DE1827" w14:textId="0017C2DC" w:rsidR="00B54C34" w:rsidRPr="007D063B" w:rsidRDefault="003120C7"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84,17</w:t>
            </w: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4A514C6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2BED337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45DCDFA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457C1D8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4586599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4E2754D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55ED856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1424ACF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5E0B8D8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7C41C7D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029D563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6901F37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0AE61AD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38A159B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20FB9B9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6F8DE9F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3254B1D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7636951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270257F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1FF66D7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4BD1241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3161C43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8" w:type="pct"/>
            <w:tcBorders>
              <w:top w:val="single" w:sz="6" w:space="0" w:color="000000"/>
              <w:left w:val="single" w:sz="6" w:space="0" w:color="000000"/>
              <w:bottom w:val="single" w:sz="6" w:space="0" w:color="000000"/>
              <w:right w:val="single" w:sz="6" w:space="0" w:color="000000"/>
            </w:tcBorders>
            <w:shd w:val="clear" w:color="auto" w:fill="FFFFFF"/>
          </w:tcPr>
          <w:p w14:paraId="0EB07D1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99" w:type="pct"/>
            <w:tcBorders>
              <w:top w:val="single" w:sz="6" w:space="0" w:color="000000"/>
              <w:left w:val="single" w:sz="6" w:space="0" w:color="000000"/>
              <w:bottom w:val="single" w:sz="6" w:space="0" w:color="000000"/>
              <w:right w:val="single" w:sz="6" w:space="0" w:color="000000"/>
            </w:tcBorders>
            <w:shd w:val="clear" w:color="auto" w:fill="FFFFFF"/>
          </w:tcPr>
          <w:p w14:paraId="23BBCDC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 w:type="pct"/>
            <w:tcBorders>
              <w:top w:val="single" w:sz="6" w:space="0" w:color="000000"/>
              <w:left w:val="single" w:sz="6" w:space="0" w:color="000000"/>
              <w:bottom w:val="single" w:sz="6" w:space="0" w:color="000000"/>
              <w:right w:val="single" w:sz="6" w:space="0" w:color="000000"/>
            </w:tcBorders>
            <w:shd w:val="clear" w:color="auto" w:fill="FFFFFF"/>
          </w:tcPr>
          <w:p w14:paraId="76D1E66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 w:type="pct"/>
            <w:gridSpan w:val="2"/>
            <w:tcBorders>
              <w:top w:val="single" w:sz="6" w:space="0" w:color="000000"/>
              <w:left w:val="single" w:sz="6" w:space="0" w:color="000000"/>
              <w:bottom w:val="single" w:sz="6" w:space="0" w:color="000000"/>
              <w:right w:val="single" w:sz="6" w:space="0" w:color="000000"/>
            </w:tcBorders>
            <w:shd w:val="clear" w:color="auto" w:fill="FFFFFF"/>
          </w:tcPr>
          <w:p w14:paraId="6D81674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63" w:type="pct"/>
            <w:tcBorders>
              <w:top w:val="single" w:sz="6" w:space="0" w:color="000000"/>
              <w:left w:val="single" w:sz="6" w:space="0" w:color="000000"/>
              <w:bottom w:val="single" w:sz="6" w:space="0" w:color="000000"/>
              <w:right w:val="single" w:sz="6" w:space="0" w:color="000000"/>
            </w:tcBorders>
            <w:shd w:val="clear" w:color="auto" w:fill="FFFFFF"/>
          </w:tcPr>
          <w:p w14:paraId="18639829" w14:textId="052F7921" w:rsidR="00B54C34" w:rsidRPr="007D063B" w:rsidRDefault="00C627CF"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101,41</w:t>
            </w:r>
          </w:p>
        </w:tc>
        <w:tc>
          <w:tcPr>
            <w:tcW w:w="18" w:type="pct"/>
            <w:gridSpan w:val="2"/>
            <w:tcBorders>
              <w:top w:val="single" w:sz="6" w:space="0" w:color="000000"/>
              <w:left w:val="single" w:sz="6" w:space="0" w:color="000000"/>
              <w:bottom w:val="single" w:sz="6" w:space="0" w:color="000000"/>
              <w:right w:val="single" w:sz="6" w:space="0" w:color="000000"/>
            </w:tcBorders>
            <w:shd w:val="clear" w:color="auto" w:fill="FFFFFF"/>
          </w:tcPr>
          <w:p w14:paraId="3FD12B7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3" w:type="pct"/>
            <w:tcBorders>
              <w:top w:val="single" w:sz="6" w:space="0" w:color="000000"/>
              <w:left w:val="single" w:sz="6" w:space="0" w:color="000000"/>
              <w:bottom w:val="single" w:sz="6" w:space="0" w:color="000000"/>
              <w:right w:val="single" w:sz="6" w:space="0" w:color="000000"/>
            </w:tcBorders>
            <w:shd w:val="clear" w:color="auto" w:fill="FFFFFF"/>
          </w:tcPr>
          <w:p w14:paraId="567E6F5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64EA4809" w14:textId="77777777" w:rsidTr="005A1442">
        <w:trPr>
          <w:tblCellSpacing w:w="0" w:type="dxa"/>
          <w:jc w:val="center"/>
        </w:trPr>
        <w:tc>
          <w:tcPr>
            <w:tcW w:w="198" w:type="pct"/>
            <w:tcBorders>
              <w:top w:val="single" w:sz="6" w:space="0" w:color="000000"/>
              <w:left w:val="single" w:sz="6" w:space="0" w:color="000000"/>
              <w:bottom w:val="single" w:sz="6" w:space="0" w:color="000000"/>
              <w:right w:val="single" w:sz="6" w:space="0" w:color="000000"/>
            </w:tcBorders>
            <w:shd w:val="clear" w:color="auto" w:fill="FFFFFF"/>
          </w:tcPr>
          <w:p w14:paraId="06432EDC" w14:textId="77777777" w:rsidR="00B54C34" w:rsidRPr="007D063B" w:rsidRDefault="00B54C34" w:rsidP="00450FF1">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lang w:val="en-US"/>
              </w:rPr>
              <w:t>R4-4</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Pr>
          <w:p w14:paraId="5A6970D5"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Дял на населението на 15+, които са информирани относно кохезионната политика на ЕС</w:t>
            </w:r>
          </w:p>
        </w:tc>
        <w:tc>
          <w:tcPr>
            <w:tcW w:w="216" w:type="pct"/>
            <w:tcBorders>
              <w:top w:val="single" w:sz="6" w:space="0" w:color="000000"/>
              <w:left w:val="single" w:sz="6" w:space="0" w:color="000000"/>
              <w:bottom w:val="single" w:sz="6" w:space="0" w:color="000000"/>
              <w:right w:val="single" w:sz="6" w:space="0" w:color="000000"/>
            </w:tcBorders>
            <w:shd w:val="clear" w:color="auto" w:fill="FFFFFF"/>
          </w:tcPr>
          <w:p w14:paraId="1A1A7D1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ЕСФ</w:t>
            </w:r>
          </w:p>
        </w:tc>
        <w:tc>
          <w:tcPr>
            <w:tcW w:w="296" w:type="pct"/>
            <w:tcBorders>
              <w:top w:val="single" w:sz="6" w:space="0" w:color="000000"/>
              <w:left w:val="single" w:sz="6" w:space="0" w:color="000000"/>
              <w:bottom w:val="single" w:sz="6" w:space="0" w:color="000000"/>
              <w:right w:val="single" w:sz="6" w:space="0" w:color="000000"/>
            </w:tcBorders>
            <w:shd w:val="clear" w:color="auto" w:fill="FFFFFF"/>
          </w:tcPr>
          <w:p w14:paraId="053D8971"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192" w:type="pct"/>
            <w:tcBorders>
              <w:top w:val="single" w:sz="6" w:space="0" w:color="000000"/>
              <w:left w:val="single" w:sz="6" w:space="0" w:color="000000"/>
              <w:bottom w:val="single" w:sz="6" w:space="0" w:color="000000"/>
              <w:right w:val="single" w:sz="6" w:space="0" w:color="000000"/>
            </w:tcBorders>
            <w:shd w:val="clear" w:color="auto" w:fill="FFFFFF"/>
          </w:tcPr>
          <w:p w14:paraId="24CE5C5D"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Процент</w:t>
            </w:r>
          </w:p>
        </w:tc>
        <w:tc>
          <w:tcPr>
            <w:tcW w:w="202" w:type="pct"/>
            <w:tcBorders>
              <w:top w:val="single" w:sz="6" w:space="0" w:color="000000"/>
              <w:left w:val="single" w:sz="6" w:space="0" w:color="000000"/>
              <w:bottom w:val="single" w:sz="6" w:space="0" w:color="000000"/>
              <w:right w:val="single" w:sz="6" w:space="0" w:color="000000"/>
            </w:tcBorders>
            <w:shd w:val="clear" w:color="auto" w:fill="FFFFFF"/>
          </w:tcPr>
          <w:p w14:paraId="1BBA2AFD"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Процент</w:t>
            </w:r>
          </w:p>
        </w:tc>
        <w:tc>
          <w:tcPr>
            <w:tcW w:w="302" w:type="pct"/>
            <w:tcBorders>
              <w:top w:val="single" w:sz="6" w:space="0" w:color="000000"/>
              <w:left w:val="single" w:sz="6" w:space="0" w:color="000000"/>
              <w:bottom w:val="single" w:sz="6" w:space="0" w:color="000000"/>
              <w:right w:val="single" w:sz="6" w:space="0" w:color="000000"/>
            </w:tcBorders>
            <w:shd w:val="clear" w:color="auto" w:fill="FFFFFF"/>
          </w:tcPr>
          <w:p w14:paraId="500FDF29"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70%</w:t>
            </w:r>
          </w:p>
        </w:tc>
        <w:tc>
          <w:tcPr>
            <w:tcW w:w="152" w:type="pct"/>
            <w:tcBorders>
              <w:top w:val="single" w:sz="6" w:space="0" w:color="000000"/>
              <w:left w:val="single" w:sz="6" w:space="0" w:color="000000"/>
              <w:bottom w:val="single" w:sz="6" w:space="0" w:color="000000"/>
              <w:right w:val="single" w:sz="6" w:space="0" w:color="000000"/>
            </w:tcBorders>
            <w:shd w:val="clear" w:color="auto" w:fill="FFFFFF"/>
          </w:tcPr>
          <w:p w14:paraId="0BF10B0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73" w:type="pct"/>
            <w:tcBorders>
              <w:top w:val="single" w:sz="6" w:space="0" w:color="000000"/>
              <w:left w:val="single" w:sz="6" w:space="0" w:color="000000"/>
              <w:bottom w:val="single" w:sz="6" w:space="0" w:color="000000"/>
              <w:right w:val="single" w:sz="6" w:space="0" w:color="000000"/>
            </w:tcBorders>
            <w:shd w:val="clear" w:color="auto" w:fill="FFFFFF"/>
          </w:tcPr>
          <w:p w14:paraId="3940CAE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05B5FFE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3227FD6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4331AEF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6411087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7C7E06C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09D6184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756ECA96" w14:textId="2A9B1DE8" w:rsidR="00B54C34" w:rsidRPr="007D063B" w:rsidRDefault="003120C7"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365ED86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6FA191D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24656A9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61B7937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5AA0862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5B469AA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3EA7930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3DC0E47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2C08758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5B928C6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2020E74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2955F19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6122741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01CD6E3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4109896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25E9C77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1496A2F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71F672B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169B849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3" w:type="pct"/>
            <w:tcBorders>
              <w:top w:val="single" w:sz="6" w:space="0" w:color="000000"/>
              <w:left w:val="single" w:sz="6" w:space="0" w:color="000000"/>
              <w:bottom w:val="single" w:sz="6" w:space="0" w:color="000000"/>
              <w:right w:val="single" w:sz="6" w:space="0" w:color="000000"/>
            </w:tcBorders>
            <w:shd w:val="clear" w:color="auto" w:fill="FFFFFF"/>
          </w:tcPr>
          <w:p w14:paraId="6739570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5" w:type="pct"/>
            <w:tcBorders>
              <w:top w:val="single" w:sz="6" w:space="0" w:color="000000"/>
              <w:left w:val="single" w:sz="6" w:space="0" w:color="000000"/>
              <w:bottom w:val="single" w:sz="6" w:space="0" w:color="000000"/>
              <w:right w:val="single" w:sz="6" w:space="0" w:color="000000"/>
            </w:tcBorders>
            <w:shd w:val="clear" w:color="auto" w:fill="FFFFFF"/>
          </w:tcPr>
          <w:p w14:paraId="1DCDD6F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6" w:type="pct"/>
            <w:tcBorders>
              <w:top w:val="single" w:sz="6" w:space="0" w:color="000000"/>
              <w:left w:val="single" w:sz="6" w:space="0" w:color="000000"/>
              <w:bottom w:val="single" w:sz="6" w:space="0" w:color="000000"/>
              <w:right w:val="single" w:sz="6" w:space="0" w:color="000000"/>
            </w:tcBorders>
            <w:shd w:val="clear" w:color="auto" w:fill="FFFFFF"/>
          </w:tcPr>
          <w:p w14:paraId="7CBD30A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8" w:type="pct"/>
            <w:tcBorders>
              <w:top w:val="single" w:sz="6" w:space="0" w:color="000000"/>
              <w:left w:val="single" w:sz="6" w:space="0" w:color="000000"/>
              <w:bottom w:val="single" w:sz="6" w:space="0" w:color="000000"/>
              <w:right w:val="single" w:sz="6" w:space="0" w:color="000000"/>
            </w:tcBorders>
            <w:shd w:val="clear" w:color="auto" w:fill="FFFFFF"/>
          </w:tcPr>
          <w:p w14:paraId="0101405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99" w:type="pct"/>
            <w:tcBorders>
              <w:top w:val="single" w:sz="6" w:space="0" w:color="000000"/>
              <w:left w:val="single" w:sz="6" w:space="0" w:color="000000"/>
              <w:bottom w:val="single" w:sz="6" w:space="0" w:color="000000"/>
              <w:right w:val="single" w:sz="6" w:space="0" w:color="000000"/>
            </w:tcBorders>
            <w:shd w:val="clear" w:color="auto" w:fill="FFFFFF"/>
          </w:tcPr>
          <w:p w14:paraId="280E9EE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 w:type="pct"/>
            <w:tcBorders>
              <w:top w:val="single" w:sz="6" w:space="0" w:color="000000"/>
              <w:left w:val="single" w:sz="6" w:space="0" w:color="000000"/>
              <w:bottom w:val="single" w:sz="6" w:space="0" w:color="000000"/>
              <w:right w:val="single" w:sz="6" w:space="0" w:color="000000"/>
            </w:tcBorders>
            <w:shd w:val="clear" w:color="auto" w:fill="FFFFFF"/>
          </w:tcPr>
          <w:p w14:paraId="53F3C8F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 w:type="pct"/>
            <w:gridSpan w:val="2"/>
            <w:tcBorders>
              <w:top w:val="single" w:sz="6" w:space="0" w:color="000000"/>
              <w:left w:val="single" w:sz="6" w:space="0" w:color="000000"/>
              <w:bottom w:val="single" w:sz="6" w:space="0" w:color="000000"/>
              <w:right w:val="single" w:sz="6" w:space="0" w:color="000000"/>
            </w:tcBorders>
            <w:shd w:val="clear" w:color="auto" w:fill="FFFFFF"/>
          </w:tcPr>
          <w:p w14:paraId="4A7142B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63" w:type="pct"/>
            <w:tcBorders>
              <w:top w:val="single" w:sz="6" w:space="0" w:color="000000"/>
              <w:left w:val="single" w:sz="6" w:space="0" w:color="000000"/>
              <w:bottom w:val="single" w:sz="6" w:space="0" w:color="000000"/>
              <w:right w:val="single" w:sz="6" w:space="0" w:color="000000"/>
            </w:tcBorders>
            <w:shd w:val="clear" w:color="auto" w:fill="FFFFFF"/>
          </w:tcPr>
          <w:p w14:paraId="7618872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18" w:type="pct"/>
            <w:gridSpan w:val="2"/>
            <w:tcBorders>
              <w:top w:val="single" w:sz="6" w:space="0" w:color="000000"/>
              <w:left w:val="single" w:sz="6" w:space="0" w:color="000000"/>
              <w:bottom w:val="single" w:sz="6" w:space="0" w:color="000000"/>
              <w:right w:val="single" w:sz="6" w:space="0" w:color="000000"/>
            </w:tcBorders>
            <w:shd w:val="clear" w:color="auto" w:fill="FFFFFF"/>
          </w:tcPr>
          <w:p w14:paraId="26067B0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3" w:type="pct"/>
            <w:tcBorders>
              <w:top w:val="single" w:sz="6" w:space="0" w:color="000000"/>
              <w:left w:val="single" w:sz="6" w:space="0" w:color="000000"/>
              <w:bottom w:val="single" w:sz="6" w:space="0" w:color="000000"/>
              <w:right w:val="single" w:sz="6" w:space="0" w:color="000000"/>
            </w:tcBorders>
            <w:shd w:val="clear" w:color="auto" w:fill="FFFFFF"/>
          </w:tcPr>
          <w:p w14:paraId="61AA7F8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B54C34" w:rsidRPr="007D063B" w14:paraId="77F13B4E" w14:textId="77777777" w:rsidTr="005A1442">
        <w:trPr>
          <w:tblCellSpacing w:w="0" w:type="dxa"/>
          <w:jc w:val="center"/>
        </w:trPr>
        <w:tc>
          <w:tcPr>
            <w:tcW w:w="5000" w:type="pct"/>
            <w:gridSpan w:val="47"/>
            <w:shd w:val="clear" w:color="auto" w:fill="FFFFFF"/>
            <w:vAlign w:val="center"/>
            <w:hideMark/>
          </w:tcPr>
          <w:p w14:paraId="0ADA68C0" w14:textId="77777777" w:rsidR="00B54C34" w:rsidRPr="007D063B" w:rsidRDefault="00B54C34" w:rsidP="00450FF1">
            <w:pPr>
              <w:spacing w:after="0" w:line="240" w:lineRule="auto"/>
              <w:jc w:val="center"/>
              <w:rPr>
                <w:rFonts w:ascii="Times New Roman" w:eastAsia="Times New Roman" w:hAnsi="Times New Roman" w:cs="Times New Roman"/>
                <w:color w:val="000000"/>
                <w:sz w:val="16"/>
                <w:szCs w:val="16"/>
                <w:lang w:eastAsia="bg-BG"/>
              </w:rPr>
            </w:pPr>
          </w:p>
        </w:tc>
      </w:tr>
    </w:tbl>
    <w:p w14:paraId="7C7D09F5" w14:textId="77777777" w:rsidR="00B54C34" w:rsidRPr="007D063B" w:rsidRDefault="00B54C34" w:rsidP="00B54C34">
      <w:pPr>
        <w:shd w:val="clear" w:color="auto" w:fill="FFFFFF"/>
        <w:spacing w:before="120" w:after="120" w:line="240" w:lineRule="auto"/>
        <w:jc w:val="center"/>
        <w:rPr>
          <w:rFonts w:ascii="inherit" w:eastAsia="Times New Roman" w:hAnsi="inherit" w:cs="Times New Roman"/>
          <w:i/>
          <w:iCs/>
          <w:color w:val="000000"/>
          <w:sz w:val="24"/>
          <w:szCs w:val="24"/>
          <w:lang w:eastAsia="bg-BG"/>
        </w:rPr>
      </w:pPr>
    </w:p>
    <w:p w14:paraId="63F3E820" w14:textId="77777777" w:rsidR="00B54C34" w:rsidRPr="007D063B" w:rsidRDefault="00B54C34" w:rsidP="00421321">
      <w:pPr>
        <w:pStyle w:val="Heading3"/>
        <w:jc w:val="center"/>
        <w:rPr>
          <w:rFonts w:ascii="Times New Roman" w:eastAsia="Times New Roman" w:hAnsi="Times New Roman" w:cs="Times New Roman"/>
          <w:color w:val="000000"/>
          <w:lang w:eastAsia="bg-BG"/>
        </w:rPr>
      </w:pPr>
      <w:bookmarkStart w:id="25" w:name="_Toc481594286"/>
      <w:r w:rsidRPr="007D063B">
        <w:rPr>
          <w:rFonts w:ascii="inherit" w:eastAsia="Times New Roman" w:hAnsi="inherit" w:cs="Times New Roman"/>
          <w:i/>
          <w:iCs/>
          <w:color w:val="000000"/>
          <w:lang w:eastAsia="bg-BG"/>
        </w:rPr>
        <w:t>Таблица 4А</w:t>
      </w:r>
      <w:bookmarkEnd w:id="25"/>
    </w:p>
    <w:p w14:paraId="1F1CF1AA" w14:textId="77777777" w:rsidR="00B54C34" w:rsidRPr="007D063B" w:rsidRDefault="00B54C34" w:rsidP="00B54C34">
      <w:pPr>
        <w:shd w:val="clear" w:color="auto" w:fill="FFFFFF"/>
        <w:spacing w:before="120" w:after="120" w:line="240" w:lineRule="auto"/>
        <w:jc w:val="center"/>
        <w:rPr>
          <w:rFonts w:ascii="Times New Roman" w:eastAsia="Times New Roman" w:hAnsi="Times New Roman" w:cs="Times New Roman"/>
          <w:color w:val="000000"/>
          <w:sz w:val="24"/>
          <w:szCs w:val="24"/>
          <w:lang w:eastAsia="bg-BG"/>
        </w:rPr>
      </w:pPr>
      <w:r w:rsidRPr="007D063B">
        <w:rPr>
          <w:rFonts w:ascii="inherit" w:eastAsia="Times New Roman" w:hAnsi="inherit" w:cs="Times New Roman"/>
          <w:b/>
          <w:bCs/>
          <w:color w:val="000000"/>
          <w:sz w:val="24"/>
          <w:szCs w:val="24"/>
          <w:lang w:eastAsia="bg-BG"/>
        </w:rPr>
        <w:t>Общи показатели за изпълнение за ЕСФ (по приоритетна ос, инвестиционен приоритет, категория регион). За инициативата за младежка заетост, за всяка приоритетна ос или част от нея не се изисква разпределение по категория региони</w:t>
      </w:r>
      <w:r w:rsidRPr="007D063B">
        <w:rPr>
          <w:rFonts w:ascii="Times New Roman" w:eastAsia="Times New Roman" w:hAnsi="Times New Roman" w:cs="Times New Roman"/>
          <w:color w:val="000000"/>
          <w:sz w:val="24"/>
          <w:szCs w:val="24"/>
          <w:lang w:eastAsia="bg-BG"/>
        </w:rPr>
        <w:t> </w:t>
      </w:r>
      <w:hyperlink r:id="rId51" w:anchor="ntr13-L_2015038BG.01007201-E0013" w:history="1">
        <w:r w:rsidRPr="007D063B">
          <w:rPr>
            <w:rFonts w:ascii="inherit" w:eastAsia="Times New Roman" w:hAnsi="inherit" w:cs="Times New Roman"/>
            <w:color w:val="0000FF"/>
            <w:sz w:val="24"/>
            <w:szCs w:val="24"/>
            <w:u w:val="single"/>
            <w:lang w:eastAsia="bg-BG"/>
          </w:rPr>
          <w:t> (</w:t>
        </w:r>
        <w:r w:rsidRPr="007D063B">
          <w:rPr>
            <w:rFonts w:ascii="inherit" w:eastAsia="Times New Roman" w:hAnsi="inherit" w:cs="Times New Roman"/>
            <w:color w:val="0000FF"/>
            <w:sz w:val="17"/>
            <w:szCs w:val="17"/>
            <w:u w:val="single"/>
            <w:vertAlign w:val="superscript"/>
            <w:lang w:eastAsia="bg-BG"/>
          </w:rPr>
          <w:t>13</w:t>
        </w:r>
        <w:r w:rsidRPr="007D063B">
          <w:rPr>
            <w:rFonts w:ascii="inherit" w:eastAsia="Times New Roman" w:hAnsi="inherit" w:cs="Times New Roman"/>
            <w:color w:val="0000FF"/>
            <w:sz w:val="24"/>
            <w:szCs w:val="24"/>
            <w:u w:val="single"/>
            <w:lang w:eastAsia="bg-BG"/>
          </w:rPr>
          <w:t>)</w:t>
        </w:r>
      </w:hyperlink>
    </w:p>
    <w:p w14:paraId="46A57FA9" w14:textId="48401A6D" w:rsidR="00631E2C" w:rsidRPr="007D063B" w:rsidRDefault="00B54C34" w:rsidP="00631E2C">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Инвестиционен приоритет:</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left w:w="0" w:type="dxa"/>
          <w:right w:w="0" w:type="dxa"/>
        </w:tblCellMar>
        <w:tblLook w:val="04A0" w:firstRow="1" w:lastRow="0" w:firstColumn="1" w:lastColumn="0" w:noHBand="0" w:noVBand="1"/>
      </w:tblPr>
      <w:tblGrid>
        <w:gridCol w:w="1272"/>
        <w:gridCol w:w="1423"/>
        <w:gridCol w:w="713"/>
        <w:gridCol w:w="556"/>
        <w:gridCol w:w="306"/>
        <w:gridCol w:w="312"/>
        <w:gridCol w:w="351"/>
        <w:gridCol w:w="359"/>
        <w:gridCol w:w="351"/>
        <w:gridCol w:w="359"/>
        <w:gridCol w:w="351"/>
        <w:gridCol w:w="359"/>
        <w:gridCol w:w="351"/>
        <w:gridCol w:w="359"/>
        <w:gridCol w:w="351"/>
        <w:gridCol w:w="359"/>
        <w:gridCol w:w="351"/>
        <w:gridCol w:w="359"/>
        <w:gridCol w:w="351"/>
        <w:gridCol w:w="359"/>
        <w:gridCol w:w="351"/>
        <w:gridCol w:w="359"/>
        <w:gridCol w:w="351"/>
        <w:gridCol w:w="359"/>
        <w:gridCol w:w="351"/>
        <w:gridCol w:w="393"/>
        <w:gridCol w:w="533"/>
        <w:gridCol w:w="292"/>
        <w:gridCol w:w="300"/>
        <w:gridCol w:w="587"/>
        <w:gridCol w:w="320"/>
        <w:gridCol w:w="286"/>
      </w:tblGrid>
      <w:tr w:rsidR="00B54C34" w:rsidRPr="007D063B" w14:paraId="30B73AA1" w14:textId="77777777" w:rsidTr="00631E2C">
        <w:trPr>
          <w:tblCellSpacing w:w="0" w:type="dxa"/>
        </w:trPr>
        <w:tc>
          <w:tcPr>
            <w:tcW w:w="453" w:type="pct"/>
            <w:tcBorders>
              <w:top w:val="single" w:sz="6" w:space="0" w:color="000000"/>
              <w:left w:val="single" w:sz="6" w:space="0" w:color="000000"/>
              <w:bottom w:val="single" w:sz="6" w:space="0" w:color="000000"/>
              <w:right w:val="single" w:sz="6" w:space="0" w:color="000000"/>
            </w:tcBorders>
            <w:shd w:val="clear" w:color="auto" w:fill="FFFFFF"/>
            <w:hideMark/>
          </w:tcPr>
          <w:p w14:paraId="11096248" w14:textId="77777777" w:rsidR="00B54C34" w:rsidRPr="007D063B" w:rsidRDefault="00B54C34" w:rsidP="00450FF1">
            <w:pPr>
              <w:spacing w:before="60" w:after="60" w:line="240" w:lineRule="auto"/>
              <w:ind w:right="195"/>
              <w:jc w:val="center"/>
              <w:rPr>
                <w:rFonts w:ascii="Times New Roman" w:eastAsia="Times New Roman" w:hAnsi="Times New Roman" w:cs="Times New Roman"/>
                <w:color w:val="000000"/>
                <w:sz w:val="20"/>
                <w:szCs w:val="20"/>
                <w:lang w:eastAsia="bg-BG"/>
              </w:rPr>
            </w:pPr>
            <w:r w:rsidRPr="007D063B">
              <w:rPr>
                <w:rFonts w:ascii="Times New Roman" w:eastAsia="Times New Roman" w:hAnsi="Times New Roman" w:cs="Times New Roman"/>
                <w:color w:val="000000"/>
                <w:sz w:val="20"/>
                <w:szCs w:val="20"/>
                <w:lang w:eastAsia="bg-BG"/>
              </w:rPr>
              <w:t xml:space="preserve">Категория регион: </w:t>
            </w:r>
          </w:p>
          <w:p w14:paraId="300C2A84" w14:textId="77777777" w:rsidR="00B54C34" w:rsidRPr="007D063B" w:rsidRDefault="00B54C34" w:rsidP="00450FF1">
            <w:pPr>
              <w:spacing w:before="60" w:after="60" w:line="240" w:lineRule="auto"/>
              <w:ind w:right="195"/>
              <w:jc w:val="center"/>
              <w:rPr>
                <w:rFonts w:ascii="Times New Roman" w:eastAsia="Times New Roman" w:hAnsi="Times New Roman" w:cs="Times New Roman"/>
                <w:color w:val="000000"/>
                <w:sz w:val="20"/>
                <w:szCs w:val="20"/>
                <w:lang w:eastAsia="bg-BG"/>
              </w:rPr>
            </w:pPr>
            <w:r w:rsidRPr="007D063B">
              <w:rPr>
                <w:rFonts w:ascii="Times New Roman" w:eastAsia="Times New Roman" w:hAnsi="Times New Roman" w:cs="Times New Roman"/>
                <w:color w:val="000000"/>
                <w:sz w:val="20"/>
                <w:szCs w:val="20"/>
                <w:lang w:eastAsia="bg-BG"/>
              </w:rPr>
              <w:t>По-слабо развити региони</w:t>
            </w:r>
          </w:p>
          <w:p w14:paraId="5DC7D2EF"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Показател Идентификация</w:t>
            </w: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55F3F18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Показател (наименование на показателя)</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0A8534D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Категория региони (когато е уместно)</w:t>
            </w:r>
          </w:p>
        </w:tc>
        <w:tc>
          <w:tcPr>
            <w:tcW w:w="41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349C8F2"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Целева стойност (2023 г.)</w:t>
            </w:r>
          </w:p>
          <w:p w14:paraId="30AEAA68"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Разпределението по пол е незадължително (за целевата стойност)</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7CC1DF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2014</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CA75452"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2015</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A5A865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2016</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DE1569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2017</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8C35FD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2018</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A402FC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2019</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B764841"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2020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3BEA06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2021</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31D8C5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2022</w:t>
            </w:r>
          </w:p>
        </w:tc>
        <w:tc>
          <w:tcPr>
            <w:tcW w:w="264"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F9E4438"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2023</w:t>
            </w:r>
          </w:p>
        </w:tc>
        <w:tc>
          <w:tcPr>
            <w:tcW w:w="401"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5ABE4EB"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Кумулативна стойност (автоматично изчислена)</w:t>
            </w:r>
          </w:p>
        </w:tc>
        <w:tc>
          <w:tcPr>
            <w:tcW w:w="426"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E79FDA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Съотношение на постиженията</w:t>
            </w:r>
          </w:p>
          <w:p w14:paraId="7904302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Разпределение по пол (незадължително)</w:t>
            </w:r>
          </w:p>
        </w:tc>
      </w:tr>
      <w:tr w:rsidR="00B54C34" w:rsidRPr="007D063B" w14:paraId="0A37277D" w14:textId="77777777" w:rsidTr="00631E2C">
        <w:trPr>
          <w:tblCellSpacing w:w="0" w:type="dxa"/>
        </w:trPr>
        <w:tc>
          <w:tcPr>
            <w:tcW w:w="453"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DB9336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4F5A4B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EBD30C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8" w:type="pct"/>
            <w:tcBorders>
              <w:top w:val="single" w:sz="6" w:space="0" w:color="000000"/>
              <w:left w:val="single" w:sz="6" w:space="0" w:color="000000"/>
              <w:bottom w:val="single" w:sz="6" w:space="0" w:color="000000"/>
              <w:right w:val="single" w:sz="6" w:space="0" w:color="000000"/>
            </w:tcBorders>
            <w:shd w:val="clear" w:color="auto" w:fill="FFFFFF"/>
            <w:hideMark/>
          </w:tcPr>
          <w:p w14:paraId="2B05783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tcBorders>
              <w:top w:val="single" w:sz="6" w:space="0" w:color="000000"/>
              <w:left w:val="single" w:sz="6" w:space="0" w:color="000000"/>
              <w:bottom w:val="single" w:sz="6" w:space="0" w:color="000000"/>
              <w:right w:val="single" w:sz="6" w:space="0" w:color="000000"/>
            </w:tcBorders>
            <w:shd w:val="clear" w:color="auto" w:fill="FFFFFF"/>
            <w:hideMark/>
          </w:tcPr>
          <w:p w14:paraId="0BE1D71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tcBorders>
              <w:top w:val="single" w:sz="6" w:space="0" w:color="000000"/>
              <w:left w:val="single" w:sz="6" w:space="0" w:color="000000"/>
              <w:bottom w:val="single" w:sz="6" w:space="0" w:color="000000"/>
              <w:right w:val="single" w:sz="6" w:space="0" w:color="000000"/>
            </w:tcBorders>
            <w:shd w:val="clear" w:color="auto" w:fill="FFFFFF"/>
            <w:hideMark/>
          </w:tcPr>
          <w:p w14:paraId="7205193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42" w:type="pct"/>
            <w:gridSpan w:val="20"/>
            <w:tcBorders>
              <w:top w:val="single" w:sz="6" w:space="0" w:color="000000"/>
              <w:left w:val="single" w:sz="6" w:space="0" w:color="000000"/>
              <w:bottom w:val="single" w:sz="6" w:space="0" w:color="000000"/>
              <w:right w:val="single" w:sz="6" w:space="0" w:color="000000"/>
            </w:tcBorders>
            <w:shd w:val="clear" w:color="auto" w:fill="FFFFFF"/>
            <w:hideMark/>
          </w:tcPr>
          <w:p w14:paraId="48A46177"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lang w:eastAsia="bg-BG"/>
              </w:rPr>
            </w:pPr>
            <w:r w:rsidRPr="007D063B">
              <w:rPr>
                <w:rFonts w:ascii="Times New Roman" w:eastAsia="Times New Roman" w:hAnsi="Times New Roman" w:cs="Times New Roman"/>
                <w:b/>
                <w:bCs/>
                <w:color w:val="000000"/>
                <w:lang w:eastAsia="bg-BG"/>
              </w:rPr>
              <w:t>Годишна стойност</w:t>
            </w:r>
          </w:p>
        </w:tc>
        <w:tc>
          <w:tcPr>
            <w:tcW w:w="190" w:type="pct"/>
            <w:tcBorders>
              <w:top w:val="single" w:sz="6" w:space="0" w:color="000000"/>
              <w:left w:val="single" w:sz="6" w:space="0" w:color="000000"/>
              <w:bottom w:val="single" w:sz="6" w:space="0" w:color="000000"/>
              <w:right w:val="single" w:sz="6" w:space="0" w:color="000000"/>
            </w:tcBorders>
            <w:shd w:val="clear" w:color="auto" w:fill="FFFFFF"/>
            <w:hideMark/>
          </w:tcPr>
          <w:p w14:paraId="653BE50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4" w:type="pct"/>
            <w:tcBorders>
              <w:top w:val="single" w:sz="6" w:space="0" w:color="000000"/>
              <w:left w:val="single" w:sz="6" w:space="0" w:color="000000"/>
              <w:bottom w:val="single" w:sz="6" w:space="0" w:color="000000"/>
              <w:right w:val="single" w:sz="6" w:space="0" w:color="000000"/>
            </w:tcBorders>
            <w:shd w:val="clear" w:color="auto" w:fill="FFFFFF"/>
            <w:hideMark/>
          </w:tcPr>
          <w:p w14:paraId="45CE0C5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7" w:type="pct"/>
            <w:tcBorders>
              <w:top w:val="single" w:sz="6" w:space="0" w:color="000000"/>
              <w:left w:val="single" w:sz="6" w:space="0" w:color="000000"/>
              <w:bottom w:val="single" w:sz="6" w:space="0" w:color="000000"/>
              <w:right w:val="single" w:sz="6" w:space="0" w:color="000000"/>
            </w:tcBorders>
            <w:shd w:val="clear" w:color="auto" w:fill="FFFFFF"/>
            <w:hideMark/>
          </w:tcPr>
          <w:p w14:paraId="0CBD4F4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09" w:type="pct"/>
            <w:tcBorders>
              <w:top w:val="single" w:sz="6" w:space="0" w:color="000000"/>
              <w:left w:val="single" w:sz="6" w:space="0" w:color="000000"/>
              <w:bottom w:val="single" w:sz="6" w:space="0" w:color="000000"/>
              <w:right w:val="single" w:sz="6" w:space="0" w:color="000000"/>
            </w:tcBorders>
            <w:shd w:val="clear" w:color="auto" w:fill="FFFFFF"/>
            <w:hideMark/>
          </w:tcPr>
          <w:p w14:paraId="559774E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4" w:type="pct"/>
            <w:tcBorders>
              <w:top w:val="single" w:sz="6" w:space="0" w:color="000000"/>
              <w:left w:val="single" w:sz="6" w:space="0" w:color="000000"/>
              <w:bottom w:val="single" w:sz="6" w:space="0" w:color="000000"/>
              <w:right w:val="single" w:sz="6" w:space="0" w:color="000000"/>
            </w:tcBorders>
            <w:shd w:val="clear" w:color="auto" w:fill="FFFFFF"/>
            <w:hideMark/>
          </w:tcPr>
          <w:p w14:paraId="2E6C32B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3" w:type="pct"/>
            <w:tcBorders>
              <w:top w:val="single" w:sz="6" w:space="0" w:color="000000"/>
              <w:left w:val="single" w:sz="6" w:space="0" w:color="000000"/>
              <w:bottom w:val="single" w:sz="6" w:space="0" w:color="000000"/>
              <w:right w:val="single" w:sz="6" w:space="0" w:color="000000"/>
            </w:tcBorders>
            <w:shd w:val="clear" w:color="auto" w:fill="FFFFFF"/>
            <w:hideMark/>
          </w:tcPr>
          <w:p w14:paraId="07E2287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r>
      <w:tr w:rsidR="00E133C6" w:rsidRPr="007D063B" w14:paraId="0DFB70DB" w14:textId="77777777" w:rsidTr="00631E2C">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0F29A1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0F0ABF" w14:textId="77777777" w:rsidR="00B54C34" w:rsidRPr="007D063B" w:rsidRDefault="00B54C34" w:rsidP="00450FF1">
            <w:pPr>
              <w:spacing w:after="0" w:line="240" w:lineRule="auto"/>
              <w:rPr>
                <w:rFonts w:ascii="Times New Roman" w:eastAsia="Times New Roman" w:hAnsi="Times New Roman" w:cs="Times New Roman"/>
                <w:color w:val="000000"/>
                <w:sz w:val="16"/>
                <w:szCs w:val="16"/>
                <w:lang w:eastAsia="bg-BG"/>
              </w:rPr>
            </w:pP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1C34C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8" w:type="pct"/>
            <w:tcBorders>
              <w:top w:val="single" w:sz="6" w:space="0" w:color="000000"/>
              <w:left w:val="single" w:sz="6" w:space="0" w:color="000000"/>
              <w:bottom w:val="single" w:sz="6" w:space="0" w:color="000000"/>
              <w:right w:val="single" w:sz="6" w:space="0" w:color="000000"/>
            </w:tcBorders>
            <w:shd w:val="clear" w:color="auto" w:fill="FFFFFF"/>
            <w:hideMark/>
          </w:tcPr>
          <w:p w14:paraId="6721912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Общо</w:t>
            </w:r>
          </w:p>
        </w:tc>
        <w:tc>
          <w:tcPr>
            <w:tcW w:w="109" w:type="pct"/>
            <w:tcBorders>
              <w:top w:val="single" w:sz="6" w:space="0" w:color="000000"/>
              <w:left w:val="single" w:sz="6" w:space="0" w:color="000000"/>
              <w:bottom w:val="single" w:sz="6" w:space="0" w:color="000000"/>
              <w:right w:val="single" w:sz="6" w:space="0" w:color="000000"/>
            </w:tcBorders>
            <w:shd w:val="clear" w:color="auto" w:fill="FFFFFF"/>
            <w:hideMark/>
          </w:tcPr>
          <w:p w14:paraId="0DCB7837"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11" w:type="pct"/>
            <w:tcBorders>
              <w:top w:val="single" w:sz="6" w:space="0" w:color="000000"/>
              <w:left w:val="single" w:sz="6" w:space="0" w:color="000000"/>
              <w:bottom w:val="single" w:sz="6" w:space="0" w:color="000000"/>
              <w:right w:val="single" w:sz="6" w:space="0" w:color="000000"/>
            </w:tcBorders>
            <w:shd w:val="clear" w:color="auto" w:fill="FFFFFF"/>
            <w:hideMark/>
          </w:tcPr>
          <w:p w14:paraId="51CF9C0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24A1FF1B"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75C46F9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0BFB052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38023DBB"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4906F31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2AA9AAF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4A1113EF"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0C368CDF"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23C700B5"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2472F45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6914D6F1"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5F86C8DF"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50D4ED6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13A357F7"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7C725B45"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4A245D47"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701B465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6166070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2228F4A9"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39" w:type="pct"/>
            <w:tcBorders>
              <w:top w:val="single" w:sz="6" w:space="0" w:color="000000"/>
              <w:left w:val="single" w:sz="6" w:space="0" w:color="000000"/>
              <w:bottom w:val="single" w:sz="6" w:space="0" w:color="000000"/>
              <w:right w:val="single" w:sz="6" w:space="0" w:color="000000"/>
            </w:tcBorders>
            <w:shd w:val="clear" w:color="auto" w:fill="FFFFFF"/>
            <w:hideMark/>
          </w:tcPr>
          <w:p w14:paraId="183EABB2"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90" w:type="pct"/>
            <w:tcBorders>
              <w:top w:val="single" w:sz="6" w:space="0" w:color="000000"/>
              <w:left w:val="single" w:sz="6" w:space="0" w:color="000000"/>
              <w:bottom w:val="single" w:sz="6" w:space="0" w:color="000000"/>
              <w:right w:val="single" w:sz="6" w:space="0" w:color="000000"/>
            </w:tcBorders>
            <w:shd w:val="clear" w:color="auto" w:fill="FFFFFF"/>
            <w:hideMark/>
          </w:tcPr>
          <w:p w14:paraId="374D9D43"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Общо</w:t>
            </w:r>
          </w:p>
        </w:tc>
        <w:tc>
          <w:tcPr>
            <w:tcW w:w="104" w:type="pct"/>
            <w:tcBorders>
              <w:top w:val="single" w:sz="6" w:space="0" w:color="000000"/>
              <w:left w:val="single" w:sz="6" w:space="0" w:color="000000"/>
              <w:bottom w:val="single" w:sz="6" w:space="0" w:color="000000"/>
              <w:right w:val="single" w:sz="6" w:space="0" w:color="000000"/>
            </w:tcBorders>
            <w:shd w:val="clear" w:color="auto" w:fill="FFFFFF"/>
            <w:hideMark/>
          </w:tcPr>
          <w:p w14:paraId="3796E5C3"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07" w:type="pct"/>
            <w:tcBorders>
              <w:top w:val="single" w:sz="6" w:space="0" w:color="000000"/>
              <w:left w:val="single" w:sz="6" w:space="0" w:color="000000"/>
              <w:bottom w:val="single" w:sz="6" w:space="0" w:color="000000"/>
              <w:right w:val="single" w:sz="6" w:space="0" w:color="000000"/>
            </w:tcBorders>
            <w:shd w:val="clear" w:color="auto" w:fill="FFFFFF"/>
            <w:hideMark/>
          </w:tcPr>
          <w:p w14:paraId="32F93C3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209" w:type="pct"/>
            <w:tcBorders>
              <w:top w:val="single" w:sz="6" w:space="0" w:color="000000"/>
              <w:left w:val="single" w:sz="6" w:space="0" w:color="000000"/>
              <w:bottom w:val="single" w:sz="6" w:space="0" w:color="000000"/>
              <w:right w:val="single" w:sz="6" w:space="0" w:color="000000"/>
            </w:tcBorders>
            <w:shd w:val="clear" w:color="auto" w:fill="FFFFFF"/>
            <w:hideMark/>
          </w:tcPr>
          <w:p w14:paraId="1E86C8D1"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Общо</w:t>
            </w:r>
          </w:p>
        </w:tc>
        <w:tc>
          <w:tcPr>
            <w:tcW w:w="114" w:type="pct"/>
            <w:tcBorders>
              <w:top w:val="single" w:sz="6" w:space="0" w:color="000000"/>
              <w:left w:val="single" w:sz="6" w:space="0" w:color="000000"/>
              <w:bottom w:val="single" w:sz="6" w:space="0" w:color="000000"/>
              <w:right w:val="single" w:sz="6" w:space="0" w:color="000000"/>
            </w:tcBorders>
            <w:shd w:val="clear" w:color="auto" w:fill="FFFFFF"/>
            <w:hideMark/>
          </w:tcPr>
          <w:p w14:paraId="33D2C96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03" w:type="pct"/>
            <w:tcBorders>
              <w:top w:val="single" w:sz="6" w:space="0" w:color="000000"/>
              <w:left w:val="single" w:sz="6" w:space="0" w:color="000000"/>
              <w:bottom w:val="single" w:sz="6" w:space="0" w:color="000000"/>
              <w:right w:val="single" w:sz="6" w:space="0" w:color="000000"/>
            </w:tcBorders>
            <w:shd w:val="clear" w:color="auto" w:fill="FFFFFF"/>
            <w:hideMark/>
          </w:tcPr>
          <w:p w14:paraId="388629B9"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r>
      <w:tr w:rsidR="00E133C6" w:rsidRPr="007D063B" w14:paraId="0CC13E2E" w14:textId="77777777" w:rsidTr="007924E6">
        <w:trPr>
          <w:tblCellSpacing w:w="0" w:type="dxa"/>
        </w:trPr>
        <w:tc>
          <w:tcPr>
            <w:tcW w:w="453"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225427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6A72F4CA"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Безработни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725E05F"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31D781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C94496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FD06F0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A40100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6B37DA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EE8A12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D7BFA9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8493205" w14:textId="4775A2FB"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A1404"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B10C860" w14:textId="06FA639C"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A1404"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DE3ED8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C1D42E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99C0AA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251A31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0EAEEA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FD1ED6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38CA05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4F01E6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ACBCF8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7E5540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3D525E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31BB98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9AA3DA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30AF01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5A8F7A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E31609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754588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59D5FA2E" w14:textId="13F05F6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00EB9234" w14:textId="0216F00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6854800C" w14:textId="06B6FF3B"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7E535CE7"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C7B264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4B785B24"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Безработни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634D5CE7"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9F1E82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064F38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BDF01B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552BA5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1C3F0E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4FE92F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558993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2F9E4F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D27EE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5A1D5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9251EE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0202F0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B923F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2A4ACD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86A6B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2B69DB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2CC2F4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E3F3F9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B775A8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CD98CC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FA283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7E5F78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57158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E170C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B1280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58D62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201B7E1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59C00FF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3832577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3996851E"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200BD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6B73361B"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Трайно безработни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DEFA571"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DAAAEC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800C4A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0849D1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A8A9F0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3044B3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6C6CEE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3FD58A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93ED07D" w14:textId="4ECC04C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A1404"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9D132BC" w14:textId="03E02D79"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A1404"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99442A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7CD807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1C55A5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B27E65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4BD7C6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45ADE4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D0EAE2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73B506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9894C0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33667A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932897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2CF9AD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1747F2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D3DD7F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893542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70F784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78683E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3E7FFB28" w14:textId="356A3B5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4ED30220" w14:textId="132AA83F"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1005623D" w14:textId="20931FF9"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3C431839"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7DAA4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15F9A86E"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Трайно безработни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25BF4081"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51A65B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BCD09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9AB95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C46CC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28E276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8944D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724054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BEBBF7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E1D6BC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BBD36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5AA263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B88888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FEABBF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B3A0EE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D59BC4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9806B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478DE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1B997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DADC5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944EB3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3FFD05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7E8075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6DC8B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DB97B2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FB6783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62F736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056A4B6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59DC396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70926BE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670B6E8A"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05144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5EE8C6C1"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Неактивни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31DD2D3"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A2DB40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660666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B4572E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25600E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86E6B5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F191AB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12288D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4E78574" w14:textId="4A3D3301"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A1404"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0F79094" w14:textId="28DA821C"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A1404"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47244A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EC067B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6571E3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72FC65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ED858F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CD9A40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477093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5A89CC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093616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10D51F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70F240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AE55D6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C3D423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521ECE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18956B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CD0A8A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BE330B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35D1983B" w14:textId="473E59F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44C9D38B" w14:textId="4146C1C1"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0DC5599C" w14:textId="29AC108C"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783B199D"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C9C9F2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5F92F1D6"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Неактивни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235487F2"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F0034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BB067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F3383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8C0E9B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D36A8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8AB5ED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63349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E5DC7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E48EB3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73CF2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BDE096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01B2A7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D3877E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A5D027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35048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5FC3CD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B7A12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AD6DB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55FF0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26C18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ADB6B8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B7F95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2E4A73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F0B0F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C0E8F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7B6164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F81BE1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3F6674D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589C1E1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1EBFAF47"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E52A44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13743426"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Неактивни, неангажирани с образование или обучение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C0143CF"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7934A4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8950C7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90BEB1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9461A6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170E8B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39BBC5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8965BD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B4DD39F" w14:textId="61BE305B"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A1404"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3BC3B0C" w14:textId="5851F82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A1404"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73235B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C439F1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93A5D7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F2075A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B4F206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59BC06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330075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496F7C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EACD00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6B59FF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0C6B77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27A6B2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D6CFC0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90E4C8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49992F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2A78D4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0E3D98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001DBA43" w14:textId="49038681"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0F7F4D1F" w14:textId="21FD527B"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21BE5B42" w14:textId="7C3EC020"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70273A5A"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B3FA9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25A1CE8C"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Неактивни, неангажирани с образование или обучение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B7D9A37"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C92032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8FBA7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CF17C7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7419AA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AD6F14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2F401B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F3D00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57FAB7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E23D7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5DB9E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B1B66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DB02F7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B19C71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6F7958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330EDA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71B138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4C95B1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B95A6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CDE65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0AE8B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B8F263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B94B5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8B45B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FDFE2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80C106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1DF4C3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E7C98C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1CFEC5B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74F4D89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38A6E7BF"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BF692C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2D6A5894"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Заети, включително самостоятелно заети</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63D4EFA5"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tcBorders>
              <w:top w:val="single" w:sz="6" w:space="0" w:color="000000"/>
              <w:left w:val="single" w:sz="6" w:space="0" w:color="000000"/>
              <w:bottom w:val="single" w:sz="6" w:space="0" w:color="000000"/>
              <w:right w:val="single" w:sz="6" w:space="0" w:color="000000"/>
            </w:tcBorders>
            <w:shd w:val="clear" w:color="auto" w:fill="FFFFFF"/>
            <w:hideMark/>
          </w:tcPr>
          <w:p w14:paraId="7AFA6A8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tcBorders>
              <w:top w:val="single" w:sz="6" w:space="0" w:color="000000"/>
              <w:left w:val="single" w:sz="6" w:space="0" w:color="000000"/>
              <w:bottom w:val="single" w:sz="6" w:space="0" w:color="000000"/>
              <w:right w:val="single" w:sz="6" w:space="0" w:color="000000"/>
            </w:tcBorders>
            <w:shd w:val="clear" w:color="auto" w:fill="FFFFFF"/>
            <w:hideMark/>
          </w:tcPr>
          <w:p w14:paraId="73D591D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tcBorders>
              <w:top w:val="single" w:sz="6" w:space="0" w:color="000000"/>
              <w:left w:val="single" w:sz="6" w:space="0" w:color="000000"/>
              <w:bottom w:val="single" w:sz="6" w:space="0" w:color="000000"/>
              <w:right w:val="single" w:sz="6" w:space="0" w:color="000000"/>
            </w:tcBorders>
            <w:shd w:val="clear" w:color="auto" w:fill="FFFFFF"/>
            <w:hideMark/>
          </w:tcPr>
          <w:p w14:paraId="6349967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91D27B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0E89A04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50D7775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750B69B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51E2F156" w14:textId="04E96710"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A1404" w:rsidRPr="007D063B">
              <w:rPr>
                <w:rFonts w:ascii="Times New Roman" w:eastAsia="Times New Roman" w:hAnsi="Times New Roman" w:cs="Times New Roman"/>
                <w:color w:val="000000"/>
                <w:sz w:val="24"/>
                <w:szCs w:val="24"/>
                <w:lang w:eastAsia="bg-BG"/>
              </w:rPr>
              <w:t>55</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0A514D15" w14:textId="216C61E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A1404" w:rsidRPr="007D063B">
              <w:rPr>
                <w:rFonts w:ascii="Times New Roman" w:eastAsia="Times New Roman" w:hAnsi="Times New Roman" w:cs="Times New Roman"/>
                <w:color w:val="000000"/>
                <w:sz w:val="24"/>
                <w:szCs w:val="24"/>
                <w:lang w:eastAsia="bg-BG"/>
              </w:rPr>
              <w:t>124</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6C06D420" w14:textId="39B3954F" w:rsidR="00B54C34" w:rsidRPr="007D063B" w:rsidRDefault="00B54C34" w:rsidP="00926508">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5D04C3F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ADF9E3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0FC4C37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0A8BD49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3167AAA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710B986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64E33E7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7CDFAC1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2BDA319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6CAE620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78F3620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2C04D5C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tcBorders>
              <w:top w:val="single" w:sz="6" w:space="0" w:color="000000"/>
              <w:left w:val="single" w:sz="6" w:space="0" w:color="000000"/>
              <w:bottom w:val="single" w:sz="6" w:space="0" w:color="000000"/>
              <w:right w:val="single" w:sz="6" w:space="0" w:color="000000"/>
            </w:tcBorders>
            <w:shd w:val="clear" w:color="auto" w:fill="FFFFFF"/>
            <w:hideMark/>
          </w:tcPr>
          <w:p w14:paraId="508AEDE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tcBorders>
              <w:top w:val="single" w:sz="6" w:space="0" w:color="000000"/>
              <w:left w:val="single" w:sz="6" w:space="0" w:color="000000"/>
              <w:bottom w:val="single" w:sz="6" w:space="0" w:color="000000"/>
              <w:right w:val="single" w:sz="6" w:space="0" w:color="000000"/>
            </w:tcBorders>
            <w:shd w:val="clear" w:color="auto" w:fill="FFFFFF"/>
            <w:hideMark/>
          </w:tcPr>
          <w:p w14:paraId="7CD61F0B" w14:textId="0E5D8F6D" w:rsidR="00B54C34" w:rsidRPr="007D063B" w:rsidRDefault="00B54C34" w:rsidP="00BA1404">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A1404" w:rsidRPr="007D063B">
              <w:rPr>
                <w:rFonts w:ascii="Times New Roman" w:eastAsia="Times New Roman" w:hAnsi="Times New Roman" w:cs="Times New Roman"/>
                <w:color w:val="000000"/>
                <w:sz w:val="24"/>
                <w:szCs w:val="24"/>
                <w:lang w:eastAsia="bg-BG"/>
              </w:rPr>
              <w:t>179</w:t>
            </w:r>
          </w:p>
        </w:tc>
        <w:tc>
          <w:tcPr>
            <w:tcW w:w="104" w:type="pct"/>
            <w:tcBorders>
              <w:top w:val="single" w:sz="6" w:space="0" w:color="000000"/>
              <w:left w:val="single" w:sz="6" w:space="0" w:color="000000"/>
              <w:bottom w:val="single" w:sz="6" w:space="0" w:color="000000"/>
              <w:right w:val="single" w:sz="6" w:space="0" w:color="000000"/>
            </w:tcBorders>
            <w:shd w:val="clear" w:color="auto" w:fill="FFFFFF"/>
            <w:hideMark/>
          </w:tcPr>
          <w:p w14:paraId="3D71DE8F" w14:textId="51E594F3" w:rsidR="00B54C34" w:rsidRPr="007D063B" w:rsidRDefault="00BA140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55</w:t>
            </w:r>
          </w:p>
        </w:tc>
        <w:tc>
          <w:tcPr>
            <w:tcW w:w="107" w:type="pct"/>
            <w:tcBorders>
              <w:top w:val="single" w:sz="6" w:space="0" w:color="000000"/>
              <w:left w:val="single" w:sz="6" w:space="0" w:color="000000"/>
              <w:bottom w:val="single" w:sz="6" w:space="0" w:color="000000"/>
              <w:right w:val="single" w:sz="6" w:space="0" w:color="000000"/>
            </w:tcBorders>
            <w:shd w:val="clear" w:color="auto" w:fill="FFFFFF"/>
            <w:hideMark/>
          </w:tcPr>
          <w:p w14:paraId="5473EDA3" w14:textId="6F900A5D" w:rsidR="00B54C34" w:rsidRPr="007D063B" w:rsidRDefault="00B54C34" w:rsidP="00BA1404">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00BA1404" w:rsidRPr="007D063B">
              <w:rPr>
                <w:rFonts w:ascii="Times New Roman" w:eastAsia="Times New Roman" w:hAnsi="Times New Roman" w:cs="Times New Roman"/>
                <w:color w:val="000000"/>
                <w:sz w:val="24"/>
                <w:szCs w:val="24"/>
                <w:lang w:eastAsia="bg-BG"/>
              </w:rPr>
              <w:t>124</w:t>
            </w:r>
          </w:p>
        </w:tc>
        <w:tc>
          <w:tcPr>
            <w:tcW w:w="209" w:type="pct"/>
            <w:tcBorders>
              <w:top w:val="single" w:sz="6" w:space="0" w:color="000000"/>
              <w:left w:val="single" w:sz="6" w:space="0" w:color="000000"/>
              <w:bottom w:val="single" w:sz="6" w:space="0" w:color="000000"/>
              <w:right w:val="single" w:sz="6" w:space="0" w:color="000000"/>
            </w:tcBorders>
            <w:shd w:val="clear" w:color="auto" w:fill="FFFFFF"/>
          </w:tcPr>
          <w:p w14:paraId="7E70704F" w14:textId="03EA74B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tcBorders>
              <w:top w:val="single" w:sz="6" w:space="0" w:color="000000"/>
              <w:left w:val="single" w:sz="6" w:space="0" w:color="000000"/>
              <w:bottom w:val="single" w:sz="6" w:space="0" w:color="000000"/>
              <w:right w:val="single" w:sz="6" w:space="0" w:color="000000"/>
            </w:tcBorders>
            <w:shd w:val="clear" w:color="auto" w:fill="FFFFFF"/>
          </w:tcPr>
          <w:p w14:paraId="3A918EB2" w14:textId="06003A4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tcBorders>
              <w:top w:val="single" w:sz="6" w:space="0" w:color="000000"/>
              <w:left w:val="single" w:sz="6" w:space="0" w:color="000000"/>
              <w:bottom w:val="single" w:sz="6" w:space="0" w:color="000000"/>
              <w:right w:val="single" w:sz="6" w:space="0" w:color="000000"/>
            </w:tcBorders>
            <w:shd w:val="clear" w:color="auto" w:fill="FFFFFF"/>
          </w:tcPr>
          <w:p w14:paraId="7D1C1036" w14:textId="7E06768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r>
      <w:tr w:rsidR="00E133C6" w:rsidRPr="007D063B" w14:paraId="13A9B8CE"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15553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2B73F09C"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На възраст под 25 години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9E2566F"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B1A97E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6430A0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4E4B1D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48681C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72CB95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9CFB5A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0784FD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29B96DE" w14:textId="2C00C3E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926508"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5F7791F" w14:textId="34677EAF" w:rsidR="00B54C34" w:rsidRPr="007D063B" w:rsidRDefault="00926508"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r w:rsidR="00B54C34"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1EE81A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5EFB3B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7CF209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02327D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FBC1FC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F1CB3E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B2E296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4F79D7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A602BB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67A6E7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1EB9FC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75E182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FD2194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A2011E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B5BC0B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9FCA7E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CC26C6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69C5DF05" w14:textId="51C83E4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6709ABB7" w14:textId="2380B7D0"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790D70B5" w14:textId="6DCA1D39"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1574A95E"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12383C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7A83A4C3"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На възраст под 25 години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2754B8AA"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3D13E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A32071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4807B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25C5D4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C7270C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5DB79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F5A2F1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CE825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A6C1C4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085984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02E9B9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714404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F3D69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B7D1C8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BD2D0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76582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201FD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7724ED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748C43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9C278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A647A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16CB8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8B8E7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DE4D4C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EC2B71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EF607E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tcPr>
          <w:p w14:paraId="3F9A050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tcPr>
          <w:p w14:paraId="12BEDA5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tcPr>
          <w:p w14:paraId="3ECB39C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0FCB9DB8"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922A5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7D6FA92A"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На възраст над 54 години</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3FB9B4BB"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tcBorders>
              <w:top w:val="single" w:sz="6" w:space="0" w:color="000000"/>
              <w:left w:val="single" w:sz="6" w:space="0" w:color="000000"/>
              <w:bottom w:val="single" w:sz="6" w:space="0" w:color="000000"/>
              <w:right w:val="single" w:sz="6" w:space="0" w:color="000000"/>
            </w:tcBorders>
            <w:shd w:val="clear" w:color="auto" w:fill="FFFFFF"/>
            <w:hideMark/>
          </w:tcPr>
          <w:p w14:paraId="5257492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tcBorders>
              <w:top w:val="single" w:sz="6" w:space="0" w:color="000000"/>
              <w:left w:val="single" w:sz="6" w:space="0" w:color="000000"/>
              <w:bottom w:val="single" w:sz="6" w:space="0" w:color="000000"/>
              <w:right w:val="single" w:sz="6" w:space="0" w:color="000000"/>
            </w:tcBorders>
            <w:shd w:val="clear" w:color="auto" w:fill="FFFFFF"/>
            <w:hideMark/>
          </w:tcPr>
          <w:p w14:paraId="799ECB4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tcBorders>
              <w:top w:val="single" w:sz="6" w:space="0" w:color="000000"/>
              <w:left w:val="single" w:sz="6" w:space="0" w:color="000000"/>
              <w:bottom w:val="single" w:sz="6" w:space="0" w:color="000000"/>
              <w:right w:val="single" w:sz="6" w:space="0" w:color="000000"/>
            </w:tcBorders>
            <w:shd w:val="clear" w:color="auto" w:fill="FFFFFF"/>
            <w:hideMark/>
          </w:tcPr>
          <w:p w14:paraId="5BE9B97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307CCD2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3ED6BFC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4F88567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3C69E1E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450C507B" w14:textId="6398E69C"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1073E2" w:rsidRPr="007D063B">
              <w:rPr>
                <w:rFonts w:ascii="Times New Roman" w:eastAsia="Times New Roman" w:hAnsi="Times New Roman" w:cs="Times New Roman"/>
                <w:color w:val="000000"/>
                <w:sz w:val="24"/>
                <w:szCs w:val="24"/>
                <w:lang w:eastAsia="bg-BG"/>
              </w:rPr>
              <w:t>3</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0478584D" w14:textId="7BD3DA5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1073E2" w:rsidRPr="007D063B">
              <w:rPr>
                <w:rFonts w:ascii="Times New Roman" w:eastAsia="Times New Roman" w:hAnsi="Times New Roman" w:cs="Times New Roman"/>
                <w:color w:val="000000"/>
                <w:sz w:val="24"/>
                <w:szCs w:val="24"/>
                <w:lang w:eastAsia="bg-BG"/>
              </w:rPr>
              <w:t>8</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7E03EBE" w14:textId="3973D6B6" w:rsidR="00B54C34" w:rsidRPr="007D063B" w:rsidRDefault="00B54C34" w:rsidP="00926508">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10D3BE6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263CB59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020FF7F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39A9885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37E04CD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32F1DAA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035D479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2C90B51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4680EF0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5B5EC30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5D6D859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4DAAD0B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tcBorders>
              <w:top w:val="single" w:sz="6" w:space="0" w:color="000000"/>
              <w:left w:val="single" w:sz="6" w:space="0" w:color="000000"/>
              <w:bottom w:val="single" w:sz="6" w:space="0" w:color="000000"/>
              <w:right w:val="single" w:sz="6" w:space="0" w:color="000000"/>
            </w:tcBorders>
            <w:shd w:val="clear" w:color="auto" w:fill="FFFFFF"/>
            <w:hideMark/>
          </w:tcPr>
          <w:p w14:paraId="2D15D4A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tcBorders>
              <w:top w:val="single" w:sz="6" w:space="0" w:color="000000"/>
              <w:left w:val="single" w:sz="6" w:space="0" w:color="000000"/>
              <w:bottom w:val="single" w:sz="6" w:space="0" w:color="000000"/>
              <w:right w:val="single" w:sz="6" w:space="0" w:color="000000"/>
            </w:tcBorders>
            <w:shd w:val="clear" w:color="auto" w:fill="FFFFFF"/>
            <w:hideMark/>
          </w:tcPr>
          <w:p w14:paraId="398C9C4F" w14:textId="7DD01195" w:rsidR="00B54C34" w:rsidRPr="007D063B" w:rsidRDefault="00B54C34" w:rsidP="001073E2">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1073E2" w:rsidRPr="007D063B">
              <w:rPr>
                <w:rFonts w:ascii="Times New Roman" w:eastAsia="Times New Roman" w:hAnsi="Times New Roman" w:cs="Times New Roman"/>
                <w:color w:val="000000"/>
                <w:sz w:val="24"/>
                <w:szCs w:val="24"/>
                <w:lang w:eastAsia="bg-BG"/>
              </w:rPr>
              <w:t>11</w:t>
            </w:r>
          </w:p>
        </w:tc>
        <w:tc>
          <w:tcPr>
            <w:tcW w:w="104" w:type="pct"/>
            <w:tcBorders>
              <w:top w:val="single" w:sz="6" w:space="0" w:color="000000"/>
              <w:left w:val="single" w:sz="6" w:space="0" w:color="000000"/>
              <w:bottom w:val="single" w:sz="6" w:space="0" w:color="000000"/>
              <w:right w:val="single" w:sz="6" w:space="0" w:color="000000"/>
            </w:tcBorders>
            <w:shd w:val="clear" w:color="auto" w:fill="FFFFFF"/>
            <w:hideMark/>
          </w:tcPr>
          <w:p w14:paraId="625543A9" w14:textId="323F8754" w:rsidR="00B54C34" w:rsidRPr="007D063B" w:rsidRDefault="00B54C34" w:rsidP="001073E2">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001073E2" w:rsidRPr="007D063B">
              <w:rPr>
                <w:rFonts w:ascii="Times New Roman" w:eastAsia="Times New Roman" w:hAnsi="Times New Roman" w:cs="Times New Roman"/>
                <w:color w:val="000000"/>
                <w:sz w:val="24"/>
                <w:szCs w:val="24"/>
                <w:lang w:eastAsia="bg-BG"/>
              </w:rPr>
              <w:t>3</w:t>
            </w:r>
          </w:p>
        </w:tc>
        <w:tc>
          <w:tcPr>
            <w:tcW w:w="107" w:type="pct"/>
            <w:tcBorders>
              <w:top w:val="single" w:sz="6" w:space="0" w:color="000000"/>
              <w:left w:val="single" w:sz="6" w:space="0" w:color="000000"/>
              <w:bottom w:val="single" w:sz="6" w:space="0" w:color="000000"/>
              <w:right w:val="single" w:sz="6" w:space="0" w:color="000000"/>
            </w:tcBorders>
            <w:shd w:val="clear" w:color="auto" w:fill="FFFFFF"/>
            <w:hideMark/>
          </w:tcPr>
          <w:p w14:paraId="7C1196BD" w14:textId="4A376148" w:rsidR="00B54C34" w:rsidRPr="007D063B" w:rsidRDefault="00B54C34" w:rsidP="001073E2">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001073E2" w:rsidRPr="007D063B">
              <w:rPr>
                <w:rFonts w:ascii="Times New Roman" w:eastAsia="Times New Roman" w:hAnsi="Times New Roman" w:cs="Times New Roman"/>
                <w:color w:val="000000"/>
                <w:sz w:val="24"/>
                <w:szCs w:val="24"/>
                <w:lang w:eastAsia="bg-BG"/>
              </w:rPr>
              <w:t>8</w:t>
            </w:r>
          </w:p>
        </w:tc>
        <w:tc>
          <w:tcPr>
            <w:tcW w:w="209" w:type="pct"/>
            <w:tcBorders>
              <w:top w:val="single" w:sz="6" w:space="0" w:color="000000"/>
              <w:left w:val="single" w:sz="6" w:space="0" w:color="000000"/>
              <w:bottom w:val="single" w:sz="6" w:space="0" w:color="000000"/>
              <w:right w:val="single" w:sz="6" w:space="0" w:color="000000"/>
            </w:tcBorders>
            <w:shd w:val="clear" w:color="auto" w:fill="FFFFFF"/>
          </w:tcPr>
          <w:p w14:paraId="49D0C386" w14:textId="499BD0BC"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tcBorders>
              <w:top w:val="single" w:sz="6" w:space="0" w:color="000000"/>
              <w:left w:val="single" w:sz="6" w:space="0" w:color="000000"/>
              <w:bottom w:val="single" w:sz="6" w:space="0" w:color="000000"/>
              <w:right w:val="single" w:sz="6" w:space="0" w:color="000000"/>
            </w:tcBorders>
            <w:shd w:val="clear" w:color="auto" w:fill="FFFFFF"/>
          </w:tcPr>
          <w:p w14:paraId="68E9D70D" w14:textId="15E5B5D1"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tcBorders>
              <w:top w:val="single" w:sz="6" w:space="0" w:color="000000"/>
              <w:left w:val="single" w:sz="6" w:space="0" w:color="000000"/>
              <w:bottom w:val="single" w:sz="6" w:space="0" w:color="000000"/>
              <w:right w:val="single" w:sz="6" w:space="0" w:color="000000"/>
            </w:tcBorders>
            <w:shd w:val="clear" w:color="auto" w:fill="FFFFFF"/>
          </w:tcPr>
          <w:p w14:paraId="6DEBF2B9" w14:textId="592708CF"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3AF21D44"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6E4EB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4FCECF7F"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Над 54 години, които са безработни, включително трайно безработни, или неактивни, неангажирани с образование или обучение</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4BFB0F22"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tcBorders>
              <w:top w:val="single" w:sz="6" w:space="0" w:color="000000"/>
              <w:left w:val="single" w:sz="6" w:space="0" w:color="000000"/>
              <w:bottom w:val="single" w:sz="6" w:space="0" w:color="000000"/>
              <w:right w:val="single" w:sz="6" w:space="0" w:color="000000"/>
            </w:tcBorders>
            <w:shd w:val="clear" w:color="auto" w:fill="FFFFFF"/>
            <w:hideMark/>
          </w:tcPr>
          <w:p w14:paraId="7980569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tcBorders>
              <w:top w:val="single" w:sz="6" w:space="0" w:color="000000"/>
              <w:left w:val="single" w:sz="6" w:space="0" w:color="000000"/>
              <w:bottom w:val="single" w:sz="6" w:space="0" w:color="000000"/>
              <w:right w:val="single" w:sz="6" w:space="0" w:color="000000"/>
            </w:tcBorders>
            <w:shd w:val="clear" w:color="auto" w:fill="FFFFFF"/>
            <w:hideMark/>
          </w:tcPr>
          <w:p w14:paraId="4B8653B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tcBorders>
              <w:top w:val="single" w:sz="6" w:space="0" w:color="000000"/>
              <w:left w:val="single" w:sz="6" w:space="0" w:color="000000"/>
              <w:bottom w:val="single" w:sz="6" w:space="0" w:color="000000"/>
              <w:right w:val="single" w:sz="6" w:space="0" w:color="000000"/>
            </w:tcBorders>
            <w:shd w:val="clear" w:color="auto" w:fill="FFFFFF"/>
            <w:hideMark/>
          </w:tcPr>
          <w:p w14:paraId="7B4584B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350245E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333FFFC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3944B88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1C69071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0440C4BC" w14:textId="0173C14A"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926508" w:rsidRPr="007D063B">
              <w:rPr>
                <w:rFonts w:ascii="Times New Roman" w:eastAsia="Times New Roman" w:hAnsi="Times New Roman" w:cs="Times New Roman"/>
                <w:color w:val="000000"/>
                <w:sz w:val="24"/>
                <w:szCs w:val="24"/>
                <w:lang w:eastAsia="bg-BG"/>
              </w:rPr>
              <w:t>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43C8248F" w14:textId="50CAF2D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926508" w:rsidRPr="007D063B">
              <w:rPr>
                <w:rFonts w:ascii="Times New Roman" w:eastAsia="Times New Roman" w:hAnsi="Times New Roman" w:cs="Times New Roman"/>
                <w:color w:val="000000"/>
                <w:sz w:val="24"/>
                <w:szCs w:val="24"/>
                <w:lang w:eastAsia="bg-BG"/>
              </w:rPr>
              <w:t>0</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702F47A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60DBE8D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6F807BF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2F206FE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0A70A03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1DC0496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74CC0CC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5313999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31F7370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7405E75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21890DD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21E48FC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586B9DC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tcBorders>
              <w:top w:val="single" w:sz="6" w:space="0" w:color="000000"/>
              <w:left w:val="single" w:sz="6" w:space="0" w:color="000000"/>
              <w:bottom w:val="single" w:sz="6" w:space="0" w:color="000000"/>
              <w:right w:val="single" w:sz="6" w:space="0" w:color="000000"/>
            </w:tcBorders>
            <w:shd w:val="clear" w:color="auto" w:fill="FFFFFF"/>
            <w:hideMark/>
          </w:tcPr>
          <w:p w14:paraId="338FC94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tcBorders>
              <w:top w:val="single" w:sz="6" w:space="0" w:color="000000"/>
              <w:left w:val="single" w:sz="6" w:space="0" w:color="000000"/>
              <w:bottom w:val="single" w:sz="6" w:space="0" w:color="000000"/>
              <w:right w:val="single" w:sz="6" w:space="0" w:color="000000"/>
            </w:tcBorders>
            <w:shd w:val="clear" w:color="auto" w:fill="FFFFFF"/>
            <w:hideMark/>
          </w:tcPr>
          <w:p w14:paraId="2E28C22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tcBorders>
              <w:top w:val="single" w:sz="6" w:space="0" w:color="000000"/>
              <w:left w:val="single" w:sz="6" w:space="0" w:color="000000"/>
              <w:bottom w:val="single" w:sz="6" w:space="0" w:color="000000"/>
              <w:right w:val="single" w:sz="6" w:space="0" w:color="000000"/>
            </w:tcBorders>
            <w:shd w:val="clear" w:color="auto" w:fill="FFFFFF"/>
            <w:hideMark/>
          </w:tcPr>
          <w:p w14:paraId="6CACBEC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tcBorders>
              <w:top w:val="single" w:sz="6" w:space="0" w:color="000000"/>
              <w:left w:val="single" w:sz="6" w:space="0" w:color="000000"/>
              <w:bottom w:val="single" w:sz="6" w:space="0" w:color="000000"/>
              <w:right w:val="single" w:sz="6" w:space="0" w:color="000000"/>
            </w:tcBorders>
            <w:shd w:val="clear" w:color="auto" w:fill="FFFFFF"/>
            <w:hideMark/>
          </w:tcPr>
          <w:p w14:paraId="3A1F16F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tcBorders>
              <w:top w:val="single" w:sz="6" w:space="0" w:color="000000"/>
              <w:left w:val="single" w:sz="6" w:space="0" w:color="000000"/>
              <w:bottom w:val="single" w:sz="6" w:space="0" w:color="000000"/>
              <w:right w:val="single" w:sz="6" w:space="0" w:color="000000"/>
            </w:tcBorders>
            <w:shd w:val="clear" w:color="auto" w:fill="FFFFFF"/>
          </w:tcPr>
          <w:p w14:paraId="55C07FDB" w14:textId="4989CE6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tcBorders>
              <w:top w:val="single" w:sz="6" w:space="0" w:color="000000"/>
              <w:left w:val="single" w:sz="6" w:space="0" w:color="000000"/>
              <w:bottom w:val="single" w:sz="6" w:space="0" w:color="000000"/>
              <w:right w:val="single" w:sz="6" w:space="0" w:color="000000"/>
            </w:tcBorders>
            <w:shd w:val="clear" w:color="auto" w:fill="FFFFFF"/>
          </w:tcPr>
          <w:p w14:paraId="54F5E001" w14:textId="345EBF0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tcBorders>
              <w:top w:val="single" w:sz="6" w:space="0" w:color="000000"/>
              <w:left w:val="single" w:sz="6" w:space="0" w:color="000000"/>
              <w:bottom w:val="single" w:sz="6" w:space="0" w:color="000000"/>
              <w:right w:val="single" w:sz="6" w:space="0" w:color="000000"/>
            </w:tcBorders>
            <w:shd w:val="clear" w:color="auto" w:fill="FFFFFF"/>
          </w:tcPr>
          <w:p w14:paraId="779F7255" w14:textId="78B74605"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74FB9F9E"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59933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08728DB0"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С основно образование (ISCED 1) или прогимназиален етап на основното образование (ISCED 2)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DB25C99"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E97343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9BC267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21D357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5990EF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BDEFEE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4E6C01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364CF3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D6EFB33" w14:textId="14D25250"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926508"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5A7BB87" w14:textId="25FD2E3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C4596"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ED2086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A983F0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DB644C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478AB4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44EC23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C7D9D8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A1062D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1AD7B9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76A6E3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91366F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862A91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BFCAAA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72B61F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65B364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43CFB1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279398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FA1F03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6288B8C8" w14:textId="2A062E1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3225ABD8" w14:textId="41A9C9B1"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6A3E597A" w14:textId="2DA4BB2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52A72F69"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4276BB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275CBE2D"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С основно образование (ISCED 1) или прогимназиален етап на основното образование (ISCED 2)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BF884B6"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08151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1D8DB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D34DA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579A4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C7352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4E969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BF524D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693D05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FAC208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679D4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08766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B3BC5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C4E1F4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133C1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8F6036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0ED11E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D3DCE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CF311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299F8C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7EA769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8D529F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4B7ED2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F10E34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5EB0D6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56E0BA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C0BF7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227EC10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73C0003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27D5DDB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011FC522"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D2B3F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18502A36"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 xml:space="preserve">със средно образование (ISCED 3) или </w:t>
            </w:r>
            <w:r w:rsidRPr="007D063B">
              <w:rPr>
                <w:rFonts w:ascii="Times New Roman" w:eastAsia="Times New Roman" w:hAnsi="Times New Roman" w:cs="Times New Roman"/>
                <w:b/>
                <w:bCs/>
                <w:i/>
                <w:iCs/>
                <w:color w:val="000000"/>
                <w:sz w:val="16"/>
                <w:szCs w:val="16"/>
                <w:lang w:eastAsia="bg-BG"/>
              </w:rPr>
              <w:lastRenderedPageBreak/>
              <w:t>образование след средното образование (ISCED 4)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67014BC"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lastRenderedPageBreak/>
              <w:t xml:space="preserve">По-слабо развити </w:t>
            </w:r>
            <w:r w:rsidRPr="007D063B">
              <w:rPr>
                <w:rFonts w:ascii="Times New Roman" w:eastAsia="Times New Roman" w:hAnsi="Times New Roman" w:cs="Times New Roman"/>
                <w:b/>
                <w:bCs/>
                <w:i/>
                <w:iCs/>
                <w:color w:val="000000"/>
                <w:sz w:val="16"/>
                <w:szCs w:val="16"/>
                <w:lang w:eastAsia="bg-BG"/>
              </w:rPr>
              <w:lastRenderedPageBreak/>
              <w:t>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4D8563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lastRenderedPageBreak/>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A6FBD9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BC831C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A2976E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3C45CA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F245F5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16A8E8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FEACFE5" w14:textId="7CE22F5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C4596"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E3671E2" w14:textId="0C3F347D"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C4596"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9BBE84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8CBE64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14D375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A51A60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95C349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1594B1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9A33FF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6DAF6C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939DB6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BA1DCB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B9D7FC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43C7FB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FFD4C3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36138D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3CF455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1A3BFE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20685B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2F45AF07" w14:textId="23AC7E8B"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1F5873B1" w14:textId="4F352BBD"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1F5B001B" w14:textId="1D48919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18DA4A56"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DA5B1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65E5E5A9"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Със средно образование (ISCED 3) или образование след средното образование (ISCED 4)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3FA87B4E"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8F434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C15539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933817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7F9CCD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34AA3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074380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596829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A1BD19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84455D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09D2A4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6C19E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2B3FA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4370B6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EBCEDF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102197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98948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086906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55F84D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77B40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7431F6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51893C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AE904B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66C3C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970DD2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9E17F7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AE468B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27936A2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5D5B993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1E114D9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20A88000"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9628CB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24BD79FD"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С висше образование (ISCED 5 до 8)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3FD9E27"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3A8FD5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50B847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5E49F5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EC2BB7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F9E36F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3AF9C2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306C97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66B4AF2" w14:textId="4F8DD4ED"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1073E2" w:rsidRPr="007D063B">
              <w:rPr>
                <w:rFonts w:ascii="Times New Roman" w:eastAsia="Times New Roman" w:hAnsi="Times New Roman" w:cs="Times New Roman"/>
                <w:color w:val="000000"/>
                <w:sz w:val="24"/>
                <w:szCs w:val="24"/>
                <w:lang w:eastAsia="bg-BG"/>
              </w:rPr>
              <w:t>55</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D26FDA8" w14:textId="578257DE"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1073E2" w:rsidRPr="007D063B">
              <w:rPr>
                <w:rFonts w:ascii="Times New Roman" w:eastAsia="Times New Roman" w:hAnsi="Times New Roman" w:cs="Times New Roman"/>
                <w:color w:val="000000"/>
                <w:sz w:val="24"/>
                <w:szCs w:val="24"/>
                <w:lang w:eastAsia="bg-BG"/>
              </w:rPr>
              <w:t>124</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BDDE467" w14:textId="6FCD5A14" w:rsidR="00B54C34" w:rsidRPr="007D063B" w:rsidRDefault="00B54C34" w:rsidP="006C4596">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A90437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B793CC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51D13C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78D8F3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CBB1DF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179A4C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2B2957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81C10A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7B6BEA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8BC5E5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D7CE5E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B8BEF9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2740BB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8F22F5E" w14:textId="040642E6" w:rsidR="00B54C34" w:rsidRPr="007D063B" w:rsidRDefault="00B54C34" w:rsidP="001073E2">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1073E2" w:rsidRPr="007D063B">
              <w:rPr>
                <w:rFonts w:ascii="Times New Roman" w:eastAsia="Times New Roman" w:hAnsi="Times New Roman" w:cs="Times New Roman"/>
                <w:color w:val="000000"/>
                <w:sz w:val="24"/>
                <w:szCs w:val="24"/>
                <w:lang w:eastAsia="bg-BG"/>
              </w:rPr>
              <w:t>179</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E0FF25B" w14:textId="763ACBAE" w:rsidR="00B54C34" w:rsidRPr="007D063B" w:rsidRDefault="00B54C34" w:rsidP="001073E2">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001073E2" w:rsidRPr="007D063B">
              <w:rPr>
                <w:rFonts w:ascii="Times New Roman" w:eastAsia="Times New Roman" w:hAnsi="Times New Roman" w:cs="Times New Roman"/>
                <w:color w:val="000000"/>
                <w:sz w:val="24"/>
                <w:szCs w:val="24"/>
                <w:lang w:eastAsia="bg-BG"/>
              </w:rPr>
              <w:t>55</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4D1524C" w14:textId="48A4B80A" w:rsidR="00B54C34" w:rsidRPr="007D063B" w:rsidRDefault="00B54C34" w:rsidP="001073E2">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001073E2" w:rsidRPr="007D063B">
              <w:rPr>
                <w:rFonts w:ascii="Times New Roman" w:eastAsia="Times New Roman" w:hAnsi="Times New Roman" w:cs="Times New Roman"/>
                <w:color w:val="000000"/>
                <w:sz w:val="24"/>
                <w:szCs w:val="24"/>
                <w:lang w:eastAsia="bg-BG"/>
              </w:rPr>
              <w:t>124</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3D4EDACB" w14:textId="72352BC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152C6588" w14:textId="7F9E47F0"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633FC654" w14:textId="507E4A5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441883C1"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B4340A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5E148A3B"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С висше образование (ISCED 5 до 8)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5507D692"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BF706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348500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832D4E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11DF91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5E974B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82E910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D7E948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14065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43D34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00C3F8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0ECF80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F3046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EFD76B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BFBE9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FE9F1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29E3B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128DE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DB5C6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7754BD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9EC32B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61FFE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BA40D7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FA4D34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1498D2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B7F20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CC8B2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60308C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7D7450D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724E622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542CB2FA"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B835A4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792A52F7"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които живеят в безработни домакинства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7BDC889"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6C324E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76AC84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691D4B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39A153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92BF92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7022CD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97F7F6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B46CAC9" w14:textId="340593B9"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C4596"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5DE6858" w14:textId="5500EDC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C4596"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055E45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A24C41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F83063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092226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13DB82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7CDC27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BAA78C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5E8DFA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1DA118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5DFDA9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7D1853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BF01E7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5CE924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0CD903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9228E8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DC3D21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C5FF44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282C2B68" w14:textId="17F6AB5F"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4189EACE" w14:textId="78B0CB6E"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6301B940" w14:textId="0EDA7A4E"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4305D018"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DAFBC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58FA1520"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които живеят в безработни домакинства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0D0954EE"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0BDBF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401903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B060B0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1E3152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FAEE60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BCC17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B55C66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A9E3D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95A6D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C2D43E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F9262D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DE7746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3687AA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35B16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E3B5B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2BF7D5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37FAC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9C500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CB7DF9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5084CD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77959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B1928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4EF70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675A9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0A987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88BA3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7C5CC2C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0DA8E3E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233BAA6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554DCB0A"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0D00E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7AE8BC77"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които живеят в безработни домакинства с деца на издръжка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D93088E"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CBC1C0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78B4C3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5F7015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FFB451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5965F1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4C9F59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2DFFA6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595F2A6" w14:textId="1FAE053E"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C4596"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48A8ABF" w14:textId="720BE639"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C4596"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1F97CF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B3B85F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590239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5B201E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8FF5DD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7C0156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F0162C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337A18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83D3A3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FF05A2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2C061A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96E9CA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37BB45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BC2550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943FAA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FF4AD9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8B4658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6BA7C6A1" w14:textId="6E92CDDC"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1E7BFF7C" w14:textId="73BAA429"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1604E83B" w14:textId="4D35E4FF"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222D4D95"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47333E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729ABC4B"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които живеят в безработни домакинства с деца на издръжка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5367CDD"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60E84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EBAC16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9A8AA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C6C4C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78978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5B0D6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1F35E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641CA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AB6FC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FEB378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BDE58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91C0BD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3FF2B2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27F85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B6E4A9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131474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88F56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3BD65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9BE5C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CCC143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311A1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2C1B09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A0E72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6D0898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938C90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284C1E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3A0E67E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55B58F6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314AEB3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16878244"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F0608F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6593FD7E"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 xml:space="preserve">Участници, които </w:t>
            </w:r>
            <w:r w:rsidRPr="007D063B">
              <w:rPr>
                <w:rFonts w:ascii="Times New Roman" w:eastAsia="Times New Roman" w:hAnsi="Times New Roman" w:cs="Times New Roman"/>
                <w:b/>
                <w:bCs/>
                <w:i/>
                <w:iCs/>
                <w:color w:val="000000"/>
                <w:sz w:val="16"/>
                <w:szCs w:val="16"/>
                <w:lang w:eastAsia="bg-BG"/>
              </w:rPr>
              <w:lastRenderedPageBreak/>
              <w:t>живеят в едночленно домакинство с деца на издръжка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970C953"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lastRenderedPageBreak/>
              <w:t xml:space="preserve">По-слабо </w:t>
            </w:r>
            <w:r w:rsidRPr="007D063B">
              <w:rPr>
                <w:rFonts w:ascii="Times New Roman" w:eastAsia="Times New Roman" w:hAnsi="Times New Roman" w:cs="Times New Roman"/>
                <w:b/>
                <w:bCs/>
                <w:i/>
                <w:iCs/>
                <w:color w:val="000000"/>
                <w:sz w:val="16"/>
                <w:szCs w:val="16"/>
                <w:lang w:eastAsia="bg-BG"/>
              </w:rPr>
              <w:lastRenderedPageBreak/>
              <w:t>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6E86D5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lastRenderedPageBreak/>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DB7639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F739E1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198076C" w14:textId="77777777" w:rsidR="003A4A36"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p w14:paraId="6F0C5A16" w14:textId="77777777" w:rsidR="003A4A36" w:rsidRPr="007D063B" w:rsidRDefault="003A4A36" w:rsidP="00450FF1">
            <w:pPr>
              <w:spacing w:before="120" w:after="0" w:line="240" w:lineRule="auto"/>
              <w:jc w:val="both"/>
              <w:rPr>
                <w:rFonts w:ascii="Times New Roman" w:eastAsia="Times New Roman" w:hAnsi="Times New Roman" w:cs="Times New Roman"/>
                <w:color w:val="000000"/>
                <w:sz w:val="24"/>
                <w:szCs w:val="24"/>
                <w:lang w:eastAsia="bg-BG"/>
              </w:rPr>
            </w:pPr>
          </w:p>
          <w:p w14:paraId="6184F88D" w14:textId="7061B291"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540206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lastRenderedPageBreak/>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827C77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91BF4F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091DF02" w14:textId="4D8C1C95"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C4596"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7250E70" w14:textId="516BD908" w:rsidR="00B54C34" w:rsidRPr="007D063B" w:rsidRDefault="00B54C34" w:rsidP="008A2575">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8A2575" w:rsidRPr="007D063B">
              <w:rPr>
                <w:rFonts w:ascii="Times New Roman" w:eastAsia="Times New Roman" w:hAnsi="Times New Roman" w:cs="Times New Roman"/>
                <w:color w:val="000000"/>
                <w:sz w:val="24"/>
                <w:szCs w:val="24"/>
                <w:lang w:eastAsia="bg-BG"/>
              </w:rPr>
              <w:t>2</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3A7E02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A4F8BD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8B4961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2EFBCA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2258F5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5F8BE5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2AA0EB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103E59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D8B9A8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FB471F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88484F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EEDE41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7539FC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E250D8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E83C589" w14:textId="279EFB7B" w:rsidR="00B54C34" w:rsidRPr="007D063B" w:rsidRDefault="00B54C34" w:rsidP="008A2575">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8A2575" w:rsidRPr="007D063B">
              <w:rPr>
                <w:rFonts w:ascii="Times New Roman" w:eastAsia="Times New Roman" w:hAnsi="Times New Roman" w:cs="Times New Roman"/>
                <w:color w:val="000000"/>
                <w:sz w:val="24"/>
                <w:szCs w:val="24"/>
                <w:lang w:eastAsia="bg-BG"/>
              </w:rPr>
              <w:t>2</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03DF10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354BF0F" w14:textId="1922664B" w:rsidR="00B54C34" w:rsidRPr="007D063B" w:rsidRDefault="00B54C34" w:rsidP="008A2575">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008A2575" w:rsidRPr="007D063B">
              <w:rPr>
                <w:rFonts w:ascii="Times New Roman" w:eastAsia="Times New Roman" w:hAnsi="Times New Roman" w:cs="Times New Roman"/>
                <w:color w:val="000000"/>
                <w:sz w:val="24"/>
                <w:szCs w:val="24"/>
                <w:lang w:eastAsia="bg-BG"/>
              </w:rPr>
              <w:t>2</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753285A7" w14:textId="57BAFF1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2E3E4464" w14:textId="161C3295"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25D27963" w14:textId="293EE794"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3C28FC1B"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79D202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11E65906"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които живеят в едночленно домакинство с деца на издръжка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4CF1F626"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7CE7C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D453D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A1793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B4BEA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901D31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60B364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72EFCD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0A7A2C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1C3C6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46174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3F7F32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A3822D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9C8B3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96587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8CB79C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10BD73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4CC9A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2E0CFA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58A2F2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13EBE1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F0F153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0AD431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1F44D2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43FE18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BBB92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BB077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5719B16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0FB7821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0E06F67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1600BC60"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5C745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74E83A51"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Мигранти, участници с произход от друга държава, малцинства (включително маргинализирани общности като ромите)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C123A47"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2526B3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EE80A6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6E2E63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9A6573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D6CE2A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53EE17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85BE40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846AB11" w14:textId="65896575"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C4596"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A1D8791" w14:textId="63061A1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C4596"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9E677B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98C014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B1A9B9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6CF1D8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2ABEC8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89DCAE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87D4A3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99430F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52639A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67FC7E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F243D1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C4844D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B86C44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C23AFB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01962AA" w14:textId="527ED130"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8EAE36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622E9D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4471CDDF" w14:textId="6D46F0CE"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5CF3CC03" w14:textId="35B08A59"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0FE66D6E" w14:textId="49355F2A"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516331D4"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547772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11B4046B"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Мигранти, участници с произход от друга държава, малцинства (включително маргинализирани общности като ромите)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421A3524"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2758FB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17B0C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EE4C25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8FF850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DA025A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3D1610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83BF2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48255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1CC3D1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3514D3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10BFBF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CEFDE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EFCE2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8C4876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68B876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1D7815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88F20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7B96B6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F593FA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ECCF1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0D0F61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B7D1F8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2E613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54748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306B74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B1278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7E45797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A51E93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36D40F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1FCE9C20"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57B7EE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4DBFA162"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с увреждания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B9EFB0D"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D12026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6F2293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32404F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7E027D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D662DD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3F961C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129E75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F9DB839" w14:textId="7C239CFF"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C4596"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0B12998" w14:textId="7D4AEF20"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C4596"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795594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78DCC7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5E9928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CA774C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F38318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9CFE21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720E65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4327A7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F910AA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A52D0A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61BA02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CDC2AB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55FCF4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79FA92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328957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6FA790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200EA9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78337000" w14:textId="1F90BD2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685C9A19" w14:textId="5D7438C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4390A9CB" w14:textId="473C00CC"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41383D5B"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48471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73DD65BF"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с увреждания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F954966"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2D8F0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D478C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D2B1D1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A09277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3D091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922B4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E93ACB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255EBD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5450DE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532B08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AC116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825544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1EB47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3FDBAB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F163B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8A22E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86A4BE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EE3E6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EDD91D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530F8C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2C537B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2F8767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0E5E2D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E3D092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9436D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F07C54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6827BDA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57A2DA7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1DA4400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65EB26CD"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596A17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1EBDA1DC"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Други хора в неравностойно положение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BF734E9"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5B5AD2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5BFA6C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46DE75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7503C7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C2D390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DF10B5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34E08E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3B8C4D6" w14:textId="3EC48EA5"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C4596"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26418B1" w14:textId="15A118B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C4596"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513F4B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99F4BE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F3085D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38C1CC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1386EE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D04979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4389B1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AA2279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9D5466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5FA13D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5D7EAB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754062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D7D15A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2B4A1E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6B2F21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9FEC6A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E17F47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280B8155" w14:textId="63F760DB"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5C6D6195" w14:textId="06627DDA"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6B458ACF" w14:textId="34A5B279"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28458210"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93C6D3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6E36187D"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Други хора в неравностойно положение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2C5660E2"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8CF801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B72B35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A573CD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FC6DAD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C5CA1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0E77EE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BFAFDA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E235A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3042B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97D6A8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6CD8B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9C3DC1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DF743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C7A204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433E88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66D56F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BAF2C1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A3B0B5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2F60D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2A346E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CE44FE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DB3DE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EE24B4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A6E37B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5C09F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2F6780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5467B30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294D0C5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0BDFEAF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7A010D41"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9B571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1B69A8F6"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 xml:space="preserve">Бездомни или засегнати от изключване от </w:t>
            </w:r>
            <w:r w:rsidRPr="007D063B">
              <w:rPr>
                <w:rFonts w:ascii="Times New Roman" w:eastAsia="Times New Roman" w:hAnsi="Times New Roman" w:cs="Times New Roman"/>
                <w:b/>
                <w:bCs/>
                <w:i/>
                <w:iCs/>
                <w:color w:val="000000"/>
                <w:sz w:val="16"/>
                <w:szCs w:val="16"/>
                <w:lang w:eastAsia="bg-BG"/>
              </w:rPr>
              <w:lastRenderedPageBreak/>
              <w:t>жилищно настаняване</w:t>
            </w:r>
            <w:r w:rsidRPr="007D063B">
              <w:rPr>
                <w:rFonts w:ascii="Times New Roman" w:eastAsia="Times New Roman" w:hAnsi="Times New Roman" w:cs="Times New Roman"/>
                <w:b/>
                <w:bCs/>
                <w:color w:val="000000"/>
                <w:sz w:val="16"/>
                <w:szCs w:val="16"/>
                <w:lang w:eastAsia="bg-BG"/>
              </w:rPr>
              <w:t> </w:t>
            </w:r>
            <w:hyperlink r:id="rId52" w:anchor="ntr14-L_2015038BG.01007201-E0014" w:history="1">
              <w:r w:rsidRPr="007D063B">
                <w:rPr>
                  <w:rFonts w:ascii="Times New Roman" w:eastAsia="Times New Roman" w:hAnsi="Times New Roman" w:cs="Times New Roman"/>
                  <w:color w:val="0000FF"/>
                  <w:sz w:val="16"/>
                  <w:szCs w:val="16"/>
                  <w:u w:val="single"/>
                  <w:lang w:eastAsia="bg-BG"/>
                </w:rPr>
                <w:t> (</w:t>
              </w:r>
              <w:r w:rsidRPr="007D063B">
                <w:rPr>
                  <w:rFonts w:ascii="Times New Roman" w:eastAsia="Times New Roman" w:hAnsi="Times New Roman" w:cs="Times New Roman"/>
                  <w:color w:val="0000FF"/>
                  <w:sz w:val="16"/>
                  <w:szCs w:val="16"/>
                  <w:u w:val="single"/>
                  <w:vertAlign w:val="superscript"/>
                  <w:lang w:eastAsia="bg-BG"/>
                </w:rPr>
                <w:t>14</w:t>
              </w:r>
              <w:r w:rsidRPr="007D063B">
                <w:rPr>
                  <w:rFonts w:ascii="Times New Roman" w:eastAsia="Times New Roman" w:hAnsi="Times New Roman" w:cs="Times New Roman"/>
                  <w:color w:val="0000FF"/>
                  <w:sz w:val="16"/>
                  <w:szCs w:val="16"/>
                  <w:u w:val="single"/>
                  <w:lang w:eastAsia="bg-BG"/>
                </w:rPr>
                <w:t>)</w:t>
              </w:r>
            </w:hyperlink>
            <w:r w:rsidRPr="007D063B">
              <w:rPr>
                <w:rFonts w:ascii="Times New Roman" w:eastAsia="Times New Roman" w:hAnsi="Times New Roman" w:cs="Times New Roman"/>
                <w:b/>
                <w:bCs/>
                <w:i/>
                <w:iCs/>
                <w:color w:val="000000"/>
                <w:sz w:val="16"/>
                <w:szCs w:val="16"/>
                <w:lang w:eastAsia="bg-BG"/>
              </w:rPr>
              <w:t>(ЕСФ)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F83AC66"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lastRenderedPageBreak/>
              <w:t xml:space="preserve">По-слабо развити </w:t>
            </w:r>
            <w:r w:rsidRPr="007D063B">
              <w:rPr>
                <w:rFonts w:ascii="Times New Roman" w:eastAsia="Times New Roman" w:hAnsi="Times New Roman" w:cs="Times New Roman"/>
                <w:b/>
                <w:bCs/>
                <w:i/>
                <w:iCs/>
                <w:color w:val="000000"/>
                <w:sz w:val="16"/>
                <w:szCs w:val="16"/>
                <w:lang w:eastAsia="bg-BG"/>
              </w:rPr>
              <w:lastRenderedPageBreak/>
              <w:t>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979A66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lastRenderedPageBreak/>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AF0FBE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9FDBCB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63E925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9814B8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03C5DB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6E48BE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8D8D764" w14:textId="603D4CD0"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C4596"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1CBFE6E" w14:textId="2AB8B3D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C4596"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9EC996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4C5DD4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5C6FD7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DF727D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DC0E40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BF9013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AAF790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8C4209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7225F0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CA3544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0E5C48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9B1052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71F4CA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6CDB32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C5F00B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3AB37A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A8222D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0D7E3AB1" w14:textId="53BCAAD1"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3E9E4376" w14:textId="66FC0CB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588ED152" w14:textId="5FA51BF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484FCAF2"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6667F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14AFDB48"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Бездомни или засегнати от изключване от жилищно настаняване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397C1D7E"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84376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04F237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10886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4D16F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8776CE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89AC6D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4CA306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BAF5ED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1D566C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D379A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5EF452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3CC43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13FF35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D66C1B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219DE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6B2C73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392245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889B5E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614995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F4B757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CE5844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0FBCE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2CEDD7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512AEC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C85AB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94C13F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66A5BDA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7F694C8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05A93B2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4DF614CE"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829761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29A41178"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Лица, които живеят в селските райони</w:t>
            </w:r>
            <w:hyperlink r:id="rId53" w:anchor="ntr14-L_2015038BG.01007201-E0014" w:history="1">
              <w:r w:rsidRPr="007D063B">
                <w:rPr>
                  <w:rFonts w:ascii="Times New Roman" w:eastAsia="Times New Roman" w:hAnsi="Times New Roman" w:cs="Times New Roman"/>
                  <w:color w:val="0000FF"/>
                  <w:sz w:val="16"/>
                  <w:szCs w:val="16"/>
                  <w:u w:val="single"/>
                  <w:lang w:eastAsia="bg-BG"/>
                </w:rPr>
                <w:t> (</w:t>
              </w:r>
              <w:r w:rsidRPr="007D063B">
                <w:rPr>
                  <w:rFonts w:ascii="Times New Roman" w:eastAsia="Times New Roman" w:hAnsi="Times New Roman" w:cs="Times New Roman"/>
                  <w:color w:val="0000FF"/>
                  <w:sz w:val="16"/>
                  <w:szCs w:val="16"/>
                  <w:u w:val="single"/>
                  <w:vertAlign w:val="superscript"/>
                  <w:lang w:eastAsia="bg-BG"/>
                </w:rPr>
                <w:t>14</w:t>
              </w:r>
              <w:r w:rsidRPr="007D063B">
                <w:rPr>
                  <w:rFonts w:ascii="Times New Roman" w:eastAsia="Times New Roman" w:hAnsi="Times New Roman" w:cs="Times New Roman"/>
                  <w:color w:val="0000FF"/>
                  <w:sz w:val="16"/>
                  <w:szCs w:val="16"/>
                  <w:u w:val="single"/>
                  <w:lang w:eastAsia="bg-BG"/>
                </w:rPr>
                <w:t>)</w:t>
              </w:r>
            </w:hyperlink>
            <w:r w:rsidRPr="007D063B">
              <w:rPr>
                <w:rFonts w:ascii="Times New Roman" w:eastAsia="Times New Roman" w:hAnsi="Times New Roman" w:cs="Times New Roman"/>
                <w:color w:val="000000"/>
                <w:sz w:val="16"/>
                <w:szCs w:val="16"/>
                <w:lang w:eastAsia="bg-BG"/>
              </w:rPr>
              <w:t> </w:t>
            </w:r>
            <w:r w:rsidRPr="007D063B">
              <w:rPr>
                <w:rFonts w:ascii="Times New Roman" w:eastAsia="Times New Roman" w:hAnsi="Times New Roman" w:cs="Times New Roman"/>
                <w:b/>
                <w:bCs/>
                <w:i/>
                <w:iCs/>
                <w:color w:val="000000"/>
                <w:sz w:val="16"/>
                <w:szCs w:val="16"/>
                <w:lang w:eastAsia="bg-BG"/>
              </w:rPr>
              <w:t>(ЕСФ)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63EFC84"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96A183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62FBBA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03F3FC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57D7E2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A5E142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63828E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385449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AA50A34" w14:textId="0AD7DE4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C4596"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8855352" w14:textId="167712DA"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C4596"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DDA2FE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66BA25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A3F576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B08803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02C164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6604AA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71D023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EEA18F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5CCD60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E3AE47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45C807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BB9A5D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C1BAA3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C5E68C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CE6A83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7CFD42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B0A4F9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059BCD31" w14:textId="5C2EC5BE"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451B7DFC" w14:textId="033AD0C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4ABCF454" w14:textId="68389BE0"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5DDED4DB"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488F7F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459D32AB"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Лица, които живеят в селските райони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3AAD9AAB"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113761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2A59C9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674C64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8E6D2C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30FF5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4C0D81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52FC81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1D233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9DC68D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7AEEFF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39049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70F1B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F6A8F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3BBF1C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36488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9899E4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F8A53A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B7EE2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339439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E39CE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070C9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7B631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A960A0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0C8F9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1EE02F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2F415B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08F20DD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9099AF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108BCA5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241A90" w:rsidRPr="007D063B" w14:paraId="0581D2D9"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98C08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271FF01D"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Брой проекти, изцяло или частично изпълнявани от социални партньори или НПО</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0F4B4AED"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41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6861706" w14:textId="17618B09" w:rsidR="00B54C34" w:rsidRPr="007D063B" w:rsidRDefault="00B54C34" w:rsidP="007C03BA">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12E327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4531803" w14:textId="313FDC55"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E122B" w:rsidRPr="007D063B">
              <w:rPr>
                <w:rFonts w:ascii="Times New Roman" w:eastAsia="Times New Roman" w:hAnsi="Times New Roman" w:cs="Times New Roman"/>
                <w:color w:val="000000"/>
                <w:sz w:val="24"/>
                <w:szCs w:val="24"/>
                <w:lang w:eastAsia="bg-BG"/>
              </w:rPr>
              <w:t>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2CCECA7" w14:textId="79F46E69"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E122B" w:rsidRPr="007D063B">
              <w:rPr>
                <w:rFonts w:ascii="Times New Roman" w:eastAsia="Times New Roman" w:hAnsi="Times New Roman" w:cs="Times New Roman"/>
                <w:color w:val="000000"/>
                <w:sz w:val="24"/>
                <w:szCs w:val="24"/>
                <w:lang w:eastAsia="bg-BG"/>
              </w:rPr>
              <w:t>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A9F9A0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7E51D2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B9CC28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7E0837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B1F9FA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73CB17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7E702BD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tcBorders>
              <w:top w:val="single" w:sz="6" w:space="0" w:color="000000"/>
              <w:left w:val="single" w:sz="6" w:space="0" w:color="000000"/>
              <w:bottom w:val="single" w:sz="6" w:space="0" w:color="000000"/>
              <w:right w:val="single" w:sz="6" w:space="0" w:color="000000"/>
            </w:tcBorders>
            <w:shd w:val="clear" w:color="auto" w:fill="FFFFFF"/>
            <w:hideMark/>
          </w:tcPr>
          <w:p w14:paraId="304ED79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BB242E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6" w:type="pct"/>
            <w:gridSpan w:val="3"/>
            <w:tcBorders>
              <w:top w:val="single" w:sz="6" w:space="0" w:color="000000"/>
              <w:left w:val="single" w:sz="6" w:space="0" w:color="000000"/>
              <w:bottom w:val="single" w:sz="6" w:space="0" w:color="000000"/>
              <w:right w:val="single" w:sz="6" w:space="0" w:color="000000"/>
            </w:tcBorders>
            <w:shd w:val="clear" w:color="auto" w:fill="FFFFFF"/>
          </w:tcPr>
          <w:p w14:paraId="60BE7455" w14:textId="272100B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241A90" w:rsidRPr="007D063B" w14:paraId="0D3AEAB7"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828CD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0B633024"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Брой проекти, посветени на трайното участие и напредъка на жените в заетостта</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773A827B"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41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AACABB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D45194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EE855D3" w14:textId="44D955A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E122B" w:rsidRPr="007D063B">
              <w:rPr>
                <w:rFonts w:ascii="Times New Roman" w:eastAsia="Times New Roman" w:hAnsi="Times New Roman" w:cs="Times New Roman"/>
                <w:color w:val="000000"/>
                <w:sz w:val="24"/>
                <w:szCs w:val="24"/>
                <w:lang w:eastAsia="bg-BG"/>
              </w:rPr>
              <w:t>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23131A2" w14:textId="60B78DA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E122B" w:rsidRPr="007D063B">
              <w:rPr>
                <w:rFonts w:ascii="Times New Roman" w:eastAsia="Times New Roman" w:hAnsi="Times New Roman" w:cs="Times New Roman"/>
                <w:color w:val="000000"/>
                <w:sz w:val="24"/>
                <w:szCs w:val="24"/>
                <w:lang w:eastAsia="bg-BG"/>
              </w:rPr>
              <w:t>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449CD3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E53C8F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F51D63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192F88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E5648D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F3601A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25E951E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tcBorders>
              <w:top w:val="single" w:sz="6" w:space="0" w:color="000000"/>
              <w:left w:val="single" w:sz="6" w:space="0" w:color="000000"/>
              <w:bottom w:val="single" w:sz="6" w:space="0" w:color="000000"/>
              <w:right w:val="single" w:sz="6" w:space="0" w:color="000000"/>
            </w:tcBorders>
            <w:shd w:val="clear" w:color="auto" w:fill="FFFFFF"/>
            <w:hideMark/>
          </w:tcPr>
          <w:p w14:paraId="02F90C8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76159B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6" w:type="pct"/>
            <w:gridSpan w:val="3"/>
            <w:tcBorders>
              <w:top w:val="single" w:sz="6" w:space="0" w:color="000000"/>
              <w:left w:val="single" w:sz="6" w:space="0" w:color="000000"/>
              <w:bottom w:val="single" w:sz="6" w:space="0" w:color="000000"/>
              <w:right w:val="single" w:sz="6" w:space="0" w:color="000000"/>
            </w:tcBorders>
            <w:shd w:val="clear" w:color="auto" w:fill="FFFFFF"/>
          </w:tcPr>
          <w:p w14:paraId="5CBB01A4" w14:textId="67524DB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241A90" w:rsidRPr="007D063B" w14:paraId="612EB463"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4B24C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65CFC0C2"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Брой проекти, насочени към публичните администрации или публичните услуги на национално, регионално или местно равнище</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6E22CF14"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41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86F351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D5492E3" w14:textId="5611B1C8" w:rsidR="00B54C34" w:rsidRPr="007D063B" w:rsidRDefault="00B54C34" w:rsidP="007C03BA">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7C03BA" w:rsidRPr="007D063B">
              <w:rPr>
                <w:rFonts w:ascii="Times New Roman" w:eastAsia="Times New Roman" w:hAnsi="Times New Roman" w:cs="Times New Roman"/>
                <w:color w:val="000000"/>
                <w:sz w:val="24"/>
                <w:szCs w:val="24"/>
                <w:lang w:eastAsia="bg-BG"/>
              </w:rPr>
              <w:t>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093FF01" w14:textId="5B95B40E" w:rsidR="00B54C34" w:rsidRPr="007D063B" w:rsidRDefault="007C03BA"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r w:rsidR="00B54C34"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8AAC2F9" w14:textId="350F5D21"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7C03BA" w:rsidRPr="007D063B">
              <w:rPr>
                <w:rFonts w:ascii="Times New Roman" w:eastAsia="Times New Roman" w:hAnsi="Times New Roman" w:cs="Times New Roman"/>
                <w:color w:val="000000"/>
                <w:sz w:val="24"/>
                <w:szCs w:val="24"/>
                <w:lang w:eastAsia="bg-BG"/>
              </w:rPr>
              <w:t>37</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A069CB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AB7765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B43E19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6322C9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DE60C7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D7979D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843041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tcBorders>
              <w:top w:val="single" w:sz="6" w:space="0" w:color="000000"/>
              <w:left w:val="single" w:sz="6" w:space="0" w:color="000000"/>
              <w:bottom w:val="single" w:sz="6" w:space="0" w:color="000000"/>
              <w:right w:val="single" w:sz="6" w:space="0" w:color="000000"/>
            </w:tcBorders>
            <w:shd w:val="clear" w:color="auto" w:fill="FFFFFF"/>
            <w:hideMark/>
          </w:tcPr>
          <w:p w14:paraId="5DFFE26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C9D8EA4" w14:textId="7FDE3692" w:rsidR="00B54C34" w:rsidRPr="007D063B" w:rsidRDefault="00B54C34" w:rsidP="007C03BA">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7C03BA" w:rsidRPr="007D063B">
              <w:rPr>
                <w:rFonts w:ascii="Times New Roman" w:eastAsia="Times New Roman" w:hAnsi="Times New Roman" w:cs="Times New Roman"/>
                <w:color w:val="000000"/>
                <w:sz w:val="24"/>
                <w:szCs w:val="24"/>
                <w:lang w:eastAsia="bg-BG"/>
              </w:rPr>
              <w:t>37</w:t>
            </w:r>
          </w:p>
        </w:tc>
        <w:tc>
          <w:tcPr>
            <w:tcW w:w="426" w:type="pct"/>
            <w:gridSpan w:val="3"/>
            <w:tcBorders>
              <w:top w:val="single" w:sz="6" w:space="0" w:color="000000"/>
              <w:left w:val="single" w:sz="6" w:space="0" w:color="000000"/>
              <w:bottom w:val="single" w:sz="6" w:space="0" w:color="000000"/>
              <w:right w:val="single" w:sz="6" w:space="0" w:color="000000"/>
            </w:tcBorders>
            <w:shd w:val="clear" w:color="auto" w:fill="FFFFFF"/>
          </w:tcPr>
          <w:p w14:paraId="037601C6" w14:textId="5FF47110" w:rsidR="00B54C34" w:rsidRPr="007D063B" w:rsidRDefault="00B54C34" w:rsidP="007C03BA">
            <w:pPr>
              <w:spacing w:before="120" w:after="0" w:line="240" w:lineRule="auto"/>
              <w:jc w:val="both"/>
              <w:rPr>
                <w:rFonts w:ascii="Times New Roman" w:eastAsia="Times New Roman" w:hAnsi="Times New Roman" w:cs="Times New Roman"/>
                <w:color w:val="000000"/>
                <w:sz w:val="24"/>
                <w:szCs w:val="24"/>
                <w:lang w:eastAsia="bg-BG"/>
              </w:rPr>
            </w:pPr>
          </w:p>
        </w:tc>
      </w:tr>
      <w:tr w:rsidR="00241A90" w:rsidRPr="007D063B" w14:paraId="1C26DD6A" w14:textId="77777777" w:rsidTr="007924E6">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7CB214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26C9003B"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 xml:space="preserve">Брой на микро-, малките и средните подкрепени </w:t>
            </w:r>
            <w:r w:rsidRPr="007D063B">
              <w:rPr>
                <w:rFonts w:ascii="Times New Roman" w:eastAsia="Times New Roman" w:hAnsi="Times New Roman" w:cs="Times New Roman"/>
                <w:b/>
                <w:bCs/>
                <w:i/>
                <w:iCs/>
                <w:color w:val="000000"/>
                <w:sz w:val="16"/>
                <w:szCs w:val="16"/>
                <w:lang w:eastAsia="bg-BG"/>
              </w:rPr>
              <w:lastRenderedPageBreak/>
              <w:t>предприятия, (включително кооперативните предприятия и предприятията на социалната икономика)</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081AA3F0"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lastRenderedPageBreak/>
              <w:t>По-слабо развити региони</w:t>
            </w:r>
          </w:p>
        </w:tc>
        <w:tc>
          <w:tcPr>
            <w:tcW w:w="41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10FF32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BEECA4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2D39DE0" w14:textId="7CC2436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E122B" w:rsidRPr="007D063B">
              <w:rPr>
                <w:rFonts w:ascii="Times New Roman" w:eastAsia="Times New Roman" w:hAnsi="Times New Roman" w:cs="Times New Roman"/>
                <w:color w:val="000000"/>
                <w:sz w:val="24"/>
                <w:szCs w:val="24"/>
                <w:lang w:eastAsia="bg-BG"/>
              </w:rPr>
              <w:t>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B5C7EA1" w14:textId="43A0399B"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E122B" w:rsidRPr="007D063B">
              <w:rPr>
                <w:rFonts w:ascii="Times New Roman" w:eastAsia="Times New Roman" w:hAnsi="Times New Roman" w:cs="Times New Roman"/>
                <w:color w:val="000000"/>
                <w:sz w:val="24"/>
                <w:szCs w:val="24"/>
                <w:lang w:eastAsia="bg-BG"/>
              </w:rPr>
              <w:t>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672C1D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B82A59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E17D8A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3DEE14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875F2A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FEAECE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628F138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tcBorders>
              <w:top w:val="single" w:sz="6" w:space="0" w:color="000000"/>
              <w:left w:val="single" w:sz="6" w:space="0" w:color="000000"/>
              <w:bottom w:val="single" w:sz="6" w:space="0" w:color="000000"/>
              <w:right w:val="single" w:sz="6" w:space="0" w:color="000000"/>
            </w:tcBorders>
            <w:shd w:val="clear" w:color="auto" w:fill="FFFFFF"/>
            <w:hideMark/>
          </w:tcPr>
          <w:p w14:paraId="25ED62C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EF28D3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6" w:type="pct"/>
            <w:gridSpan w:val="3"/>
            <w:tcBorders>
              <w:top w:val="single" w:sz="6" w:space="0" w:color="000000"/>
              <w:left w:val="single" w:sz="6" w:space="0" w:color="000000"/>
              <w:bottom w:val="single" w:sz="6" w:space="0" w:color="000000"/>
              <w:right w:val="single" w:sz="6" w:space="0" w:color="000000"/>
            </w:tcBorders>
            <w:shd w:val="clear" w:color="auto" w:fill="FFFFFF"/>
          </w:tcPr>
          <w:p w14:paraId="5A201733" w14:textId="50C80FD0"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B54C34" w:rsidRPr="007D063B" w14:paraId="695D9B7A" w14:textId="77777777" w:rsidTr="00421321">
        <w:trPr>
          <w:tblCellSpacing w:w="0" w:type="dxa"/>
        </w:trPr>
        <w:tc>
          <w:tcPr>
            <w:tcW w:w="959"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A08F5D7"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Общ брой на участниците</w:t>
            </w:r>
            <w:r w:rsidRPr="007D063B">
              <w:rPr>
                <w:rFonts w:ascii="Times New Roman" w:eastAsia="Times New Roman" w:hAnsi="Times New Roman" w:cs="Times New Roman"/>
                <w:b/>
                <w:bCs/>
                <w:color w:val="000000"/>
                <w:sz w:val="16"/>
                <w:szCs w:val="16"/>
                <w:lang w:eastAsia="bg-BG"/>
              </w:rPr>
              <w:t> </w:t>
            </w:r>
            <w:hyperlink r:id="rId54" w:anchor="ntr15-L_2015038BG.01007201-E0015" w:history="1">
              <w:r w:rsidRPr="007D063B">
                <w:rPr>
                  <w:rFonts w:ascii="Times New Roman" w:eastAsia="Times New Roman" w:hAnsi="Times New Roman" w:cs="Times New Roman"/>
                  <w:color w:val="0000FF"/>
                  <w:sz w:val="16"/>
                  <w:szCs w:val="16"/>
                  <w:u w:val="single"/>
                  <w:lang w:eastAsia="bg-BG"/>
                </w:rPr>
                <w:t> (</w:t>
              </w:r>
              <w:r w:rsidRPr="007D063B">
                <w:rPr>
                  <w:rFonts w:ascii="Times New Roman" w:eastAsia="Times New Roman" w:hAnsi="Times New Roman" w:cs="Times New Roman"/>
                  <w:color w:val="0000FF"/>
                  <w:sz w:val="16"/>
                  <w:szCs w:val="16"/>
                  <w:u w:val="single"/>
                  <w:vertAlign w:val="superscript"/>
                  <w:lang w:eastAsia="bg-BG"/>
                </w:rPr>
                <w:t>15</w:t>
              </w:r>
              <w:r w:rsidRPr="007D063B">
                <w:rPr>
                  <w:rFonts w:ascii="Times New Roman" w:eastAsia="Times New Roman" w:hAnsi="Times New Roman" w:cs="Times New Roman"/>
                  <w:color w:val="0000FF"/>
                  <w:sz w:val="16"/>
                  <w:szCs w:val="16"/>
                  <w:u w:val="single"/>
                  <w:lang w:eastAsia="bg-BG"/>
                </w:rPr>
                <w:t>)</w:t>
              </w:r>
            </w:hyperlink>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64CBF3C6" w14:textId="77777777" w:rsidR="00B54C34" w:rsidRPr="007D063B" w:rsidRDefault="00B54C34" w:rsidP="00450FF1">
            <w:pPr>
              <w:spacing w:before="60" w:after="60" w:line="240" w:lineRule="auto"/>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41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F53D56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E2E045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66A560D" w14:textId="30FB93A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CA5ABC" w:rsidRPr="007D063B">
              <w:rPr>
                <w:rFonts w:ascii="Times New Roman" w:eastAsia="Times New Roman" w:hAnsi="Times New Roman" w:cs="Times New Roman"/>
                <w:color w:val="000000"/>
                <w:sz w:val="24"/>
                <w:szCs w:val="24"/>
                <w:lang w:eastAsia="bg-BG"/>
              </w:rPr>
              <w:t>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8740AA3" w14:textId="1C2323D5"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CA5ABC" w:rsidRPr="007D063B">
              <w:rPr>
                <w:rFonts w:ascii="Times New Roman" w:eastAsia="Times New Roman" w:hAnsi="Times New Roman" w:cs="Times New Roman"/>
                <w:color w:val="000000"/>
                <w:sz w:val="24"/>
                <w:szCs w:val="24"/>
                <w:lang w:eastAsia="bg-BG"/>
              </w:rPr>
              <w:t>179</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6C8E7D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47391D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0AE409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7F1B5A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ED1BF3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FA1D07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3DC7282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tcBorders>
              <w:top w:val="single" w:sz="6" w:space="0" w:color="000000"/>
              <w:left w:val="single" w:sz="6" w:space="0" w:color="000000"/>
              <w:bottom w:val="single" w:sz="6" w:space="0" w:color="000000"/>
              <w:right w:val="single" w:sz="6" w:space="0" w:color="000000"/>
            </w:tcBorders>
            <w:shd w:val="clear" w:color="auto" w:fill="FFFFFF"/>
            <w:hideMark/>
          </w:tcPr>
          <w:p w14:paraId="1C5BCEC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918C978" w14:textId="2613812C" w:rsidR="00B54C34" w:rsidRPr="007D063B" w:rsidRDefault="00B54C34" w:rsidP="00CA5ABC">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CA5ABC" w:rsidRPr="007D063B">
              <w:rPr>
                <w:rFonts w:ascii="Times New Roman" w:eastAsia="Times New Roman" w:hAnsi="Times New Roman" w:cs="Times New Roman"/>
                <w:color w:val="000000"/>
                <w:sz w:val="24"/>
                <w:szCs w:val="24"/>
                <w:lang w:eastAsia="bg-BG"/>
              </w:rPr>
              <w:t>179</w:t>
            </w:r>
          </w:p>
        </w:tc>
        <w:tc>
          <w:tcPr>
            <w:tcW w:w="426" w:type="pct"/>
            <w:gridSpan w:val="3"/>
            <w:tcBorders>
              <w:top w:val="single" w:sz="6" w:space="0" w:color="000000"/>
              <w:left w:val="single" w:sz="6" w:space="0" w:color="000000"/>
              <w:bottom w:val="single" w:sz="6" w:space="0" w:color="000000"/>
              <w:right w:val="single" w:sz="6" w:space="0" w:color="000000"/>
            </w:tcBorders>
            <w:shd w:val="clear" w:color="auto" w:fill="FFFFFF"/>
          </w:tcPr>
          <w:p w14:paraId="16F5A8E8" w14:textId="590985F4"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bl>
    <w:p w14:paraId="4722974C" w14:textId="77777777" w:rsidR="00B54C34" w:rsidRPr="007D063B" w:rsidRDefault="00B54C34" w:rsidP="00B54C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bg-BG"/>
        </w:rPr>
      </w:pPr>
    </w:p>
    <w:p w14:paraId="151321BE" w14:textId="77777777" w:rsidR="00B54C34" w:rsidRPr="007D063B" w:rsidRDefault="00B54C34" w:rsidP="00B54C34">
      <w:pPr>
        <w:rPr>
          <w:rFonts w:ascii="inherit" w:eastAsia="Times New Roman" w:hAnsi="inherit" w:cs="Times New Roman"/>
          <w:i/>
          <w:iCs/>
          <w:color w:val="000000"/>
          <w:sz w:val="24"/>
          <w:szCs w:val="24"/>
          <w:lang w:eastAsia="bg-BG"/>
        </w:rPr>
      </w:pPr>
      <w:r w:rsidRPr="007D063B">
        <w:rPr>
          <w:rFonts w:ascii="inherit" w:eastAsia="Times New Roman" w:hAnsi="inherit" w:cs="Times New Roman"/>
          <w:i/>
          <w:iCs/>
          <w:color w:val="000000"/>
          <w:sz w:val="24"/>
          <w:szCs w:val="24"/>
          <w:lang w:eastAsia="bg-BG"/>
        </w:rPr>
        <w:br w:type="page"/>
      </w:r>
    </w:p>
    <w:p w14:paraId="1A02356A" w14:textId="77777777" w:rsidR="00B54C34" w:rsidRPr="007D063B" w:rsidRDefault="00B54C34" w:rsidP="00421321">
      <w:pPr>
        <w:pStyle w:val="Heading3"/>
        <w:jc w:val="center"/>
        <w:rPr>
          <w:rFonts w:ascii="Times New Roman" w:eastAsia="Times New Roman" w:hAnsi="Times New Roman" w:cs="Times New Roman"/>
          <w:color w:val="000000"/>
          <w:lang w:eastAsia="bg-BG"/>
        </w:rPr>
      </w:pPr>
      <w:bookmarkStart w:id="26" w:name="_Toc481594287"/>
      <w:r w:rsidRPr="007D063B">
        <w:rPr>
          <w:rFonts w:ascii="inherit" w:eastAsia="Times New Roman" w:hAnsi="inherit" w:cs="Times New Roman"/>
          <w:i/>
          <w:iCs/>
          <w:color w:val="000000"/>
          <w:lang w:eastAsia="bg-BG"/>
        </w:rPr>
        <w:lastRenderedPageBreak/>
        <w:t>Таблица 4Б</w:t>
      </w:r>
      <w:bookmarkEnd w:id="26"/>
    </w:p>
    <w:p w14:paraId="61C7F09B" w14:textId="77777777" w:rsidR="00B54C34" w:rsidRPr="007D063B" w:rsidRDefault="00B54C34" w:rsidP="00B54C34">
      <w:pPr>
        <w:shd w:val="clear" w:color="auto" w:fill="FFFFFF"/>
        <w:spacing w:before="120" w:after="120" w:line="240" w:lineRule="auto"/>
        <w:jc w:val="center"/>
        <w:rPr>
          <w:rFonts w:ascii="Times New Roman" w:eastAsia="Times New Roman" w:hAnsi="Times New Roman" w:cs="Times New Roman"/>
          <w:color w:val="000000"/>
          <w:sz w:val="24"/>
          <w:szCs w:val="24"/>
          <w:lang w:eastAsia="bg-BG"/>
        </w:rPr>
      </w:pPr>
      <w:r w:rsidRPr="007D063B">
        <w:rPr>
          <w:rFonts w:ascii="inherit" w:eastAsia="Times New Roman" w:hAnsi="inherit" w:cs="Times New Roman"/>
          <w:b/>
          <w:bCs/>
          <w:color w:val="000000"/>
          <w:sz w:val="24"/>
          <w:szCs w:val="24"/>
          <w:lang w:eastAsia="bg-BG"/>
        </w:rPr>
        <w:t>Общи специфични за програмата показатели за изпълнение за ЕСФ (по приоритетна ос, инвестиционен приоритет, категория регион; прилага се също така и за приоритетните оси за техническа помощ.) За инициативата за младежка заетост, за всяка приоритетна ос или част от нея не се изисква разделение по категория региони</w:t>
      </w:r>
      <w:r w:rsidRPr="007D063B">
        <w:rPr>
          <w:rFonts w:ascii="Times New Roman" w:eastAsia="Times New Roman" w:hAnsi="Times New Roman" w:cs="Times New Roman"/>
          <w:color w:val="000000"/>
          <w:sz w:val="24"/>
          <w:szCs w:val="24"/>
          <w:lang w:eastAsia="bg-BG"/>
        </w:rPr>
        <w:t> </w:t>
      </w:r>
      <w:hyperlink r:id="rId55" w:anchor="ntr16-L_2015038BG.01007201-E0016" w:history="1">
        <w:r w:rsidRPr="007D063B">
          <w:rPr>
            <w:rFonts w:ascii="inherit" w:eastAsia="Times New Roman" w:hAnsi="inherit" w:cs="Times New Roman"/>
            <w:color w:val="0000FF"/>
            <w:sz w:val="24"/>
            <w:szCs w:val="24"/>
            <w:u w:val="single"/>
            <w:lang w:eastAsia="bg-BG"/>
          </w:rPr>
          <w:t> (</w:t>
        </w:r>
        <w:r w:rsidRPr="007D063B">
          <w:rPr>
            <w:rFonts w:ascii="inherit" w:eastAsia="Times New Roman" w:hAnsi="inherit" w:cs="Times New Roman"/>
            <w:color w:val="0000FF"/>
            <w:sz w:val="17"/>
            <w:szCs w:val="17"/>
            <w:u w:val="single"/>
            <w:vertAlign w:val="superscript"/>
            <w:lang w:eastAsia="bg-BG"/>
          </w:rPr>
          <w:t>16</w:t>
        </w:r>
        <w:r w:rsidRPr="007D063B">
          <w:rPr>
            <w:rFonts w:ascii="inherit" w:eastAsia="Times New Roman" w:hAnsi="inherit" w:cs="Times New Roman"/>
            <w:color w:val="0000FF"/>
            <w:sz w:val="24"/>
            <w:szCs w:val="24"/>
            <w:u w:val="single"/>
            <w:lang w:eastAsia="bg-BG"/>
          </w:rPr>
          <w:t>)</w:t>
        </w:r>
      </w:hyperlink>
    </w:p>
    <w:p w14:paraId="4989DB57" w14:textId="6B48DC93" w:rsidR="00B54C34" w:rsidRPr="007D063B" w:rsidRDefault="00B54C34" w:rsidP="00631E2C">
      <w:pPr>
        <w:shd w:val="clear" w:color="auto" w:fill="FFFFFF"/>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Инвестиционен приоритет:</w:t>
      </w:r>
      <w:r w:rsidR="00631E2C" w:rsidRPr="007D063B">
        <w:rPr>
          <w:rFonts w:ascii="Times New Roman" w:eastAsia="Times New Roman" w:hAnsi="Times New Roman" w:cs="Times New Roman"/>
          <w:color w:val="000000"/>
          <w:sz w:val="24"/>
          <w:szCs w:val="24"/>
          <w:lang w:eastAsia="bg-BG"/>
        </w:rPr>
        <w:t xml:space="preserve"> Неприложимо.</w:t>
      </w:r>
    </w:p>
    <w:tbl>
      <w:tblPr>
        <w:tblW w:w="5124" w:type="pct"/>
        <w:tblCellSpacing w:w="0"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left w:w="0" w:type="dxa"/>
          <w:right w:w="0" w:type="dxa"/>
        </w:tblCellMar>
        <w:tblLook w:val="04A0" w:firstRow="1" w:lastRow="0" w:firstColumn="1" w:lastColumn="0" w:noHBand="0" w:noVBand="1"/>
      </w:tblPr>
      <w:tblGrid>
        <w:gridCol w:w="561"/>
        <w:gridCol w:w="1847"/>
        <w:gridCol w:w="851"/>
        <w:gridCol w:w="424"/>
        <w:gridCol w:w="724"/>
        <w:gridCol w:w="696"/>
        <w:gridCol w:w="567"/>
        <w:gridCol w:w="300"/>
        <w:gridCol w:w="154"/>
        <w:gridCol w:w="125"/>
        <w:gridCol w:w="30"/>
        <w:gridCol w:w="330"/>
        <w:gridCol w:w="154"/>
        <w:gridCol w:w="187"/>
        <w:gridCol w:w="425"/>
        <w:gridCol w:w="226"/>
        <w:gridCol w:w="235"/>
        <w:gridCol w:w="184"/>
        <w:gridCol w:w="226"/>
        <w:gridCol w:w="230"/>
        <w:gridCol w:w="184"/>
        <w:gridCol w:w="226"/>
        <w:gridCol w:w="230"/>
        <w:gridCol w:w="184"/>
        <w:gridCol w:w="226"/>
        <w:gridCol w:w="230"/>
        <w:gridCol w:w="184"/>
        <w:gridCol w:w="226"/>
        <w:gridCol w:w="230"/>
        <w:gridCol w:w="184"/>
        <w:gridCol w:w="226"/>
        <w:gridCol w:w="230"/>
        <w:gridCol w:w="184"/>
        <w:gridCol w:w="226"/>
        <w:gridCol w:w="230"/>
        <w:gridCol w:w="184"/>
        <w:gridCol w:w="226"/>
        <w:gridCol w:w="411"/>
        <w:gridCol w:w="30"/>
        <w:gridCol w:w="253"/>
        <w:gridCol w:w="30"/>
        <w:gridCol w:w="20"/>
        <w:gridCol w:w="473"/>
        <w:gridCol w:w="30"/>
        <w:gridCol w:w="648"/>
        <w:gridCol w:w="197"/>
        <w:gridCol w:w="169"/>
        <w:gridCol w:w="35"/>
      </w:tblGrid>
      <w:tr w:rsidR="001E3946" w:rsidRPr="007D063B" w14:paraId="4A106E5B" w14:textId="77777777" w:rsidTr="00620572">
        <w:trPr>
          <w:tblCellSpacing w:w="0" w:type="dxa"/>
        </w:trPr>
        <w:tc>
          <w:tcPr>
            <w:tcW w:w="560" w:type="dxa"/>
            <w:tcBorders>
              <w:top w:val="single" w:sz="6" w:space="0" w:color="000000"/>
              <w:left w:val="single" w:sz="6" w:space="0" w:color="000000"/>
              <w:bottom w:val="single" w:sz="6" w:space="0" w:color="000000"/>
              <w:right w:val="single" w:sz="6" w:space="0" w:color="000000"/>
            </w:tcBorders>
            <w:shd w:val="clear" w:color="auto" w:fill="FFFFFF"/>
            <w:hideMark/>
          </w:tcPr>
          <w:p w14:paraId="48B073DE"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Идентификация</w:t>
            </w:r>
          </w:p>
        </w:tc>
        <w:tc>
          <w:tcPr>
            <w:tcW w:w="1842" w:type="dxa"/>
            <w:tcBorders>
              <w:top w:val="single" w:sz="6" w:space="0" w:color="000000"/>
              <w:left w:val="single" w:sz="6" w:space="0" w:color="000000"/>
              <w:bottom w:val="single" w:sz="6" w:space="0" w:color="000000"/>
              <w:right w:val="single" w:sz="6" w:space="0" w:color="000000"/>
            </w:tcBorders>
            <w:shd w:val="clear" w:color="auto" w:fill="FFFFFF"/>
            <w:hideMark/>
          </w:tcPr>
          <w:p w14:paraId="3459EEA1"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Показател (наименование на показателя)</w:t>
            </w:r>
          </w:p>
        </w:tc>
        <w:tc>
          <w:tcPr>
            <w:tcW w:w="849" w:type="dxa"/>
            <w:tcBorders>
              <w:top w:val="single" w:sz="6" w:space="0" w:color="000000"/>
              <w:left w:val="single" w:sz="6" w:space="0" w:color="000000"/>
              <w:bottom w:val="single" w:sz="6" w:space="0" w:color="000000"/>
              <w:right w:val="single" w:sz="6" w:space="0" w:color="000000"/>
            </w:tcBorders>
            <w:shd w:val="clear" w:color="auto" w:fill="FFFFFF"/>
            <w:hideMark/>
          </w:tcPr>
          <w:p w14:paraId="79246E4D"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Категория региони (когато е уместно)</w:t>
            </w:r>
          </w:p>
        </w:tc>
        <w:tc>
          <w:tcPr>
            <w:tcW w:w="424" w:type="dxa"/>
            <w:tcBorders>
              <w:top w:val="single" w:sz="6" w:space="0" w:color="000000"/>
              <w:left w:val="single" w:sz="6" w:space="0" w:color="000000"/>
              <w:bottom w:val="single" w:sz="6" w:space="0" w:color="000000"/>
              <w:right w:val="single" w:sz="6" w:space="0" w:color="000000"/>
            </w:tcBorders>
            <w:shd w:val="clear" w:color="auto" w:fill="FFFFFF"/>
            <w:hideMark/>
          </w:tcPr>
          <w:p w14:paraId="05A87BAF"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Мерна единица</w:t>
            </w:r>
          </w:p>
        </w:tc>
        <w:tc>
          <w:tcPr>
            <w:tcW w:w="198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B9D97DB"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Целева стойност (2023 г.)</w:t>
            </w:r>
          </w:p>
        </w:tc>
        <w:tc>
          <w:tcPr>
            <w:tcW w:w="577"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7D777A3"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2014</w:t>
            </w:r>
          </w:p>
        </w:tc>
        <w:tc>
          <w:tcPr>
            <w:tcW w:w="698"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00158235"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2015</w:t>
            </w:r>
          </w:p>
        </w:tc>
        <w:tc>
          <w:tcPr>
            <w:tcW w:w="883"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430E480"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2016</w:t>
            </w:r>
          </w:p>
        </w:tc>
        <w:tc>
          <w:tcPr>
            <w:tcW w:w="637"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2BAD3A5"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2017</w:t>
            </w:r>
          </w:p>
        </w:tc>
        <w:tc>
          <w:tcPr>
            <w:tcW w:w="637"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45663EC"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2018</w:t>
            </w:r>
          </w:p>
        </w:tc>
        <w:tc>
          <w:tcPr>
            <w:tcW w:w="637"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143F555"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2019</w:t>
            </w:r>
          </w:p>
        </w:tc>
        <w:tc>
          <w:tcPr>
            <w:tcW w:w="637"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72771E2"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2020</w:t>
            </w:r>
          </w:p>
        </w:tc>
        <w:tc>
          <w:tcPr>
            <w:tcW w:w="637"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F48A0D4"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2021</w:t>
            </w:r>
          </w:p>
        </w:tc>
        <w:tc>
          <w:tcPr>
            <w:tcW w:w="637"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04EAD10"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2022</w:t>
            </w:r>
          </w:p>
        </w:tc>
        <w:tc>
          <w:tcPr>
            <w:tcW w:w="848"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3551F7F2"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2023</w:t>
            </w:r>
          </w:p>
        </w:tc>
        <w:tc>
          <w:tcPr>
            <w:tcW w:w="80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24A1D8CB"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Кумулативна стойност (автоматично изчислена)</w:t>
            </w:r>
          </w:p>
        </w:tc>
        <w:tc>
          <w:tcPr>
            <w:tcW w:w="1045"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7006A5B8"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Съотношение на постиженията</w:t>
            </w:r>
          </w:p>
        </w:tc>
      </w:tr>
      <w:tr w:rsidR="00B54C34" w:rsidRPr="007D063B" w14:paraId="38F8750C" w14:textId="77777777" w:rsidTr="00421321">
        <w:trPr>
          <w:gridAfter w:val="1"/>
          <w:wAfter w:w="35" w:type="dxa"/>
          <w:tblCellSpacing w:w="0" w:type="dxa"/>
        </w:trPr>
        <w:tc>
          <w:tcPr>
            <w:tcW w:w="560" w:type="dxa"/>
            <w:tcBorders>
              <w:top w:val="single" w:sz="6" w:space="0" w:color="000000"/>
              <w:left w:val="single" w:sz="6" w:space="0" w:color="000000"/>
              <w:bottom w:val="single" w:sz="6" w:space="0" w:color="000000"/>
              <w:right w:val="single" w:sz="6" w:space="0" w:color="000000"/>
            </w:tcBorders>
            <w:shd w:val="clear" w:color="auto" w:fill="FFFFFF"/>
            <w:hideMark/>
          </w:tcPr>
          <w:p w14:paraId="1036166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1842" w:type="dxa"/>
            <w:tcBorders>
              <w:top w:val="single" w:sz="6" w:space="0" w:color="000000"/>
              <w:left w:val="single" w:sz="6" w:space="0" w:color="000000"/>
              <w:bottom w:val="single" w:sz="6" w:space="0" w:color="000000"/>
              <w:right w:val="single" w:sz="6" w:space="0" w:color="000000"/>
            </w:tcBorders>
            <w:shd w:val="clear" w:color="auto" w:fill="FFFFFF"/>
            <w:hideMark/>
          </w:tcPr>
          <w:p w14:paraId="060567F9" w14:textId="77777777" w:rsidR="00B54C34" w:rsidRPr="007D063B" w:rsidRDefault="00B54C34" w:rsidP="00450FF1">
            <w:pPr>
              <w:spacing w:before="120" w:after="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849" w:type="dxa"/>
            <w:tcBorders>
              <w:top w:val="single" w:sz="6" w:space="0" w:color="000000"/>
              <w:left w:val="single" w:sz="6" w:space="0" w:color="000000"/>
              <w:bottom w:val="single" w:sz="6" w:space="0" w:color="000000"/>
              <w:right w:val="single" w:sz="6" w:space="0" w:color="000000"/>
            </w:tcBorders>
            <w:shd w:val="clear" w:color="auto" w:fill="FFFFFF"/>
            <w:hideMark/>
          </w:tcPr>
          <w:p w14:paraId="1872820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24" w:type="dxa"/>
            <w:tcBorders>
              <w:top w:val="single" w:sz="6" w:space="0" w:color="000000"/>
              <w:left w:val="single" w:sz="6" w:space="0" w:color="000000"/>
              <w:bottom w:val="single" w:sz="6" w:space="0" w:color="000000"/>
              <w:right w:val="single" w:sz="6" w:space="0" w:color="000000"/>
            </w:tcBorders>
            <w:shd w:val="clear" w:color="auto" w:fill="FFFFFF"/>
            <w:hideMark/>
          </w:tcPr>
          <w:p w14:paraId="7BF3978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8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B0893A5" w14:textId="77777777" w:rsidR="00B54C34" w:rsidRPr="007D063B" w:rsidRDefault="00B54C34" w:rsidP="00450FF1">
            <w:pPr>
              <w:spacing w:before="120" w:after="0" w:line="240" w:lineRule="auto"/>
              <w:jc w:val="center"/>
              <w:rPr>
                <w:rFonts w:ascii="Times New Roman" w:hAnsi="Times New Roman" w:cs="Times New Roman"/>
                <w:sz w:val="16"/>
                <w:szCs w:val="16"/>
              </w:rPr>
            </w:pPr>
          </w:p>
        </w:tc>
        <w:tc>
          <w:tcPr>
            <w:tcW w:w="6798" w:type="dxa"/>
            <w:gridSpan w:val="31"/>
            <w:tcBorders>
              <w:top w:val="single" w:sz="6" w:space="0" w:color="000000"/>
              <w:left w:val="single" w:sz="6" w:space="0" w:color="000000"/>
              <w:bottom w:val="single" w:sz="6" w:space="0" w:color="000000"/>
              <w:right w:val="single" w:sz="6" w:space="0" w:color="000000"/>
            </w:tcBorders>
            <w:shd w:val="clear" w:color="auto" w:fill="FFFFFF"/>
            <w:hideMark/>
          </w:tcPr>
          <w:p w14:paraId="231501FA" w14:textId="77777777" w:rsidR="00B54C34" w:rsidRPr="007D063B" w:rsidRDefault="00B54C34" w:rsidP="00450FF1">
            <w:pPr>
              <w:spacing w:before="60" w:after="60" w:line="240" w:lineRule="auto"/>
              <w:ind w:right="195"/>
              <w:jc w:val="center"/>
              <w:rPr>
                <w:rFonts w:ascii="Times New Roman" w:hAnsi="Times New Roman" w:cs="Times New Roman"/>
                <w:sz w:val="16"/>
                <w:szCs w:val="16"/>
              </w:rPr>
            </w:pPr>
            <w:r w:rsidRPr="007D063B">
              <w:rPr>
                <w:rFonts w:ascii="Times New Roman" w:hAnsi="Times New Roman" w:cs="Times New Roman"/>
                <w:sz w:val="16"/>
                <w:szCs w:val="16"/>
              </w:rPr>
              <w:t>Годишна стойност</w:t>
            </w:r>
          </w:p>
        </w:tc>
        <w:tc>
          <w:tcPr>
            <w:tcW w:w="80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77F98FE9" w14:textId="77777777" w:rsidR="00B54C34" w:rsidRPr="007D063B" w:rsidRDefault="00B54C34" w:rsidP="00450FF1">
            <w:pPr>
              <w:spacing w:before="120" w:after="0" w:line="240" w:lineRule="auto"/>
              <w:jc w:val="center"/>
              <w:rPr>
                <w:rFonts w:ascii="Times New Roman" w:hAnsi="Times New Roman" w:cs="Times New Roman"/>
                <w:sz w:val="16"/>
                <w:szCs w:val="16"/>
              </w:rPr>
            </w:pPr>
          </w:p>
        </w:tc>
        <w:tc>
          <w:tcPr>
            <w:tcW w:w="1040"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3C12D169" w14:textId="77777777" w:rsidR="00B54C34" w:rsidRPr="007D063B" w:rsidRDefault="00B54C34" w:rsidP="00450FF1">
            <w:pPr>
              <w:spacing w:before="120" w:after="0" w:line="240" w:lineRule="auto"/>
              <w:jc w:val="center"/>
              <w:rPr>
                <w:rFonts w:ascii="Times New Roman" w:hAnsi="Times New Roman" w:cs="Times New Roman"/>
                <w:sz w:val="16"/>
                <w:szCs w:val="16"/>
              </w:rPr>
            </w:pPr>
          </w:p>
        </w:tc>
      </w:tr>
      <w:tr w:rsidR="003B73DC" w:rsidRPr="007D063B" w14:paraId="4D9258A5" w14:textId="77777777" w:rsidTr="00620572">
        <w:tblPrEx>
          <w:tblBorders>
            <w:top w:val="single" w:sz="2" w:space="0" w:color="000000"/>
            <w:left w:val="single" w:sz="2" w:space="0" w:color="000000"/>
            <w:bottom w:val="single" w:sz="2" w:space="0" w:color="000000"/>
            <w:right w:val="single" w:sz="2" w:space="0" w:color="000000"/>
          </w:tblBorders>
        </w:tblPrEx>
        <w:trPr>
          <w:gridAfter w:val="1"/>
          <w:wAfter w:w="35" w:type="dxa"/>
          <w:tblCellSpacing w:w="0" w:type="dxa"/>
        </w:trPr>
        <w:tc>
          <w:tcPr>
            <w:tcW w:w="560" w:type="dxa"/>
            <w:tcBorders>
              <w:top w:val="single" w:sz="2" w:space="0" w:color="000000"/>
              <w:left w:val="single" w:sz="2" w:space="0" w:color="000000"/>
              <w:bottom w:val="single" w:sz="2" w:space="0" w:color="000000"/>
              <w:right w:val="single" w:sz="2" w:space="0" w:color="000000"/>
            </w:tcBorders>
            <w:shd w:val="clear" w:color="auto" w:fill="FFFFFF"/>
          </w:tcPr>
          <w:p w14:paraId="0ECE2BA5" w14:textId="77777777" w:rsidR="00B54C34" w:rsidRPr="007D063B" w:rsidRDefault="00B54C34" w:rsidP="00450FF1">
            <w:pPr>
              <w:spacing w:before="120" w:after="0" w:line="240" w:lineRule="auto"/>
              <w:jc w:val="both"/>
              <w:rPr>
                <w:rFonts w:ascii="Times New Roman" w:hAnsi="Times New Roman" w:cs="Times New Roman"/>
                <w:sz w:val="16"/>
                <w:szCs w:val="16"/>
              </w:rPr>
            </w:pPr>
            <w:r w:rsidRPr="007D063B">
              <w:rPr>
                <w:rFonts w:ascii="Times New Roman" w:hAnsi="Times New Roman" w:cs="Times New Roman"/>
                <w:sz w:val="16"/>
                <w:szCs w:val="16"/>
              </w:rPr>
              <w:t>O4-1</w:t>
            </w:r>
          </w:p>
        </w:tc>
        <w:tc>
          <w:tcPr>
            <w:tcW w:w="1842" w:type="dxa"/>
            <w:tcBorders>
              <w:top w:val="single" w:sz="2" w:space="0" w:color="000000"/>
              <w:left w:val="single" w:sz="2" w:space="0" w:color="000000"/>
              <w:bottom w:val="single" w:sz="2" w:space="0" w:color="000000"/>
              <w:right w:val="single" w:sz="2" w:space="0" w:color="000000"/>
            </w:tcBorders>
            <w:shd w:val="clear" w:color="auto" w:fill="FFFFFF"/>
          </w:tcPr>
          <w:p w14:paraId="166D07ED"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Обучени служители</w:t>
            </w:r>
          </w:p>
        </w:tc>
        <w:tc>
          <w:tcPr>
            <w:tcW w:w="849" w:type="dxa"/>
            <w:tcBorders>
              <w:top w:val="single" w:sz="2" w:space="0" w:color="000000"/>
              <w:left w:val="single" w:sz="2" w:space="0" w:color="000000"/>
              <w:bottom w:val="single" w:sz="2" w:space="0" w:color="000000"/>
              <w:right w:val="single" w:sz="2" w:space="0" w:color="000000"/>
            </w:tcBorders>
            <w:shd w:val="clear" w:color="auto" w:fill="FFFFFF"/>
          </w:tcPr>
          <w:p w14:paraId="6FD5BE4D"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424" w:type="dxa"/>
            <w:tcBorders>
              <w:top w:val="single" w:sz="2" w:space="0" w:color="000000"/>
              <w:left w:val="single" w:sz="2" w:space="0" w:color="000000"/>
              <w:bottom w:val="single" w:sz="2" w:space="0" w:color="000000"/>
              <w:right w:val="single" w:sz="2" w:space="0" w:color="000000"/>
            </w:tcBorders>
            <w:shd w:val="clear" w:color="auto" w:fill="FFFFFF"/>
          </w:tcPr>
          <w:p w14:paraId="75F27A71"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Брой</w:t>
            </w:r>
          </w:p>
        </w:tc>
        <w:tc>
          <w:tcPr>
            <w:tcW w:w="723" w:type="dxa"/>
            <w:tcBorders>
              <w:top w:val="single" w:sz="2" w:space="0" w:color="000000"/>
              <w:left w:val="single" w:sz="2" w:space="0" w:color="000000"/>
              <w:bottom w:val="single" w:sz="2" w:space="0" w:color="000000"/>
              <w:right w:val="single" w:sz="2" w:space="0" w:color="000000"/>
            </w:tcBorders>
            <w:shd w:val="clear" w:color="auto" w:fill="FFFFFF"/>
          </w:tcPr>
          <w:p w14:paraId="7250459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2600</w:t>
            </w:r>
          </w:p>
        </w:tc>
        <w:tc>
          <w:tcPr>
            <w:tcW w:w="695" w:type="dxa"/>
            <w:tcBorders>
              <w:top w:val="single" w:sz="2" w:space="0" w:color="000000"/>
              <w:left w:val="single" w:sz="2" w:space="0" w:color="000000"/>
              <w:bottom w:val="single" w:sz="2" w:space="0" w:color="000000"/>
              <w:right w:val="single" w:sz="2" w:space="0" w:color="000000"/>
            </w:tcBorders>
            <w:shd w:val="clear" w:color="auto" w:fill="FFFFFF"/>
          </w:tcPr>
          <w:p w14:paraId="0C8AE4D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66" w:type="dxa"/>
            <w:tcBorders>
              <w:top w:val="single" w:sz="2" w:space="0" w:color="000000"/>
              <w:left w:val="single" w:sz="2" w:space="0" w:color="000000"/>
              <w:bottom w:val="single" w:sz="2" w:space="0" w:color="000000"/>
              <w:right w:val="single" w:sz="2" w:space="0" w:color="000000"/>
            </w:tcBorders>
            <w:shd w:val="clear" w:color="auto" w:fill="FFFFFF"/>
          </w:tcPr>
          <w:p w14:paraId="477AA38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99" w:type="dxa"/>
            <w:tcBorders>
              <w:top w:val="single" w:sz="2" w:space="0" w:color="000000"/>
              <w:left w:val="single" w:sz="2" w:space="0" w:color="000000"/>
              <w:bottom w:val="single" w:sz="2" w:space="0" w:color="000000"/>
              <w:right w:val="single" w:sz="2" w:space="0" w:color="000000"/>
            </w:tcBorders>
            <w:shd w:val="clear" w:color="auto" w:fill="FFFFFF"/>
          </w:tcPr>
          <w:p w14:paraId="46DFBF64" w14:textId="77777777" w:rsidR="00B54C34" w:rsidRPr="007D063B" w:rsidRDefault="00B54C34" w:rsidP="00450FF1">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lang w:val="en-US"/>
              </w:rPr>
              <w:t>0</w:t>
            </w:r>
          </w:p>
        </w:tc>
        <w:tc>
          <w:tcPr>
            <w:tcW w:w="153" w:type="dxa"/>
            <w:tcBorders>
              <w:top w:val="single" w:sz="2" w:space="0" w:color="000000"/>
              <w:left w:val="single" w:sz="2" w:space="0" w:color="000000"/>
              <w:bottom w:val="single" w:sz="2" w:space="0" w:color="000000"/>
              <w:right w:val="single" w:sz="2" w:space="0" w:color="000000"/>
            </w:tcBorders>
            <w:shd w:val="clear" w:color="auto" w:fill="FFFFFF"/>
          </w:tcPr>
          <w:p w14:paraId="10BE414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2" w:space="0" w:color="000000"/>
              <w:left w:val="single" w:sz="2" w:space="0" w:color="000000"/>
              <w:bottom w:val="single" w:sz="2" w:space="0" w:color="000000"/>
              <w:right w:val="single" w:sz="2" w:space="0" w:color="000000"/>
            </w:tcBorders>
            <w:shd w:val="clear" w:color="auto" w:fill="FFFFFF"/>
          </w:tcPr>
          <w:p w14:paraId="6DDA6A5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29" w:type="dxa"/>
            <w:tcBorders>
              <w:top w:val="single" w:sz="2" w:space="0" w:color="000000"/>
              <w:left w:val="single" w:sz="2" w:space="0" w:color="000000"/>
              <w:bottom w:val="single" w:sz="2" w:space="0" w:color="000000"/>
              <w:right w:val="single" w:sz="2" w:space="0" w:color="000000"/>
            </w:tcBorders>
            <w:shd w:val="clear" w:color="auto" w:fill="FFFFFF"/>
          </w:tcPr>
          <w:p w14:paraId="6F2DDAD3" w14:textId="77777777" w:rsidR="00B54C34" w:rsidRPr="007D063B" w:rsidRDefault="00B54C34" w:rsidP="00450FF1">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lang w:val="en-US"/>
              </w:rPr>
              <w:t>0</w:t>
            </w:r>
          </w:p>
        </w:tc>
        <w:tc>
          <w:tcPr>
            <w:tcW w:w="153" w:type="dxa"/>
            <w:tcBorders>
              <w:top w:val="single" w:sz="2" w:space="0" w:color="000000"/>
              <w:left w:val="single" w:sz="2" w:space="0" w:color="000000"/>
              <w:bottom w:val="single" w:sz="2" w:space="0" w:color="000000"/>
              <w:right w:val="single" w:sz="2" w:space="0" w:color="000000"/>
            </w:tcBorders>
            <w:shd w:val="clear" w:color="auto" w:fill="FFFFFF"/>
          </w:tcPr>
          <w:p w14:paraId="4D30C76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6" w:type="dxa"/>
            <w:tcBorders>
              <w:top w:val="single" w:sz="2" w:space="0" w:color="000000"/>
              <w:left w:val="single" w:sz="2" w:space="0" w:color="000000"/>
              <w:bottom w:val="single" w:sz="2" w:space="0" w:color="000000"/>
              <w:right w:val="single" w:sz="2" w:space="0" w:color="000000"/>
            </w:tcBorders>
            <w:shd w:val="clear" w:color="auto" w:fill="FFFFFF"/>
          </w:tcPr>
          <w:p w14:paraId="635F039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24" w:type="dxa"/>
            <w:tcBorders>
              <w:top w:val="single" w:sz="2" w:space="0" w:color="000000"/>
              <w:left w:val="single" w:sz="2" w:space="0" w:color="000000"/>
              <w:bottom w:val="single" w:sz="2" w:space="0" w:color="000000"/>
              <w:right w:val="single" w:sz="2" w:space="0" w:color="000000"/>
            </w:tcBorders>
            <w:shd w:val="clear" w:color="auto" w:fill="FFFFFF"/>
          </w:tcPr>
          <w:p w14:paraId="4F19F978" w14:textId="0CCE51A8" w:rsidR="00B54C34" w:rsidRPr="007D063B" w:rsidRDefault="003A1801" w:rsidP="003A180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314</w:t>
            </w:r>
          </w:p>
        </w:tc>
        <w:tc>
          <w:tcPr>
            <w:tcW w:w="225" w:type="dxa"/>
            <w:tcBorders>
              <w:top w:val="single" w:sz="2" w:space="0" w:color="000000"/>
              <w:left w:val="single" w:sz="2" w:space="0" w:color="000000"/>
              <w:bottom w:val="single" w:sz="2" w:space="0" w:color="000000"/>
              <w:right w:val="single" w:sz="2" w:space="0" w:color="000000"/>
            </w:tcBorders>
            <w:shd w:val="clear" w:color="auto" w:fill="FFFFFF"/>
          </w:tcPr>
          <w:p w14:paraId="3284583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4" w:type="dxa"/>
            <w:tcBorders>
              <w:top w:val="single" w:sz="2" w:space="0" w:color="000000"/>
              <w:left w:val="single" w:sz="2" w:space="0" w:color="000000"/>
              <w:bottom w:val="single" w:sz="2" w:space="0" w:color="000000"/>
              <w:right w:val="single" w:sz="2" w:space="0" w:color="000000"/>
            </w:tcBorders>
            <w:shd w:val="clear" w:color="auto" w:fill="FFFFFF"/>
          </w:tcPr>
          <w:p w14:paraId="1A393E3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2" w:space="0" w:color="000000"/>
              <w:left w:val="single" w:sz="2" w:space="0" w:color="000000"/>
              <w:bottom w:val="single" w:sz="2" w:space="0" w:color="000000"/>
              <w:right w:val="single" w:sz="2" w:space="0" w:color="000000"/>
            </w:tcBorders>
            <w:shd w:val="clear" w:color="auto" w:fill="FFFFFF"/>
          </w:tcPr>
          <w:p w14:paraId="21140CE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2" w:space="0" w:color="000000"/>
              <w:left w:val="single" w:sz="2" w:space="0" w:color="000000"/>
              <w:bottom w:val="single" w:sz="2" w:space="0" w:color="000000"/>
              <w:right w:val="single" w:sz="2" w:space="0" w:color="000000"/>
            </w:tcBorders>
            <w:shd w:val="clear" w:color="auto" w:fill="FFFFFF"/>
          </w:tcPr>
          <w:p w14:paraId="19400D1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2" w:space="0" w:color="000000"/>
              <w:left w:val="single" w:sz="2" w:space="0" w:color="000000"/>
              <w:bottom w:val="single" w:sz="2" w:space="0" w:color="000000"/>
              <w:right w:val="single" w:sz="2" w:space="0" w:color="000000"/>
            </w:tcBorders>
            <w:shd w:val="clear" w:color="auto" w:fill="FFFFFF"/>
          </w:tcPr>
          <w:p w14:paraId="4942883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2" w:space="0" w:color="000000"/>
              <w:left w:val="single" w:sz="2" w:space="0" w:color="000000"/>
              <w:bottom w:val="single" w:sz="2" w:space="0" w:color="000000"/>
              <w:right w:val="single" w:sz="2" w:space="0" w:color="000000"/>
            </w:tcBorders>
            <w:shd w:val="clear" w:color="auto" w:fill="FFFFFF"/>
          </w:tcPr>
          <w:p w14:paraId="1870788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2" w:space="0" w:color="000000"/>
              <w:left w:val="single" w:sz="2" w:space="0" w:color="000000"/>
              <w:bottom w:val="single" w:sz="2" w:space="0" w:color="000000"/>
              <w:right w:val="single" w:sz="2" w:space="0" w:color="000000"/>
            </w:tcBorders>
            <w:shd w:val="clear" w:color="auto" w:fill="FFFFFF"/>
          </w:tcPr>
          <w:p w14:paraId="2DCD998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2" w:space="0" w:color="000000"/>
              <w:left w:val="single" w:sz="2" w:space="0" w:color="000000"/>
              <w:bottom w:val="single" w:sz="2" w:space="0" w:color="000000"/>
              <w:right w:val="single" w:sz="2" w:space="0" w:color="000000"/>
            </w:tcBorders>
            <w:shd w:val="clear" w:color="auto" w:fill="FFFFFF"/>
          </w:tcPr>
          <w:p w14:paraId="4386D35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2" w:space="0" w:color="000000"/>
              <w:left w:val="single" w:sz="2" w:space="0" w:color="000000"/>
              <w:bottom w:val="single" w:sz="2" w:space="0" w:color="000000"/>
              <w:right w:val="single" w:sz="2" w:space="0" w:color="000000"/>
            </w:tcBorders>
            <w:shd w:val="clear" w:color="auto" w:fill="FFFFFF"/>
          </w:tcPr>
          <w:p w14:paraId="2667670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2" w:space="0" w:color="000000"/>
              <w:left w:val="single" w:sz="2" w:space="0" w:color="000000"/>
              <w:bottom w:val="single" w:sz="2" w:space="0" w:color="000000"/>
              <w:right w:val="single" w:sz="2" w:space="0" w:color="000000"/>
            </w:tcBorders>
            <w:shd w:val="clear" w:color="auto" w:fill="FFFFFF"/>
          </w:tcPr>
          <w:p w14:paraId="67E88C5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2" w:space="0" w:color="000000"/>
              <w:left w:val="single" w:sz="2" w:space="0" w:color="000000"/>
              <w:bottom w:val="single" w:sz="2" w:space="0" w:color="000000"/>
              <w:right w:val="single" w:sz="2" w:space="0" w:color="000000"/>
            </w:tcBorders>
            <w:shd w:val="clear" w:color="auto" w:fill="FFFFFF"/>
          </w:tcPr>
          <w:p w14:paraId="5F5D287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2" w:space="0" w:color="000000"/>
              <w:left w:val="single" w:sz="2" w:space="0" w:color="000000"/>
              <w:bottom w:val="single" w:sz="2" w:space="0" w:color="000000"/>
              <w:right w:val="single" w:sz="2" w:space="0" w:color="000000"/>
            </w:tcBorders>
            <w:shd w:val="clear" w:color="auto" w:fill="FFFFFF"/>
          </w:tcPr>
          <w:p w14:paraId="13E754C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2" w:space="0" w:color="000000"/>
              <w:left w:val="single" w:sz="2" w:space="0" w:color="000000"/>
              <w:bottom w:val="single" w:sz="2" w:space="0" w:color="000000"/>
              <w:right w:val="single" w:sz="2" w:space="0" w:color="000000"/>
            </w:tcBorders>
            <w:shd w:val="clear" w:color="auto" w:fill="FFFFFF"/>
          </w:tcPr>
          <w:p w14:paraId="2CABF21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2" w:space="0" w:color="000000"/>
              <w:left w:val="single" w:sz="2" w:space="0" w:color="000000"/>
              <w:bottom w:val="single" w:sz="2" w:space="0" w:color="000000"/>
              <w:right w:val="single" w:sz="2" w:space="0" w:color="000000"/>
            </w:tcBorders>
            <w:shd w:val="clear" w:color="auto" w:fill="FFFFFF"/>
          </w:tcPr>
          <w:p w14:paraId="5B73451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2" w:space="0" w:color="000000"/>
              <w:left w:val="single" w:sz="2" w:space="0" w:color="000000"/>
              <w:bottom w:val="single" w:sz="2" w:space="0" w:color="000000"/>
              <w:right w:val="single" w:sz="2" w:space="0" w:color="000000"/>
            </w:tcBorders>
            <w:shd w:val="clear" w:color="auto" w:fill="FFFFFF"/>
          </w:tcPr>
          <w:p w14:paraId="702EF41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2" w:space="0" w:color="000000"/>
              <w:left w:val="single" w:sz="2" w:space="0" w:color="000000"/>
              <w:bottom w:val="single" w:sz="2" w:space="0" w:color="000000"/>
              <w:right w:val="single" w:sz="2" w:space="0" w:color="000000"/>
            </w:tcBorders>
            <w:shd w:val="clear" w:color="auto" w:fill="FFFFFF"/>
          </w:tcPr>
          <w:p w14:paraId="5457545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2" w:space="0" w:color="000000"/>
              <w:left w:val="single" w:sz="2" w:space="0" w:color="000000"/>
              <w:bottom w:val="single" w:sz="2" w:space="0" w:color="000000"/>
              <w:right w:val="single" w:sz="2" w:space="0" w:color="000000"/>
            </w:tcBorders>
            <w:shd w:val="clear" w:color="auto" w:fill="FFFFFF"/>
          </w:tcPr>
          <w:p w14:paraId="354CB2E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2" w:space="0" w:color="000000"/>
              <w:left w:val="single" w:sz="2" w:space="0" w:color="000000"/>
              <w:bottom w:val="single" w:sz="2" w:space="0" w:color="000000"/>
              <w:right w:val="single" w:sz="2" w:space="0" w:color="000000"/>
            </w:tcBorders>
            <w:shd w:val="clear" w:color="auto" w:fill="FFFFFF"/>
          </w:tcPr>
          <w:p w14:paraId="5A7915F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2" w:space="0" w:color="000000"/>
              <w:left w:val="single" w:sz="2" w:space="0" w:color="000000"/>
              <w:bottom w:val="single" w:sz="2" w:space="0" w:color="000000"/>
              <w:right w:val="single" w:sz="2" w:space="0" w:color="000000"/>
            </w:tcBorders>
            <w:shd w:val="clear" w:color="auto" w:fill="FFFFFF"/>
          </w:tcPr>
          <w:p w14:paraId="724BDBA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2" w:space="0" w:color="000000"/>
              <w:left w:val="single" w:sz="2" w:space="0" w:color="000000"/>
              <w:bottom w:val="single" w:sz="2" w:space="0" w:color="000000"/>
              <w:right w:val="single" w:sz="2" w:space="0" w:color="000000"/>
            </w:tcBorders>
            <w:shd w:val="clear" w:color="auto" w:fill="FFFFFF"/>
          </w:tcPr>
          <w:p w14:paraId="633751D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2" w:space="0" w:color="000000"/>
              <w:left w:val="single" w:sz="2" w:space="0" w:color="000000"/>
              <w:bottom w:val="single" w:sz="2" w:space="0" w:color="000000"/>
              <w:right w:val="single" w:sz="2" w:space="0" w:color="000000"/>
            </w:tcBorders>
            <w:shd w:val="clear" w:color="auto" w:fill="FFFFFF"/>
          </w:tcPr>
          <w:p w14:paraId="5C4C793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2" w:space="0" w:color="000000"/>
              <w:left w:val="single" w:sz="2" w:space="0" w:color="000000"/>
              <w:bottom w:val="single" w:sz="2" w:space="0" w:color="000000"/>
              <w:right w:val="single" w:sz="2" w:space="0" w:color="000000"/>
            </w:tcBorders>
            <w:shd w:val="clear" w:color="auto" w:fill="FFFFFF"/>
          </w:tcPr>
          <w:p w14:paraId="7CD2ABA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10" w:type="dxa"/>
            <w:tcBorders>
              <w:top w:val="single" w:sz="2" w:space="0" w:color="000000"/>
              <w:left w:val="single" w:sz="2" w:space="0" w:color="000000"/>
              <w:bottom w:val="single" w:sz="2" w:space="0" w:color="000000"/>
              <w:right w:val="single" w:sz="2" w:space="0" w:color="000000"/>
            </w:tcBorders>
            <w:shd w:val="clear" w:color="auto" w:fill="FFFFFF"/>
          </w:tcPr>
          <w:p w14:paraId="390F6DB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82" w:type="dxa"/>
            <w:gridSpan w:val="2"/>
            <w:tcBorders>
              <w:top w:val="single" w:sz="2" w:space="0" w:color="000000"/>
              <w:left w:val="single" w:sz="2" w:space="0" w:color="000000"/>
              <w:bottom w:val="single" w:sz="2" w:space="0" w:color="000000"/>
              <w:right w:val="single" w:sz="2" w:space="0" w:color="000000"/>
            </w:tcBorders>
            <w:shd w:val="clear" w:color="auto" w:fill="FFFFFF"/>
          </w:tcPr>
          <w:p w14:paraId="1FF02BA5" w14:textId="5D64B556" w:rsidR="00B54C34" w:rsidRPr="007D063B" w:rsidRDefault="003A1801"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eastAsia="bg-BG"/>
              </w:rPr>
              <w:t>314</w:t>
            </w:r>
          </w:p>
        </w:tc>
        <w:tc>
          <w:tcPr>
            <w:tcW w:w="30" w:type="dxa"/>
            <w:tcBorders>
              <w:top w:val="single" w:sz="2" w:space="0" w:color="000000"/>
              <w:left w:val="single" w:sz="2" w:space="0" w:color="000000"/>
              <w:bottom w:val="single" w:sz="2" w:space="0" w:color="000000"/>
              <w:right w:val="single" w:sz="2" w:space="0" w:color="000000"/>
            </w:tcBorders>
            <w:shd w:val="clear" w:color="auto" w:fill="FFFFFF"/>
          </w:tcPr>
          <w:p w14:paraId="5BC7149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21" w:type="dxa"/>
            <w:gridSpan w:val="3"/>
            <w:tcBorders>
              <w:top w:val="single" w:sz="2" w:space="0" w:color="000000"/>
              <w:left w:val="single" w:sz="2" w:space="0" w:color="000000"/>
              <w:bottom w:val="single" w:sz="2" w:space="0" w:color="000000"/>
              <w:right w:val="single" w:sz="2" w:space="0" w:color="000000"/>
            </w:tcBorders>
            <w:shd w:val="clear" w:color="auto" w:fill="FFFFFF"/>
          </w:tcPr>
          <w:p w14:paraId="7F6D887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46" w:type="dxa"/>
            <w:tcBorders>
              <w:top w:val="single" w:sz="2" w:space="0" w:color="000000"/>
              <w:left w:val="single" w:sz="2" w:space="0" w:color="000000"/>
              <w:bottom w:val="single" w:sz="2" w:space="0" w:color="000000"/>
              <w:right w:val="single" w:sz="2" w:space="0" w:color="000000"/>
            </w:tcBorders>
            <w:shd w:val="clear" w:color="auto" w:fill="FFFFFF"/>
          </w:tcPr>
          <w:p w14:paraId="281861F8" w14:textId="7B8D79F5" w:rsidR="00B54C34" w:rsidRPr="007D063B" w:rsidRDefault="004465B9"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0,12</w:t>
            </w:r>
          </w:p>
        </w:tc>
        <w:tc>
          <w:tcPr>
            <w:tcW w:w="196" w:type="dxa"/>
            <w:tcBorders>
              <w:top w:val="single" w:sz="2" w:space="0" w:color="000000"/>
              <w:left w:val="single" w:sz="2" w:space="0" w:color="000000"/>
              <w:bottom w:val="single" w:sz="2" w:space="0" w:color="000000"/>
              <w:right w:val="single" w:sz="2" w:space="0" w:color="000000"/>
            </w:tcBorders>
            <w:shd w:val="clear" w:color="auto" w:fill="FFFFFF"/>
          </w:tcPr>
          <w:p w14:paraId="4A7337F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68" w:type="dxa"/>
            <w:tcBorders>
              <w:top w:val="single" w:sz="2" w:space="0" w:color="000000"/>
              <w:left w:val="single" w:sz="2" w:space="0" w:color="000000"/>
              <w:bottom w:val="single" w:sz="2" w:space="0" w:color="000000"/>
              <w:right w:val="single" w:sz="2" w:space="0" w:color="000000"/>
            </w:tcBorders>
            <w:shd w:val="clear" w:color="auto" w:fill="FFFFFF"/>
          </w:tcPr>
          <w:p w14:paraId="4135F20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780AC359" w14:textId="77777777" w:rsidTr="00620572">
        <w:trPr>
          <w:gridAfter w:val="1"/>
          <w:wAfter w:w="35" w:type="dxa"/>
          <w:tblCellSpacing w:w="0" w:type="dxa"/>
        </w:trPr>
        <w:tc>
          <w:tcPr>
            <w:tcW w:w="560" w:type="dxa"/>
            <w:tcBorders>
              <w:top w:val="single" w:sz="6" w:space="0" w:color="000000"/>
              <w:left w:val="single" w:sz="6" w:space="0" w:color="000000"/>
              <w:bottom w:val="single" w:sz="6" w:space="0" w:color="000000"/>
              <w:right w:val="single" w:sz="6" w:space="0" w:color="000000"/>
            </w:tcBorders>
            <w:shd w:val="clear" w:color="auto" w:fill="FFFFFF"/>
          </w:tcPr>
          <w:p w14:paraId="025F9FF1"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O4-2</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14:paraId="2987868B"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Издадени информационни материали по вид (ръководства, наръчници, книжки, брошури и информационни листовки и др.)</w:t>
            </w:r>
          </w:p>
        </w:tc>
        <w:tc>
          <w:tcPr>
            <w:tcW w:w="849" w:type="dxa"/>
            <w:tcBorders>
              <w:top w:val="single" w:sz="6" w:space="0" w:color="000000"/>
              <w:left w:val="single" w:sz="6" w:space="0" w:color="000000"/>
              <w:bottom w:val="single" w:sz="6" w:space="0" w:color="000000"/>
              <w:right w:val="single" w:sz="6" w:space="0" w:color="000000"/>
            </w:tcBorders>
            <w:shd w:val="clear" w:color="auto" w:fill="FFFFFF"/>
          </w:tcPr>
          <w:p w14:paraId="4F41397F"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424" w:type="dxa"/>
            <w:tcBorders>
              <w:top w:val="single" w:sz="6" w:space="0" w:color="000000"/>
              <w:left w:val="single" w:sz="6" w:space="0" w:color="000000"/>
              <w:bottom w:val="single" w:sz="6" w:space="0" w:color="000000"/>
              <w:right w:val="single" w:sz="6" w:space="0" w:color="000000"/>
            </w:tcBorders>
            <w:shd w:val="clear" w:color="auto" w:fill="FFFFFF"/>
          </w:tcPr>
          <w:p w14:paraId="1447940E"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Брой</w:t>
            </w:r>
          </w:p>
        </w:tc>
        <w:tc>
          <w:tcPr>
            <w:tcW w:w="723" w:type="dxa"/>
            <w:tcBorders>
              <w:top w:val="single" w:sz="6" w:space="0" w:color="000000"/>
              <w:left w:val="single" w:sz="6" w:space="0" w:color="000000"/>
              <w:bottom w:val="single" w:sz="6" w:space="0" w:color="000000"/>
              <w:right w:val="single" w:sz="6" w:space="0" w:color="000000"/>
            </w:tcBorders>
            <w:shd w:val="clear" w:color="auto" w:fill="FFFFFF"/>
          </w:tcPr>
          <w:p w14:paraId="1907AB8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60</w:t>
            </w:r>
          </w:p>
          <w:p w14:paraId="564C876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95" w:type="dxa"/>
            <w:tcBorders>
              <w:top w:val="single" w:sz="6" w:space="0" w:color="000000"/>
              <w:left w:val="single" w:sz="6" w:space="0" w:color="000000"/>
              <w:bottom w:val="single" w:sz="6" w:space="0" w:color="000000"/>
              <w:right w:val="single" w:sz="6" w:space="0" w:color="000000"/>
            </w:tcBorders>
            <w:shd w:val="clear" w:color="auto" w:fill="FFFFFF"/>
          </w:tcPr>
          <w:p w14:paraId="50F4469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66" w:type="dxa"/>
            <w:tcBorders>
              <w:top w:val="single" w:sz="6" w:space="0" w:color="000000"/>
              <w:left w:val="single" w:sz="6" w:space="0" w:color="000000"/>
              <w:bottom w:val="single" w:sz="6" w:space="0" w:color="000000"/>
              <w:right w:val="single" w:sz="6" w:space="0" w:color="000000"/>
            </w:tcBorders>
            <w:shd w:val="clear" w:color="auto" w:fill="FFFFFF"/>
          </w:tcPr>
          <w:p w14:paraId="4644576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99" w:type="dxa"/>
            <w:tcBorders>
              <w:top w:val="single" w:sz="6" w:space="0" w:color="000000"/>
              <w:left w:val="single" w:sz="6" w:space="0" w:color="000000"/>
              <w:bottom w:val="single" w:sz="6" w:space="0" w:color="000000"/>
              <w:right w:val="single" w:sz="6" w:space="0" w:color="000000"/>
            </w:tcBorders>
            <w:shd w:val="clear" w:color="auto" w:fill="FFFFFF"/>
          </w:tcPr>
          <w:p w14:paraId="46DA2119" w14:textId="77777777" w:rsidR="00B54C34" w:rsidRPr="007D063B" w:rsidRDefault="00B54C34" w:rsidP="00450FF1">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3934A0A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33035DE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29" w:type="dxa"/>
            <w:tcBorders>
              <w:top w:val="single" w:sz="6" w:space="0" w:color="000000"/>
              <w:left w:val="single" w:sz="6" w:space="0" w:color="000000"/>
              <w:bottom w:val="single" w:sz="6" w:space="0" w:color="000000"/>
              <w:right w:val="single" w:sz="6" w:space="0" w:color="000000"/>
            </w:tcBorders>
            <w:shd w:val="clear" w:color="auto" w:fill="FFFFFF"/>
          </w:tcPr>
          <w:p w14:paraId="2336A58A" w14:textId="77777777" w:rsidR="00B54C34" w:rsidRPr="007D063B" w:rsidRDefault="00B54C34" w:rsidP="00450FF1">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0279563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6" w:type="dxa"/>
            <w:tcBorders>
              <w:top w:val="single" w:sz="6" w:space="0" w:color="000000"/>
              <w:left w:val="single" w:sz="6" w:space="0" w:color="000000"/>
              <w:bottom w:val="single" w:sz="6" w:space="0" w:color="000000"/>
              <w:right w:val="single" w:sz="6" w:space="0" w:color="000000"/>
            </w:tcBorders>
            <w:shd w:val="clear" w:color="auto" w:fill="FFFFFF"/>
          </w:tcPr>
          <w:p w14:paraId="03ECF62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24" w:type="dxa"/>
            <w:tcBorders>
              <w:top w:val="single" w:sz="6" w:space="0" w:color="000000"/>
              <w:left w:val="single" w:sz="6" w:space="0" w:color="000000"/>
              <w:bottom w:val="single" w:sz="6" w:space="0" w:color="000000"/>
              <w:right w:val="single" w:sz="6" w:space="0" w:color="000000"/>
            </w:tcBorders>
            <w:shd w:val="clear" w:color="auto" w:fill="FFFFFF"/>
          </w:tcPr>
          <w:p w14:paraId="34AB701D" w14:textId="5797B814" w:rsidR="00B54C34" w:rsidRPr="007D063B" w:rsidRDefault="003A1801"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47</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2FF8D96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4" w:type="dxa"/>
            <w:tcBorders>
              <w:top w:val="single" w:sz="6" w:space="0" w:color="000000"/>
              <w:left w:val="single" w:sz="6" w:space="0" w:color="000000"/>
              <w:bottom w:val="single" w:sz="6" w:space="0" w:color="000000"/>
              <w:right w:val="single" w:sz="6" w:space="0" w:color="000000"/>
            </w:tcBorders>
            <w:shd w:val="clear" w:color="auto" w:fill="FFFFFF"/>
          </w:tcPr>
          <w:p w14:paraId="78B8021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4635161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7D9E526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3DCBA9D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493F329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1885698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512E5E9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7AEFE56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604087B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26A4707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0D7A98E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3347FD4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6BCC6B3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1C397EA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64BBF77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1A11C90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3759025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6CBC327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0AE94ED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33830DF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45BC620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10" w:type="dxa"/>
            <w:tcBorders>
              <w:top w:val="single" w:sz="6" w:space="0" w:color="000000"/>
              <w:left w:val="single" w:sz="6" w:space="0" w:color="000000"/>
              <w:bottom w:val="single" w:sz="6" w:space="0" w:color="000000"/>
              <w:right w:val="single" w:sz="6" w:space="0" w:color="000000"/>
            </w:tcBorders>
            <w:shd w:val="clear" w:color="auto" w:fill="FFFFFF"/>
          </w:tcPr>
          <w:p w14:paraId="6708719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82" w:type="dxa"/>
            <w:gridSpan w:val="2"/>
            <w:tcBorders>
              <w:top w:val="single" w:sz="6" w:space="0" w:color="000000"/>
              <w:left w:val="single" w:sz="6" w:space="0" w:color="000000"/>
              <w:bottom w:val="single" w:sz="6" w:space="0" w:color="000000"/>
              <w:right w:val="single" w:sz="6" w:space="0" w:color="000000"/>
            </w:tcBorders>
            <w:shd w:val="clear" w:color="auto" w:fill="FFFFFF"/>
          </w:tcPr>
          <w:p w14:paraId="49FA94A8" w14:textId="7D8CA469" w:rsidR="00B54C34" w:rsidRPr="007D063B" w:rsidRDefault="003A1801"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47</w:t>
            </w:r>
          </w:p>
        </w:tc>
        <w:tc>
          <w:tcPr>
            <w:tcW w:w="50" w:type="dxa"/>
            <w:gridSpan w:val="2"/>
            <w:tcBorders>
              <w:top w:val="single" w:sz="6" w:space="0" w:color="000000"/>
              <w:left w:val="single" w:sz="6" w:space="0" w:color="000000"/>
              <w:bottom w:val="single" w:sz="6" w:space="0" w:color="000000"/>
              <w:right w:val="single" w:sz="6" w:space="0" w:color="000000"/>
            </w:tcBorders>
            <w:shd w:val="clear" w:color="auto" w:fill="FFFFFF"/>
          </w:tcPr>
          <w:p w14:paraId="2D25D2F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01" w:type="dxa"/>
            <w:gridSpan w:val="2"/>
            <w:tcBorders>
              <w:top w:val="single" w:sz="6" w:space="0" w:color="000000"/>
              <w:left w:val="single" w:sz="6" w:space="0" w:color="000000"/>
              <w:bottom w:val="single" w:sz="6" w:space="0" w:color="000000"/>
              <w:right w:val="single" w:sz="6" w:space="0" w:color="000000"/>
            </w:tcBorders>
            <w:shd w:val="clear" w:color="auto" w:fill="FFFFFF"/>
          </w:tcPr>
          <w:p w14:paraId="1F1B10B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46" w:type="dxa"/>
            <w:tcBorders>
              <w:top w:val="single" w:sz="6" w:space="0" w:color="000000"/>
              <w:left w:val="single" w:sz="6" w:space="0" w:color="000000"/>
              <w:bottom w:val="single" w:sz="6" w:space="0" w:color="000000"/>
              <w:right w:val="single" w:sz="6" w:space="0" w:color="000000"/>
            </w:tcBorders>
            <w:shd w:val="clear" w:color="auto" w:fill="FFFFFF"/>
          </w:tcPr>
          <w:p w14:paraId="6C5D2527" w14:textId="7884A81B" w:rsidR="00B54C34" w:rsidRPr="007D063B" w:rsidRDefault="004465B9" w:rsidP="0061293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0,78</w:t>
            </w:r>
          </w:p>
        </w:tc>
        <w:tc>
          <w:tcPr>
            <w:tcW w:w="196" w:type="dxa"/>
            <w:tcBorders>
              <w:top w:val="single" w:sz="6" w:space="0" w:color="000000"/>
              <w:left w:val="single" w:sz="6" w:space="0" w:color="000000"/>
              <w:bottom w:val="single" w:sz="6" w:space="0" w:color="000000"/>
              <w:right w:val="single" w:sz="6" w:space="0" w:color="000000"/>
            </w:tcBorders>
            <w:shd w:val="clear" w:color="auto" w:fill="FFFFFF"/>
          </w:tcPr>
          <w:p w14:paraId="4C673FD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68" w:type="dxa"/>
            <w:tcBorders>
              <w:top w:val="single" w:sz="6" w:space="0" w:color="000000"/>
              <w:left w:val="single" w:sz="6" w:space="0" w:color="000000"/>
              <w:bottom w:val="single" w:sz="6" w:space="0" w:color="000000"/>
              <w:right w:val="single" w:sz="6" w:space="0" w:color="000000"/>
            </w:tcBorders>
            <w:shd w:val="clear" w:color="auto" w:fill="FFFFFF"/>
          </w:tcPr>
          <w:p w14:paraId="3009839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27C7271B" w14:textId="77777777" w:rsidTr="00620572">
        <w:trPr>
          <w:gridAfter w:val="1"/>
          <w:wAfter w:w="35" w:type="dxa"/>
          <w:tblCellSpacing w:w="0" w:type="dxa"/>
        </w:trPr>
        <w:tc>
          <w:tcPr>
            <w:tcW w:w="560" w:type="dxa"/>
            <w:tcBorders>
              <w:top w:val="single" w:sz="6" w:space="0" w:color="000000"/>
              <w:left w:val="single" w:sz="6" w:space="0" w:color="000000"/>
              <w:bottom w:val="single" w:sz="6" w:space="0" w:color="000000"/>
              <w:right w:val="single" w:sz="6" w:space="0" w:color="000000"/>
            </w:tcBorders>
            <w:shd w:val="clear" w:color="auto" w:fill="FFFFFF"/>
          </w:tcPr>
          <w:p w14:paraId="4FF518B4"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O4-3</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14:paraId="08C19679"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Брой публични информационни събития</w:t>
            </w:r>
          </w:p>
        </w:tc>
        <w:tc>
          <w:tcPr>
            <w:tcW w:w="849" w:type="dxa"/>
            <w:tcBorders>
              <w:top w:val="single" w:sz="6" w:space="0" w:color="000000"/>
              <w:left w:val="single" w:sz="6" w:space="0" w:color="000000"/>
              <w:bottom w:val="single" w:sz="6" w:space="0" w:color="000000"/>
              <w:right w:val="single" w:sz="6" w:space="0" w:color="000000"/>
            </w:tcBorders>
            <w:shd w:val="clear" w:color="auto" w:fill="FFFFFF"/>
          </w:tcPr>
          <w:p w14:paraId="05B654B6"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424" w:type="dxa"/>
            <w:tcBorders>
              <w:top w:val="single" w:sz="6" w:space="0" w:color="000000"/>
              <w:left w:val="single" w:sz="6" w:space="0" w:color="000000"/>
              <w:bottom w:val="single" w:sz="6" w:space="0" w:color="000000"/>
              <w:right w:val="single" w:sz="6" w:space="0" w:color="000000"/>
            </w:tcBorders>
            <w:shd w:val="clear" w:color="auto" w:fill="FFFFFF"/>
          </w:tcPr>
          <w:p w14:paraId="3EDC78CC"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Брой</w:t>
            </w:r>
          </w:p>
        </w:tc>
        <w:tc>
          <w:tcPr>
            <w:tcW w:w="723" w:type="dxa"/>
            <w:tcBorders>
              <w:top w:val="single" w:sz="6" w:space="0" w:color="000000"/>
              <w:left w:val="single" w:sz="6" w:space="0" w:color="000000"/>
              <w:bottom w:val="single" w:sz="6" w:space="0" w:color="000000"/>
              <w:right w:val="single" w:sz="6" w:space="0" w:color="000000"/>
            </w:tcBorders>
            <w:shd w:val="clear" w:color="auto" w:fill="FFFFFF"/>
          </w:tcPr>
          <w:p w14:paraId="2B130A2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90</w:t>
            </w:r>
          </w:p>
          <w:p w14:paraId="1479E83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95" w:type="dxa"/>
            <w:tcBorders>
              <w:top w:val="single" w:sz="6" w:space="0" w:color="000000"/>
              <w:left w:val="single" w:sz="6" w:space="0" w:color="000000"/>
              <w:bottom w:val="single" w:sz="6" w:space="0" w:color="000000"/>
              <w:right w:val="single" w:sz="6" w:space="0" w:color="000000"/>
            </w:tcBorders>
            <w:shd w:val="clear" w:color="auto" w:fill="FFFFFF"/>
          </w:tcPr>
          <w:p w14:paraId="23CE629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66" w:type="dxa"/>
            <w:tcBorders>
              <w:top w:val="single" w:sz="6" w:space="0" w:color="000000"/>
              <w:left w:val="single" w:sz="6" w:space="0" w:color="000000"/>
              <w:bottom w:val="single" w:sz="6" w:space="0" w:color="000000"/>
              <w:right w:val="single" w:sz="6" w:space="0" w:color="000000"/>
            </w:tcBorders>
            <w:shd w:val="clear" w:color="auto" w:fill="FFFFFF"/>
          </w:tcPr>
          <w:p w14:paraId="3FA9282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99" w:type="dxa"/>
            <w:tcBorders>
              <w:top w:val="single" w:sz="6" w:space="0" w:color="000000"/>
              <w:left w:val="single" w:sz="6" w:space="0" w:color="000000"/>
              <w:bottom w:val="single" w:sz="6" w:space="0" w:color="000000"/>
              <w:right w:val="single" w:sz="6" w:space="0" w:color="000000"/>
            </w:tcBorders>
            <w:shd w:val="clear" w:color="auto" w:fill="FFFFFF"/>
          </w:tcPr>
          <w:p w14:paraId="577720B6" w14:textId="77777777" w:rsidR="00B54C34" w:rsidRPr="007D063B" w:rsidRDefault="00B54C34" w:rsidP="00450FF1">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102EC23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6CDD27C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29" w:type="dxa"/>
            <w:tcBorders>
              <w:top w:val="single" w:sz="6" w:space="0" w:color="000000"/>
              <w:left w:val="single" w:sz="6" w:space="0" w:color="000000"/>
              <w:bottom w:val="single" w:sz="6" w:space="0" w:color="000000"/>
              <w:right w:val="single" w:sz="6" w:space="0" w:color="000000"/>
            </w:tcBorders>
            <w:shd w:val="clear" w:color="auto" w:fill="FFFFFF"/>
          </w:tcPr>
          <w:p w14:paraId="7B4C8DF4" w14:textId="77777777" w:rsidR="00B54C34" w:rsidRPr="007D063B" w:rsidRDefault="00B54C34" w:rsidP="00450FF1">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42EEC98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6" w:type="dxa"/>
            <w:tcBorders>
              <w:top w:val="single" w:sz="6" w:space="0" w:color="000000"/>
              <w:left w:val="single" w:sz="6" w:space="0" w:color="000000"/>
              <w:bottom w:val="single" w:sz="6" w:space="0" w:color="000000"/>
              <w:right w:val="single" w:sz="6" w:space="0" w:color="000000"/>
            </w:tcBorders>
            <w:shd w:val="clear" w:color="auto" w:fill="FFFFFF"/>
          </w:tcPr>
          <w:p w14:paraId="5DB6B5B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24" w:type="dxa"/>
            <w:tcBorders>
              <w:top w:val="single" w:sz="6" w:space="0" w:color="000000"/>
              <w:left w:val="single" w:sz="6" w:space="0" w:color="000000"/>
              <w:bottom w:val="single" w:sz="6" w:space="0" w:color="000000"/>
              <w:right w:val="single" w:sz="6" w:space="0" w:color="000000"/>
            </w:tcBorders>
            <w:shd w:val="clear" w:color="auto" w:fill="FFFFFF"/>
          </w:tcPr>
          <w:p w14:paraId="4566B7C7" w14:textId="4A4CBF7C" w:rsidR="00B54C34" w:rsidRPr="007D063B" w:rsidRDefault="003A1801"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722</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10A515E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4" w:type="dxa"/>
            <w:tcBorders>
              <w:top w:val="single" w:sz="6" w:space="0" w:color="000000"/>
              <w:left w:val="single" w:sz="6" w:space="0" w:color="000000"/>
              <w:bottom w:val="single" w:sz="6" w:space="0" w:color="000000"/>
              <w:right w:val="single" w:sz="6" w:space="0" w:color="000000"/>
            </w:tcBorders>
            <w:shd w:val="clear" w:color="auto" w:fill="FFFFFF"/>
          </w:tcPr>
          <w:p w14:paraId="2845F2C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1E7F3DB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126F80A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5AA6709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3E3A0B0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53C4D70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417A84E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14489B4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407AEAE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4693A65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2962524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3BFBE18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490819E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56D6007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6ADDB23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560BF7D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24310FE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093B443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41B3E5A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2D7D964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45F9EEA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10" w:type="dxa"/>
            <w:tcBorders>
              <w:top w:val="single" w:sz="6" w:space="0" w:color="000000"/>
              <w:left w:val="single" w:sz="6" w:space="0" w:color="000000"/>
              <w:bottom w:val="single" w:sz="6" w:space="0" w:color="000000"/>
              <w:right w:val="single" w:sz="6" w:space="0" w:color="000000"/>
            </w:tcBorders>
            <w:shd w:val="clear" w:color="auto" w:fill="FFFFFF"/>
          </w:tcPr>
          <w:p w14:paraId="2044D7C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82" w:type="dxa"/>
            <w:gridSpan w:val="2"/>
            <w:tcBorders>
              <w:top w:val="single" w:sz="6" w:space="0" w:color="000000"/>
              <w:left w:val="single" w:sz="6" w:space="0" w:color="000000"/>
              <w:bottom w:val="single" w:sz="6" w:space="0" w:color="000000"/>
              <w:right w:val="single" w:sz="6" w:space="0" w:color="000000"/>
            </w:tcBorders>
            <w:shd w:val="clear" w:color="auto" w:fill="FFFFFF"/>
          </w:tcPr>
          <w:p w14:paraId="0C17C598" w14:textId="178C4C74" w:rsidR="00B54C34" w:rsidRPr="007D063B" w:rsidRDefault="003A1801"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722</w:t>
            </w:r>
          </w:p>
        </w:tc>
        <w:tc>
          <w:tcPr>
            <w:tcW w:w="50" w:type="dxa"/>
            <w:gridSpan w:val="2"/>
            <w:tcBorders>
              <w:top w:val="single" w:sz="6" w:space="0" w:color="000000"/>
              <w:left w:val="single" w:sz="6" w:space="0" w:color="000000"/>
              <w:bottom w:val="single" w:sz="6" w:space="0" w:color="000000"/>
              <w:right w:val="single" w:sz="6" w:space="0" w:color="000000"/>
            </w:tcBorders>
            <w:shd w:val="clear" w:color="auto" w:fill="FFFFFF"/>
          </w:tcPr>
          <w:p w14:paraId="0703FDD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01" w:type="dxa"/>
            <w:gridSpan w:val="2"/>
            <w:tcBorders>
              <w:top w:val="single" w:sz="6" w:space="0" w:color="000000"/>
              <w:left w:val="single" w:sz="6" w:space="0" w:color="000000"/>
              <w:bottom w:val="single" w:sz="6" w:space="0" w:color="000000"/>
              <w:right w:val="single" w:sz="6" w:space="0" w:color="000000"/>
            </w:tcBorders>
            <w:shd w:val="clear" w:color="auto" w:fill="FFFFFF"/>
          </w:tcPr>
          <w:p w14:paraId="3F2DB54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46" w:type="dxa"/>
            <w:tcBorders>
              <w:top w:val="single" w:sz="6" w:space="0" w:color="000000"/>
              <w:left w:val="single" w:sz="6" w:space="0" w:color="000000"/>
              <w:bottom w:val="single" w:sz="6" w:space="0" w:color="000000"/>
              <w:right w:val="single" w:sz="6" w:space="0" w:color="000000"/>
            </w:tcBorders>
            <w:shd w:val="clear" w:color="auto" w:fill="FFFFFF"/>
          </w:tcPr>
          <w:p w14:paraId="578F9FDC" w14:textId="7C5DBECD" w:rsidR="00B54C34" w:rsidRPr="007D063B" w:rsidRDefault="004465B9"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8,02</w:t>
            </w:r>
          </w:p>
        </w:tc>
        <w:tc>
          <w:tcPr>
            <w:tcW w:w="196" w:type="dxa"/>
            <w:tcBorders>
              <w:top w:val="single" w:sz="6" w:space="0" w:color="000000"/>
              <w:left w:val="single" w:sz="6" w:space="0" w:color="000000"/>
              <w:bottom w:val="single" w:sz="6" w:space="0" w:color="000000"/>
              <w:right w:val="single" w:sz="6" w:space="0" w:color="000000"/>
            </w:tcBorders>
            <w:shd w:val="clear" w:color="auto" w:fill="FFFFFF"/>
          </w:tcPr>
          <w:p w14:paraId="3BF4909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68" w:type="dxa"/>
            <w:tcBorders>
              <w:top w:val="single" w:sz="6" w:space="0" w:color="000000"/>
              <w:left w:val="single" w:sz="6" w:space="0" w:color="000000"/>
              <w:bottom w:val="single" w:sz="6" w:space="0" w:color="000000"/>
              <w:right w:val="single" w:sz="6" w:space="0" w:color="000000"/>
            </w:tcBorders>
            <w:shd w:val="clear" w:color="auto" w:fill="FFFFFF"/>
          </w:tcPr>
          <w:p w14:paraId="305AD5C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5BE10A82" w14:textId="77777777" w:rsidTr="00620572">
        <w:trPr>
          <w:gridAfter w:val="1"/>
          <w:wAfter w:w="35" w:type="dxa"/>
          <w:tblCellSpacing w:w="0" w:type="dxa"/>
        </w:trPr>
        <w:tc>
          <w:tcPr>
            <w:tcW w:w="560" w:type="dxa"/>
            <w:tcBorders>
              <w:top w:val="single" w:sz="6" w:space="0" w:color="000000"/>
              <w:left w:val="single" w:sz="6" w:space="0" w:color="000000"/>
              <w:bottom w:val="single" w:sz="6" w:space="0" w:color="000000"/>
              <w:right w:val="single" w:sz="6" w:space="0" w:color="000000"/>
            </w:tcBorders>
            <w:shd w:val="clear" w:color="auto" w:fill="FFFFFF"/>
          </w:tcPr>
          <w:p w14:paraId="1E33F00E"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О4-4</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14:paraId="498D1A3C"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Брой служители, чиито заплати се съфинансират от техническа помощ</w:t>
            </w:r>
          </w:p>
        </w:tc>
        <w:tc>
          <w:tcPr>
            <w:tcW w:w="849" w:type="dxa"/>
            <w:tcBorders>
              <w:top w:val="single" w:sz="6" w:space="0" w:color="000000"/>
              <w:left w:val="single" w:sz="6" w:space="0" w:color="000000"/>
              <w:bottom w:val="single" w:sz="6" w:space="0" w:color="000000"/>
              <w:right w:val="single" w:sz="6" w:space="0" w:color="000000"/>
            </w:tcBorders>
            <w:shd w:val="clear" w:color="auto" w:fill="FFFFFF"/>
          </w:tcPr>
          <w:p w14:paraId="45343EC5"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424" w:type="dxa"/>
            <w:tcBorders>
              <w:top w:val="single" w:sz="6" w:space="0" w:color="000000"/>
              <w:left w:val="single" w:sz="6" w:space="0" w:color="000000"/>
              <w:bottom w:val="single" w:sz="6" w:space="0" w:color="000000"/>
              <w:right w:val="single" w:sz="6" w:space="0" w:color="000000"/>
            </w:tcBorders>
            <w:shd w:val="clear" w:color="auto" w:fill="FFFFFF"/>
          </w:tcPr>
          <w:p w14:paraId="0058F6A5"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Брой</w:t>
            </w:r>
          </w:p>
        </w:tc>
        <w:tc>
          <w:tcPr>
            <w:tcW w:w="723" w:type="dxa"/>
            <w:tcBorders>
              <w:top w:val="single" w:sz="6" w:space="0" w:color="000000"/>
              <w:left w:val="single" w:sz="6" w:space="0" w:color="000000"/>
              <w:bottom w:val="single" w:sz="6" w:space="0" w:color="000000"/>
              <w:right w:val="single" w:sz="6" w:space="0" w:color="000000"/>
            </w:tcBorders>
            <w:shd w:val="clear" w:color="auto" w:fill="FFFFFF"/>
          </w:tcPr>
          <w:p w14:paraId="6FFABAB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250</w:t>
            </w:r>
          </w:p>
          <w:p w14:paraId="00D9966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95" w:type="dxa"/>
            <w:tcBorders>
              <w:top w:val="single" w:sz="6" w:space="0" w:color="000000"/>
              <w:left w:val="single" w:sz="6" w:space="0" w:color="000000"/>
              <w:bottom w:val="single" w:sz="6" w:space="0" w:color="000000"/>
              <w:right w:val="single" w:sz="6" w:space="0" w:color="000000"/>
            </w:tcBorders>
            <w:shd w:val="clear" w:color="auto" w:fill="FFFFFF"/>
          </w:tcPr>
          <w:p w14:paraId="366B13B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66" w:type="dxa"/>
            <w:tcBorders>
              <w:top w:val="single" w:sz="6" w:space="0" w:color="000000"/>
              <w:left w:val="single" w:sz="6" w:space="0" w:color="000000"/>
              <w:bottom w:val="single" w:sz="6" w:space="0" w:color="000000"/>
              <w:right w:val="single" w:sz="6" w:space="0" w:color="000000"/>
            </w:tcBorders>
            <w:shd w:val="clear" w:color="auto" w:fill="FFFFFF"/>
          </w:tcPr>
          <w:p w14:paraId="44E0B68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99" w:type="dxa"/>
            <w:tcBorders>
              <w:top w:val="single" w:sz="6" w:space="0" w:color="000000"/>
              <w:left w:val="single" w:sz="6" w:space="0" w:color="000000"/>
              <w:bottom w:val="single" w:sz="6" w:space="0" w:color="000000"/>
              <w:right w:val="single" w:sz="6" w:space="0" w:color="000000"/>
            </w:tcBorders>
            <w:shd w:val="clear" w:color="auto" w:fill="FFFFFF"/>
          </w:tcPr>
          <w:p w14:paraId="7BC6B320" w14:textId="77777777" w:rsidR="00B54C34" w:rsidRPr="007D063B" w:rsidRDefault="00B54C34" w:rsidP="00450FF1">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10D2D64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03731AD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29" w:type="dxa"/>
            <w:tcBorders>
              <w:top w:val="single" w:sz="6" w:space="0" w:color="000000"/>
              <w:left w:val="single" w:sz="6" w:space="0" w:color="000000"/>
              <w:bottom w:val="single" w:sz="6" w:space="0" w:color="000000"/>
              <w:right w:val="single" w:sz="6" w:space="0" w:color="000000"/>
            </w:tcBorders>
            <w:shd w:val="clear" w:color="auto" w:fill="FFFFFF"/>
          </w:tcPr>
          <w:p w14:paraId="71D8802A" w14:textId="77777777" w:rsidR="00B54C34" w:rsidRPr="007D063B" w:rsidRDefault="00B54C34" w:rsidP="00450FF1">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19B9CCF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6" w:type="dxa"/>
            <w:tcBorders>
              <w:top w:val="single" w:sz="6" w:space="0" w:color="000000"/>
              <w:left w:val="single" w:sz="6" w:space="0" w:color="000000"/>
              <w:bottom w:val="single" w:sz="6" w:space="0" w:color="000000"/>
              <w:right w:val="single" w:sz="6" w:space="0" w:color="000000"/>
            </w:tcBorders>
            <w:shd w:val="clear" w:color="auto" w:fill="FFFFFF"/>
          </w:tcPr>
          <w:p w14:paraId="07F8BD0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24" w:type="dxa"/>
            <w:tcBorders>
              <w:top w:val="single" w:sz="6" w:space="0" w:color="000000"/>
              <w:left w:val="single" w:sz="6" w:space="0" w:color="000000"/>
              <w:bottom w:val="single" w:sz="6" w:space="0" w:color="000000"/>
              <w:right w:val="single" w:sz="6" w:space="0" w:color="000000"/>
            </w:tcBorders>
            <w:shd w:val="clear" w:color="auto" w:fill="FFFFFF"/>
          </w:tcPr>
          <w:p w14:paraId="6C789034" w14:textId="38737641" w:rsidR="00B54C34" w:rsidRPr="007D063B" w:rsidRDefault="003A1801"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319,92</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684112D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4" w:type="dxa"/>
            <w:tcBorders>
              <w:top w:val="single" w:sz="6" w:space="0" w:color="000000"/>
              <w:left w:val="single" w:sz="6" w:space="0" w:color="000000"/>
              <w:bottom w:val="single" w:sz="6" w:space="0" w:color="000000"/>
              <w:right w:val="single" w:sz="6" w:space="0" w:color="000000"/>
            </w:tcBorders>
            <w:shd w:val="clear" w:color="auto" w:fill="FFFFFF"/>
          </w:tcPr>
          <w:p w14:paraId="237D07B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0E9CEA9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34E176A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4891DAE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1E87C1E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5925DF8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1CFC40F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1455FDA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41F1D8E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761ABD7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7AE3EDE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152B79A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3FE6224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7ABDE33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61C3BF7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2D95923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5E16711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1DFC580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74CA60A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12EBE66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7EF1D1C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10" w:type="dxa"/>
            <w:tcBorders>
              <w:top w:val="single" w:sz="6" w:space="0" w:color="000000"/>
              <w:left w:val="single" w:sz="6" w:space="0" w:color="000000"/>
              <w:bottom w:val="single" w:sz="6" w:space="0" w:color="000000"/>
              <w:right w:val="single" w:sz="6" w:space="0" w:color="000000"/>
            </w:tcBorders>
            <w:shd w:val="clear" w:color="auto" w:fill="FFFFFF"/>
          </w:tcPr>
          <w:p w14:paraId="1E08D40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82" w:type="dxa"/>
            <w:gridSpan w:val="2"/>
            <w:tcBorders>
              <w:top w:val="single" w:sz="6" w:space="0" w:color="000000"/>
              <w:left w:val="single" w:sz="6" w:space="0" w:color="000000"/>
              <w:bottom w:val="single" w:sz="6" w:space="0" w:color="000000"/>
              <w:right w:val="single" w:sz="6" w:space="0" w:color="000000"/>
            </w:tcBorders>
            <w:shd w:val="clear" w:color="auto" w:fill="FFFFFF"/>
          </w:tcPr>
          <w:p w14:paraId="53B9B347" w14:textId="336DB54F" w:rsidR="00B54C34" w:rsidRPr="007D063B" w:rsidRDefault="003A1801"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319,92</w:t>
            </w:r>
          </w:p>
        </w:tc>
        <w:tc>
          <w:tcPr>
            <w:tcW w:w="50" w:type="dxa"/>
            <w:gridSpan w:val="2"/>
            <w:tcBorders>
              <w:top w:val="single" w:sz="6" w:space="0" w:color="000000"/>
              <w:left w:val="single" w:sz="6" w:space="0" w:color="000000"/>
              <w:bottom w:val="single" w:sz="6" w:space="0" w:color="000000"/>
              <w:right w:val="single" w:sz="6" w:space="0" w:color="000000"/>
            </w:tcBorders>
            <w:shd w:val="clear" w:color="auto" w:fill="FFFFFF"/>
          </w:tcPr>
          <w:p w14:paraId="161F9C3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01" w:type="dxa"/>
            <w:gridSpan w:val="2"/>
            <w:tcBorders>
              <w:top w:val="single" w:sz="6" w:space="0" w:color="000000"/>
              <w:left w:val="single" w:sz="6" w:space="0" w:color="000000"/>
              <w:bottom w:val="single" w:sz="6" w:space="0" w:color="000000"/>
              <w:right w:val="single" w:sz="6" w:space="0" w:color="000000"/>
            </w:tcBorders>
            <w:shd w:val="clear" w:color="auto" w:fill="FFFFFF"/>
          </w:tcPr>
          <w:p w14:paraId="55B983C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46" w:type="dxa"/>
            <w:tcBorders>
              <w:top w:val="single" w:sz="6" w:space="0" w:color="000000"/>
              <w:left w:val="single" w:sz="6" w:space="0" w:color="000000"/>
              <w:bottom w:val="single" w:sz="6" w:space="0" w:color="000000"/>
              <w:right w:val="single" w:sz="6" w:space="0" w:color="000000"/>
            </w:tcBorders>
            <w:shd w:val="clear" w:color="auto" w:fill="FFFFFF"/>
          </w:tcPr>
          <w:p w14:paraId="490195A1" w14:textId="12D174D7" w:rsidR="00B54C34" w:rsidRPr="007D063B" w:rsidRDefault="004465B9"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1,28</w:t>
            </w:r>
          </w:p>
        </w:tc>
        <w:tc>
          <w:tcPr>
            <w:tcW w:w="196" w:type="dxa"/>
            <w:tcBorders>
              <w:top w:val="single" w:sz="6" w:space="0" w:color="000000"/>
              <w:left w:val="single" w:sz="6" w:space="0" w:color="000000"/>
              <w:bottom w:val="single" w:sz="6" w:space="0" w:color="000000"/>
              <w:right w:val="single" w:sz="6" w:space="0" w:color="000000"/>
            </w:tcBorders>
            <w:shd w:val="clear" w:color="auto" w:fill="FFFFFF"/>
          </w:tcPr>
          <w:p w14:paraId="5CD612A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68" w:type="dxa"/>
            <w:tcBorders>
              <w:top w:val="single" w:sz="6" w:space="0" w:color="000000"/>
              <w:left w:val="single" w:sz="6" w:space="0" w:color="000000"/>
              <w:bottom w:val="single" w:sz="6" w:space="0" w:color="000000"/>
              <w:right w:val="single" w:sz="6" w:space="0" w:color="000000"/>
            </w:tcBorders>
            <w:shd w:val="clear" w:color="auto" w:fill="FFFFFF"/>
          </w:tcPr>
          <w:p w14:paraId="1B95C63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35CC8E78" w14:textId="77777777" w:rsidTr="00620572">
        <w:trPr>
          <w:gridAfter w:val="1"/>
          <w:wAfter w:w="35" w:type="dxa"/>
          <w:tblCellSpacing w:w="0" w:type="dxa"/>
        </w:trPr>
        <w:tc>
          <w:tcPr>
            <w:tcW w:w="560" w:type="dxa"/>
            <w:tcBorders>
              <w:top w:val="single" w:sz="6" w:space="0" w:color="000000"/>
              <w:left w:val="single" w:sz="6" w:space="0" w:color="000000"/>
              <w:bottom w:val="single" w:sz="6" w:space="0" w:color="000000"/>
              <w:right w:val="single" w:sz="6" w:space="0" w:color="000000"/>
            </w:tcBorders>
            <w:shd w:val="clear" w:color="auto" w:fill="FFFFFF"/>
          </w:tcPr>
          <w:p w14:paraId="635D0CB8"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О4-5</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14:paraId="03BDD37A"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Проекти допринасящи за намаляване на административната тежест</w:t>
            </w:r>
          </w:p>
        </w:tc>
        <w:tc>
          <w:tcPr>
            <w:tcW w:w="849" w:type="dxa"/>
            <w:tcBorders>
              <w:top w:val="single" w:sz="6" w:space="0" w:color="000000"/>
              <w:left w:val="single" w:sz="6" w:space="0" w:color="000000"/>
              <w:bottom w:val="single" w:sz="6" w:space="0" w:color="000000"/>
              <w:right w:val="single" w:sz="6" w:space="0" w:color="000000"/>
            </w:tcBorders>
            <w:shd w:val="clear" w:color="auto" w:fill="FFFFFF"/>
          </w:tcPr>
          <w:p w14:paraId="2466A0A0"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424" w:type="dxa"/>
            <w:tcBorders>
              <w:top w:val="single" w:sz="6" w:space="0" w:color="000000"/>
              <w:left w:val="single" w:sz="6" w:space="0" w:color="000000"/>
              <w:bottom w:val="single" w:sz="6" w:space="0" w:color="000000"/>
              <w:right w:val="single" w:sz="6" w:space="0" w:color="000000"/>
            </w:tcBorders>
            <w:shd w:val="clear" w:color="auto" w:fill="FFFFFF"/>
          </w:tcPr>
          <w:p w14:paraId="102CE189"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Брой</w:t>
            </w:r>
          </w:p>
        </w:tc>
        <w:tc>
          <w:tcPr>
            <w:tcW w:w="723" w:type="dxa"/>
            <w:tcBorders>
              <w:top w:val="single" w:sz="6" w:space="0" w:color="000000"/>
              <w:left w:val="single" w:sz="6" w:space="0" w:color="000000"/>
              <w:bottom w:val="single" w:sz="6" w:space="0" w:color="000000"/>
              <w:right w:val="single" w:sz="6" w:space="0" w:color="000000"/>
            </w:tcBorders>
            <w:shd w:val="clear" w:color="auto" w:fill="FFFFFF"/>
          </w:tcPr>
          <w:p w14:paraId="24D4FC3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7</w:t>
            </w:r>
          </w:p>
        </w:tc>
        <w:tc>
          <w:tcPr>
            <w:tcW w:w="695" w:type="dxa"/>
            <w:tcBorders>
              <w:top w:val="single" w:sz="6" w:space="0" w:color="000000"/>
              <w:left w:val="single" w:sz="6" w:space="0" w:color="000000"/>
              <w:bottom w:val="single" w:sz="6" w:space="0" w:color="000000"/>
              <w:right w:val="single" w:sz="6" w:space="0" w:color="000000"/>
            </w:tcBorders>
            <w:shd w:val="clear" w:color="auto" w:fill="FFFFFF"/>
          </w:tcPr>
          <w:p w14:paraId="19DCB3B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66" w:type="dxa"/>
            <w:tcBorders>
              <w:top w:val="single" w:sz="6" w:space="0" w:color="000000"/>
              <w:left w:val="single" w:sz="6" w:space="0" w:color="000000"/>
              <w:bottom w:val="single" w:sz="6" w:space="0" w:color="000000"/>
              <w:right w:val="single" w:sz="6" w:space="0" w:color="000000"/>
            </w:tcBorders>
            <w:shd w:val="clear" w:color="auto" w:fill="FFFFFF"/>
          </w:tcPr>
          <w:p w14:paraId="42E6E58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99" w:type="dxa"/>
            <w:tcBorders>
              <w:top w:val="single" w:sz="6" w:space="0" w:color="000000"/>
              <w:left w:val="single" w:sz="6" w:space="0" w:color="000000"/>
              <w:bottom w:val="single" w:sz="6" w:space="0" w:color="000000"/>
              <w:right w:val="single" w:sz="6" w:space="0" w:color="000000"/>
            </w:tcBorders>
            <w:shd w:val="clear" w:color="auto" w:fill="FFFFFF"/>
          </w:tcPr>
          <w:p w14:paraId="2F00E794" w14:textId="77777777" w:rsidR="00B54C34" w:rsidRPr="007D063B" w:rsidRDefault="00B54C34" w:rsidP="00450FF1">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50C0E9B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13D1E56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29" w:type="dxa"/>
            <w:tcBorders>
              <w:top w:val="single" w:sz="6" w:space="0" w:color="000000"/>
              <w:left w:val="single" w:sz="6" w:space="0" w:color="000000"/>
              <w:bottom w:val="single" w:sz="6" w:space="0" w:color="000000"/>
              <w:right w:val="single" w:sz="6" w:space="0" w:color="000000"/>
            </w:tcBorders>
            <w:shd w:val="clear" w:color="auto" w:fill="FFFFFF"/>
          </w:tcPr>
          <w:p w14:paraId="76593E95" w14:textId="77777777" w:rsidR="00B54C34" w:rsidRPr="007D063B" w:rsidRDefault="00B54C34" w:rsidP="00450FF1">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58C2C87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6" w:type="dxa"/>
            <w:tcBorders>
              <w:top w:val="single" w:sz="6" w:space="0" w:color="000000"/>
              <w:left w:val="single" w:sz="6" w:space="0" w:color="000000"/>
              <w:bottom w:val="single" w:sz="6" w:space="0" w:color="000000"/>
              <w:right w:val="single" w:sz="6" w:space="0" w:color="000000"/>
            </w:tcBorders>
            <w:shd w:val="clear" w:color="auto" w:fill="FFFFFF"/>
          </w:tcPr>
          <w:p w14:paraId="43929F6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24" w:type="dxa"/>
            <w:tcBorders>
              <w:top w:val="single" w:sz="6" w:space="0" w:color="000000"/>
              <w:left w:val="single" w:sz="6" w:space="0" w:color="000000"/>
              <w:bottom w:val="single" w:sz="6" w:space="0" w:color="000000"/>
              <w:right w:val="single" w:sz="6" w:space="0" w:color="000000"/>
            </w:tcBorders>
            <w:shd w:val="clear" w:color="auto" w:fill="FFFFFF"/>
          </w:tcPr>
          <w:p w14:paraId="6AFA2881" w14:textId="6A26A7FF" w:rsidR="00B54C34" w:rsidRPr="007D063B" w:rsidRDefault="003A1801"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19F0C0E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34" w:type="dxa"/>
            <w:tcBorders>
              <w:top w:val="single" w:sz="6" w:space="0" w:color="000000"/>
              <w:left w:val="single" w:sz="6" w:space="0" w:color="000000"/>
              <w:bottom w:val="single" w:sz="6" w:space="0" w:color="000000"/>
              <w:right w:val="single" w:sz="6" w:space="0" w:color="000000"/>
            </w:tcBorders>
            <w:shd w:val="clear" w:color="auto" w:fill="FFFFFF"/>
          </w:tcPr>
          <w:p w14:paraId="4424D78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546E053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1BCA729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409A9E0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06ADAC4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4FB777B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4C7953D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65934D0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5EFFF10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1BCE2BF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4F79E38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121A4D0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16097B4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04CB310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0225ACE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7A66999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4D2026B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657AA6B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tcBorders>
              <w:top w:val="single" w:sz="6" w:space="0" w:color="000000"/>
              <w:left w:val="single" w:sz="6" w:space="0" w:color="000000"/>
              <w:bottom w:val="single" w:sz="6" w:space="0" w:color="000000"/>
              <w:right w:val="single" w:sz="6" w:space="0" w:color="000000"/>
            </w:tcBorders>
            <w:shd w:val="clear" w:color="auto" w:fill="FFFFFF"/>
          </w:tcPr>
          <w:p w14:paraId="2D5B22C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1C51499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7581DD6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10" w:type="dxa"/>
            <w:tcBorders>
              <w:top w:val="single" w:sz="6" w:space="0" w:color="000000"/>
              <w:left w:val="single" w:sz="6" w:space="0" w:color="000000"/>
              <w:bottom w:val="single" w:sz="6" w:space="0" w:color="000000"/>
              <w:right w:val="single" w:sz="6" w:space="0" w:color="000000"/>
            </w:tcBorders>
            <w:shd w:val="clear" w:color="auto" w:fill="FFFFFF"/>
          </w:tcPr>
          <w:p w14:paraId="1217C2A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82" w:type="dxa"/>
            <w:gridSpan w:val="2"/>
            <w:tcBorders>
              <w:top w:val="single" w:sz="6" w:space="0" w:color="000000"/>
              <w:left w:val="single" w:sz="6" w:space="0" w:color="000000"/>
              <w:bottom w:val="single" w:sz="6" w:space="0" w:color="000000"/>
              <w:right w:val="single" w:sz="6" w:space="0" w:color="000000"/>
            </w:tcBorders>
            <w:shd w:val="clear" w:color="auto" w:fill="FFFFFF"/>
          </w:tcPr>
          <w:p w14:paraId="3493AC2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50" w:type="dxa"/>
            <w:gridSpan w:val="2"/>
            <w:tcBorders>
              <w:top w:val="single" w:sz="6" w:space="0" w:color="000000"/>
              <w:left w:val="single" w:sz="6" w:space="0" w:color="000000"/>
              <w:bottom w:val="single" w:sz="6" w:space="0" w:color="000000"/>
              <w:right w:val="single" w:sz="6" w:space="0" w:color="000000"/>
            </w:tcBorders>
            <w:shd w:val="clear" w:color="auto" w:fill="FFFFFF"/>
          </w:tcPr>
          <w:p w14:paraId="204131E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01" w:type="dxa"/>
            <w:gridSpan w:val="2"/>
            <w:tcBorders>
              <w:top w:val="single" w:sz="6" w:space="0" w:color="000000"/>
              <w:left w:val="single" w:sz="6" w:space="0" w:color="000000"/>
              <w:bottom w:val="single" w:sz="6" w:space="0" w:color="000000"/>
              <w:right w:val="single" w:sz="6" w:space="0" w:color="000000"/>
            </w:tcBorders>
            <w:shd w:val="clear" w:color="auto" w:fill="FFFFFF"/>
          </w:tcPr>
          <w:p w14:paraId="002573C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46" w:type="dxa"/>
            <w:tcBorders>
              <w:top w:val="single" w:sz="6" w:space="0" w:color="000000"/>
              <w:left w:val="single" w:sz="6" w:space="0" w:color="000000"/>
              <w:bottom w:val="single" w:sz="6" w:space="0" w:color="000000"/>
              <w:right w:val="single" w:sz="6" w:space="0" w:color="000000"/>
            </w:tcBorders>
            <w:shd w:val="clear" w:color="auto" w:fill="FFFFFF"/>
          </w:tcPr>
          <w:p w14:paraId="37D70D2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val="en-US" w:eastAsia="bg-BG"/>
              </w:rPr>
              <w:t>0</w:t>
            </w:r>
          </w:p>
        </w:tc>
        <w:tc>
          <w:tcPr>
            <w:tcW w:w="196" w:type="dxa"/>
            <w:tcBorders>
              <w:top w:val="single" w:sz="6" w:space="0" w:color="000000"/>
              <w:left w:val="single" w:sz="6" w:space="0" w:color="000000"/>
              <w:bottom w:val="single" w:sz="6" w:space="0" w:color="000000"/>
              <w:right w:val="single" w:sz="6" w:space="0" w:color="000000"/>
            </w:tcBorders>
            <w:shd w:val="clear" w:color="auto" w:fill="FFFFFF"/>
          </w:tcPr>
          <w:p w14:paraId="5020810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68" w:type="dxa"/>
            <w:tcBorders>
              <w:top w:val="single" w:sz="6" w:space="0" w:color="000000"/>
              <w:left w:val="single" w:sz="6" w:space="0" w:color="000000"/>
              <w:bottom w:val="single" w:sz="6" w:space="0" w:color="000000"/>
              <w:right w:val="single" w:sz="6" w:space="0" w:color="000000"/>
            </w:tcBorders>
            <w:shd w:val="clear" w:color="auto" w:fill="FFFFFF"/>
          </w:tcPr>
          <w:p w14:paraId="0A0325C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bl>
    <w:p w14:paraId="7C9EB233" w14:textId="77777777" w:rsidR="00B54C34" w:rsidRPr="007D063B" w:rsidRDefault="00B54C34" w:rsidP="00B54C34">
      <w:pPr>
        <w:rPr>
          <w:rFonts w:ascii="Times New Roman" w:eastAsia="Times New Roman" w:hAnsi="Times New Roman" w:cs="Times New Roman"/>
          <w:b/>
          <w:bCs/>
          <w:color w:val="000000"/>
          <w:sz w:val="24"/>
          <w:szCs w:val="24"/>
          <w:lang w:eastAsia="bg-BG"/>
        </w:rPr>
      </w:pPr>
      <w:r w:rsidRPr="007D063B">
        <w:rPr>
          <w:rFonts w:ascii="Times New Roman" w:eastAsia="Times New Roman" w:hAnsi="Times New Roman" w:cs="Times New Roman"/>
          <w:b/>
          <w:bCs/>
          <w:color w:val="000000"/>
          <w:sz w:val="24"/>
          <w:szCs w:val="24"/>
          <w:lang w:eastAsia="bg-BG"/>
        </w:rPr>
        <w:br w:type="page"/>
      </w:r>
    </w:p>
    <w:p w14:paraId="1FD2F4E1" w14:textId="12C08831" w:rsidR="00D279B7" w:rsidRPr="007D063B" w:rsidRDefault="00D279B7" w:rsidP="00D279B7">
      <w:pPr>
        <w:pStyle w:val="Heading2"/>
        <w:rPr>
          <w:rFonts w:ascii="inherit" w:eastAsia="Times New Roman" w:hAnsi="inherit" w:cs="Times New Roman"/>
          <w:b/>
          <w:bCs/>
          <w:color w:val="000000"/>
          <w:sz w:val="24"/>
          <w:szCs w:val="24"/>
          <w:lang w:eastAsia="bg-BG"/>
        </w:rPr>
      </w:pPr>
      <w:bookmarkStart w:id="27" w:name="_Toc481594288"/>
      <w:r w:rsidRPr="007D063B">
        <w:rPr>
          <w:rFonts w:ascii="Times New Roman" w:eastAsia="Times New Roman" w:hAnsi="Times New Roman" w:cs="Times New Roman"/>
          <w:b/>
          <w:bCs/>
          <w:color w:val="000000"/>
          <w:sz w:val="24"/>
          <w:szCs w:val="24"/>
          <w:lang w:eastAsia="bg-BG"/>
        </w:rPr>
        <w:lastRenderedPageBreak/>
        <w:t>3.1   </w:t>
      </w:r>
      <w:r w:rsidRPr="007D063B">
        <w:rPr>
          <w:rFonts w:ascii="inherit" w:eastAsia="Times New Roman" w:hAnsi="inherit" w:cs="Times New Roman"/>
          <w:b/>
          <w:bCs/>
          <w:color w:val="000000"/>
          <w:sz w:val="24"/>
          <w:szCs w:val="24"/>
          <w:lang w:eastAsia="bg-BG"/>
        </w:rPr>
        <w:t>Преглед на изпълнението – приоритетна ос 5</w:t>
      </w:r>
      <w:bookmarkEnd w:id="27"/>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883"/>
        <w:gridCol w:w="1667"/>
        <w:gridCol w:w="10484"/>
      </w:tblGrid>
      <w:tr w:rsidR="00B54C34" w:rsidRPr="007D063B" w14:paraId="1995C6B1" w14:textId="77777777" w:rsidTr="00450FF1">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4DAA9D1"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lang w:eastAsia="bg-BG"/>
              </w:rPr>
            </w:pPr>
            <w:r w:rsidRPr="007D063B">
              <w:rPr>
                <w:rFonts w:ascii="Times New Roman" w:eastAsia="Times New Roman" w:hAnsi="Times New Roman" w:cs="Times New Roman"/>
                <w:b/>
                <w:bCs/>
                <w:color w:val="000000"/>
                <w:lang w:eastAsia="bg-BG"/>
              </w:rPr>
              <w:t>Идентификация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3B1923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lang w:eastAsia="bg-BG"/>
              </w:rPr>
            </w:pPr>
            <w:r w:rsidRPr="007D063B">
              <w:rPr>
                <w:rFonts w:ascii="Times New Roman" w:eastAsia="Times New Roman" w:hAnsi="Times New Roman" w:cs="Times New Roman"/>
                <w:b/>
                <w:bCs/>
                <w:color w:val="000000"/>
                <w:lang w:eastAsia="bg-BG"/>
              </w:rPr>
              <w:t>Приоритетна ос</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E421E6C"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lang w:eastAsia="bg-BG"/>
              </w:rPr>
            </w:pPr>
            <w:r w:rsidRPr="007D063B">
              <w:rPr>
                <w:rFonts w:ascii="Times New Roman" w:eastAsia="Times New Roman" w:hAnsi="Times New Roman" w:cs="Times New Roman"/>
                <w:b/>
                <w:bCs/>
                <w:color w:val="000000"/>
                <w:lang w:eastAsia="bg-BG"/>
              </w:rPr>
              <w:t>Ключова информация относно изпълнението на приоритетната ос с позоваване на ключови събития, значителни проблеми и стъпките, предприети за преодоляване на тези проблеми</w:t>
            </w:r>
          </w:p>
        </w:tc>
      </w:tr>
      <w:tr w:rsidR="00B54C34" w:rsidRPr="007D063B" w14:paraId="1627AE53" w14:textId="77777777" w:rsidTr="00450FF1">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1F42348" w14:textId="77777777" w:rsidR="00B54C34" w:rsidRPr="007D063B" w:rsidRDefault="00B54C34" w:rsidP="00450FF1">
            <w:pPr>
              <w:spacing w:before="60" w:after="60" w:line="240" w:lineRule="auto"/>
              <w:rPr>
                <w:rFonts w:ascii="Times New Roman" w:eastAsia="Times New Roman" w:hAnsi="Times New Roman" w:cs="Times New Roman"/>
                <w:color w:val="000000"/>
                <w:lang w:eastAsia="bg-BG"/>
              </w:rPr>
            </w:pPr>
            <w:r w:rsidRPr="007D063B">
              <w:rPr>
                <w:rFonts w:ascii="Times New Roman" w:eastAsia="Times New Roman" w:hAnsi="Times New Roman" w:cs="Times New Roman"/>
                <w:i/>
                <w:iCs/>
                <w:color w:val="000000"/>
                <w:lang w:eastAsia="bg-BG"/>
              </w:rPr>
              <w:t>&lt;type='S'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DFA56BA" w14:textId="77777777" w:rsidR="00B54C34" w:rsidRPr="007D063B" w:rsidRDefault="00B54C34" w:rsidP="00450FF1">
            <w:pPr>
              <w:spacing w:before="60" w:after="60" w:line="240" w:lineRule="auto"/>
              <w:rPr>
                <w:rFonts w:ascii="Times New Roman" w:eastAsia="Times New Roman" w:hAnsi="Times New Roman" w:cs="Times New Roman"/>
                <w:color w:val="000000"/>
                <w:lang w:eastAsia="bg-BG"/>
              </w:rPr>
            </w:pPr>
            <w:r w:rsidRPr="007D063B">
              <w:rPr>
                <w:rFonts w:ascii="Times New Roman" w:eastAsia="Times New Roman" w:hAnsi="Times New Roman" w:cs="Times New Roman"/>
                <w:i/>
                <w:iCs/>
                <w:color w:val="000000"/>
                <w:lang w:eastAsia="bg-BG"/>
              </w:rPr>
              <w:t>&lt;type='S'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7DDE1AD" w14:textId="77777777" w:rsidR="00B54C34" w:rsidRPr="007D063B" w:rsidRDefault="00B54C34" w:rsidP="00450FF1">
            <w:pPr>
              <w:spacing w:before="60" w:after="60" w:line="240" w:lineRule="auto"/>
              <w:rPr>
                <w:rFonts w:ascii="Times New Roman" w:eastAsia="Times New Roman" w:hAnsi="Times New Roman" w:cs="Times New Roman"/>
                <w:color w:val="000000"/>
                <w:lang w:eastAsia="bg-BG"/>
              </w:rPr>
            </w:pPr>
            <w:r w:rsidRPr="007D063B">
              <w:rPr>
                <w:rFonts w:ascii="Times New Roman" w:eastAsia="Times New Roman" w:hAnsi="Times New Roman" w:cs="Times New Roman"/>
                <w:i/>
                <w:iCs/>
                <w:color w:val="000000"/>
                <w:lang w:eastAsia="bg-BG"/>
              </w:rPr>
              <w:t>&lt;type='S' maxlength=1750 input='M'&gt;</w:t>
            </w:r>
          </w:p>
        </w:tc>
      </w:tr>
      <w:tr w:rsidR="00B54C34" w:rsidRPr="007D063B" w14:paraId="71BBB9BB" w14:textId="77777777" w:rsidTr="00450FF1">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7604C116" w14:textId="77777777" w:rsidR="00B54C34" w:rsidRPr="007D063B" w:rsidRDefault="00B54C34" w:rsidP="00450FF1">
            <w:pPr>
              <w:spacing w:before="60" w:after="60" w:line="240" w:lineRule="auto"/>
              <w:rPr>
                <w:rFonts w:ascii="Times New Roman" w:eastAsia="Times New Roman" w:hAnsi="Times New Roman" w:cs="Times New Roman"/>
                <w:i/>
                <w:iCs/>
                <w:color w:val="000000"/>
                <w:lang w:eastAsia="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2F706599"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lang w:eastAsia="bg-BG"/>
              </w:rPr>
            </w:pPr>
            <w:r w:rsidRPr="007D063B">
              <w:rPr>
                <w:rFonts w:ascii="Times New Roman" w:eastAsia="Times New Roman" w:hAnsi="Times New Roman" w:cs="Times New Roman"/>
                <w:b/>
                <w:bCs/>
                <w:color w:val="000000"/>
                <w:lang w:eastAsia="bg-BG"/>
              </w:rPr>
              <w:t>ПО 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22477AA8" w14:textId="11EFF69E" w:rsidR="007D2F63" w:rsidRPr="007D063B" w:rsidRDefault="00170543" w:rsidP="00170543">
            <w:pPr>
              <w:spacing w:before="60" w:after="60" w:line="240" w:lineRule="auto"/>
              <w:jc w:val="both"/>
              <w:rPr>
                <w:rFonts w:ascii="Times New Roman" w:eastAsia="Times New Roman" w:hAnsi="Times New Roman" w:cs="Times New Roman"/>
                <w:iCs/>
                <w:color w:val="000000"/>
                <w:lang w:eastAsia="bg-BG"/>
              </w:rPr>
            </w:pPr>
            <w:r w:rsidRPr="007D063B">
              <w:rPr>
                <w:rFonts w:ascii="Times New Roman" w:eastAsia="Times New Roman" w:hAnsi="Times New Roman" w:cs="Times New Roman"/>
                <w:iCs/>
                <w:color w:val="000000"/>
                <w:lang w:eastAsia="bg-BG"/>
              </w:rPr>
              <w:t>Процедура BG05SFOP001-5.001 „Техническа помощ за ОПДУ</w:t>
            </w:r>
            <w:r w:rsidR="007D2F63" w:rsidRPr="007D063B">
              <w:rPr>
                <w:rFonts w:ascii="Times New Roman" w:eastAsia="Times New Roman" w:hAnsi="Times New Roman" w:cs="Times New Roman"/>
                <w:iCs/>
                <w:color w:val="000000"/>
                <w:lang w:eastAsia="bg-BG"/>
              </w:rPr>
              <w:t>“</w:t>
            </w:r>
            <w:r w:rsidRPr="007D063B">
              <w:rPr>
                <w:rFonts w:ascii="Times New Roman" w:eastAsia="Times New Roman" w:hAnsi="Times New Roman" w:cs="Times New Roman"/>
                <w:iCs/>
                <w:color w:val="000000"/>
                <w:lang w:eastAsia="bg-BG"/>
              </w:rPr>
              <w:t xml:space="preserve"> е на стойност 23 802 451 лв</w:t>
            </w:r>
            <w:r w:rsidR="005822F0" w:rsidRPr="007D063B">
              <w:rPr>
                <w:rFonts w:ascii="Times New Roman" w:eastAsia="Times New Roman" w:hAnsi="Times New Roman" w:cs="Times New Roman"/>
                <w:iCs/>
                <w:color w:val="000000"/>
                <w:lang w:eastAsia="bg-BG"/>
              </w:rPr>
              <w:t>.</w:t>
            </w:r>
            <w:r w:rsidR="007D2F63" w:rsidRPr="007D063B">
              <w:rPr>
                <w:rFonts w:ascii="Times New Roman" w:eastAsia="Times New Roman" w:hAnsi="Times New Roman" w:cs="Times New Roman"/>
                <w:iCs/>
                <w:color w:val="000000"/>
                <w:lang w:eastAsia="bg-BG"/>
              </w:rPr>
              <w:t xml:space="preserve"> и включва:</w:t>
            </w:r>
          </w:p>
          <w:p w14:paraId="3F1EF348" w14:textId="2D233105" w:rsidR="007D2F63" w:rsidRPr="007D063B" w:rsidRDefault="00170543" w:rsidP="002B4181">
            <w:pPr>
              <w:pStyle w:val="ListParagraph"/>
              <w:numPr>
                <w:ilvl w:val="0"/>
                <w:numId w:val="39"/>
              </w:numPr>
              <w:spacing w:after="0" w:line="240" w:lineRule="auto"/>
              <w:ind w:left="714" w:hanging="357"/>
              <w:rPr>
                <w:lang w:eastAsia="bg-BG"/>
              </w:rPr>
            </w:pPr>
            <w:r w:rsidRPr="007D063B">
              <w:rPr>
                <w:lang w:eastAsia="bg-BG"/>
              </w:rPr>
              <w:t>„</w:t>
            </w:r>
            <w:r w:rsidRPr="007D063B">
              <w:rPr>
                <w:rFonts w:ascii="Times New Roman" w:hAnsi="Times New Roman"/>
                <w:iCs/>
                <w:color w:val="000000"/>
                <w:sz w:val="22"/>
                <w:szCs w:val="22"/>
                <w:lang w:eastAsia="bg-BG"/>
              </w:rPr>
              <w:t>Техническа помощ за УО на ОПДУ за подготовка, изпълнение, наблюдение, контрол, информация и комуникация“ на стойност 12 052 500 лв.</w:t>
            </w:r>
            <w:r w:rsidR="007D2F63" w:rsidRPr="007D063B">
              <w:rPr>
                <w:rFonts w:ascii="Times New Roman" w:hAnsi="Times New Roman"/>
                <w:iCs/>
                <w:color w:val="000000"/>
                <w:sz w:val="22"/>
                <w:szCs w:val="22"/>
                <w:lang w:eastAsia="bg-BG"/>
              </w:rPr>
              <w:t xml:space="preserve"> за периода </w:t>
            </w:r>
            <w:r w:rsidR="00751B84" w:rsidRPr="007D063B">
              <w:rPr>
                <w:rFonts w:ascii="Times New Roman" w:hAnsi="Times New Roman"/>
                <w:iCs/>
                <w:color w:val="000000"/>
                <w:sz w:val="22"/>
                <w:szCs w:val="22"/>
                <w:lang w:eastAsia="bg-BG"/>
              </w:rPr>
              <w:t xml:space="preserve">от </w:t>
            </w:r>
            <w:r w:rsidRPr="007D063B">
              <w:rPr>
                <w:rFonts w:ascii="Times New Roman" w:hAnsi="Times New Roman"/>
                <w:iCs/>
                <w:color w:val="000000"/>
                <w:sz w:val="22"/>
                <w:szCs w:val="22"/>
                <w:lang w:eastAsia="bg-BG"/>
              </w:rPr>
              <w:t>01.06.2015 г. до 31.12.2018 г</w:t>
            </w:r>
            <w:r w:rsidRPr="007D063B">
              <w:rPr>
                <w:lang w:eastAsia="bg-BG"/>
              </w:rPr>
              <w:t xml:space="preserve">. </w:t>
            </w:r>
          </w:p>
          <w:p w14:paraId="21C49293" w14:textId="7058374E" w:rsidR="00697ABF" w:rsidRPr="007D063B" w:rsidRDefault="00170543" w:rsidP="00170543">
            <w:pPr>
              <w:spacing w:before="60" w:after="60" w:line="240" w:lineRule="auto"/>
              <w:jc w:val="both"/>
              <w:rPr>
                <w:rFonts w:ascii="Times New Roman" w:eastAsia="Times New Roman" w:hAnsi="Times New Roman" w:cs="Times New Roman"/>
                <w:iCs/>
                <w:color w:val="000000"/>
                <w:lang w:eastAsia="bg-BG"/>
              </w:rPr>
            </w:pPr>
            <w:r w:rsidRPr="007D063B">
              <w:rPr>
                <w:rFonts w:ascii="Times New Roman" w:eastAsia="Times New Roman" w:hAnsi="Times New Roman" w:cs="Times New Roman"/>
                <w:iCs/>
                <w:color w:val="000000"/>
                <w:lang w:eastAsia="bg-BG"/>
              </w:rPr>
              <w:t>През 2016 г. са проведени: 6 двудневни обучения за 223 служители; 25 служители са обучени в страната; 4 служители са обучени в чужбина. Осигурено е участието в работни срещи за партньорството на ЕСФ за оценка, на неформалната мрежа на експертите по информация и комуникация и др. Проведени са 3 присъствени заседания на КН на ОПДУ и са обучени 36 членове на комитета. Организирани са 10 информационни дни за потенциални кандидати и 17 обучения на бенефициенти по програмата.</w:t>
            </w:r>
          </w:p>
          <w:p w14:paraId="7239E85D" w14:textId="58B211EF" w:rsidR="007D2F63" w:rsidRPr="007D063B" w:rsidRDefault="00170543" w:rsidP="002B4181">
            <w:pPr>
              <w:pStyle w:val="ListParagraph"/>
              <w:numPr>
                <w:ilvl w:val="0"/>
                <w:numId w:val="39"/>
              </w:numPr>
              <w:spacing w:after="0" w:line="240" w:lineRule="auto"/>
              <w:ind w:left="714" w:hanging="357"/>
              <w:rPr>
                <w:rFonts w:ascii="Times New Roman" w:hAnsi="Times New Roman"/>
                <w:iCs/>
                <w:color w:val="000000"/>
                <w:lang w:eastAsia="bg-BG"/>
              </w:rPr>
            </w:pPr>
            <w:r w:rsidRPr="007D063B">
              <w:rPr>
                <w:rFonts w:ascii="Times New Roman" w:hAnsi="Times New Roman"/>
                <w:iCs/>
                <w:color w:val="000000"/>
                <w:lang w:eastAsia="bg-BG"/>
              </w:rPr>
              <w:t>„</w:t>
            </w:r>
            <w:r w:rsidRPr="007D063B">
              <w:rPr>
                <w:rFonts w:ascii="Times New Roman" w:hAnsi="Times New Roman"/>
                <w:iCs/>
                <w:color w:val="000000"/>
                <w:sz w:val="22"/>
                <w:szCs w:val="22"/>
                <w:lang w:eastAsia="bg-BG"/>
              </w:rPr>
              <w:t xml:space="preserve">Оценки и анализи по ОПДУ“ на УО на ОПДУ на стойност 2 895 000 лв. </w:t>
            </w:r>
            <w:r w:rsidR="00751B84" w:rsidRPr="007D063B">
              <w:rPr>
                <w:rFonts w:ascii="Times New Roman" w:hAnsi="Times New Roman"/>
                <w:iCs/>
                <w:color w:val="000000"/>
                <w:sz w:val="22"/>
                <w:szCs w:val="22"/>
                <w:lang w:eastAsia="bg-BG"/>
              </w:rPr>
              <w:t>за периода</w:t>
            </w:r>
            <w:r w:rsidRPr="007D063B">
              <w:rPr>
                <w:rFonts w:ascii="Times New Roman" w:hAnsi="Times New Roman"/>
                <w:iCs/>
                <w:color w:val="000000"/>
                <w:sz w:val="22"/>
                <w:szCs w:val="22"/>
                <w:lang w:eastAsia="bg-BG"/>
              </w:rPr>
              <w:t xml:space="preserve"> от 01.05.2016 г. до 31.12.2023 г. Осигурява изпълнението на плана за оценка, чрез финансирането на оценки и анализи на ОПДУ, приоритетните й оси и процедури, включително събиране на данни. Анализите, проучванията и докладите подпомагат изпълнението на програмата и подготовката за следващия програмен период.</w:t>
            </w:r>
            <w:r w:rsidRPr="007D063B">
              <w:rPr>
                <w:rFonts w:ascii="Times New Roman" w:hAnsi="Times New Roman"/>
                <w:iCs/>
                <w:color w:val="000000"/>
                <w:lang w:eastAsia="bg-BG"/>
              </w:rPr>
              <w:t xml:space="preserve"> </w:t>
            </w:r>
          </w:p>
          <w:p w14:paraId="5BDE1440" w14:textId="426E2E26" w:rsidR="00AE5705" w:rsidRPr="007D063B" w:rsidRDefault="00170543" w:rsidP="008E4103">
            <w:pPr>
              <w:spacing w:before="60" w:after="60" w:line="240" w:lineRule="auto"/>
              <w:jc w:val="both"/>
              <w:rPr>
                <w:rFonts w:ascii="Times New Roman" w:eastAsia="Times New Roman" w:hAnsi="Times New Roman" w:cs="Times New Roman"/>
                <w:iCs/>
                <w:color w:val="000000"/>
                <w:lang w:eastAsia="bg-BG"/>
              </w:rPr>
            </w:pPr>
            <w:r w:rsidRPr="007D063B">
              <w:rPr>
                <w:rFonts w:ascii="Times New Roman" w:eastAsia="Times New Roman" w:hAnsi="Times New Roman" w:cs="Times New Roman"/>
                <w:iCs/>
                <w:color w:val="000000"/>
                <w:lang w:eastAsia="bg-BG"/>
              </w:rPr>
              <w:t>През 2016 г. са изготвени от външен изпълнител и приети два окончателни доклада</w:t>
            </w:r>
            <w:r w:rsidR="00790A99" w:rsidRPr="007D063B">
              <w:rPr>
                <w:rFonts w:ascii="Times New Roman" w:eastAsia="Times New Roman" w:hAnsi="Times New Roman" w:cs="Times New Roman"/>
                <w:iCs/>
                <w:color w:val="000000"/>
                <w:lang w:eastAsia="bg-BG"/>
              </w:rPr>
              <w:t xml:space="preserve"> (оценки), съдържащи</w:t>
            </w:r>
            <w:r w:rsidR="00697ABF" w:rsidRPr="007D063B">
              <w:rPr>
                <w:rFonts w:ascii="Times New Roman" w:eastAsia="Times New Roman" w:hAnsi="Times New Roman" w:cs="Times New Roman"/>
                <w:iCs/>
                <w:color w:val="000000"/>
                <w:lang w:eastAsia="bg-BG"/>
              </w:rPr>
              <w:t xml:space="preserve"> анализ на </w:t>
            </w:r>
            <w:r w:rsidR="00790A99" w:rsidRPr="007D063B">
              <w:rPr>
                <w:rFonts w:ascii="Times New Roman" w:eastAsia="Times New Roman" w:hAnsi="Times New Roman" w:cs="Times New Roman"/>
                <w:iCs/>
                <w:color w:val="000000"/>
                <w:lang w:eastAsia="bg-BG"/>
              </w:rPr>
              <w:t>изпълненото</w:t>
            </w:r>
            <w:r w:rsidR="00697ABF" w:rsidRPr="007D063B">
              <w:rPr>
                <w:rFonts w:ascii="Times New Roman" w:eastAsia="Times New Roman" w:hAnsi="Times New Roman" w:cs="Times New Roman"/>
                <w:iCs/>
                <w:color w:val="000000"/>
                <w:lang w:eastAsia="bg-BG"/>
              </w:rPr>
              <w:t xml:space="preserve"> </w:t>
            </w:r>
            <w:r w:rsidRPr="007D063B">
              <w:rPr>
                <w:rFonts w:ascii="Times New Roman" w:eastAsia="Times New Roman" w:hAnsi="Times New Roman" w:cs="Times New Roman"/>
                <w:iCs/>
                <w:color w:val="000000"/>
                <w:lang w:eastAsia="bg-BG"/>
              </w:rPr>
              <w:t>на Оперативните програми „Административен капацитет“ и „Техническа помощ“</w:t>
            </w:r>
            <w:r w:rsidR="00697ABF" w:rsidRPr="007D063B">
              <w:rPr>
                <w:rFonts w:ascii="Times New Roman" w:eastAsia="Times New Roman" w:hAnsi="Times New Roman" w:cs="Times New Roman"/>
                <w:iCs/>
                <w:color w:val="000000"/>
                <w:lang w:eastAsia="bg-BG"/>
              </w:rPr>
              <w:t xml:space="preserve"> за периода 2017</w:t>
            </w:r>
            <w:r w:rsidR="002B4181" w:rsidRPr="007D063B">
              <w:rPr>
                <w:rFonts w:ascii="Times New Roman" w:eastAsia="Times New Roman" w:hAnsi="Times New Roman" w:cs="Times New Roman"/>
                <w:iCs/>
                <w:color w:val="000000"/>
                <w:lang w:eastAsia="bg-BG"/>
              </w:rPr>
              <w:t xml:space="preserve"> – </w:t>
            </w:r>
            <w:r w:rsidR="00697ABF" w:rsidRPr="007D063B">
              <w:rPr>
                <w:rFonts w:ascii="Times New Roman" w:eastAsia="Times New Roman" w:hAnsi="Times New Roman" w:cs="Times New Roman"/>
                <w:iCs/>
                <w:color w:val="000000"/>
                <w:lang w:eastAsia="bg-BG"/>
              </w:rPr>
              <w:t>2013 г.</w:t>
            </w:r>
          </w:p>
        </w:tc>
      </w:tr>
    </w:tbl>
    <w:p w14:paraId="16AEAA5B" w14:textId="2B393A60" w:rsidR="00D279B7" w:rsidRPr="007D063B" w:rsidRDefault="00D279B7" w:rsidP="00D279B7">
      <w:pPr>
        <w:rPr>
          <w:rFonts w:ascii="Times New Roman" w:eastAsia="Times New Roman" w:hAnsi="Times New Roman" w:cs="Times New Roman"/>
          <w:b/>
          <w:bCs/>
          <w:color w:val="000000"/>
          <w:sz w:val="24"/>
          <w:szCs w:val="24"/>
          <w:lang w:eastAsia="bg-BG"/>
        </w:rPr>
      </w:pPr>
    </w:p>
    <w:p w14:paraId="45CA2C3E" w14:textId="0A798AD0" w:rsidR="00D279B7" w:rsidRPr="007D063B" w:rsidRDefault="00D279B7" w:rsidP="00D279B7">
      <w:pPr>
        <w:pStyle w:val="Heading2"/>
        <w:rPr>
          <w:rFonts w:ascii="inherit" w:eastAsia="Times New Roman" w:hAnsi="inherit" w:cs="Times New Roman"/>
          <w:b/>
          <w:bCs/>
          <w:color w:val="000000"/>
          <w:sz w:val="24"/>
          <w:szCs w:val="24"/>
          <w:lang w:eastAsia="bg-BG"/>
        </w:rPr>
      </w:pPr>
      <w:bookmarkStart w:id="28" w:name="_Toc481594289"/>
      <w:r w:rsidRPr="007D063B">
        <w:rPr>
          <w:rFonts w:ascii="Times New Roman" w:eastAsia="Times New Roman" w:hAnsi="Times New Roman" w:cs="Times New Roman"/>
          <w:b/>
          <w:bCs/>
          <w:color w:val="000000"/>
          <w:sz w:val="24"/>
          <w:szCs w:val="24"/>
          <w:lang w:eastAsia="bg-BG"/>
        </w:rPr>
        <w:t>3.2   </w:t>
      </w:r>
      <w:r w:rsidRPr="007D063B">
        <w:rPr>
          <w:rFonts w:ascii="inherit" w:eastAsia="Times New Roman" w:hAnsi="inherit" w:cs="Times New Roman"/>
          <w:b/>
          <w:bCs/>
          <w:color w:val="000000"/>
          <w:sz w:val="24"/>
          <w:szCs w:val="24"/>
          <w:lang w:eastAsia="bg-BG"/>
        </w:rPr>
        <w:t>Общи и специфични за програмата показатели (член 50, параграф 2 от Регламент (ЕС) № 1303/2013) – приоритетна ос 5</w:t>
      </w:r>
      <w:bookmarkEnd w:id="28"/>
    </w:p>
    <w:p w14:paraId="1F1011B3" w14:textId="77777777" w:rsidR="00B54C34" w:rsidRPr="007D063B" w:rsidRDefault="00B54C34" w:rsidP="00B54C34">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Данните за общите и специфичните за програмата показатели по инвестиционен приоритет, предавани в таблици 1—4 по-долу.</w:t>
      </w:r>
    </w:p>
    <w:p w14:paraId="4683BF7E" w14:textId="77777777" w:rsidR="00B54C34" w:rsidRPr="007D063B" w:rsidRDefault="00B54C34" w:rsidP="00B54C34">
      <w:pPr>
        <w:shd w:val="clear" w:color="auto" w:fill="FFFFFF"/>
        <w:spacing w:before="120" w:after="120" w:line="240" w:lineRule="auto"/>
        <w:jc w:val="center"/>
        <w:rPr>
          <w:rFonts w:eastAsia="Times New Roman" w:cs="Times New Roman"/>
          <w:i/>
          <w:iCs/>
          <w:color w:val="000000"/>
          <w:sz w:val="24"/>
          <w:szCs w:val="24"/>
          <w:lang w:eastAsia="bg-BG"/>
        </w:rPr>
      </w:pPr>
    </w:p>
    <w:p w14:paraId="4D03E8AA" w14:textId="087C071E" w:rsidR="00B54C34" w:rsidRPr="007D063B" w:rsidRDefault="00B54C34" w:rsidP="00885F2F">
      <w:pPr>
        <w:rPr>
          <w:rFonts w:ascii="Times New Roman" w:eastAsia="Times New Roman" w:hAnsi="Times New Roman" w:cs="Times New Roman"/>
          <w:color w:val="000000"/>
          <w:lang w:eastAsia="bg-BG"/>
        </w:rPr>
      </w:pPr>
      <w:r w:rsidRPr="007D063B">
        <w:rPr>
          <w:rFonts w:ascii="inherit" w:eastAsia="Times New Roman" w:hAnsi="inherit" w:cs="Times New Roman"/>
          <w:i/>
          <w:iCs/>
          <w:color w:val="000000"/>
          <w:sz w:val="24"/>
          <w:szCs w:val="24"/>
          <w:lang w:eastAsia="bg-BG"/>
        </w:rPr>
        <w:br w:type="page"/>
      </w:r>
      <w:bookmarkStart w:id="29" w:name="_Toc481594290"/>
      <w:r w:rsidRPr="007D063B">
        <w:rPr>
          <w:rFonts w:ascii="inherit" w:eastAsia="Times New Roman" w:hAnsi="inherit" w:cs="Times New Roman"/>
          <w:i/>
          <w:iCs/>
          <w:color w:val="000000"/>
          <w:lang w:eastAsia="bg-BG"/>
        </w:rPr>
        <w:lastRenderedPageBreak/>
        <w:t>Таблица 2А</w:t>
      </w:r>
      <w:bookmarkEnd w:id="29"/>
    </w:p>
    <w:p w14:paraId="2A01A590" w14:textId="77777777" w:rsidR="00B54C34" w:rsidRPr="007D063B" w:rsidRDefault="00B54C34" w:rsidP="00B54C34">
      <w:pPr>
        <w:shd w:val="clear" w:color="auto" w:fill="FFFFFF"/>
        <w:spacing w:before="120" w:after="120" w:line="240" w:lineRule="auto"/>
        <w:jc w:val="center"/>
        <w:rPr>
          <w:rFonts w:ascii="Times New Roman" w:eastAsia="Times New Roman" w:hAnsi="Times New Roman" w:cs="Times New Roman"/>
          <w:color w:val="000000"/>
          <w:sz w:val="24"/>
          <w:szCs w:val="24"/>
          <w:lang w:eastAsia="bg-BG"/>
        </w:rPr>
      </w:pPr>
      <w:r w:rsidRPr="007D063B">
        <w:rPr>
          <w:rFonts w:ascii="inherit" w:eastAsia="Times New Roman" w:hAnsi="inherit" w:cs="Times New Roman"/>
          <w:b/>
          <w:bCs/>
          <w:color w:val="000000"/>
          <w:sz w:val="24"/>
          <w:szCs w:val="24"/>
          <w:lang w:eastAsia="bg-BG"/>
        </w:rPr>
        <w:t>Общи показатели за резултатите за ЕСФ (по приоритетна ос, инвестиционен приоритет и по категория регион). Данните за всички общи показатели за резултатите по ЕСФ (със и без целева стойност) се отчитат с разпределение по пол. По приоритетната ос за техническа помощ се отчитат само тези общи показатели, за които е определена целева стойност</w:t>
      </w:r>
      <w:r w:rsidRPr="007D063B">
        <w:rPr>
          <w:rFonts w:ascii="Times New Roman" w:eastAsia="Times New Roman" w:hAnsi="Times New Roman" w:cs="Times New Roman"/>
          <w:color w:val="000000"/>
          <w:sz w:val="24"/>
          <w:szCs w:val="24"/>
          <w:lang w:eastAsia="bg-BG"/>
        </w:rPr>
        <w:t> </w:t>
      </w:r>
      <w:hyperlink r:id="rId56" w:anchor="ntr4-L_2015038BG.01007201-E0004" w:history="1">
        <w:r w:rsidRPr="007D063B">
          <w:rPr>
            <w:rFonts w:ascii="inherit" w:eastAsia="Times New Roman" w:hAnsi="inherit" w:cs="Times New Roman"/>
            <w:color w:val="0000FF"/>
            <w:sz w:val="24"/>
            <w:szCs w:val="24"/>
            <w:u w:val="single"/>
            <w:lang w:eastAsia="bg-BG"/>
          </w:rPr>
          <w:t> (</w:t>
        </w:r>
        <w:r w:rsidRPr="007D063B">
          <w:rPr>
            <w:rFonts w:ascii="inherit" w:eastAsia="Times New Roman" w:hAnsi="inherit" w:cs="Times New Roman"/>
            <w:color w:val="0000FF"/>
            <w:sz w:val="17"/>
            <w:szCs w:val="17"/>
            <w:u w:val="single"/>
            <w:vertAlign w:val="superscript"/>
            <w:lang w:eastAsia="bg-BG"/>
          </w:rPr>
          <w:t>4</w:t>
        </w:r>
        <w:r w:rsidRPr="007D063B">
          <w:rPr>
            <w:rFonts w:ascii="inherit" w:eastAsia="Times New Roman" w:hAnsi="inherit" w:cs="Times New Roman"/>
            <w:color w:val="0000FF"/>
            <w:sz w:val="24"/>
            <w:szCs w:val="24"/>
            <w:u w:val="single"/>
            <w:lang w:eastAsia="bg-BG"/>
          </w:rPr>
          <w:t>)</w:t>
        </w:r>
      </w:hyperlink>
      <w:r w:rsidRPr="007D063B">
        <w:rPr>
          <w:rFonts w:ascii="Times New Roman" w:eastAsia="Times New Roman" w:hAnsi="Times New Roman" w:cs="Times New Roman"/>
          <w:color w:val="000000"/>
          <w:sz w:val="24"/>
          <w:szCs w:val="24"/>
          <w:lang w:eastAsia="bg-BG"/>
        </w:rPr>
        <w:t> </w:t>
      </w:r>
      <w:hyperlink r:id="rId57" w:anchor="ntr5-L_2015038BG.01007201-E0005" w:history="1">
        <w:r w:rsidRPr="007D063B">
          <w:rPr>
            <w:rFonts w:ascii="inherit" w:eastAsia="Times New Roman" w:hAnsi="inherit" w:cs="Times New Roman"/>
            <w:color w:val="0000FF"/>
            <w:sz w:val="24"/>
            <w:szCs w:val="24"/>
            <w:u w:val="single"/>
            <w:lang w:eastAsia="bg-BG"/>
          </w:rPr>
          <w:t> (</w:t>
        </w:r>
        <w:r w:rsidRPr="007D063B">
          <w:rPr>
            <w:rFonts w:ascii="inherit" w:eastAsia="Times New Roman" w:hAnsi="inherit" w:cs="Times New Roman"/>
            <w:color w:val="0000FF"/>
            <w:sz w:val="17"/>
            <w:szCs w:val="17"/>
            <w:u w:val="single"/>
            <w:vertAlign w:val="superscript"/>
            <w:lang w:eastAsia="bg-BG"/>
          </w:rPr>
          <w:t>5</w:t>
        </w:r>
        <w:r w:rsidRPr="007D063B">
          <w:rPr>
            <w:rFonts w:ascii="inherit" w:eastAsia="Times New Roman" w:hAnsi="inherit" w:cs="Times New Roman"/>
            <w:color w:val="0000FF"/>
            <w:sz w:val="24"/>
            <w:szCs w:val="24"/>
            <w:u w:val="single"/>
            <w:lang w:eastAsia="bg-BG"/>
          </w:rPr>
          <w:t>)</w:t>
        </w:r>
      </w:hyperlink>
    </w:p>
    <w:p w14:paraId="5FB3B076" w14:textId="5BE78923" w:rsidR="00B54C34" w:rsidRPr="007D063B" w:rsidRDefault="00B54C34" w:rsidP="0090707B">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Инвестиционен приоритет:</w:t>
      </w:r>
      <w:r w:rsidR="0090707B" w:rsidRPr="007D063B">
        <w:rPr>
          <w:rFonts w:ascii="Times New Roman" w:eastAsia="Times New Roman" w:hAnsi="Times New Roman" w:cs="Times New Roman"/>
          <w:color w:val="000000"/>
          <w:sz w:val="24"/>
          <w:szCs w:val="24"/>
          <w:lang w:eastAsia="bg-BG"/>
        </w:rPr>
        <w:t xml:space="preserve"> Неприложимо</w:t>
      </w:r>
    </w:p>
    <w:p w14:paraId="0B85788F" w14:textId="77777777" w:rsidR="00B54C34" w:rsidRPr="007D063B" w:rsidRDefault="00B54C34" w:rsidP="00B54C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Категория регион: По-слабо развити региони</w:t>
      </w:r>
    </w:p>
    <w:tbl>
      <w:tblPr>
        <w:tblW w:w="5018" w:type="pct"/>
        <w:jc w:val="center"/>
        <w:tblCellSpacing w:w="0"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left w:w="0" w:type="dxa"/>
          <w:right w:w="0" w:type="dxa"/>
        </w:tblCellMar>
        <w:tblLook w:val="04A0" w:firstRow="1" w:lastRow="0" w:firstColumn="1" w:lastColumn="0" w:noHBand="0" w:noVBand="1"/>
      </w:tblPr>
      <w:tblGrid>
        <w:gridCol w:w="704"/>
        <w:gridCol w:w="1281"/>
        <w:gridCol w:w="427"/>
        <w:gridCol w:w="996"/>
        <w:gridCol w:w="712"/>
        <w:gridCol w:w="992"/>
        <w:gridCol w:w="286"/>
        <w:gridCol w:w="426"/>
        <w:gridCol w:w="12"/>
        <w:gridCol w:w="275"/>
        <w:gridCol w:w="377"/>
        <w:gridCol w:w="51"/>
        <w:gridCol w:w="142"/>
        <w:gridCol w:w="284"/>
        <w:gridCol w:w="129"/>
        <w:gridCol w:w="13"/>
        <w:gridCol w:w="32"/>
        <w:gridCol w:w="277"/>
        <w:gridCol w:w="375"/>
        <w:gridCol w:w="27"/>
        <w:gridCol w:w="250"/>
        <w:gridCol w:w="319"/>
        <w:gridCol w:w="56"/>
        <w:gridCol w:w="277"/>
        <w:gridCol w:w="377"/>
        <w:gridCol w:w="277"/>
        <w:gridCol w:w="375"/>
        <w:gridCol w:w="59"/>
        <w:gridCol w:w="218"/>
        <w:gridCol w:w="351"/>
        <w:gridCol w:w="24"/>
        <w:gridCol w:w="277"/>
        <w:gridCol w:w="375"/>
        <w:gridCol w:w="35"/>
        <w:gridCol w:w="284"/>
        <w:gridCol w:w="142"/>
        <w:gridCol w:w="285"/>
        <w:gridCol w:w="426"/>
        <w:gridCol w:w="426"/>
        <w:gridCol w:w="426"/>
        <w:gridCol w:w="263"/>
        <w:gridCol w:w="353"/>
        <w:gridCol w:w="341"/>
        <w:gridCol w:w="51"/>
      </w:tblGrid>
      <w:tr w:rsidR="00B54C34" w:rsidRPr="007D063B" w14:paraId="2EE919B1" w14:textId="77777777" w:rsidTr="00450FF1">
        <w:trPr>
          <w:gridAfter w:val="1"/>
          <w:wAfter w:w="51" w:type="dxa"/>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1A6EC9B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Идентификация</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273C2035"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Показател</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8AC5EBB"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Категория региони</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17BAFEBB"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Общ показател за изпълнението, използван като основа за определяне на целеви стойности</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7BCB1AC1"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Мерна единица за базовата и целевата стойност</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39CE619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Целева стойност (2023 г.)</w:t>
            </w:r>
          </w:p>
          <w:p w14:paraId="3D83957C"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(Разпределението по пол е незадължително за целевата стойност)</w:t>
            </w:r>
          </w:p>
        </w:tc>
        <w:tc>
          <w:tcPr>
            <w:tcW w:w="7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C0A7A87"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2014</w:t>
            </w:r>
          </w:p>
        </w:tc>
        <w:tc>
          <w:tcPr>
            <w:tcW w:w="65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90B8DFF"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2015</w:t>
            </w:r>
          </w:p>
        </w:tc>
        <w:tc>
          <w:tcPr>
            <w:tcW w:w="650" w:type="dxa"/>
            <w:gridSpan w:val="6"/>
            <w:tcBorders>
              <w:top w:val="single" w:sz="6" w:space="0" w:color="000000"/>
              <w:left w:val="single" w:sz="6" w:space="0" w:color="000000"/>
              <w:bottom w:val="single" w:sz="6" w:space="0" w:color="000000"/>
              <w:right w:val="single" w:sz="6" w:space="0" w:color="000000"/>
            </w:tcBorders>
            <w:shd w:val="clear" w:color="auto" w:fill="FFFFFF"/>
            <w:hideMark/>
          </w:tcPr>
          <w:p w14:paraId="0B533A58"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2016</w:t>
            </w:r>
          </w:p>
        </w:tc>
        <w:tc>
          <w:tcPr>
            <w:tcW w:w="65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2F1F91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2017</w:t>
            </w:r>
          </w:p>
        </w:tc>
        <w:tc>
          <w:tcPr>
            <w:tcW w:w="650"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67EEC1BF"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2018</w:t>
            </w:r>
          </w:p>
        </w:tc>
        <w:tc>
          <w:tcPr>
            <w:tcW w:w="65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D8BB20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2019</w:t>
            </w:r>
          </w:p>
        </w:tc>
        <w:tc>
          <w:tcPr>
            <w:tcW w:w="65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33970C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2020</w:t>
            </w:r>
          </w:p>
        </w:tc>
        <w:tc>
          <w:tcPr>
            <w:tcW w:w="650"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4DA7C7D9"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2021</w:t>
            </w:r>
          </w:p>
        </w:tc>
        <w:tc>
          <w:tcPr>
            <w:tcW w:w="65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8AAB5F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2022</w:t>
            </w:r>
          </w:p>
        </w:tc>
        <w:tc>
          <w:tcPr>
            <w:tcW w:w="744"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08137EF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2023</w:t>
            </w:r>
          </w:p>
        </w:tc>
        <w:tc>
          <w:tcPr>
            <w:tcW w:w="1275"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EFA0F49"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Кумулативна стойност</w:t>
            </w:r>
          </w:p>
          <w:p w14:paraId="0A2949A7"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(автоматично изчислена)</w:t>
            </w:r>
          </w:p>
        </w:tc>
        <w:tc>
          <w:tcPr>
            <w:tcW w:w="9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CFB2EF5"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Съотношение на постиженията</w:t>
            </w:r>
          </w:p>
          <w:p w14:paraId="7B455C0B"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Разпределение по пол (незадължително)</w:t>
            </w:r>
          </w:p>
        </w:tc>
      </w:tr>
      <w:tr w:rsidR="00B54C34" w:rsidRPr="007D063B" w14:paraId="483298E0" w14:textId="77777777" w:rsidTr="00450FF1">
        <w:trPr>
          <w:gridAfter w:val="1"/>
          <w:wAfter w:w="51" w:type="dxa"/>
          <w:tblCellSpacing w:w="0" w:type="dxa"/>
          <w:jc w:val="center"/>
        </w:trPr>
        <w:tc>
          <w:tcPr>
            <w:tcW w:w="5091" w:type="dxa"/>
            <w:gridSpan w:val="6"/>
            <w:tcBorders>
              <w:top w:val="single" w:sz="6" w:space="0" w:color="000000"/>
              <w:left w:val="single" w:sz="6" w:space="0" w:color="000000"/>
              <w:bottom w:val="single" w:sz="6" w:space="0" w:color="000000"/>
              <w:right w:val="single" w:sz="6" w:space="0" w:color="000000"/>
            </w:tcBorders>
            <w:shd w:val="clear" w:color="auto" w:fill="FFFFFF"/>
            <w:hideMark/>
          </w:tcPr>
          <w:p w14:paraId="49AAD672" w14:textId="77777777" w:rsidR="00B54C34" w:rsidRPr="007D063B" w:rsidRDefault="00B54C34" w:rsidP="00450FF1">
            <w:pPr>
              <w:spacing w:before="120" w:after="0" w:line="240" w:lineRule="auto"/>
              <w:jc w:val="both"/>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color w:val="000000"/>
                <w:sz w:val="16"/>
                <w:szCs w:val="16"/>
                <w:lang w:eastAsia="bg-BG"/>
              </w:rPr>
              <w:t> </w:t>
            </w:r>
          </w:p>
        </w:tc>
        <w:tc>
          <w:tcPr>
            <w:tcW w:w="6667" w:type="dxa"/>
            <w:gridSpan w:val="31"/>
            <w:tcBorders>
              <w:top w:val="single" w:sz="6" w:space="0" w:color="000000"/>
              <w:left w:val="single" w:sz="6" w:space="0" w:color="000000"/>
              <w:bottom w:val="single" w:sz="6" w:space="0" w:color="000000"/>
              <w:right w:val="single" w:sz="6" w:space="0" w:color="000000"/>
            </w:tcBorders>
            <w:shd w:val="clear" w:color="auto" w:fill="FFFFFF"/>
            <w:hideMark/>
          </w:tcPr>
          <w:p w14:paraId="39F1A28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lang w:eastAsia="bg-BG"/>
              </w:rPr>
            </w:pPr>
            <w:r w:rsidRPr="007D063B">
              <w:rPr>
                <w:rFonts w:ascii="Times New Roman" w:eastAsia="Times New Roman" w:hAnsi="Times New Roman" w:cs="Times New Roman"/>
                <w:b/>
                <w:bCs/>
                <w:color w:val="000000"/>
                <w:lang w:eastAsia="bg-BG"/>
              </w:rPr>
              <w:t>Годишна стойност</w:t>
            </w:r>
          </w:p>
        </w:tc>
        <w:tc>
          <w:tcPr>
            <w:tcW w:w="1275"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5F55AC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0A86B8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r>
      <w:tr w:rsidR="00E133C6" w:rsidRPr="007D063B" w14:paraId="6DC324A0" w14:textId="77777777" w:rsidTr="00450FF1">
        <w:trPr>
          <w:trHeight w:val="380"/>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581F99F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4F63B68F" w14:textId="77777777" w:rsidR="00B54C34" w:rsidRPr="007D063B" w:rsidRDefault="00B54C34" w:rsidP="00450FF1">
            <w:pPr>
              <w:spacing w:before="120" w:after="0" w:line="240" w:lineRule="auto"/>
              <w:jc w:val="both"/>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color w:val="000000"/>
                <w:sz w:val="16"/>
                <w:szCs w:val="16"/>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F5F6D8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4AF8DAB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47EC353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4BC24D6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Общо</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7821559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1DE7461"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E2368F5"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F7E4FE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5BCD1787"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660C8D8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4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A9F4F9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30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CBC0C0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5260B4F"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4F8CBA5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64D50041"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A77B25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3D020063"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10D599B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D7649A8"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6DF4A5D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5D8C2EF5"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5F249D7"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B0798F8"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0D843019"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2335E5E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65C2B3C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79789F3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Общо</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23817985"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91FAA2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262" w:type="dxa"/>
            <w:tcBorders>
              <w:top w:val="single" w:sz="6" w:space="0" w:color="000000"/>
              <w:left w:val="single" w:sz="6" w:space="0" w:color="000000"/>
              <w:bottom w:val="single" w:sz="6" w:space="0" w:color="000000"/>
              <w:right w:val="single" w:sz="6" w:space="0" w:color="000000"/>
            </w:tcBorders>
            <w:shd w:val="clear" w:color="auto" w:fill="FFFFFF"/>
            <w:hideMark/>
          </w:tcPr>
          <w:p w14:paraId="0ECE5A0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w:t>
            </w:r>
          </w:p>
        </w:tc>
        <w:tc>
          <w:tcPr>
            <w:tcW w:w="352" w:type="dxa"/>
            <w:tcBorders>
              <w:top w:val="single" w:sz="6" w:space="0" w:color="000000"/>
              <w:left w:val="single" w:sz="6" w:space="0" w:color="000000"/>
              <w:bottom w:val="single" w:sz="6" w:space="0" w:color="000000"/>
              <w:right w:val="single" w:sz="6" w:space="0" w:color="000000"/>
            </w:tcBorders>
            <w:shd w:val="clear" w:color="auto" w:fill="FFFFFF"/>
            <w:hideMark/>
          </w:tcPr>
          <w:p w14:paraId="1D61890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1D399E1"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r>
      <w:tr w:rsidR="00E133C6" w:rsidRPr="007D063B" w14:paraId="6A7A1FC8" w14:textId="77777777" w:rsidTr="000667D1">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726110C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10CE59EC" w14:textId="77777777" w:rsidR="00B54C34" w:rsidRPr="007D063B" w:rsidRDefault="00B54C34"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Неактивни участници, които при напускане на операцията са започнали да търсят работа</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75C774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115959C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2BD6FA5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714ED8E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78E34AE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2BDD3B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770E6A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val="en-US" w:eastAsia="bg-BG"/>
              </w:rPr>
              <w:t>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14E861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val="en-US" w:eastAsia="bg-BG"/>
              </w:rPr>
              <w:t>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0C7A0063" w14:textId="2C312F9B" w:rsidR="00B54C34" w:rsidRPr="007D063B" w:rsidRDefault="00205626"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r w:rsidR="00B54C34"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3F6D9102" w14:textId="75FC25DF"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05626" w:rsidRPr="007D063B">
              <w:rPr>
                <w:rFonts w:ascii="Times New Roman" w:eastAsia="Times New Roman" w:hAnsi="Times New Roman" w:cs="Times New Roman"/>
                <w:color w:val="000000"/>
                <w:sz w:val="24"/>
                <w:szCs w:val="24"/>
                <w:lang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6960D8A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364AA8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7EFD74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1722F33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32D9942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01613E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4A058BE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51D5361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B8834D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33610AC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2CE858E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8A6739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4AE8A5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46FDA41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0B8DC01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580EAD6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61F6F6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F02CA7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691D381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tcPr>
          <w:p w14:paraId="20FD27BE" w14:textId="4ACD256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52" w:type="dxa"/>
            <w:tcBorders>
              <w:top w:val="single" w:sz="6" w:space="0" w:color="000000"/>
              <w:left w:val="single" w:sz="6" w:space="0" w:color="000000"/>
              <w:bottom w:val="single" w:sz="6" w:space="0" w:color="000000"/>
              <w:right w:val="single" w:sz="6" w:space="0" w:color="000000"/>
            </w:tcBorders>
            <w:shd w:val="clear" w:color="auto" w:fill="FFFFFF"/>
          </w:tcPr>
          <w:p w14:paraId="2AEA5AA6" w14:textId="5DCD6B85"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tcPr>
          <w:p w14:paraId="7BA455BD" w14:textId="787A699D"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1B522EC7" w14:textId="77777777" w:rsidTr="000667D1">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6A2219B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39407391" w14:textId="77777777" w:rsidR="00B54C34" w:rsidRPr="007D063B" w:rsidRDefault="00B54C34"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които при напускане на операцията са ангажирани с образование/обучение</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789E5A7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6E016A6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475D110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5863C26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06263A2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03925F6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163062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EF0CDA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270F642E" w14:textId="6545D0AC"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05626" w:rsidRPr="007D063B">
              <w:rPr>
                <w:rFonts w:ascii="Times New Roman" w:eastAsia="Times New Roman" w:hAnsi="Times New Roman" w:cs="Times New Roman"/>
                <w:color w:val="000000"/>
                <w:sz w:val="24"/>
                <w:szCs w:val="24"/>
                <w:lang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1482F5C8" w14:textId="42634FA5"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05626" w:rsidRPr="007D063B">
              <w:rPr>
                <w:rFonts w:ascii="Times New Roman" w:eastAsia="Times New Roman" w:hAnsi="Times New Roman" w:cs="Times New Roman"/>
                <w:color w:val="000000"/>
                <w:sz w:val="24"/>
                <w:szCs w:val="24"/>
                <w:lang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7F1BAE8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404609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6F9729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7AAD00F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5A0BBB5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F1F7CF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460A8AB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1D79618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49F755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0464BF9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2817579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28894E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CC603B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038A59F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6DAAB07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4840037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AD0F3F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1D2C5CD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9F2859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tcPr>
          <w:p w14:paraId="77FBB164" w14:textId="0B32946A"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52" w:type="dxa"/>
            <w:tcBorders>
              <w:top w:val="single" w:sz="6" w:space="0" w:color="000000"/>
              <w:left w:val="single" w:sz="6" w:space="0" w:color="000000"/>
              <w:bottom w:val="single" w:sz="6" w:space="0" w:color="000000"/>
              <w:right w:val="single" w:sz="6" w:space="0" w:color="000000"/>
            </w:tcBorders>
            <w:shd w:val="clear" w:color="auto" w:fill="FFFFFF"/>
          </w:tcPr>
          <w:p w14:paraId="0DD14ABC" w14:textId="40D52869"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tcPr>
          <w:p w14:paraId="312CB616" w14:textId="4DA0405C"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4A2332E4" w14:textId="77777777" w:rsidTr="000667D1">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3AD9586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lastRenderedPageBreak/>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3F20D4D6" w14:textId="77777777" w:rsidR="00B54C34" w:rsidRPr="007D063B" w:rsidRDefault="00B54C34"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които при напускане на операцията получават квалификация</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6991EDC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1E5BFBE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49DBBC7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0DDACCA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1DE9A97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2817E83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8337A1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9DF997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020F9DFD" w14:textId="76F33BC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05626" w:rsidRPr="007D063B">
              <w:rPr>
                <w:rFonts w:ascii="Times New Roman" w:eastAsia="Times New Roman" w:hAnsi="Times New Roman" w:cs="Times New Roman"/>
                <w:color w:val="000000"/>
                <w:sz w:val="24"/>
                <w:szCs w:val="24"/>
                <w:lang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2C2C9D05" w14:textId="6C48AB5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05626" w:rsidRPr="007D063B">
              <w:rPr>
                <w:rFonts w:ascii="Times New Roman" w:eastAsia="Times New Roman" w:hAnsi="Times New Roman" w:cs="Times New Roman"/>
                <w:color w:val="000000"/>
                <w:sz w:val="24"/>
                <w:szCs w:val="24"/>
                <w:lang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4690A5C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635AA4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3D2227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6F81CDD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61C2359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28F2AE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796D2D6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6C742B8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FB6A2C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5C90545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2800341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ADC4AA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029984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36C3B5E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0D27590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398E6AA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279D989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63F3236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01A31F9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tcPr>
          <w:p w14:paraId="6A0065AE" w14:textId="17D1F09A"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52" w:type="dxa"/>
            <w:tcBorders>
              <w:top w:val="single" w:sz="6" w:space="0" w:color="000000"/>
              <w:left w:val="single" w:sz="6" w:space="0" w:color="000000"/>
              <w:bottom w:val="single" w:sz="6" w:space="0" w:color="000000"/>
              <w:right w:val="single" w:sz="6" w:space="0" w:color="000000"/>
            </w:tcBorders>
            <w:shd w:val="clear" w:color="auto" w:fill="FFFFFF"/>
          </w:tcPr>
          <w:p w14:paraId="2C49C564" w14:textId="095B1405"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tcPr>
          <w:p w14:paraId="252651F7" w14:textId="72D76CF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195637BF" w14:textId="77777777" w:rsidTr="000667D1">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43643D9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779B2E0E" w14:textId="77777777" w:rsidR="00B54C34" w:rsidRPr="007D063B" w:rsidRDefault="00B54C34"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които при напускане на операцията имат работа, включително като самостоятелно заети лица</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1742C06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76DB154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4DCC9FB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3E18BFD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5684A56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9CB05E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CAEA82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375478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15457603" w14:textId="3AE1FA0E"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05626" w:rsidRPr="007D063B">
              <w:rPr>
                <w:rFonts w:ascii="Times New Roman" w:eastAsia="Times New Roman" w:hAnsi="Times New Roman" w:cs="Times New Roman"/>
                <w:color w:val="000000"/>
                <w:sz w:val="24"/>
                <w:szCs w:val="24"/>
                <w:lang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24CD0983" w14:textId="0A42AFA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05626" w:rsidRPr="007D063B">
              <w:rPr>
                <w:rFonts w:ascii="Times New Roman" w:eastAsia="Times New Roman" w:hAnsi="Times New Roman" w:cs="Times New Roman"/>
                <w:color w:val="000000"/>
                <w:sz w:val="24"/>
                <w:szCs w:val="24"/>
                <w:lang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68F2B7C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2827C8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2EF47D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50A2E66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146EEB1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E3CD49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7EB4E13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7C313A6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79B1EA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64F4737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10FD906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A9A0E9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32EC02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238D5C7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0121676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79896F6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2884969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01921D1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D73977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tcPr>
          <w:p w14:paraId="3687417F" w14:textId="4D7B7D45"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52" w:type="dxa"/>
            <w:tcBorders>
              <w:top w:val="single" w:sz="6" w:space="0" w:color="000000"/>
              <w:left w:val="single" w:sz="6" w:space="0" w:color="000000"/>
              <w:bottom w:val="single" w:sz="6" w:space="0" w:color="000000"/>
              <w:right w:val="single" w:sz="6" w:space="0" w:color="000000"/>
            </w:tcBorders>
            <w:shd w:val="clear" w:color="auto" w:fill="FFFFFF"/>
          </w:tcPr>
          <w:p w14:paraId="7DE87515" w14:textId="27537275"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tcPr>
          <w:p w14:paraId="59E09F90" w14:textId="7CE0515E"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2FABE87C" w14:textId="77777777" w:rsidTr="000667D1">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1BA56B7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341855E0" w14:textId="77777777" w:rsidR="00B54C34" w:rsidRPr="007D063B" w:rsidRDefault="00B54C34"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в неравностойно положение, които при напускане на операцията са започнали да търсят работа, са ангажирани с образование/обучение, са получили квалификация, имат работа, включително като самостоятелно заети лица</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24A33B3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2523290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50E919E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199292A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2710AFD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636942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6DEC68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B74116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4ECB56E8" w14:textId="3B592E80"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05626" w:rsidRPr="007D063B">
              <w:rPr>
                <w:rFonts w:ascii="Times New Roman" w:eastAsia="Times New Roman" w:hAnsi="Times New Roman" w:cs="Times New Roman"/>
                <w:color w:val="000000"/>
                <w:sz w:val="24"/>
                <w:szCs w:val="24"/>
                <w:lang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69D1E39C" w14:textId="6759AB01"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05626" w:rsidRPr="007D063B">
              <w:rPr>
                <w:rFonts w:ascii="Times New Roman" w:eastAsia="Times New Roman" w:hAnsi="Times New Roman" w:cs="Times New Roman"/>
                <w:color w:val="000000"/>
                <w:sz w:val="24"/>
                <w:szCs w:val="24"/>
                <w:lang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3415D60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4BFA14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69B147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066D9DE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364FA45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860C6B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23B4594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58D11FB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9BA175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231EC52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6E7EC48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04775C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07ED07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3C10A91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6633D03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6CC7A74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269D5D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713E759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0432412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tcPr>
          <w:p w14:paraId="16FA559A" w14:textId="449E81B4"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52" w:type="dxa"/>
            <w:tcBorders>
              <w:top w:val="single" w:sz="6" w:space="0" w:color="000000"/>
              <w:left w:val="single" w:sz="6" w:space="0" w:color="000000"/>
              <w:bottom w:val="single" w:sz="6" w:space="0" w:color="000000"/>
              <w:right w:val="single" w:sz="6" w:space="0" w:color="000000"/>
            </w:tcBorders>
            <w:shd w:val="clear" w:color="auto" w:fill="FFFFFF"/>
          </w:tcPr>
          <w:p w14:paraId="1CB2C605" w14:textId="055EE6D1"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tcPr>
          <w:p w14:paraId="116375D3" w14:textId="66508F4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6785CB5D" w14:textId="77777777" w:rsidTr="000667D1">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7102A5C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0D9F91A0" w14:textId="77777777" w:rsidR="00B54C34" w:rsidRPr="007D063B" w:rsidRDefault="00B54C34"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които в рамките на шест месеца след напускане на операцията имат работа, включително като самостоятелно заети лица</w:t>
            </w:r>
            <w:r w:rsidRPr="007D063B">
              <w:rPr>
                <w:rFonts w:ascii="Times New Roman" w:eastAsia="Times New Roman" w:hAnsi="Times New Roman" w:cs="Times New Roman"/>
                <w:b/>
                <w:color w:val="000000"/>
                <w:sz w:val="16"/>
                <w:szCs w:val="16"/>
                <w:lang w:eastAsia="bg-BG"/>
              </w:rPr>
              <w:t> </w:t>
            </w:r>
            <w:hyperlink r:id="rId58" w:anchor="ntr6-L_2015038BG.01007201-E0006" w:history="1">
              <w:r w:rsidRPr="007D063B">
                <w:rPr>
                  <w:rFonts w:ascii="Times New Roman" w:eastAsia="Times New Roman" w:hAnsi="Times New Roman" w:cs="Times New Roman"/>
                  <w:b/>
                  <w:color w:val="0000FF"/>
                  <w:sz w:val="16"/>
                  <w:szCs w:val="16"/>
                  <w:u w:val="single"/>
                  <w:lang w:eastAsia="bg-BG"/>
                </w:rPr>
                <w:t> (</w:t>
              </w:r>
              <w:r w:rsidRPr="007D063B">
                <w:rPr>
                  <w:rFonts w:ascii="Times New Roman" w:eastAsia="Times New Roman" w:hAnsi="Times New Roman" w:cs="Times New Roman"/>
                  <w:b/>
                  <w:color w:val="0000FF"/>
                  <w:sz w:val="16"/>
                  <w:szCs w:val="16"/>
                  <w:u w:val="single"/>
                  <w:vertAlign w:val="superscript"/>
                  <w:lang w:eastAsia="bg-BG"/>
                </w:rPr>
                <w:t>6</w:t>
              </w:r>
              <w:r w:rsidRPr="007D063B">
                <w:rPr>
                  <w:rFonts w:ascii="Times New Roman" w:eastAsia="Times New Roman" w:hAnsi="Times New Roman" w:cs="Times New Roman"/>
                  <w:b/>
                  <w:color w:val="0000FF"/>
                  <w:sz w:val="16"/>
                  <w:szCs w:val="16"/>
                  <w:u w:val="single"/>
                  <w:lang w:eastAsia="bg-BG"/>
                </w:rPr>
                <w:t>)</w:t>
              </w:r>
            </w:hyperlink>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DA26D2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1B43778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064DF6A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77FD02E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4064DFF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78EFBE7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06A077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EAD110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70725D14" w14:textId="760242A4"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05626" w:rsidRPr="007D063B">
              <w:rPr>
                <w:rFonts w:ascii="Times New Roman" w:eastAsia="Times New Roman" w:hAnsi="Times New Roman" w:cs="Times New Roman"/>
                <w:color w:val="000000"/>
                <w:sz w:val="24"/>
                <w:szCs w:val="24"/>
                <w:lang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6E69C2EC" w14:textId="4FC38264"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05626" w:rsidRPr="007D063B">
              <w:rPr>
                <w:rFonts w:ascii="Times New Roman" w:eastAsia="Times New Roman" w:hAnsi="Times New Roman" w:cs="Times New Roman"/>
                <w:color w:val="000000"/>
                <w:sz w:val="24"/>
                <w:szCs w:val="24"/>
                <w:lang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6A67BEE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913CF2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7FE00B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666DB97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1A707CA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86B8AA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00B417E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1805682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278C62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0E57B24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555F550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54CC53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D36B9D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2783D49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078008F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55E3B5B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1BBF98E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2059CB2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2FD487D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tcPr>
          <w:p w14:paraId="076B2A2E" w14:textId="3B94BEC1"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52" w:type="dxa"/>
            <w:tcBorders>
              <w:top w:val="single" w:sz="6" w:space="0" w:color="000000"/>
              <w:left w:val="single" w:sz="6" w:space="0" w:color="000000"/>
              <w:bottom w:val="single" w:sz="6" w:space="0" w:color="000000"/>
              <w:right w:val="single" w:sz="6" w:space="0" w:color="000000"/>
            </w:tcBorders>
            <w:shd w:val="clear" w:color="auto" w:fill="FFFFFF"/>
          </w:tcPr>
          <w:p w14:paraId="353DE49A" w14:textId="04359DA4"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tcPr>
          <w:p w14:paraId="2277C323" w14:textId="03593AF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59E89265" w14:textId="77777777" w:rsidTr="000667D1">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12D78AB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71F1B02C" w14:textId="77777777" w:rsidR="00B54C34" w:rsidRPr="007D063B" w:rsidRDefault="00B54C34"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 xml:space="preserve">Участници, чието </w:t>
            </w:r>
            <w:r w:rsidRPr="007D063B">
              <w:rPr>
                <w:rFonts w:ascii="Times New Roman" w:eastAsia="Times New Roman" w:hAnsi="Times New Roman" w:cs="Times New Roman"/>
                <w:b/>
                <w:i/>
                <w:iCs/>
                <w:color w:val="000000"/>
                <w:sz w:val="16"/>
                <w:szCs w:val="16"/>
                <w:lang w:eastAsia="bg-BG"/>
              </w:rPr>
              <w:lastRenderedPageBreak/>
              <w:t>положение на пазара на труда в рамките на шест месеца след напускане на операцията е по-добро</w:t>
            </w:r>
            <w:r w:rsidRPr="007D063B">
              <w:rPr>
                <w:rFonts w:ascii="Times New Roman" w:eastAsia="Times New Roman" w:hAnsi="Times New Roman" w:cs="Times New Roman"/>
                <w:b/>
                <w:color w:val="000000"/>
                <w:sz w:val="16"/>
                <w:szCs w:val="16"/>
                <w:lang w:eastAsia="bg-BG"/>
              </w:rPr>
              <w:t> </w:t>
            </w:r>
            <w:hyperlink r:id="rId59" w:anchor="ntr6-L_2015038BG.01007201-E0006" w:history="1">
              <w:r w:rsidRPr="007D063B">
                <w:rPr>
                  <w:rFonts w:ascii="Times New Roman" w:eastAsia="Times New Roman" w:hAnsi="Times New Roman" w:cs="Times New Roman"/>
                  <w:b/>
                  <w:color w:val="0000FF"/>
                  <w:sz w:val="16"/>
                  <w:szCs w:val="16"/>
                  <w:u w:val="single"/>
                  <w:lang w:eastAsia="bg-BG"/>
                </w:rPr>
                <w:t> (</w:t>
              </w:r>
              <w:r w:rsidRPr="007D063B">
                <w:rPr>
                  <w:rFonts w:ascii="Times New Roman" w:eastAsia="Times New Roman" w:hAnsi="Times New Roman" w:cs="Times New Roman"/>
                  <w:b/>
                  <w:color w:val="0000FF"/>
                  <w:sz w:val="16"/>
                  <w:szCs w:val="16"/>
                  <w:u w:val="single"/>
                  <w:vertAlign w:val="superscript"/>
                  <w:lang w:eastAsia="bg-BG"/>
                </w:rPr>
                <w:t>6</w:t>
              </w:r>
              <w:r w:rsidRPr="007D063B">
                <w:rPr>
                  <w:rFonts w:ascii="Times New Roman" w:eastAsia="Times New Roman" w:hAnsi="Times New Roman" w:cs="Times New Roman"/>
                  <w:b/>
                  <w:color w:val="0000FF"/>
                  <w:sz w:val="16"/>
                  <w:szCs w:val="16"/>
                  <w:u w:val="single"/>
                  <w:lang w:eastAsia="bg-BG"/>
                </w:rPr>
                <w:t>)</w:t>
              </w:r>
            </w:hyperlink>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6000877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lastRenderedPageBreak/>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0F58AC7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57DDA78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6D70AC6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1692B46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151F83E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513D60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506FC0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48003E09" w14:textId="1A6E1710"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05626" w:rsidRPr="007D063B">
              <w:rPr>
                <w:rFonts w:ascii="Times New Roman" w:eastAsia="Times New Roman" w:hAnsi="Times New Roman" w:cs="Times New Roman"/>
                <w:color w:val="000000"/>
                <w:sz w:val="24"/>
                <w:szCs w:val="24"/>
                <w:lang w:eastAsia="bg-BG"/>
              </w:rPr>
              <w:lastRenderedPageBreak/>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4C58CBC4" w14:textId="0C77876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lastRenderedPageBreak/>
              <w:t> </w:t>
            </w:r>
            <w:r w:rsidR="00205626" w:rsidRPr="007D063B">
              <w:rPr>
                <w:rFonts w:ascii="Times New Roman" w:eastAsia="Times New Roman" w:hAnsi="Times New Roman" w:cs="Times New Roman"/>
                <w:color w:val="000000"/>
                <w:sz w:val="24"/>
                <w:szCs w:val="24"/>
                <w:lang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058DF8A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2888EA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BD4BBA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6B2F2D6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0BEEF7A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99EC28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0A99126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2D64BC9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CA389E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78EF353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0BD9834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28F18C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6B69B8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16787E7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2797F2C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0B49461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1513722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260EC45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1F8F21B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tcPr>
          <w:p w14:paraId="510D105E" w14:textId="1137BF1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52" w:type="dxa"/>
            <w:tcBorders>
              <w:top w:val="single" w:sz="6" w:space="0" w:color="000000"/>
              <w:left w:val="single" w:sz="6" w:space="0" w:color="000000"/>
              <w:bottom w:val="single" w:sz="6" w:space="0" w:color="000000"/>
              <w:right w:val="single" w:sz="6" w:space="0" w:color="000000"/>
            </w:tcBorders>
            <w:shd w:val="clear" w:color="auto" w:fill="FFFFFF"/>
          </w:tcPr>
          <w:p w14:paraId="7D39CA66" w14:textId="0A96D140"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tcPr>
          <w:p w14:paraId="2D16AC9B" w14:textId="5B22532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7B71AEC6" w14:textId="77777777" w:rsidTr="000667D1">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4A450F9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5674316E" w14:textId="77777777" w:rsidR="00B54C34" w:rsidRPr="007D063B" w:rsidRDefault="00B54C34"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на възраст над 54 години, които в рамките на шест месеца след напускане на операцията имат работа, включително като самостоятелно заети лица</w:t>
            </w:r>
            <w:r w:rsidRPr="007D063B">
              <w:rPr>
                <w:rFonts w:ascii="Times New Roman" w:eastAsia="Times New Roman" w:hAnsi="Times New Roman" w:cs="Times New Roman"/>
                <w:b/>
                <w:color w:val="000000"/>
                <w:sz w:val="16"/>
                <w:szCs w:val="16"/>
                <w:lang w:eastAsia="bg-BG"/>
              </w:rPr>
              <w:t> </w:t>
            </w:r>
            <w:hyperlink r:id="rId60" w:anchor="ntr6-L_2015038BG.01007201-E0006" w:history="1">
              <w:r w:rsidRPr="007D063B">
                <w:rPr>
                  <w:rFonts w:ascii="Times New Roman" w:eastAsia="Times New Roman" w:hAnsi="Times New Roman" w:cs="Times New Roman"/>
                  <w:b/>
                  <w:color w:val="0000FF"/>
                  <w:sz w:val="16"/>
                  <w:szCs w:val="16"/>
                  <w:u w:val="single"/>
                  <w:lang w:eastAsia="bg-BG"/>
                </w:rPr>
                <w:t> (</w:t>
              </w:r>
              <w:r w:rsidRPr="007D063B">
                <w:rPr>
                  <w:rFonts w:ascii="Times New Roman" w:eastAsia="Times New Roman" w:hAnsi="Times New Roman" w:cs="Times New Roman"/>
                  <w:b/>
                  <w:color w:val="0000FF"/>
                  <w:sz w:val="16"/>
                  <w:szCs w:val="16"/>
                  <w:u w:val="single"/>
                  <w:vertAlign w:val="superscript"/>
                  <w:lang w:eastAsia="bg-BG"/>
                </w:rPr>
                <w:t>6</w:t>
              </w:r>
              <w:r w:rsidRPr="007D063B">
                <w:rPr>
                  <w:rFonts w:ascii="Times New Roman" w:eastAsia="Times New Roman" w:hAnsi="Times New Roman" w:cs="Times New Roman"/>
                  <w:b/>
                  <w:color w:val="0000FF"/>
                  <w:sz w:val="16"/>
                  <w:szCs w:val="16"/>
                  <w:u w:val="single"/>
                  <w:lang w:eastAsia="bg-BG"/>
                </w:rPr>
                <w:t>)</w:t>
              </w:r>
            </w:hyperlink>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299226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07CA84C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7F55276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00D4809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7355FE4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5094A2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06DB2E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B75E6E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5527ACE4" w14:textId="60920B9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05626" w:rsidRPr="007D063B">
              <w:rPr>
                <w:rFonts w:ascii="Times New Roman" w:eastAsia="Times New Roman" w:hAnsi="Times New Roman" w:cs="Times New Roman"/>
                <w:color w:val="000000"/>
                <w:sz w:val="24"/>
                <w:szCs w:val="24"/>
                <w:lang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6E208E87" w14:textId="5DD2F71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05626" w:rsidRPr="007D063B">
              <w:rPr>
                <w:rFonts w:ascii="Times New Roman" w:eastAsia="Times New Roman" w:hAnsi="Times New Roman" w:cs="Times New Roman"/>
                <w:color w:val="000000"/>
                <w:sz w:val="24"/>
                <w:szCs w:val="24"/>
                <w:lang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7208B9D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3CF57F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46F2C6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4807145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52A3BB1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E4D8D1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302A917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6C1C0BB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AF9C11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2A70B0D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403E32F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D36841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F76A6C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25E8BEC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6CEC227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39F2722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25128DC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3D4C61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24BFEA7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tcPr>
          <w:p w14:paraId="7192EB70" w14:textId="4EDCDEB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52" w:type="dxa"/>
            <w:tcBorders>
              <w:top w:val="single" w:sz="6" w:space="0" w:color="000000"/>
              <w:left w:val="single" w:sz="6" w:space="0" w:color="000000"/>
              <w:bottom w:val="single" w:sz="6" w:space="0" w:color="000000"/>
              <w:right w:val="single" w:sz="6" w:space="0" w:color="000000"/>
            </w:tcBorders>
            <w:shd w:val="clear" w:color="auto" w:fill="FFFFFF"/>
          </w:tcPr>
          <w:p w14:paraId="2C5F0C78" w14:textId="7CD6D92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tcPr>
          <w:p w14:paraId="556E16E8" w14:textId="26F13760"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35AE0A32" w14:textId="77777777" w:rsidTr="000667D1">
        <w:trPr>
          <w:tblCellSpacing w:w="0" w:type="dxa"/>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FFFFF"/>
            <w:hideMark/>
          </w:tcPr>
          <w:p w14:paraId="534AE2B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7AE9030F" w14:textId="77777777" w:rsidR="00B54C34" w:rsidRPr="007D063B" w:rsidRDefault="00B54C34" w:rsidP="00450FF1">
            <w:pPr>
              <w:spacing w:before="60" w:after="60" w:line="240" w:lineRule="auto"/>
              <w:rPr>
                <w:rFonts w:ascii="Times New Roman" w:eastAsia="Times New Roman" w:hAnsi="Times New Roman" w:cs="Times New Roman"/>
                <w:b/>
                <w:color w:val="000000"/>
                <w:sz w:val="16"/>
                <w:szCs w:val="16"/>
                <w:lang w:eastAsia="bg-BG"/>
              </w:rPr>
            </w:pPr>
            <w:r w:rsidRPr="007D063B">
              <w:rPr>
                <w:rFonts w:ascii="Times New Roman" w:eastAsia="Times New Roman" w:hAnsi="Times New Roman" w:cs="Times New Roman"/>
                <w:b/>
                <w:i/>
                <w:iCs/>
                <w:color w:val="000000"/>
                <w:sz w:val="16"/>
                <w:szCs w:val="16"/>
                <w:lang w:eastAsia="bg-BG"/>
              </w:rPr>
              <w:t>Участници в неравностойно положение, които в рамките на шест месеца след напускане на операцията имат работа, включително като самостоятелно заети лица</w:t>
            </w:r>
            <w:r w:rsidRPr="007D063B">
              <w:rPr>
                <w:rFonts w:ascii="Times New Roman" w:eastAsia="Times New Roman" w:hAnsi="Times New Roman" w:cs="Times New Roman"/>
                <w:b/>
                <w:color w:val="000000"/>
                <w:sz w:val="16"/>
                <w:szCs w:val="16"/>
                <w:lang w:eastAsia="bg-BG"/>
              </w:rPr>
              <w:t> </w:t>
            </w:r>
            <w:hyperlink r:id="rId61" w:anchor="ntr6-L_2015038BG.01007201-E0006" w:history="1">
              <w:r w:rsidRPr="007D063B">
                <w:rPr>
                  <w:rFonts w:ascii="Times New Roman" w:eastAsia="Times New Roman" w:hAnsi="Times New Roman" w:cs="Times New Roman"/>
                  <w:b/>
                  <w:color w:val="0000FF"/>
                  <w:sz w:val="16"/>
                  <w:szCs w:val="16"/>
                  <w:u w:val="single"/>
                  <w:lang w:eastAsia="bg-BG"/>
                </w:rPr>
                <w:t> (</w:t>
              </w:r>
              <w:r w:rsidRPr="007D063B">
                <w:rPr>
                  <w:rFonts w:ascii="Times New Roman" w:eastAsia="Times New Roman" w:hAnsi="Times New Roman" w:cs="Times New Roman"/>
                  <w:b/>
                  <w:color w:val="0000FF"/>
                  <w:sz w:val="16"/>
                  <w:szCs w:val="16"/>
                  <w:u w:val="single"/>
                  <w:vertAlign w:val="superscript"/>
                  <w:lang w:eastAsia="bg-BG"/>
                </w:rPr>
                <w:t>6</w:t>
              </w:r>
              <w:r w:rsidRPr="007D063B">
                <w:rPr>
                  <w:rFonts w:ascii="Times New Roman" w:eastAsia="Times New Roman" w:hAnsi="Times New Roman" w:cs="Times New Roman"/>
                  <w:b/>
                  <w:color w:val="0000FF"/>
                  <w:sz w:val="16"/>
                  <w:szCs w:val="16"/>
                  <w:u w:val="single"/>
                  <w:lang w:eastAsia="bg-BG"/>
                </w:rPr>
                <w:t>)</w:t>
              </w:r>
            </w:hyperlink>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827629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79FD21E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709" w:type="dxa"/>
            <w:tcBorders>
              <w:top w:val="single" w:sz="6" w:space="0" w:color="000000"/>
              <w:left w:val="single" w:sz="6" w:space="0" w:color="000000"/>
              <w:bottom w:val="single" w:sz="6" w:space="0" w:color="000000"/>
              <w:right w:val="single" w:sz="6" w:space="0" w:color="000000"/>
            </w:tcBorders>
            <w:shd w:val="clear" w:color="auto" w:fill="FFFFFF"/>
            <w:hideMark/>
          </w:tcPr>
          <w:p w14:paraId="7F0B655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988" w:type="dxa"/>
            <w:tcBorders>
              <w:top w:val="single" w:sz="6" w:space="0" w:color="000000"/>
              <w:left w:val="single" w:sz="6" w:space="0" w:color="000000"/>
              <w:bottom w:val="single" w:sz="6" w:space="0" w:color="000000"/>
              <w:right w:val="single" w:sz="6" w:space="0" w:color="000000"/>
            </w:tcBorders>
            <w:shd w:val="clear" w:color="auto" w:fill="FFFFFF"/>
            <w:hideMark/>
          </w:tcPr>
          <w:p w14:paraId="733C090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613361E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0B40C23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28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E66F71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F22220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3B7FEC8A" w14:textId="015E34C1"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05626" w:rsidRPr="007D063B">
              <w:rPr>
                <w:rFonts w:ascii="Times New Roman" w:eastAsia="Times New Roman" w:hAnsi="Times New Roman" w:cs="Times New Roman"/>
                <w:color w:val="000000"/>
                <w:sz w:val="24"/>
                <w:szCs w:val="24"/>
                <w:lang w:eastAsia="bg-BG"/>
              </w:rPr>
              <w:t>0</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35A231FD" w14:textId="161A8C35"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05626" w:rsidRPr="007D063B">
              <w:rPr>
                <w:rFonts w:ascii="Times New Roman" w:eastAsia="Times New Roman" w:hAnsi="Times New Roman" w:cs="Times New Roman"/>
                <w:color w:val="000000"/>
                <w:sz w:val="24"/>
                <w:szCs w:val="24"/>
                <w:lang w:eastAsia="bg-BG"/>
              </w:rPr>
              <w:t>0</w:t>
            </w:r>
          </w:p>
        </w:tc>
        <w:tc>
          <w:tcPr>
            <w:tcW w:w="129" w:type="dxa"/>
            <w:tcBorders>
              <w:top w:val="single" w:sz="6" w:space="0" w:color="000000"/>
              <w:left w:val="single" w:sz="6" w:space="0" w:color="000000"/>
              <w:bottom w:val="single" w:sz="6" w:space="0" w:color="000000"/>
              <w:right w:val="single" w:sz="6" w:space="0" w:color="000000"/>
            </w:tcBorders>
            <w:shd w:val="clear" w:color="auto" w:fill="FFFFFF"/>
            <w:hideMark/>
          </w:tcPr>
          <w:p w14:paraId="2A64982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2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02E7A9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222E6C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49" w:type="dxa"/>
            <w:tcBorders>
              <w:top w:val="single" w:sz="6" w:space="0" w:color="000000"/>
              <w:left w:val="single" w:sz="6" w:space="0" w:color="000000"/>
              <w:bottom w:val="single" w:sz="6" w:space="0" w:color="000000"/>
              <w:right w:val="single" w:sz="6" w:space="0" w:color="000000"/>
            </w:tcBorders>
            <w:shd w:val="clear" w:color="auto" w:fill="FFFFFF"/>
            <w:hideMark/>
          </w:tcPr>
          <w:p w14:paraId="4FFD136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18" w:type="dxa"/>
            <w:tcBorders>
              <w:top w:val="single" w:sz="6" w:space="0" w:color="000000"/>
              <w:left w:val="single" w:sz="6" w:space="0" w:color="000000"/>
              <w:bottom w:val="single" w:sz="6" w:space="0" w:color="000000"/>
              <w:right w:val="single" w:sz="6" w:space="0" w:color="000000"/>
            </w:tcBorders>
            <w:shd w:val="clear" w:color="auto" w:fill="FFFFFF"/>
            <w:hideMark/>
          </w:tcPr>
          <w:p w14:paraId="3ADF04F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8CED67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76" w:type="dxa"/>
            <w:tcBorders>
              <w:top w:val="single" w:sz="6" w:space="0" w:color="000000"/>
              <w:left w:val="single" w:sz="6" w:space="0" w:color="000000"/>
              <w:bottom w:val="single" w:sz="6" w:space="0" w:color="000000"/>
              <w:right w:val="single" w:sz="6" w:space="0" w:color="000000"/>
            </w:tcBorders>
            <w:shd w:val="clear" w:color="auto" w:fill="FFFFFF"/>
            <w:hideMark/>
          </w:tcPr>
          <w:p w14:paraId="52077A4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76" w:type="dxa"/>
            <w:tcBorders>
              <w:top w:val="single" w:sz="6" w:space="0" w:color="000000"/>
              <w:left w:val="single" w:sz="6" w:space="0" w:color="000000"/>
              <w:bottom w:val="single" w:sz="6" w:space="0" w:color="000000"/>
              <w:right w:val="single" w:sz="6" w:space="0" w:color="000000"/>
            </w:tcBorders>
            <w:shd w:val="clear" w:color="auto" w:fill="FFFFFF"/>
            <w:hideMark/>
          </w:tcPr>
          <w:p w14:paraId="03EB2C8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018AB2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17" w:type="dxa"/>
            <w:tcBorders>
              <w:top w:val="single" w:sz="6" w:space="0" w:color="000000"/>
              <w:left w:val="single" w:sz="6" w:space="0" w:color="000000"/>
              <w:bottom w:val="single" w:sz="6" w:space="0" w:color="000000"/>
              <w:right w:val="single" w:sz="6" w:space="0" w:color="000000"/>
            </w:tcBorders>
            <w:shd w:val="clear" w:color="auto" w:fill="FFFFFF"/>
            <w:hideMark/>
          </w:tcPr>
          <w:p w14:paraId="7D6B157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50" w:type="dxa"/>
            <w:tcBorders>
              <w:top w:val="single" w:sz="6" w:space="0" w:color="000000"/>
              <w:left w:val="single" w:sz="6" w:space="0" w:color="000000"/>
              <w:bottom w:val="single" w:sz="6" w:space="0" w:color="000000"/>
              <w:right w:val="single" w:sz="6" w:space="0" w:color="000000"/>
            </w:tcBorders>
            <w:shd w:val="clear" w:color="auto" w:fill="FFFFFF"/>
            <w:hideMark/>
          </w:tcPr>
          <w:p w14:paraId="1024554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30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CE8117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DF283B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hideMark/>
          </w:tcPr>
          <w:p w14:paraId="6BB468A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42" w:type="dxa"/>
            <w:tcBorders>
              <w:top w:val="single" w:sz="6" w:space="0" w:color="000000"/>
              <w:left w:val="single" w:sz="6" w:space="0" w:color="000000"/>
              <w:bottom w:val="single" w:sz="6" w:space="0" w:color="000000"/>
              <w:right w:val="single" w:sz="6" w:space="0" w:color="000000"/>
            </w:tcBorders>
            <w:shd w:val="clear" w:color="auto" w:fill="FFFFFF"/>
            <w:hideMark/>
          </w:tcPr>
          <w:p w14:paraId="0320F3E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hideMark/>
          </w:tcPr>
          <w:p w14:paraId="223A390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2EAB171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74A1B1C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7A2D489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62" w:type="dxa"/>
            <w:tcBorders>
              <w:top w:val="single" w:sz="6" w:space="0" w:color="000000"/>
              <w:left w:val="single" w:sz="6" w:space="0" w:color="000000"/>
              <w:bottom w:val="single" w:sz="6" w:space="0" w:color="000000"/>
              <w:right w:val="single" w:sz="6" w:space="0" w:color="000000"/>
            </w:tcBorders>
            <w:shd w:val="clear" w:color="auto" w:fill="FFFFFF"/>
          </w:tcPr>
          <w:p w14:paraId="36470FCA" w14:textId="0EE630C0"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52" w:type="dxa"/>
            <w:tcBorders>
              <w:top w:val="single" w:sz="6" w:space="0" w:color="000000"/>
              <w:left w:val="single" w:sz="6" w:space="0" w:color="000000"/>
              <w:bottom w:val="single" w:sz="6" w:space="0" w:color="000000"/>
              <w:right w:val="single" w:sz="6" w:space="0" w:color="000000"/>
            </w:tcBorders>
            <w:shd w:val="clear" w:color="auto" w:fill="FFFFFF"/>
          </w:tcPr>
          <w:p w14:paraId="5F359C1C" w14:textId="14ACEEBB"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391" w:type="dxa"/>
            <w:gridSpan w:val="2"/>
            <w:tcBorders>
              <w:top w:val="single" w:sz="6" w:space="0" w:color="000000"/>
              <w:left w:val="single" w:sz="6" w:space="0" w:color="000000"/>
              <w:bottom w:val="single" w:sz="6" w:space="0" w:color="000000"/>
              <w:right w:val="single" w:sz="6" w:space="0" w:color="000000"/>
            </w:tcBorders>
            <w:shd w:val="clear" w:color="auto" w:fill="FFFFFF"/>
          </w:tcPr>
          <w:p w14:paraId="26B2D54F" w14:textId="0F2C390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bl>
    <w:p w14:paraId="70C9F97A" w14:textId="77777777" w:rsidR="00B54C34" w:rsidRPr="007D063B" w:rsidRDefault="00B54C34" w:rsidP="00B54C34">
      <w:pPr>
        <w:shd w:val="clear" w:color="auto" w:fill="FFFFFF"/>
        <w:spacing w:before="120" w:after="120" w:line="240" w:lineRule="auto"/>
        <w:jc w:val="center"/>
        <w:rPr>
          <w:rFonts w:ascii="inherit" w:eastAsia="Times New Roman" w:hAnsi="inherit" w:cs="Times New Roman"/>
          <w:i/>
          <w:iCs/>
          <w:color w:val="000000"/>
          <w:sz w:val="24"/>
          <w:szCs w:val="24"/>
          <w:lang w:eastAsia="bg-BG"/>
        </w:rPr>
      </w:pPr>
    </w:p>
    <w:p w14:paraId="0F74AAF2" w14:textId="7FE5E1F3" w:rsidR="00B54C34" w:rsidRPr="007D063B" w:rsidRDefault="00B54C34" w:rsidP="003E6AB0">
      <w:pPr>
        <w:pStyle w:val="Heading3"/>
        <w:jc w:val="center"/>
        <w:rPr>
          <w:rFonts w:ascii="Times New Roman" w:eastAsia="Times New Roman" w:hAnsi="Times New Roman" w:cs="Times New Roman"/>
          <w:color w:val="000000"/>
          <w:lang w:eastAsia="bg-BG"/>
        </w:rPr>
      </w:pPr>
      <w:bookmarkStart w:id="30" w:name="_Toc481594291"/>
      <w:r w:rsidRPr="007D063B">
        <w:rPr>
          <w:rFonts w:ascii="inherit" w:eastAsia="Times New Roman" w:hAnsi="inherit" w:cs="Times New Roman"/>
          <w:i/>
          <w:iCs/>
          <w:color w:val="000000"/>
          <w:lang w:eastAsia="bg-BG"/>
        </w:rPr>
        <w:t>Таблица 2В</w:t>
      </w:r>
      <w:bookmarkEnd w:id="30"/>
      <w:r w:rsidR="00E7155D" w:rsidRPr="007D063B">
        <w:rPr>
          <w:rStyle w:val="FootnoteReference"/>
          <w:rFonts w:ascii="Times New Roman" w:eastAsia="Times New Roman" w:hAnsi="Times New Roman" w:cs="Times New Roman"/>
          <w:color w:val="000000"/>
          <w:lang w:eastAsia="bg-BG"/>
        </w:rPr>
        <w:footnoteReference w:id="3"/>
      </w:r>
    </w:p>
    <w:p w14:paraId="09CEAF81" w14:textId="77777777" w:rsidR="00B54C34" w:rsidRPr="007D063B" w:rsidRDefault="00B54C34" w:rsidP="00E7155D">
      <w:pPr>
        <w:spacing w:before="120" w:after="120" w:line="240" w:lineRule="auto"/>
        <w:jc w:val="center"/>
        <w:rPr>
          <w:rFonts w:ascii="Times New Roman" w:eastAsia="Times New Roman" w:hAnsi="Times New Roman" w:cs="Times New Roman"/>
          <w:color w:val="000000"/>
          <w:sz w:val="24"/>
          <w:szCs w:val="24"/>
          <w:lang w:eastAsia="bg-BG"/>
        </w:rPr>
      </w:pPr>
      <w:r w:rsidRPr="007D063B">
        <w:rPr>
          <w:rFonts w:ascii="inherit" w:eastAsia="Times New Roman" w:hAnsi="inherit" w:cs="Times New Roman"/>
          <w:b/>
          <w:bCs/>
          <w:color w:val="000000"/>
          <w:sz w:val="24"/>
          <w:szCs w:val="24"/>
          <w:lang w:eastAsia="bg-BG"/>
        </w:rPr>
        <w:t xml:space="preserve">Специфични за програмата показатели за резултатите за ЕСФ (по приоритетна ос, инвестиционен приоритет и по категория регион, когато е приложимо); </w:t>
      </w:r>
      <w:r w:rsidRPr="007D063B">
        <w:rPr>
          <w:rFonts w:ascii="inherit" w:eastAsia="Times New Roman" w:hAnsi="inherit" w:cs="Times New Roman" w:hint="eastAsia"/>
          <w:b/>
          <w:bCs/>
          <w:color w:val="000000"/>
          <w:sz w:val="24"/>
          <w:szCs w:val="24"/>
          <w:lang w:eastAsia="bg-BG"/>
        </w:rPr>
        <w:t>прилага</w:t>
      </w:r>
      <w:r w:rsidRPr="007D063B">
        <w:rPr>
          <w:rFonts w:ascii="inherit" w:eastAsia="Times New Roman" w:hAnsi="inherit" w:cs="Times New Roman"/>
          <w:b/>
          <w:bCs/>
          <w:color w:val="000000"/>
          <w:sz w:val="24"/>
          <w:szCs w:val="24"/>
          <w:lang w:eastAsia="bg-BG"/>
        </w:rPr>
        <w:t xml:space="preserve"> </w:t>
      </w:r>
      <w:r w:rsidRPr="007D063B">
        <w:rPr>
          <w:rFonts w:ascii="inherit" w:eastAsia="Times New Roman" w:hAnsi="inherit" w:cs="Times New Roman" w:hint="eastAsia"/>
          <w:b/>
          <w:bCs/>
          <w:color w:val="000000"/>
          <w:sz w:val="24"/>
          <w:szCs w:val="24"/>
          <w:lang w:eastAsia="bg-BG"/>
        </w:rPr>
        <w:t>се</w:t>
      </w:r>
      <w:r w:rsidRPr="007D063B">
        <w:rPr>
          <w:rFonts w:ascii="inherit" w:eastAsia="Times New Roman" w:hAnsi="inherit" w:cs="Times New Roman"/>
          <w:b/>
          <w:bCs/>
          <w:color w:val="000000"/>
          <w:sz w:val="24"/>
          <w:szCs w:val="24"/>
          <w:lang w:eastAsia="bg-BG"/>
        </w:rPr>
        <w:t xml:space="preserve"> </w:t>
      </w:r>
      <w:r w:rsidRPr="007D063B">
        <w:rPr>
          <w:rFonts w:ascii="inherit" w:eastAsia="Times New Roman" w:hAnsi="inherit" w:cs="Times New Roman" w:hint="eastAsia"/>
          <w:b/>
          <w:bCs/>
          <w:color w:val="000000"/>
          <w:sz w:val="24"/>
          <w:szCs w:val="24"/>
          <w:lang w:eastAsia="bg-BG"/>
        </w:rPr>
        <w:t>също</w:t>
      </w:r>
      <w:r w:rsidRPr="007D063B">
        <w:rPr>
          <w:rFonts w:ascii="inherit" w:eastAsia="Times New Roman" w:hAnsi="inherit" w:cs="Times New Roman"/>
          <w:b/>
          <w:bCs/>
          <w:color w:val="000000"/>
          <w:sz w:val="24"/>
          <w:szCs w:val="24"/>
          <w:lang w:eastAsia="bg-BG"/>
        </w:rPr>
        <w:t xml:space="preserve"> </w:t>
      </w:r>
      <w:r w:rsidRPr="007D063B">
        <w:rPr>
          <w:rFonts w:ascii="inherit" w:eastAsia="Times New Roman" w:hAnsi="inherit" w:cs="Times New Roman" w:hint="eastAsia"/>
          <w:b/>
          <w:bCs/>
          <w:color w:val="000000"/>
          <w:sz w:val="24"/>
          <w:szCs w:val="24"/>
          <w:lang w:eastAsia="bg-BG"/>
        </w:rPr>
        <w:t>за</w:t>
      </w:r>
      <w:r w:rsidRPr="007D063B">
        <w:rPr>
          <w:rFonts w:ascii="inherit" w:eastAsia="Times New Roman" w:hAnsi="inherit" w:cs="Times New Roman"/>
          <w:b/>
          <w:bCs/>
          <w:color w:val="000000"/>
          <w:sz w:val="24"/>
          <w:szCs w:val="24"/>
          <w:lang w:eastAsia="bg-BG"/>
        </w:rPr>
        <w:t xml:space="preserve"> </w:t>
      </w:r>
      <w:r w:rsidRPr="007D063B">
        <w:rPr>
          <w:rFonts w:ascii="inherit" w:eastAsia="Times New Roman" w:hAnsi="inherit" w:cs="Times New Roman" w:hint="eastAsia"/>
          <w:b/>
          <w:bCs/>
          <w:color w:val="000000"/>
          <w:sz w:val="24"/>
          <w:szCs w:val="24"/>
          <w:lang w:eastAsia="bg-BG"/>
        </w:rPr>
        <w:t>приоритетната</w:t>
      </w:r>
      <w:r w:rsidRPr="007D063B">
        <w:rPr>
          <w:rFonts w:ascii="inherit" w:eastAsia="Times New Roman" w:hAnsi="inherit" w:cs="Times New Roman"/>
          <w:b/>
          <w:bCs/>
          <w:color w:val="000000"/>
          <w:sz w:val="24"/>
          <w:szCs w:val="24"/>
          <w:lang w:eastAsia="bg-BG"/>
        </w:rPr>
        <w:t xml:space="preserve"> </w:t>
      </w:r>
      <w:r w:rsidRPr="007D063B">
        <w:rPr>
          <w:rFonts w:ascii="inherit" w:eastAsia="Times New Roman" w:hAnsi="inherit" w:cs="Times New Roman" w:hint="eastAsia"/>
          <w:b/>
          <w:bCs/>
          <w:color w:val="000000"/>
          <w:sz w:val="24"/>
          <w:szCs w:val="24"/>
          <w:lang w:eastAsia="bg-BG"/>
        </w:rPr>
        <w:t>ос</w:t>
      </w:r>
      <w:r w:rsidRPr="007D063B">
        <w:rPr>
          <w:rFonts w:ascii="inherit" w:eastAsia="Times New Roman" w:hAnsi="inherit" w:cs="Times New Roman"/>
          <w:b/>
          <w:bCs/>
          <w:color w:val="000000"/>
          <w:sz w:val="24"/>
          <w:szCs w:val="24"/>
          <w:lang w:eastAsia="bg-BG"/>
        </w:rPr>
        <w:t xml:space="preserve"> </w:t>
      </w:r>
      <w:r w:rsidRPr="007D063B">
        <w:rPr>
          <w:rFonts w:ascii="inherit" w:eastAsia="Times New Roman" w:hAnsi="inherit" w:cs="Times New Roman" w:hint="eastAsia"/>
          <w:b/>
          <w:bCs/>
          <w:color w:val="000000"/>
          <w:sz w:val="24"/>
          <w:szCs w:val="24"/>
          <w:lang w:eastAsia="bg-BG"/>
        </w:rPr>
        <w:t>за</w:t>
      </w:r>
      <w:r w:rsidRPr="007D063B">
        <w:rPr>
          <w:rFonts w:ascii="inherit" w:eastAsia="Times New Roman" w:hAnsi="inherit" w:cs="Times New Roman"/>
          <w:b/>
          <w:bCs/>
          <w:color w:val="000000"/>
          <w:sz w:val="24"/>
          <w:szCs w:val="24"/>
          <w:lang w:eastAsia="bg-BG"/>
        </w:rPr>
        <w:t xml:space="preserve"> </w:t>
      </w:r>
      <w:r w:rsidRPr="007D063B">
        <w:rPr>
          <w:rFonts w:ascii="inherit" w:eastAsia="Times New Roman" w:hAnsi="inherit" w:cs="Times New Roman" w:hint="eastAsia"/>
          <w:b/>
          <w:bCs/>
          <w:color w:val="000000"/>
          <w:sz w:val="24"/>
          <w:szCs w:val="24"/>
          <w:lang w:eastAsia="bg-BG"/>
        </w:rPr>
        <w:t>техническа</w:t>
      </w:r>
      <w:r w:rsidRPr="007D063B">
        <w:rPr>
          <w:rFonts w:ascii="inherit" w:eastAsia="Times New Roman" w:hAnsi="inherit" w:cs="Times New Roman"/>
          <w:b/>
          <w:bCs/>
          <w:color w:val="000000"/>
          <w:sz w:val="24"/>
          <w:szCs w:val="24"/>
          <w:lang w:eastAsia="bg-BG"/>
        </w:rPr>
        <w:t xml:space="preserve"> </w:t>
      </w:r>
      <w:r w:rsidRPr="007D063B">
        <w:rPr>
          <w:rFonts w:ascii="inherit" w:eastAsia="Times New Roman" w:hAnsi="inherit" w:cs="Times New Roman" w:hint="eastAsia"/>
          <w:b/>
          <w:bCs/>
          <w:color w:val="000000"/>
          <w:sz w:val="24"/>
          <w:szCs w:val="24"/>
          <w:lang w:eastAsia="bg-BG"/>
        </w:rPr>
        <w:t>помощ</w:t>
      </w:r>
    </w:p>
    <w:p w14:paraId="592F9412" w14:textId="77777777" w:rsidR="00B54C34" w:rsidRPr="007D063B" w:rsidRDefault="00B54C34" w:rsidP="00B54C34">
      <w:pPr>
        <w:shd w:val="clear" w:color="auto" w:fill="FFFFFF"/>
        <w:spacing w:before="120" w:after="120" w:line="240" w:lineRule="auto"/>
        <w:jc w:val="center"/>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(по отношение на ИМЗ и специфичните за програмата показатели за всяка приоритетна ос или част от нея, по която се предоставя подкрепа за ИМЗ, не се изисква разпределение по категория региони)</w:t>
      </w:r>
      <w:hyperlink r:id="rId62" w:anchor="ntr10-L_2015038BG.01007201-E0010" w:history="1">
        <w:r w:rsidRPr="007D063B">
          <w:rPr>
            <w:rFonts w:ascii="inherit" w:eastAsia="Times New Roman" w:hAnsi="inherit" w:cs="Times New Roman"/>
            <w:color w:val="0000FF"/>
            <w:sz w:val="24"/>
            <w:szCs w:val="24"/>
            <w:u w:val="single"/>
            <w:lang w:eastAsia="bg-BG"/>
          </w:rPr>
          <w:t> (</w:t>
        </w:r>
        <w:r w:rsidRPr="007D063B">
          <w:rPr>
            <w:rFonts w:ascii="inherit" w:eastAsia="Times New Roman" w:hAnsi="inherit" w:cs="Times New Roman"/>
            <w:color w:val="0000FF"/>
            <w:sz w:val="17"/>
            <w:szCs w:val="17"/>
            <w:u w:val="single"/>
            <w:vertAlign w:val="superscript"/>
            <w:lang w:eastAsia="bg-BG"/>
          </w:rPr>
          <w:t>10</w:t>
        </w:r>
        <w:r w:rsidRPr="007D063B">
          <w:rPr>
            <w:rFonts w:ascii="inherit" w:eastAsia="Times New Roman" w:hAnsi="inherit" w:cs="Times New Roman"/>
            <w:color w:val="0000FF"/>
            <w:sz w:val="24"/>
            <w:szCs w:val="24"/>
            <w:u w:val="single"/>
            <w:lang w:eastAsia="bg-BG"/>
          </w:rPr>
          <w:t>)</w:t>
        </w:r>
      </w:hyperlink>
    </w:p>
    <w:p w14:paraId="115056D3" w14:textId="3C5B80ED" w:rsidR="00B54C34" w:rsidRPr="007D063B" w:rsidRDefault="00B54C34" w:rsidP="0090707B">
      <w:pPr>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lastRenderedPageBreak/>
        <w:t>Инвестиционен приоритет:</w:t>
      </w:r>
      <w:r w:rsidRPr="007D063B">
        <w:rPr>
          <w:rFonts w:ascii="Times New Roman" w:eastAsia="Times New Roman" w:hAnsi="Times New Roman" w:cs="Times New Roman"/>
          <w:color w:val="000000"/>
          <w:sz w:val="24"/>
          <w:szCs w:val="24"/>
          <w:lang w:val="ru-RU" w:eastAsia="bg-BG"/>
        </w:rPr>
        <w:t xml:space="preserve"> </w:t>
      </w:r>
      <w:r w:rsidR="0090707B" w:rsidRPr="007D063B">
        <w:rPr>
          <w:rFonts w:ascii="Times New Roman" w:eastAsia="Times New Roman" w:hAnsi="Times New Roman" w:cs="Times New Roman"/>
          <w:color w:val="000000"/>
          <w:sz w:val="24"/>
          <w:szCs w:val="24"/>
          <w:lang w:eastAsia="bg-BG"/>
        </w:rPr>
        <w:t>Неприложимо.</w:t>
      </w:r>
    </w:p>
    <w:p w14:paraId="2241D8A2" w14:textId="5A4D607C" w:rsidR="00B54C34" w:rsidRPr="007D063B" w:rsidRDefault="00B54C34" w:rsidP="00B54C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Категория регион: По-слабо развити региони</w:t>
      </w:r>
    </w:p>
    <w:p w14:paraId="4D92A097" w14:textId="77777777" w:rsidR="00B54C34" w:rsidRPr="007D063B" w:rsidRDefault="00B54C34" w:rsidP="00B54C34">
      <w:pPr>
        <w:shd w:val="clear" w:color="auto" w:fill="FFFFFF"/>
        <w:spacing w:before="120" w:after="120" w:line="240" w:lineRule="auto"/>
        <w:jc w:val="center"/>
        <w:rPr>
          <w:rFonts w:ascii="inherit" w:eastAsia="Times New Roman" w:hAnsi="inherit" w:cs="Times New Roman"/>
          <w:i/>
          <w:iCs/>
          <w:color w:val="000000"/>
          <w:sz w:val="24"/>
          <w:szCs w:val="24"/>
          <w:lang w:eastAsia="bg-BG"/>
        </w:rPr>
      </w:pPr>
    </w:p>
    <w:p w14:paraId="0D27AD81" w14:textId="77777777" w:rsidR="00B54C34" w:rsidRPr="007D063B" w:rsidRDefault="00B54C34" w:rsidP="003E6AB0">
      <w:pPr>
        <w:pStyle w:val="Heading3"/>
        <w:jc w:val="center"/>
        <w:rPr>
          <w:rFonts w:ascii="Times New Roman" w:eastAsia="Times New Roman" w:hAnsi="Times New Roman" w:cs="Times New Roman"/>
          <w:color w:val="000000"/>
          <w:lang w:eastAsia="bg-BG"/>
        </w:rPr>
      </w:pPr>
      <w:bookmarkStart w:id="31" w:name="_Toc481594292"/>
      <w:r w:rsidRPr="007D063B">
        <w:rPr>
          <w:rFonts w:ascii="inherit" w:eastAsia="Times New Roman" w:hAnsi="inherit" w:cs="Times New Roman"/>
          <w:i/>
          <w:iCs/>
          <w:color w:val="000000"/>
          <w:lang w:eastAsia="bg-BG"/>
        </w:rPr>
        <w:t>Таблица 4А</w:t>
      </w:r>
      <w:bookmarkEnd w:id="31"/>
    </w:p>
    <w:p w14:paraId="4637EFE0" w14:textId="77777777" w:rsidR="00B54C34" w:rsidRPr="007D063B" w:rsidRDefault="00B54C34" w:rsidP="00B54C34">
      <w:pPr>
        <w:shd w:val="clear" w:color="auto" w:fill="FFFFFF"/>
        <w:spacing w:before="120" w:after="120" w:line="240" w:lineRule="auto"/>
        <w:jc w:val="center"/>
        <w:rPr>
          <w:rFonts w:ascii="Times New Roman" w:eastAsia="Times New Roman" w:hAnsi="Times New Roman" w:cs="Times New Roman"/>
          <w:color w:val="000000"/>
          <w:sz w:val="24"/>
          <w:szCs w:val="24"/>
          <w:lang w:eastAsia="bg-BG"/>
        </w:rPr>
      </w:pPr>
      <w:r w:rsidRPr="007D063B">
        <w:rPr>
          <w:rFonts w:ascii="inherit" w:eastAsia="Times New Roman" w:hAnsi="inherit" w:cs="Times New Roman"/>
          <w:b/>
          <w:bCs/>
          <w:color w:val="000000"/>
          <w:sz w:val="24"/>
          <w:szCs w:val="24"/>
          <w:lang w:eastAsia="bg-BG"/>
        </w:rPr>
        <w:t>Общи показатели за изпълнение за ЕСФ (по приоритетна ос, инвестиционен приоритет, категория регион). За инициативата за младежка заетост, за всяка приоритетна ос или част от нея не се изисква разпределение по категория региони</w:t>
      </w:r>
      <w:r w:rsidRPr="007D063B">
        <w:rPr>
          <w:rFonts w:ascii="Times New Roman" w:eastAsia="Times New Roman" w:hAnsi="Times New Roman" w:cs="Times New Roman"/>
          <w:color w:val="000000"/>
          <w:sz w:val="24"/>
          <w:szCs w:val="24"/>
          <w:lang w:eastAsia="bg-BG"/>
        </w:rPr>
        <w:t> </w:t>
      </w:r>
      <w:hyperlink r:id="rId63" w:anchor="ntr13-L_2015038BG.01007201-E0013" w:history="1">
        <w:r w:rsidRPr="007D063B">
          <w:rPr>
            <w:rFonts w:ascii="inherit" w:eastAsia="Times New Roman" w:hAnsi="inherit" w:cs="Times New Roman"/>
            <w:color w:val="0000FF"/>
            <w:sz w:val="24"/>
            <w:szCs w:val="24"/>
            <w:u w:val="single"/>
            <w:lang w:eastAsia="bg-BG"/>
          </w:rPr>
          <w:t> (</w:t>
        </w:r>
        <w:r w:rsidRPr="007D063B">
          <w:rPr>
            <w:rFonts w:ascii="inherit" w:eastAsia="Times New Roman" w:hAnsi="inherit" w:cs="Times New Roman"/>
            <w:color w:val="0000FF"/>
            <w:sz w:val="17"/>
            <w:szCs w:val="17"/>
            <w:u w:val="single"/>
            <w:vertAlign w:val="superscript"/>
            <w:lang w:eastAsia="bg-BG"/>
          </w:rPr>
          <w:t>13</w:t>
        </w:r>
        <w:r w:rsidRPr="007D063B">
          <w:rPr>
            <w:rFonts w:ascii="inherit" w:eastAsia="Times New Roman" w:hAnsi="inherit" w:cs="Times New Roman"/>
            <w:color w:val="0000FF"/>
            <w:sz w:val="24"/>
            <w:szCs w:val="24"/>
            <w:u w:val="single"/>
            <w:lang w:eastAsia="bg-BG"/>
          </w:rPr>
          <w:t>)</w:t>
        </w:r>
      </w:hyperlink>
    </w:p>
    <w:p w14:paraId="1D56F3F9" w14:textId="1CF6A201" w:rsidR="00B54C34" w:rsidRPr="007D063B" w:rsidRDefault="00B54C34" w:rsidP="0084418F">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Инвестиционен приоритет:</w:t>
      </w:r>
      <w:r w:rsidR="0084418F" w:rsidRPr="007D063B">
        <w:rPr>
          <w:rFonts w:ascii="Times New Roman" w:eastAsia="Times New Roman" w:hAnsi="Times New Roman" w:cs="Times New Roman"/>
          <w:color w:val="000000"/>
          <w:sz w:val="24"/>
          <w:szCs w:val="24"/>
          <w:lang w:eastAsia="bg-BG"/>
        </w:rPr>
        <w:t xml:space="preserve"> Неприложимо</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left w:w="0" w:type="dxa"/>
          <w:right w:w="0" w:type="dxa"/>
        </w:tblCellMar>
        <w:tblLook w:val="04A0" w:firstRow="1" w:lastRow="0" w:firstColumn="1" w:lastColumn="0" w:noHBand="0" w:noVBand="1"/>
      </w:tblPr>
      <w:tblGrid>
        <w:gridCol w:w="1272"/>
        <w:gridCol w:w="1423"/>
        <w:gridCol w:w="713"/>
        <w:gridCol w:w="556"/>
        <w:gridCol w:w="306"/>
        <w:gridCol w:w="312"/>
        <w:gridCol w:w="351"/>
        <w:gridCol w:w="359"/>
        <w:gridCol w:w="351"/>
        <w:gridCol w:w="359"/>
        <w:gridCol w:w="351"/>
        <w:gridCol w:w="359"/>
        <w:gridCol w:w="351"/>
        <w:gridCol w:w="359"/>
        <w:gridCol w:w="351"/>
        <w:gridCol w:w="359"/>
        <w:gridCol w:w="351"/>
        <w:gridCol w:w="359"/>
        <w:gridCol w:w="351"/>
        <w:gridCol w:w="359"/>
        <w:gridCol w:w="351"/>
        <w:gridCol w:w="359"/>
        <w:gridCol w:w="351"/>
        <w:gridCol w:w="359"/>
        <w:gridCol w:w="351"/>
        <w:gridCol w:w="393"/>
        <w:gridCol w:w="533"/>
        <w:gridCol w:w="292"/>
        <w:gridCol w:w="300"/>
        <w:gridCol w:w="587"/>
        <w:gridCol w:w="320"/>
        <w:gridCol w:w="286"/>
      </w:tblGrid>
      <w:tr w:rsidR="00B54C34" w:rsidRPr="007D063B" w14:paraId="5BFAEC94" w14:textId="77777777" w:rsidTr="0084418F">
        <w:trPr>
          <w:tblCellSpacing w:w="0" w:type="dxa"/>
        </w:trPr>
        <w:tc>
          <w:tcPr>
            <w:tcW w:w="453" w:type="pct"/>
            <w:tcBorders>
              <w:top w:val="single" w:sz="6" w:space="0" w:color="000000"/>
              <w:left w:val="single" w:sz="6" w:space="0" w:color="000000"/>
              <w:bottom w:val="single" w:sz="6" w:space="0" w:color="000000"/>
              <w:right w:val="single" w:sz="6" w:space="0" w:color="000000"/>
            </w:tcBorders>
            <w:shd w:val="clear" w:color="auto" w:fill="FFFFFF"/>
            <w:hideMark/>
          </w:tcPr>
          <w:p w14:paraId="2BDA61B6" w14:textId="77777777" w:rsidR="00B54C34" w:rsidRPr="007D063B" w:rsidRDefault="00B54C34" w:rsidP="00450FF1">
            <w:pPr>
              <w:spacing w:before="60" w:after="60" w:line="240" w:lineRule="auto"/>
              <w:ind w:right="195"/>
              <w:jc w:val="center"/>
              <w:rPr>
                <w:rFonts w:ascii="Times New Roman" w:eastAsia="Times New Roman" w:hAnsi="Times New Roman" w:cs="Times New Roman"/>
                <w:color w:val="000000"/>
                <w:sz w:val="20"/>
                <w:szCs w:val="20"/>
                <w:lang w:eastAsia="bg-BG"/>
              </w:rPr>
            </w:pPr>
            <w:r w:rsidRPr="007D063B">
              <w:rPr>
                <w:rFonts w:ascii="Times New Roman" w:eastAsia="Times New Roman" w:hAnsi="Times New Roman" w:cs="Times New Roman"/>
                <w:color w:val="000000"/>
                <w:sz w:val="20"/>
                <w:szCs w:val="20"/>
                <w:lang w:eastAsia="bg-BG"/>
              </w:rPr>
              <w:t xml:space="preserve">Категория регион: </w:t>
            </w:r>
          </w:p>
          <w:p w14:paraId="73E35D2E" w14:textId="77777777" w:rsidR="00B54C34" w:rsidRPr="007D063B" w:rsidRDefault="00B54C34" w:rsidP="00450FF1">
            <w:pPr>
              <w:spacing w:before="60" w:after="60" w:line="240" w:lineRule="auto"/>
              <w:ind w:right="195"/>
              <w:jc w:val="center"/>
              <w:rPr>
                <w:rFonts w:ascii="Times New Roman" w:eastAsia="Times New Roman" w:hAnsi="Times New Roman" w:cs="Times New Roman"/>
                <w:color w:val="000000"/>
                <w:sz w:val="20"/>
                <w:szCs w:val="20"/>
                <w:lang w:eastAsia="bg-BG"/>
              </w:rPr>
            </w:pPr>
            <w:r w:rsidRPr="007D063B">
              <w:rPr>
                <w:rFonts w:ascii="Times New Roman" w:eastAsia="Times New Roman" w:hAnsi="Times New Roman" w:cs="Times New Roman"/>
                <w:color w:val="000000"/>
                <w:sz w:val="20"/>
                <w:szCs w:val="20"/>
                <w:lang w:eastAsia="bg-BG"/>
              </w:rPr>
              <w:t>По-слабо развити региони</w:t>
            </w:r>
          </w:p>
          <w:p w14:paraId="747A9449"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Показател Идентификация</w:t>
            </w: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1D97A7FD"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Показател (наименование на показателя)</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5E1444F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Категория региони (когато е уместно)</w:t>
            </w:r>
          </w:p>
        </w:tc>
        <w:tc>
          <w:tcPr>
            <w:tcW w:w="41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AA5959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Целева стойност (2023 г.)</w:t>
            </w:r>
          </w:p>
          <w:p w14:paraId="4D6872A2"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Разпределението по пол е незадължително (за целевата стойност)</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B029435"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2014</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CFC898C"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2015</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F35A6F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2016</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85302CF"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2017</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39F981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2018</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C9987FC"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2019</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902B72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2020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838F628"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2021</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C485610"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2022</w:t>
            </w:r>
          </w:p>
        </w:tc>
        <w:tc>
          <w:tcPr>
            <w:tcW w:w="264"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E1A957B"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2023</w:t>
            </w:r>
          </w:p>
        </w:tc>
        <w:tc>
          <w:tcPr>
            <w:tcW w:w="401"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CE5584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Кумулативна стойност (автоматично изчислена)</w:t>
            </w:r>
          </w:p>
        </w:tc>
        <w:tc>
          <w:tcPr>
            <w:tcW w:w="426"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578E919"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Съотношение на постиженията</w:t>
            </w:r>
          </w:p>
          <w:p w14:paraId="5A93323B"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20"/>
                <w:szCs w:val="20"/>
                <w:lang w:eastAsia="bg-BG"/>
              </w:rPr>
            </w:pPr>
            <w:r w:rsidRPr="007D063B">
              <w:rPr>
                <w:rFonts w:ascii="Times New Roman" w:eastAsia="Times New Roman" w:hAnsi="Times New Roman" w:cs="Times New Roman"/>
                <w:b/>
                <w:bCs/>
                <w:color w:val="000000"/>
                <w:sz w:val="20"/>
                <w:szCs w:val="20"/>
                <w:lang w:eastAsia="bg-BG"/>
              </w:rPr>
              <w:t>Разпределение по пол (незадължително)</w:t>
            </w:r>
          </w:p>
        </w:tc>
      </w:tr>
      <w:tr w:rsidR="00B54C34" w:rsidRPr="007D063B" w14:paraId="50605FD2" w14:textId="77777777" w:rsidTr="0084418F">
        <w:trPr>
          <w:tblCellSpacing w:w="0" w:type="dxa"/>
        </w:trPr>
        <w:tc>
          <w:tcPr>
            <w:tcW w:w="453"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EA230B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F34A5D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1CBFC0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8" w:type="pct"/>
            <w:tcBorders>
              <w:top w:val="single" w:sz="6" w:space="0" w:color="000000"/>
              <w:left w:val="single" w:sz="6" w:space="0" w:color="000000"/>
              <w:bottom w:val="single" w:sz="6" w:space="0" w:color="000000"/>
              <w:right w:val="single" w:sz="6" w:space="0" w:color="000000"/>
            </w:tcBorders>
            <w:shd w:val="clear" w:color="auto" w:fill="FFFFFF"/>
            <w:hideMark/>
          </w:tcPr>
          <w:p w14:paraId="698FA1B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tcBorders>
              <w:top w:val="single" w:sz="6" w:space="0" w:color="000000"/>
              <w:left w:val="single" w:sz="6" w:space="0" w:color="000000"/>
              <w:bottom w:val="single" w:sz="6" w:space="0" w:color="000000"/>
              <w:right w:val="single" w:sz="6" w:space="0" w:color="000000"/>
            </w:tcBorders>
            <w:shd w:val="clear" w:color="auto" w:fill="FFFFFF"/>
            <w:hideMark/>
          </w:tcPr>
          <w:p w14:paraId="463B737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tcBorders>
              <w:top w:val="single" w:sz="6" w:space="0" w:color="000000"/>
              <w:left w:val="single" w:sz="6" w:space="0" w:color="000000"/>
              <w:bottom w:val="single" w:sz="6" w:space="0" w:color="000000"/>
              <w:right w:val="single" w:sz="6" w:space="0" w:color="000000"/>
            </w:tcBorders>
            <w:shd w:val="clear" w:color="auto" w:fill="FFFFFF"/>
            <w:hideMark/>
          </w:tcPr>
          <w:p w14:paraId="71C8BC5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42" w:type="pct"/>
            <w:gridSpan w:val="20"/>
            <w:tcBorders>
              <w:top w:val="single" w:sz="6" w:space="0" w:color="000000"/>
              <w:left w:val="single" w:sz="6" w:space="0" w:color="000000"/>
              <w:bottom w:val="single" w:sz="6" w:space="0" w:color="000000"/>
              <w:right w:val="single" w:sz="6" w:space="0" w:color="000000"/>
            </w:tcBorders>
            <w:shd w:val="clear" w:color="auto" w:fill="FFFFFF"/>
            <w:hideMark/>
          </w:tcPr>
          <w:p w14:paraId="3CED82CF"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lang w:eastAsia="bg-BG"/>
              </w:rPr>
            </w:pPr>
            <w:r w:rsidRPr="007D063B">
              <w:rPr>
                <w:rFonts w:ascii="Times New Roman" w:eastAsia="Times New Roman" w:hAnsi="Times New Roman" w:cs="Times New Roman"/>
                <w:b/>
                <w:bCs/>
                <w:color w:val="000000"/>
                <w:lang w:eastAsia="bg-BG"/>
              </w:rPr>
              <w:t>Годишна стойност</w:t>
            </w:r>
          </w:p>
        </w:tc>
        <w:tc>
          <w:tcPr>
            <w:tcW w:w="190" w:type="pct"/>
            <w:tcBorders>
              <w:top w:val="single" w:sz="6" w:space="0" w:color="000000"/>
              <w:left w:val="single" w:sz="6" w:space="0" w:color="000000"/>
              <w:bottom w:val="single" w:sz="6" w:space="0" w:color="000000"/>
              <w:right w:val="single" w:sz="6" w:space="0" w:color="000000"/>
            </w:tcBorders>
            <w:shd w:val="clear" w:color="auto" w:fill="FFFFFF"/>
            <w:hideMark/>
          </w:tcPr>
          <w:p w14:paraId="7EC0242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4" w:type="pct"/>
            <w:tcBorders>
              <w:top w:val="single" w:sz="6" w:space="0" w:color="000000"/>
              <w:left w:val="single" w:sz="6" w:space="0" w:color="000000"/>
              <w:bottom w:val="single" w:sz="6" w:space="0" w:color="000000"/>
              <w:right w:val="single" w:sz="6" w:space="0" w:color="000000"/>
            </w:tcBorders>
            <w:shd w:val="clear" w:color="auto" w:fill="FFFFFF"/>
            <w:hideMark/>
          </w:tcPr>
          <w:p w14:paraId="2C36D32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7" w:type="pct"/>
            <w:tcBorders>
              <w:top w:val="single" w:sz="6" w:space="0" w:color="000000"/>
              <w:left w:val="single" w:sz="6" w:space="0" w:color="000000"/>
              <w:bottom w:val="single" w:sz="6" w:space="0" w:color="000000"/>
              <w:right w:val="single" w:sz="6" w:space="0" w:color="000000"/>
            </w:tcBorders>
            <w:shd w:val="clear" w:color="auto" w:fill="FFFFFF"/>
            <w:hideMark/>
          </w:tcPr>
          <w:p w14:paraId="4E4FCFB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09" w:type="pct"/>
            <w:tcBorders>
              <w:top w:val="single" w:sz="6" w:space="0" w:color="000000"/>
              <w:left w:val="single" w:sz="6" w:space="0" w:color="000000"/>
              <w:bottom w:val="single" w:sz="6" w:space="0" w:color="000000"/>
              <w:right w:val="single" w:sz="6" w:space="0" w:color="000000"/>
            </w:tcBorders>
            <w:shd w:val="clear" w:color="auto" w:fill="FFFFFF"/>
            <w:hideMark/>
          </w:tcPr>
          <w:p w14:paraId="66DFA68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4" w:type="pct"/>
            <w:tcBorders>
              <w:top w:val="single" w:sz="6" w:space="0" w:color="000000"/>
              <w:left w:val="single" w:sz="6" w:space="0" w:color="000000"/>
              <w:bottom w:val="single" w:sz="6" w:space="0" w:color="000000"/>
              <w:right w:val="single" w:sz="6" w:space="0" w:color="000000"/>
            </w:tcBorders>
            <w:shd w:val="clear" w:color="auto" w:fill="FFFFFF"/>
            <w:hideMark/>
          </w:tcPr>
          <w:p w14:paraId="2D051C4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3" w:type="pct"/>
            <w:tcBorders>
              <w:top w:val="single" w:sz="6" w:space="0" w:color="000000"/>
              <w:left w:val="single" w:sz="6" w:space="0" w:color="000000"/>
              <w:bottom w:val="single" w:sz="6" w:space="0" w:color="000000"/>
              <w:right w:val="single" w:sz="6" w:space="0" w:color="000000"/>
            </w:tcBorders>
            <w:shd w:val="clear" w:color="auto" w:fill="FFFFFF"/>
            <w:hideMark/>
          </w:tcPr>
          <w:p w14:paraId="3819C9D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r>
      <w:tr w:rsidR="00E133C6" w:rsidRPr="007D063B" w14:paraId="10AD871E" w14:textId="77777777" w:rsidTr="0084418F">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C48CFA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0534E1A" w14:textId="77777777" w:rsidR="00B54C34" w:rsidRPr="007D063B" w:rsidRDefault="00B54C34" w:rsidP="00450FF1">
            <w:pPr>
              <w:spacing w:after="0" w:line="240" w:lineRule="auto"/>
              <w:rPr>
                <w:rFonts w:ascii="Times New Roman" w:eastAsia="Times New Roman" w:hAnsi="Times New Roman" w:cs="Times New Roman"/>
                <w:color w:val="000000"/>
                <w:sz w:val="16"/>
                <w:szCs w:val="16"/>
                <w:lang w:eastAsia="bg-BG"/>
              </w:rPr>
            </w:pP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E80EC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8" w:type="pct"/>
            <w:tcBorders>
              <w:top w:val="single" w:sz="6" w:space="0" w:color="000000"/>
              <w:left w:val="single" w:sz="6" w:space="0" w:color="000000"/>
              <w:bottom w:val="single" w:sz="6" w:space="0" w:color="000000"/>
              <w:right w:val="single" w:sz="6" w:space="0" w:color="000000"/>
            </w:tcBorders>
            <w:shd w:val="clear" w:color="auto" w:fill="FFFFFF"/>
            <w:hideMark/>
          </w:tcPr>
          <w:p w14:paraId="0F8B4E72"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Общо</w:t>
            </w:r>
          </w:p>
        </w:tc>
        <w:tc>
          <w:tcPr>
            <w:tcW w:w="109" w:type="pct"/>
            <w:tcBorders>
              <w:top w:val="single" w:sz="6" w:space="0" w:color="000000"/>
              <w:left w:val="single" w:sz="6" w:space="0" w:color="000000"/>
              <w:bottom w:val="single" w:sz="6" w:space="0" w:color="000000"/>
              <w:right w:val="single" w:sz="6" w:space="0" w:color="000000"/>
            </w:tcBorders>
            <w:shd w:val="clear" w:color="auto" w:fill="FFFFFF"/>
            <w:hideMark/>
          </w:tcPr>
          <w:p w14:paraId="6E4D2BB3"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11" w:type="pct"/>
            <w:tcBorders>
              <w:top w:val="single" w:sz="6" w:space="0" w:color="000000"/>
              <w:left w:val="single" w:sz="6" w:space="0" w:color="000000"/>
              <w:bottom w:val="single" w:sz="6" w:space="0" w:color="000000"/>
              <w:right w:val="single" w:sz="6" w:space="0" w:color="000000"/>
            </w:tcBorders>
            <w:shd w:val="clear" w:color="auto" w:fill="FFFFFF"/>
            <w:hideMark/>
          </w:tcPr>
          <w:p w14:paraId="21926C63"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0954DD45"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17B9689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3EEE88D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6003FF49"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4657E4C"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14AAD6D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7901D165"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55CB0C39"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69A0BC59"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566693C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383FECEB"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0770D2FC"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0E5AB85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495E63D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45298D45"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661D5932"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0EF3B7CC"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36DEBE6A"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A3BAFEB"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39" w:type="pct"/>
            <w:tcBorders>
              <w:top w:val="single" w:sz="6" w:space="0" w:color="000000"/>
              <w:left w:val="single" w:sz="6" w:space="0" w:color="000000"/>
              <w:bottom w:val="single" w:sz="6" w:space="0" w:color="000000"/>
              <w:right w:val="single" w:sz="6" w:space="0" w:color="000000"/>
            </w:tcBorders>
            <w:shd w:val="clear" w:color="auto" w:fill="FFFFFF"/>
            <w:hideMark/>
          </w:tcPr>
          <w:p w14:paraId="7ED881D1"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190" w:type="pct"/>
            <w:tcBorders>
              <w:top w:val="single" w:sz="6" w:space="0" w:color="000000"/>
              <w:left w:val="single" w:sz="6" w:space="0" w:color="000000"/>
              <w:bottom w:val="single" w:sz="6" w:space="0" w:color="000000"/>
              <w:right w:val="single" w:sz="6" w:space="0" w:color="000000"/>
            </w:tcBorders>
            <w:shd w:val="clear" w:color="auto" w:fill="FFFFFF"/>
            <w:hideMark/>
          </w:tcPr>
          <w:p w14:paraId="52F918A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Общо</w:t>
            </w:r>
          </w:p>
        </w:tc>
        <w:tc>
          <w:tcPr>
            <w:tcW w:w="104" w:type="pct"/>
            <w:tcBorders>
              <w:top w:val="single" w:sz="6" w:space="0" w:color="000000"/>
              <w:left w:val="single" w:sz="6" w:space="0" w:color="000000"/>
              <w:bottom w:val="single" w:sz="6" w:space="0" w:color="000000"/>
              <w:right w:val="single" w:sz="6" w:space="0" w:color="000000"/>
            </w:tcBorders>
            <w:shd w:val="clear" w:color="auto" w:fill="FFFFFF"/>
            <w:hideMark/>
          </w:tcPr>
          <w:p w14:paraId="39337D89"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07" w:type="pct"/>
            <w:tcBorders>
              <w:top w:val="single" w:sz="6" w:space="0" w:color="000000"/>
              <w:left w:val="single" w:sz="6" w:space="0" w:color="000000"/>
              <w:bottom w:val="single" w:sz="6" w:space="0" w:color="000000"/>
              <w:right w:val="single" w:sz="6" w:space="0" w:color="000000"/>
            </w:tcBorders>
            <w:shd w:val="clear" w:color="auto" w:fill="FFFFFF"/>
            <w:hideMark/>
          </w:tcPr>
          <w:p w14:paraId="0763B376"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c>
          <w:tcPr>
            <w:tcW w:w="209" w:type="pct"/>
            <w:tcBorders>
              <w:top w:val="single" w:sz="6" w:space="0" w:color="000000"/>
              <w:left w:val="single" w:sz="6" w:space="0" w:color="000000"/>
              <w:bottom w:val="single" w:sz="6" w:space="0" w:color="000000"/>
              <w:right w:val="single" w:sz="6" w:space="0" w:color="000000"/>
            </w:tcBorders>
            <w:shd w:val="clear" w:color="auto" w:fill="FFFFFF"/>
            <w:hideMark/>
          </w:tcPr>
          <w:p w14:paraId="16E85C4F"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Общо</w:t>
            </w:r>
          </w:p>
        </w:tc>
        <w:tc>
          <w:tcPr>
            <w:tcW w:w="114" w:type="pct"/>
            <w:tcBorders>
              <w:top w:val="single" w:sz="6" w:space="0" w:color="000000"/>
              <w:left w:val="single" w:sz="6" w:space="0" w:color="000000"/>
              <w:bottom w:val="single" w:sz="6" w:space="0" w:color="000000"/>
              <w:right w:val="single" w:sz="6" w:space="0" w:color="000000"/>
            </w:tcBorders>
            <w:shd w:val="clear" w:color="auto" w:fill="FFFFFF"/>
            <w:hideMark/>
          </w:tcPr>
          <w:p w14:paraId="6B29FD24"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М</w:t>
            </w:r>
          </w:p>
        </w:tc>
        <w:tc>
          <w:tcPr>
            <w:tcW w:w="103" w:type="pct"/>
            <w:tcBorders>
              <w:top w:val="single" w:sz="6" w:space="0" w:color="000000"/>
              <w:left w:val="single" w:sz="6" w:space="0" w:color="000000"/>
              <w:bottom w:val="single" w:sz="6" w:space="0" w:color="000000"/>
              <w:right w:val="single" w:sz="6" w:space="0" w:color="000000"/>
            </w:tcBorders>
            <w:shd w:val="clear" w:color="auto" w:fill="FFFFFF"/>
            <w:hideMark/>
          </w:tcPr>
          <w:p w14:paraId="44E141FE" w14:textId="77777777" w:rsidR="00B54C34" w:rsidRPr="007D063B" w:rsidRDefault="00B54C34" w:rsidP="00450FF1">
            <w:pPr>
              <w:spacing w:before="60" w:after="60" w:line="240" w:lineRule="auto"/>
              <w:ind w:right="195"/>
              <w:jc w:val="center"/>
              <w:rPr>
                <w:rFonts w:ascii="Times New Roman" w:eastAsia="Times New Roman" w:hAnsi="Times New Roman" w:cs="Times New Roman"/>
                <w:b/>
                <w:bCs/>
                <w:color w:val="000000"/>
                <w:sz w:val="16"/>
                <w:szCs w:val="16"/>
                <w:lang w:eastAsia="bg-BG"/>
              </w:rPr>
            </w:pPr>
            <w:r w:rsidRPr="007D063B">
              <w:rPr>
                <w:rFonts w:ascii="Times New Roman" w:eastAsia="Times New Roman" w:hAnsi="Times New Roman" w:cs="Times New Roman"/>
                <w:b/>
                <w:bCs/>
                <w:color w:val="000000"/>
                <w:sz w:val="16"/>
                <w:szCs w:val="16"/>
                <w:lang w:eastAsia="bg-BG"/>
              </w:rPr>
              <w:t>Ж</w:t>
            </w:r>
          </w:p>
        </w:tc>
      </w:tr>
      <w:tr w:rsidR="00E133C6" w:rsidRPr="007D063B" w14:paraId="003C1EA3" w14:textId="77777777" w:rsidTr="000667D1">
        <w:trPr>
          <w:tblCellSpacing w:w="0" w:type="dxa"/>
        </w:trPr>
        <w:tc>
          <w:tcPr>
            <w:tcW w:w="453"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C25353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6A770BA4"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Безработни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406873D"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97F283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E37C0B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BEA1A4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EFF0D2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9A8789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F2645F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A57E9A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9AB977E" w14:textId="13819AA9" w:rsidR="00B54C34" w:rsidRPr="007D063B" w:rsidRDefault="00205626"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r w:rsidR="00B54C34"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6DF7EDD" w14:textId="6E16F65C"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05626"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7129FB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08597C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01D846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76CBFE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20AD70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4E75C9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AD8DAA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C49674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70AE4A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7F1E14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55C7D7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846372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8BF268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83665A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9E5C81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F3A558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BEFEBD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7E378219" w14:textId="3CB1BBEF"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328707F9" w14:textId="153E27E1"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01499DEC" w14:textId="06FE7E15"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0B14AC85"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D6FF3A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6AE37252"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Безработни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32A592A6"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4F7C2A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FF313B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B47991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4C9B45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18606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36E70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498D0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0B4E43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6A4108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F1B299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176D2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C46A2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3286DD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09F87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68DCBA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8CA275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535F5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F7D4B5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BF63E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D6869F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9B5E26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1BC445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E96A82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4BDC54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F44DD1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FE1FDE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0BD6D5F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BDA79E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1782AC3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06D8C83F"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32B203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187EC248"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Трайно безработни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1F00CC3"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1266F0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A7F3A3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DE9FAF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44CF17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6D8ADD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190CBE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AEAE70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0AE0BC0" w14:textId="01F60905"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05626"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005A987" w14:textId="56C4BBBD"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05626"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44585B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A27D05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470740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920AD0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59BAA8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FE90E7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ADC27B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AECA4C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37AEF9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E473B2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DB4BD8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9D6C72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FA2A2C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D4C231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CEBA91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7C2889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CFEA30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7FC04642" w14:textId="6C3790F1"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0E545D92" w14:textId="30203AD0"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55966CCD" w14:textId="5D2879E4"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7E577577"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586CF3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5FC8188A"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Трайно безработни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1A6262BE"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B72C91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9A89A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9F618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96E133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E34F3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61BF1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ED1A0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0CEA6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689DD3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1F878C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43F009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005F8C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02570A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75FEE1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3DDB5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E159E6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E69EB6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785AC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3F835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39FAFC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026233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22570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71F4D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0CAF6F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571E65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9E1B2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6583891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022E477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47958F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0052E63E"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4256B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1806318E"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Неактивни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0A7E489"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3F72E5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CB99FE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837B0F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B8CC3F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2473C4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1DFCC8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1B5359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FD51188" w14:textId="546320F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05626"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C0E7309" w14:textId="79F4BCBB"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05626"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15FF7F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9B7799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EC09A0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DE1E84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E985DE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6585C8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6E1DA6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1840F2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2457F4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F302D8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64FFF3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5FFCDF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18D011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96F244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7CF5A4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8C6851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2ECD1F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723EFDCA" w14:textId="74D8FFE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759B1628" w14:textId="22ED282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59ADEC66" w14:textId="79382DD1"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560F1791"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577C3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424428F6"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Неактивни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4BE44052"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E8467F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895A1A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F67A0F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96218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B9037B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B5557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9BCF9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77407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AF053F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0D222F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95324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B6BD1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37FDE8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8911C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47CABC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D5F37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3EADD3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35B33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B2A1BB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759B7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FDACEB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3A420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E044C8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5F7C6C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D92B3D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00AF5C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3F82F09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1D55886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755EEF4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0B16D6BC"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C07F15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77C16985"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Неактивни, неангажирани с образование или обучение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1F9FCE4"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E678E1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5C4063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C2E51D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807000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F999CC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31F947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D9093B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E7ED90C" w14:textId="3CF94EB1"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05626"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35982D8" w14:textId="434CA069"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05626"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BFD581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128FFA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CE3DA2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C35884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CB8D6E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A19BCC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86BFC1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1B35B2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8BD65C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4F63F0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5DC271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9D45E6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33615A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CE9235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6FCEC7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008456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85A844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0390D902" w14:textId="7B42ADD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66E1CCF5" w14:textId="2A0D0ACC"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7F80CBC9" w14:textId="016D4F05"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7A65D69C"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388F6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42E19F6F"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Неактивни, неангажирани с образование или обучение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AE3053"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980D98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F26408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853F4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D932E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283876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EEB4C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299931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AC31D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101F60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4939D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B3D0D9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03FB51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13462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76A68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7E0300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9FA7A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F092F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142853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FFC67A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121CDD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8E14B0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6071FC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A5C214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B747CB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E0C0D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F51A09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698B719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25917D6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5985BB0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305794F1"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FE7064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4CE9738A"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Заети, включително самостоятелно заети</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33025E7C"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tcBorders>
              <w:top w:val="single" w:sz="6" w:space="0" w:color="000000"/>
              <w:left w:val="single" w:sz="6" w:space="0" w:color="000000"/>
              <w:bottom w:val="single" w:sz="6" w:space="0" w:color="000000"/>
              <w:right w:val="single" w:sz="6" w:space="0" w:color="000000"/>
            </w:tcBorders>
            <w:shd w:val="clear" w:color="auto" w:fill="FFFFFF"/>
            <w:hideMark/>
          </w:tcPr>
          <w:p w14:paraId="7CEF7D5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tcBorders>
              <w:top w:val="single" w:sz="6" w:space="0" w:color="000000"/>
              <w:left w:val="single" w:sz="6" w:space="0" w:color="000000"/>
              <w:bottom w:val="single" w:sz="6" w:space="0" w:color="000000"/>
              <w:right w:val="single" w:sz="6" w:space="0" w:color="000000"/>
            </w:tcBorders>
            <w:shd w:val="clear" w:color="auto" w:fill="FFFFFF"/>
            <w:hideMark/>
          </w:tcPr>
          <w:p w14:paraId="0AA902C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tcBorders>
              <w:top w:val="single" w:sz="6" w:space="0" w:color="000000"/>
              <w:left w:val="single" w:sz="6" w:space="0" w:color="000000"/>
              <w:bottom w:val="single" w:sz="6" w:space="0" w:color="000000"/>
              <w:right w:val="single" w:sz="6" w:space="0" w:color="000000"/>
            </w:tcBorders>
            <w:shd w:val="clear" w:color="auto" w:fill="FFFFFF"/>
            <w:hideMark/>
          </w:tcPr>
          <w:p w14:paraId="10DB287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42AB1C5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396C072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005B6E8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4EAC51E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43CF572D" w14:textId="7CA02ED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05626" w:rsidRPr="007D063B">
              <w:rPr>
                <w:rFonts w:ascii="Times New Roman" w:eastAsia="Times New Roman" w:hAnsi="Times New Roman" w:cs="Times New Roman"/>
                <w:color w:val="000000"/>
                <w:sz w:val="24"/>
                <w:szCs w:val="24"/>
                <w:lang w:eastAsia="bg-BG"/>
              </w:rPr>
              <w:t>17</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0450210F" w14:textId="238C650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05626" w:rsidRPr="007D063B">
              <w:rPr>
                <w:rFonts w:ascii="Times New Roman" w:eastAsia="Times New Roman" w:hAnsi="Times New Roman" w:cs="Times New Roman"/>
                <w:color w:val="000000"/>
                <w:sz w:val="24"/>
                <w:szCs w:val="24"/>
                <w:lang w:eastAsia="bg-BG"/>
              </w:rPr>
              <w:t>34</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110E96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50D7140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6627EA7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245AD19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4B27591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3F91628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477EB8F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638A3A8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48F4881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6814B60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7D986A8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5B3AE50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7D7020D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tcBorders>
              <w:top w:val="single" w:sz="6" w:space="0" w:color="000000"/>
              <w:left w:val="single" w:sz="6" w:space="0" w:color="000000"/>
              <w:bottom w:val="single" w:sz="6" w:space="0" w:color="000000"/>
              <w:right w:val="single" w:sz="6" w:space="0" w:color="000000"/>
            </w:tcBorders>
            <w:shd w:val="clear" w:color="auto" w:fill="FFFFFF"/>
            <w:hideMark/>
          </w:tcPr>
          <w:p w14:paraId="51A9C5C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tcBorders>
              <w:top w:val="single" w:sz="6" w:space="0" w:color="000000"/>
              <w:left w:val="single" w:sz="6" w:space="0" w:color="000000"/>
              <w:bottom w:val="single" w:sz="6" w:space="0" w:color="000000"/>
              <w:right w:val="single" w:sz="6" w:space="0" w:color="000000"/>
            </w:tcBorders>
            <w:shd w:val="clear" w:color="auto" w:fill="FFFFFF"/>
            <w:hideMark/>
          </w:tcPr>
          <w:p w14:paraId="79146689" w14:textId="597D2EC2" w:rsidR="00B54C34" w:rsidRPr="007D063B" w:rsidRDefault="00B54C34" w:rsidP="00205626">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205626" w:rsidRPr="007D063B">
              <w:rPr>
                <w:rFonts w:ascii="Times New Roman" w:eastAsia="Times New Roman" w:hAnsi="Times New Roman" w:cs="Times New Roman"/>
                <w:color w:val="000000"/>
                <w:sz w:val="24"/>
                <w:szCs w:val="24"/>
                <w:lang w:eastAsia="bg-BG"/>
              </w:rPr>
              <w:t>51</w:t>
            </w:r>
          </w:p>
        </w:tc>
        <w:tc>
          <w:tcPr>
            <w:tcW w:w="104" w:type="pct"/>
            <w:tcBorders>
              <w:top w:val="single" w:sz="6" w:space="0" w:color="000000"/>
              <w:left w:val="single" w:sz="6" w:space="0" w:color="000000"/>
              <w:bottom w:val="single" w:sz="6" w:space="0" w:color="000000"/>
              <w:right w:val="single" w:sz="6" w:space="0" w:color="000000"/>
            </w:tcBorders>
            <w:shd w:val="clear" w:color="auto" w:fill="FFFFFF"/>
            <w:hideMark/>
          </w:tcPr>
          <w:p w14:paraId="1EAE856A" w14:textId="3277AE4E" w:rsidR="00B54C34" w:rsidRPr="007D063B" w:rsidRDefault="00B54C34" w:rsidP="00205626">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00205626" w:rsidRPr="007D063B">
              <w:rPr>
                <w:rFonts w:ascii="Times New Roman" w:eastAsia="Times New Roman" w:hAnsi="Times New Roman" w:cs="Times New Roman"/>
                <w:color w:val="000000"/>
                <w:sz w:val="24"/>
                <w:szCs w:val="24"/>
                <w:lang w:eastAsia="bg-BG"/>
              </w:rPr>
              <w:t>17</w:t>
            </w:r>
          </w:p>
        </w:tc>
        <w:tc>
          <w:tcPr>
            <w:tcW w:w="107" w:type="pct"/>
            <w:tcBorders>
              <w:top w:val="single" w:sz="6" w:space="0" w:color="000000"/>
              <w:left w:val="single" w:sz="6" w:space="0" w:color="000000"/>
              <w:bottom w:val="single" w:sz="6" w:space="0" w:color="000000"/>
              <w:right w:val="single" w:sz="6" w:space="0" w:color="000000"/>
            </w:tcBorders>
            <w:shd w:val="clear" w:color="auto" w:fill="FFFFFF"/>
            <w:hideMark/>
          </w:tcPr>
          <w:p w14:paraId="2840FFDD" w14:textId="3466C5DF" w:rsidR="00B54C34" w:rsidRPr="007D063B" w:rsidRDefault="00B54C34" w:rsidP="00205626">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00205626" w:rsidRPr="007D063B">
              <w:rPr>
                <w:rFonts w:ascii="Times New Roman" w:eastAsia="Times New Roman" w:hAnsi="Times New Roman" w:cs="Times New Roman"/>
                <w:color w:val="000000"/>
                <w:sz w:val="24"/>
                <w:szCs w:val="24"/>
                <w:lang w:eastAsia="bg-BG"/>
              </w:rPr>
              <w:t>34</w:t>
            </w:r>
          </w:p>
        </w:tc>
        <w:tc>
          <w:tcPr>
            <w:tcW w:w="209" w:type="pct"/>
            <w:tcBorders>
              <w:top w:val="single" w:sz="6" w:space="0" w:color="000000"/>
              <w:left w:val="single" w:sz="6" w:space="0" w:color="000000"/>
              <w:bottom w:val="single" w:sz="6" w:space="0" w:color="000000"/>
              <w:right w:val="single" w:sz="6" w:space="0" w:color="000000"/>
            </w:tcBorders>
            <w:shd w:val="clear" w:color="auto" w:fill="FFFFFF"/>
          </w:tcPr>
          <w:p w14:paraId="60A47848" w14:textId="65C1C630"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tcBorders>
              <w:top w:val="single" w:sz="6" w:space="0" w:color="000000"/>
              <w:left w:val="single" w:sz="6" w:space="0" w:color="000000"/>
              <w:bottom w:val="single" w:sz="6" w:space="0" w:color="000000"/>
              <w:right w:val="single" w:sz="6" w:space="0" w:color="000000"/>
            </w:tcBorders>
            <w:shd w:val="clear" w:color="auto" w:fill="FFFFFF"/>
          </w:tcPr>
          <w:p w14:paraId="20A74870" w14:textId="1E10F3E4"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tcBorders>
              <w:top w:val="single" w:sz="6" w:space="0" w:color="000000"/>
              <w:left w:val="single" w:sz="6" w:space="0" w:color="000000"/>
              <w:bottom w:val="single" w:sz="6" w:space="0" w:color="000000"/>
              <w:right w:val="single" w:sz="6" w:space="0" w:color="000000"/>
            </w:tcBorders>
            <w:shd w:val="clear" w:color="auto" w:fill="FFFFFF"/>
          </w:tcPr>
          <w:p w14:paraId="4C92A1D7" w14:textId="5F8EC78D"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57190704"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F9A13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45AB8A22"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На възраст под 25 години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0DF268C"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BD6ADC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5D5EB9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ABAAA6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6275ED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F6E7E3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CED574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83A215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91D4185" w14:textId="22C204B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F10A27"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267798A" w14:textId="083BA80A"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F10A27"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6AE5E0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A5A038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A46AC9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458B09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97B7B7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13CE35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7EB642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C6D8E7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2007AA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76EFEE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836161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DFA94A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126714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AD4DF7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38D282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9493C4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99B265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301BE088" w14:textId="038A686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388188F7" w14:textId="1308D15D"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5C70311D" w14:textId="4C2C20A1"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12AEFC03"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2F0A5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05AD201A"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На възраст под 25 години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5DB52D3B"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951B9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4FF33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32D89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AB7DC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206321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2BC3F3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AD14CC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A7AA86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9AA5D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D84A8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DB0ADD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0A920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691373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BFF170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24867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8488D2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25B006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82B725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CD73C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5DF77C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02E91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FB491A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D44E1B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94748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8478F0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C47B32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tcPr>
          <w:p w14:paraId="55AF9E7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tcPr>
          <w:p w14:paraId="4D5E9B1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tcPr>
          <w:p w14:paraId="417077C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6704FB52"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06AAD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40D523AB"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На възраст над 54 години</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4BC632FC"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tcBorders>
              <w:top w:val="single" w:sz="6" w:space="0" w:color="000000"/>
              <w:left w:val="single" w:sz="6" w:space="0" w:color="000000"/>
              <w:bottom w:val="single" w:sz="6" w:space="0" w:color="000000"/>
              <w:right w:val="single" w:sz="6" w:space="0" w:color="000000"/>
            </w:tcBorders>
            <w:shd w:val="clear" w:color="auto" w:fill="FFFFFF"/>
            <w:hideMark/>
          </w:tcPr>
          <w:p w14:paraId="0D9EBB8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tcBorders>
              <w:top w:val="single" w:sz="6" w:space="0" w:color="000000"/>
              <w:left w:val="single" w:sz="6" w:space="0" w:color="000000"/>
              <w:bottom w:val="single" w:sz="6" w:space="0" w:color="000000"/>
              <w:right w:val="single" w:sz="6" w:space="0" w:color="000000"/>
            </w:tcBorders>
            <w:shd w:val="clear" w:color="auto" w:fill="FFFFFF"/>
            <w:hideMark/>
          </w:tcPr>
          <w:p w14:paraId="1D8DC71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tcBorders>
              <w:top w:val="single" w:sz="6" w:space="0" w:color="000000"/>
              <w:left w:val="single" w:sz="6" w:space="0" w:color="000000"/>
              <w:bottom w:val="single" w:sz="6" w:space="0" w:color="000000"/>
              <w:right w:val="single" w:sz="6" w:space="0" w:color="000000"/>
            </w:tcBorders>
            <w:shd w:val="clear" w:color="auto" w:fill="FFFFFF"/>
            <w:hideMark/>
          </w:tcPr>
          <w:p w14:paraId="631AD5E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78BF88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6FC8FF3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0CF3F47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05F5588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30515BAE" w14:textId="73AA4D0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F10A27" w:rsidRPr="007D063B">
              <w:rPr>
                <w:rFonts w:ascii="Times New Roman" w:eastAsia="Times New Roman" w:hAnsi="Times New Roman" w:cs="Times New Roman"/>
                <w:color w:val="000000"/>
                <w:sz w:val="24"/>
                <w:szCs w:val="24"/>
                <w:lang w:eastAsia="bg-BG"/>
              </w:rPr>
              <w:t>2</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3C36DDA1" w14:textId="675973EF"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F10A27" w:rsidRPr="007D063B">
              <w:rPr>
                <w:rFonts w:ascii="Times New Roman" w:eastAsia="Times New Roman" w:hAnsi="Times New Roman" w:cs="Times New Roman"/>
                <w:color w:val="000000"/>
                <w:sz w:val="24"/>
                <w:szCs w:val="24"/>
                <w:lang w:eastAsia="bg-BG"/>
              </w:rPr>
              <w:t>2</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FE144E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201D1C7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7DA1D8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25ABC08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4904BD0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55D476C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52DE9EB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417ACEA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F57D60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07B9DAA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0006F16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2568762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33899FA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tcBorders>
              <w:top w:val="single" w:sz="6" w:space="0" w:color="000000"/>
              <w:left w:val="single" w:sz="6" w:space="0" w:color="000000"/>
              <w:bottom w:val="single" w:sz="6" w:space="0" w:color="000000"/>
              <w:right w:val="single" w:sz="6" w:space="0" w:color="000000"/>
            </w:tcBorders>
            <w:shd w:val="clear" w:color="auto" w:fill="FFFFFF"/>
            <w:hideMark/>
          </w:tcPr>
          <w:p w14:paraId="41BF410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tcBorders>
              <w:top w:val="single" w:sz="6" w:space="0" w:color="000000"/>
              <w:left w:val="single" w:sz="6" w:space="0" w:color="000000"/>
              <w:bottom w:val="single" w:sz="6" w:space="0" w:color="000000"/>
              <w:right w:val="single" w:sz="6" w:space="0" w:color="000000"/>
            </w:tcBorders>
            <w:shd w:val="clear" w:color="auto" w:fill="FFFFFF"/>
            <w:hideMark/>
          </w:tcPr>
          <w:p w14:paraId="612DB40E" w14:textId="53ECAEDB" w:rsidR="00B54C34" w:rsidRPr="007D063B" w:rsidRDefault="00F10A27"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4</w:t>
            </w:r>
          </w:p>
        </w:tc>
        <w:tc>
          <w:tcPr>
            <w:tcW w:w="104" w:type="pct"/>
            <w:tcBorders>
              <w:top w:val="single" w:sz="6" w:space="0" w:color="000000"/>
              <w:left w:val="single" w:sz="6" w:space="0" w:color="000000"/>
              <w:bottom w:val="single" w:sz="6" w:space="0" w:color="000000"/>
              <w:right w:val="single" w:sz="6" w:space="0" w:color="000000"/>
            </w:tcBorders>
            <w:shd w:val="clear" w:color="auto" w:fill="FFFFFF"/>
            <w:hideMark/>
          </w:tcPr>
          <w:p w14:paraId="31615E1F" w14:textId="39FCF6C1" w:rsidR="00B54C34" w:rsidRPr="007D063B" w:rsidRDefault="00B54C34" w:rsidP="00F10A27">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00F10A27" w:rsidRPr="007D063B">
              <w:rPr>
                <w:rFonts w:ascii="Times New Roman" w:eastAsia="Times New Roman" w:hAnsi="Times New Roman" w:cs="Times New Roman"/>
                <w:color w:val="000000"/>
                <w:sz w:val="24"/>
                <w:szCs w:val="24"/>
                <w:lang w:eastAsia="bg-BG"/>
              </w:rPr>
              <w:t>2</w:t>
            </w:r>
          </w:p>
        </w:tc>
        <w:tc>
          <w:tcPr>
            <w:tcW w:w="107" w:type="pct"/>
            <w:tcBorders>
              <w:top w:val="single" w:sz="6" w:space="0" w:color="000000"/>
              <w:left w:val="single" w:sz="6" w:space="0" w:color="000000"/>
              <w:bottom w:val="single" w:sz="6" w:space="0" w:color="000000"/>
              <w:right w:val="single" w:sz="6" w:space="0" w:color="000000"/>
            </w:tcBorders>
            <w:shd w:val="clear" w:color="auto" w:fill="FFFFFF"/>
            <w:hideMark/>
          </w:tcPr>
          <w:p w14:paraId="7F64875A" w14:textId="7D47B6CC" w:rsidR="00B54C34" w:rsidRPr="007D063B" w:rsidRDefault="00F10A27"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2</w:t>
            </w:r>
          </w:p>
        </w:tc>
        <w:tc>
          <w:tcPr>
            <w:tcW w:w="209" w:type="pct"/>
            <w:tcBorders>
              <w:top w:val="single" w:sz="6" w:space="0" w:color="000000"/>
              <w:left w:val="single" w:sz="6" w:space="0" w:color="000000"/>
              <w:bottom w:val="single" w:sz="6" w:space="0" w:color="000000"/>
              <w:right w:val="single" w:sz="6" w:space="0" w:color="000000"/>
            </w:tcBorders>
            <w:shd w:val="clear" w:color="auto" w:fill="FFFFFF"/>
          </w:tcPr>
          <w:p w14:paraId="4EA97B75" w14:textId="433C9C6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tcBorders>
              <w:top w:val="single" w:sz="6" w:space="0" w:color="000000"/>
              <w:left w:val="single" w:sz="6" w:space="0" w:color="000000"/>
              <w:bottom w:val="single" w:sz="6" w:space="0" w:color="000000"/>
              <w:right w:val="single" w:sz="6" w:space="0" w:color="000000"/>
            </w:tcBorders>
            <w:shd w:val="clear" w:color="auto" w:fill="FFFFFF"/>
          </w:tcPr>
          <w:p w14:paraId="56F229C5" w14:textId="752EE4A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tcBorders>
              <w:top w:val="single" w:sz="6" w:space="0" w:color="000000"/>
              <w:left w:val="single" w:sz="6" w:space="0" w:color="000000"/>
              <w:bottom w:val="single" w:sz="6" w:space="0" w:color="000000"/>
              <w:right w:val="single" w:sz="6" w:space="0" w:color="000000"/>
            </w:tcBorders>
            <w:shd w:val="clear" w:color="auto" w:fill="FFFFFF"/>
          </w:tcPr>
          <w:p w14:paraId="2339447C" w14:textId="41FCF82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788295F0"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52A746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08C121D6"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Над 54 години, които са безработни, включително трайно безработни, или неактивни, неангажирани с образование или обучение</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743BD6F8"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tcBorders>
              <w:top w:val="single" w:sz="6" w:space="0" w:color="000000"/>
              <w:left w:val="single" w:sz="6" w:space="0" w:color="000000"/>
              <w:bottom w:val="single" w:sz="6" w:space="0" w:color="000000"/>
              <w:right w:val="single" w:sz="6" w:space="0" w:color="000000"/>
            </w:tcBorders>
            <w:shd w:val="clear" w:color="auto" w:fill="FFFFFF"/>
            <w:hideMark/>
          </w:tcPr>
          <w:p w14:paraId="36B2EC3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tcBorders>
              <w:top w:val="single" w:sz="6" w:space="0" w:color="000000"/>
              <w:left w:val="single" w:sz="6" w:space="0" w:color="000000"/>
              <w:bottom w:val="single" w:sz="6" w:space="0" w:color="000000"/>
              <w:right w:val="single" w:sz="6" w:space="0" w:color="000000"/>
            </w:tcBorders>
            <w:shd w:val="clear" w:color="auto" w:fill="FFFFFF"/>
            <w:hideMark/>
          </w:tcPr>
          <w:p w14:paraId="091BF6A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tcBorders>
              <w:top w:val="single" w:sz="6" w:space="0" w:color="000000"/>
              <w:left w:val="single" w:sz="6" w:space="0" w:color="000000"/>
              <w:bottom w:val="single" w:sz="6" w:space="0" w:color="000000"/>
              <w:right w:val="single" w:sz="6" w:space="0" w:color="000000"/>
            </w:tcBorders>
            <w:shd w:val="clear" w:color="auto" w:fill="FFFFFF"/>
            <w:hideMark/>
          </w:tcPr>
          <w:p w14:paraId="10D16EB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4D91D98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6F52982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4EA341D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6822C2A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8936FAB" w14:textId="7393AF10"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03D22" w:rsidRPr="007D063B">
              <w:rPr>
                <w:rFonts w:ascii="Times New Roman" w:eastAsia="Times New Roman" w:hAnsi="Times New Roman" w:cs="Times New Roman"/>
                <w:color w:val="000000"/>
                <w:sz w:val="24"/>
                <w:szCs w:val="24"/>
                <w:lang w:eastAsia="bg-BG"/>
              </w:rPr>
              <w:t>0</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6B2FC085" w14:textId="03AFF41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03D22" w:rsidRPr="007D063B">
              <w:rPr>
                <w:rFonts w:ascii="Times New Roman" w:eastAsia="Times New Roman" w:hAnsi="Times New Roman" w:cs="Times New Roman"/>
                <w:color w:val="000000"/>
                <w:sz w:val="24"/>
                <w:szCs w:val="24"/>
                <w:lang w:eastAsia="bg-BG"/>
              </w:rPr>
              <w:t>0</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21F9A08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008F6E2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9826AC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3B45F64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060605C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30188EB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3928D4A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6E721AD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2A7DDCE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3990D93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04EB105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tcBorders>
              <w:top w:val="single" w:sz="6" w:space="0" w:color="000000"/>
              <w:left w:val="single" w:sz="6" w:space="0" w:color="000000"/>
              <w:bottom w:val="single" w:sz="6" w:space="0" w:color="000000"/>
              <w:right w:val="single" w:sz="6" w:space="0" w:color="000000"/>
            </w:tcBorders>
            <w:shd w:val="clear" w:color="auto" w:fill="FFFFFF"/>
            <w:hideMark/>
          </w:tcPr>
          <w:p w14:paraId="48DFAEC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483FFC5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tcBorders>
              <w:top w:val="single" w:sz="6" w:space="0" w:color="000000"/>
              <w:left w:val="single" w:sz="6" w:space="0" w:color="000000"/>
              <w:bottom w:val="single" w:sz="6" w:space="0" w:color="000000"/>
              <w:right w:val="single" w:sz="6" w:space="0" w:color="000000"/>
            </w:tcBorders>
            <w:shd w:val="clear" w:color="auto" w:fill="FFFFFF"/>
            <w:hideMark/>
          </w:tcPr>
          <w:p w14:paraId="59BFF0A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tcBorders>
              <w:top w:val="single" w:sz="6" w:space="0" w:color="000000"/>
              <w:left w:val="single" w:sz="6" w:space="0" w:color="000000"/>
              <w:bottom w:val="single" w:sz="6" w:space="0" w:color="000000"/>
              <w:right w:val="single" w:sz="6" w:space="0" w:color="000000"/>
            </w:tcBorders>
            <w:shd w:val="clear" w:color="auto" w:fill="FFFFFF"/>
            <w:hideMark/>
          </w:tcPr>
          <w:p w14:paraId="338094E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tcBorders>
              <w:top w:val="single" w:sz="6" w:space="0" w:color="000000"/>
              <w:left w:val="single" w:sz="6" w:space="0" w:color="000000"/>
              <w:bottom w:val="single" w:sz="6" w:space="0" w:color="000000"/>
              <w:right w:val="single" w:sz="6" w:space="0" w:color="000000"/>
            </w:tcBorders>
            <w:shd w:val="clear" w:color="auto" w:fill="FFFFFF"/>
            <w:hideMark/>
          </w:tcPr>
          <w:p w14:paraId="66DD586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tcBorders>
              <w:top w:val="single" w:sz="6" w:space="0" w:color="000000"/>
              <w:left w:val="single" w:sz="6" w:space="0" w:color="000000"/>
              <w:bottom w:val="single" w:sz="6" w:space="0" w:color="000000"/>
              <w:right w:val="single" w:sz="6" w:space="0" w:color="000000"/>
            </w:tcBorders>
            <w:shd w:val="clear" w:color="auto" w:fill="FFFFFF"/>
            <w:hideMark/>
          </w:tcPr>
          <w:p w14:paraId="549461B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tcBorders>
              <w:top w:val="single" w:sz="6" w:space="0" w:color="000000"/>
              <w:left w:val="single" w:sz="6" w:space="0" w:color="000000"/>
              <w:bottom w:val="single" w:sz="6" w:space="0" w:color="000000"/>
              <w:right w:val="single" w:sz="6" w:space="0" w:color="000000"/>
            </w:tcBorders>
            <w:shd w:val="clear" w:color="auto" w:fill="FFFFFF"/>
          </w:tcPr>
          <w:p w14:paraId="5B76B46D" w14:textId="20C8213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tcBorders>
              <w:top w:val="single" w:sz="6" w:space="0" w:color="000000"/>
              <w:left w:val="single" w:sz="6" w:space="0" w:color="000000"/>
              <w:bottom w:val="single" w:sz="6" w:space="0" w:color="000000"/>
              <w:right w:val="single" w:sz="6" w:space="0" w:color="000000"/>
            </w:tcBorders>
            <w:shd w:val="clear" w:color="auto" w:fill="FFFFFF"/>
          </w:tcPr>
          <w:p w14:paraId="73F4A3D8" w14:textId="106AB6C9"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tcBorders>
              <w:top w:val="single" w:sz="6" w:space="0" w:color="000000"/>
              <w:left w:val="single" w:sz="6" w:space="0" w:color="000000"/>
              <w:bottom w:val="single" w:sz="6" w:space="0" w:color="000000"/>
              <w:right w:val="single" w:sz="6" w:space="0" w:color="000000"/>
            </w:tcBorders>
            <w:shd w:val="clear" w:color="auto" w:fill="FFFFFF"/>
          </w:tcPr>
          <w:p w14:paraId="0B3E850A" w14:textId="49409DFC"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36C2A2D1"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BF191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723164D5"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С основно образование (ISCED 1) или прогимназиален етап на основното образование (ISCED 2)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BF64067"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111A78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D54C67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84F076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ADB75D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044DC9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CCFC07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917316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9CF21A5" w14:textId="103328BD"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03D22"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A4A9FFE" w14:textId="15AE981B"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03D22"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BE8A01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651D9B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D19E8A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5FFC1E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FBDEC2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41A0B2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629E53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04ACB2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060EAD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11E193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AB9338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DFAE29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CD484B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FF3441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288966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CFFAC8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78AF4E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58E2731F" w14:textId="4EF99CA5"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02675C5C" w14:textId="3ACA81D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524EDEB5" w14:textId="74499C8D"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288BBF3D"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3ED0D5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182554D1"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 xml:space="preserve">С основно образование (ISCED 1) или прогимназиален етап на основното образование </w:t>
            </w:r>
            <w:r w:rsidRPr="007D063B">
              <w:rPr>
                <w:rFonts w:ascii="Times New Roman" w:eastAsia="Times New Roman" w:hAnsi="Times New Roman" w:cs="Times New Roman"/>
                <w:b/>
                <w:bCs/>
                <w:i/>
                <w:iCs/>
                <w:color w:val="000000"/>
                <w:sz w:val="16"/>
                <w:szCs w:val="16"/>
                <w:lang w:eastAsia="bg-BG"/>
              </w:rPr>
              <w:lastRenderedPageBreak/>
              <w:t>(ISCED 2)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B338EB8"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3F71CE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1CD80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F9980E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EF211E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7A4ABE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6445A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8D0744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0A920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08FF6A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F6005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76FE3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D0449B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8BFBD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49609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0A5F0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FEBC2B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29AC5E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A6B82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F2D74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33A94D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6CDD3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6F4A0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78684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E45554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E5EE7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FB463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09C1A22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64762A2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243BE34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6AC24FDE"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4345ED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3826B26C"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със средно образование (ISCED 3) или образование след средното образование (ISCED 4)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F97B70C"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A560AB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1E61A0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3802DB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766BCC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B648BA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B4DBD4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06387E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560FEAA" w14:textId="660DF52F"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03D22"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5166226" w14:textId="408400D0"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03D22"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6C0425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8BD613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447469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D6BA68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5E0988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4486D2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991340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2860B3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B68536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C54993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487BEE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6B3ACE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5FC5BC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D5AB16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B554FE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2E8332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1003DC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214E1159" w14:textId="4707B8D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4AFC53F4" w14:textId="4D4D908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4D2DA290" w14:textId="3EB2853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0162E3A8"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7EE48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0E11993D"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Със средно образование (ISCED 3) или образование след средното образование (ISCED 4)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5430613F"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0F8E8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DC507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90813F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F2B4B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B0A822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D2EFCA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EA0B77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6AB2DA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003C00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AE9B9C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8827B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67471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1FAB2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BF6CB6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E69B3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DC800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828E65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41A326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0BC71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E0E5D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DE3CF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D51A0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2538F8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AB4F42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0716B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9FE69D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202EC89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3DD1921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2BDE11F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0A452C3C"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C451B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0B8091DC"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С висше образование (ISCED 5 до 8)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E686DD3"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74A2DB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3C98FB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69A3F9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6861F8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27372A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203366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04A17C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57F26C1" w14:textId="1E76525A"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03D22" w:rsidRPr="007D063B">
              <w:rPr>
                <w:rFonts w:ascii="Times New Roman" w:eastAsia="Times New Roman" w:hAnsi="Times New Roman" w:cs="Times New Roman"/>
                <w:color w:val="000000"/>
                <w:sz w:val="24"/>
                <w:szCs w:val="24"/>
                <w:lang w:eastAsia="bg-BG"/>
              </w:rPr>
              <w:t>17</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9FE7E73" w14:textId="4B522E35"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03D22" w:rsidRPr="007D063B">
              <w:rPr>
                <w:rFonts w:ascii="Times New Roman" w:eastAsia="Times New Roman" w:hAnsi="Times New Roman" w:cs="Times New Roman"/>
                <w:color w:val="000000"/>
                <w:sz w:val="24"/>
                <w:szCs w:val="24"/>
                <w:lang w:eastAsia="bg-BG"/>
              </w:rPr>
              <w:t>34</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345CE6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80D24D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B4AD52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0E0D20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BE51BB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F664EB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2E7BF7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FAA10E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A57365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ECDCD2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84427B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9B4432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381782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8EA439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E30854C" w14:textId="61AD4FA4" w:rsidR="00B54C34" w:rsidRPr="007D063B" w:rsidRDefault="00B54C34" w:rsidP="00603D22">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03D22" w:rsidRPr="007D063B">
              <w:rPr>
                <w:rFonts w:ascii="Times New Roman" w:eastAsia="Times New Roman" w:hAnsi="Times New Roman" w:cs="Times New Roman"/>
                <w:color w:val="000000"/>
                <w:sz w:val="24"/>
                <w:szCs w:val="24"/>
                <w:lang w:eastAsia="bg-BG"/>
              </w:rPr>
              <w:t>51</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6769557" w14:textId="50D53D6A" w:rsidR="00B54C34" w:rsidRPr="007D063B" w:rsidRDefault="00B54C34" w:rsidP="00603D22">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00603D22" w:rsidRPr="007D063B">
              <w:rPr>
                <w:rFonts w:ascii="Times New Roman" w:eastAsia="Times New Roman" w:hAnsi="Times New Roman" w:cs="Times New Roman"/>
                <w:color w:val="000000"/>
                <w:sz w:val="24"/>
                <w:szCs w:val="24"/>
                <w:lang w:eastAsia="bg-BG"/>
              </w:rPr>
              <w:t>17</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E4C17A1" w14:textId="1FA1E87F" w:rsidR="00B54C34" w:rsidRPr="007D063B" w:rsidRDefault="00B54C34" w:rsidP="00603D22">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00603D22" w:rsidRPr="007D063B">
              <w:rPr>
                <w:rFonts w:ascii="Times New Roman" w:eastAsia="Times New Roman" w:hAnsi="Times New Roman" w:cs="Times New Roman"/>
                <w:color w:val="000000"/>
                <w:sz w:val="24"/>
                <w:szCs w:val="24"/>
                <w:lang w:eastAsia="bg-BG"/>
              </w:rPr>
              <w:t>34</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683339FA" w14:textId="2161139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10441865" w14:textId="2E6466DB"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1F6895BD" w14:textId="66EF9E7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46146BFC"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ABEB29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20D63EEC"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С висше образование (ISCED 5 до 8)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5638A512"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218C5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12AA0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12552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55A1F0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65F3B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B42891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292359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1F7DF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30FDF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8CE41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31853D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559CD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6E213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DFC4D2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28069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192992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09C75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230C5C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1FF1C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88A552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F0889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B3D14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070904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5A999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3C3852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ED9268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1BA8DE3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3860D81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764EBF7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6E385678"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87F731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6C6F43AC"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които живеят в безработни домакинства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384032B"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A7A287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B6F3EA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5C2D22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E04DAF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B51036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DFD7AA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0578E3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9F7D89A" w14:textId="1E03CDA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03D22"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43D791E" w14:textId="12F50A76" w:rsidR="00B54C34" w:rsidRPr="007D063B" w:rsidRDefault="00603D22"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w:t>
            </w:r>
            <w:r w:rsidR="00B54C34"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55C405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F1C947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67914D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E2153F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FA039F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0DBF0B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0AED40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E09F7A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F6F727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18788D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79A584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738AAE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400377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75D36E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E11532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9AFE15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B64050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5722534F" w14:textId="119F446D"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5AE2CF25" w14:textId="6E8DCCE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4A31A94A" w14:textId="3D027199"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0B79A685"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25A2A9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58209309"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които живеят в безработни домакинства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74B5923E"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4B83A6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AA642A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57355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A71BE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E76FE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9BD913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879CF9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1CB18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BD4AA8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89E758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21075C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82CE5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33069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91D6E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ED5CC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0C9BA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5BD18D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26E8D2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2AE37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665508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7D028E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BD430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C0ACE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B6A39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DAF9BC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F7B75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0E40AE1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62627D8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77762BC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588B99E2"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F5E54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786AA285"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които живеят в безработни домакинства с деца на издръжка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DE9C992"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CE6A64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784D8A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E77DAE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7169DA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9AAC45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73B320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4FBB42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73BF692" w14:textId="5D9F0A5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03D22"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26EF8D0" w14:textId="395C6B4C"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03D22"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64BF8C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B93295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7A5693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FC2137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3715D5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F17044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10B4B8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95CE43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BACD78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0D5D21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5EA0AC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EAC849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B68022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02775D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4DFE97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D0C041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106F23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02867FC0" w14:textId="21CCDB8B"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7CDF8778" w14:textId="1D305D49"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265CFE11" w14:textId="7B351AEC"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5BF903DC"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E9B466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25E9767A"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 xml:space="preserve">Участници, които живеят в безработни </w:t>
            </w:r>
            <w:r w:rsidRPr="007D063B">
              <w:rPr>
                <w:rFonts w:ascii="Times New Roman" w:eastAsia="Times New Roman" w:hAnsi="Times New Roman" w:cs="Times New Roman"/>
                <w:b/>
                <w:bCs/>
                <w:i/>
                <w:iCs/>
                <w:color w:val="000000"/>
                <w:sz w:val="16"/>
                <w:szCs w:val="16"/>
                <w:lang w:eastAsia="bg-BG"/>
              </w:rPr>
              <w:lastRenderedPageBreak/>
              <w:t>домакинства с деца на издръжка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872E6B0"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08A28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504F3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4FCBF7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F49E5B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0FE5AC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8ED27E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D1FEDA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ED223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0459BD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77C85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4C9D0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D30C19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280034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40B1FB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9CBEC8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F3C8F2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14C2B1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21E41C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CF995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3A563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09DA3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A04405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025792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8A60A2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4DFBE4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69464C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5EB8AE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783C7A8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334CF1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55D41788"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B1607B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17327D1A"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които живеят в едночленно домакинство с деца на издръжка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6F619E7"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A4C630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F7FA82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F63E61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67F0A7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2C0AEA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4F8099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A94BB0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6D8A95B" w14:textId="13299010"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03D22"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0E5D46A" w14:textId="3C8882FD"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03D22" w:rsidRPr="007D063B">
              <w:rPr>
                <w:rFonts w:ascii="Times New Roman" w:eastAsia="Times New Roman" w:hAnsi="Times New Roman" w:cs="Times New Roman"/>
                <w:color w:val="000000"/>
                <w:sz w:val="24"/>
                <w:szCs w:val="24"/>
                <w:lang w:eastAsia="bg-BG"/>
              </w:rPr>
              <w:t>4</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C129D8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131442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A0FF09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08DD70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C7FF3C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3B7DBE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F7C249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8941EA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569B5A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36B9E1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29CB61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102732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609C25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F70920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C9E6F35" w14:textId="3F56C11A" w:rsidR="00B54C34" w:rsidRPr="007D063B" w:rsidRDefault="00B54C34" w:rsidP="00603D22">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03D22" w:rsidRPr="007D063B">
              <w:rPr>
                <w:rFonts w:ascii="Times New Roman" w:eastAsia="Times New Roman" w:hAnsi="Times New Roman" w:cs="Times New Roman"/>
                <w:color w:val="000000"/>
                <w:sz w:val="24"/>
                <w:szCs w:val="24"/>
                <w:lang w:eastAsia="bg-BG"/>
              </w:rPr>
              <w:t>4</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51D103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7048850" w14:textId="321EF9D5" w:rsidR="00B54C34" w:rsidRPr="007D063B" w:rsidRDefault="00603D22"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4</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33EE5FF2" w14:textId="69632D0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5AE39C8E" w14:textId="0E17CE1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68F9E506" w14:textId="2B2F4D7A"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092EB240"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979C0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0749169B"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които живеят в едночленно домакинство с деца на издръжка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19F4E0EC"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265827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B4A188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49C712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ACB05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F6D48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743F25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4B5EA4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1E8548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FF3FC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3F21B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7FC602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800FAA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9CADA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DBE1F4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C3CC0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F77EAF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7DA9D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DE9B29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9750CA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72DBF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36EBF7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AB445C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E574F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C56F9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55D1D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60C9F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11323D1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F5F569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17894BD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48ABE9F7"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78F77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3EBBB075"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Мигранти, участници с произход от друга държава, малцинства (включително маргинализирани общности като ромите)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16D52DE"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A10EAB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60A113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B42C8B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C1BD41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2A5A4D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7B0D3F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5C1B0F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2AE973F" w14:textId="242B4B2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2016B" w:rsidRPr="007D063B">
              <w:rPr>
                <w:rFonts w:ascii="Times New Roman" w:eastAsia="Times New Roman" w:hAnsi="Times New Roman" w:cs="Times New Roman"/>
                <w:color w:val="000000"/>
                <w:sz w:val="24"/>
                <w:szCs w:val="24"/>
                <w:lang w:eastAsia="bg-BG"/>
              </w:rPr>
              <w:t>1</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EED2978" w14:textId="2BEE535C"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2016B"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B5CDBC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4682C7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B7DF25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9C801F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9018B8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B525F2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21871D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ED3504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BBC205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B31944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81340F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5B0FCD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1E13A5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88730A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5637BB3" w14:textId="50BBFB50" w:rsidR="00B54C34" w:rsidRPr="007D063B" w:rsidRDefault="00B54C34" w:rsidP="00B2016B">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2016B" w:rsidRPr="007D063B">
              <w:rPr>
                <w:rFonts w:ascii="Times New Roman" w:eastAsia="Times New Roman" w:hAnsi="Times New Roman" w:cs="Times New Roman"/>
                <w:color w:val="000000"/>
                <w:sz w:val="24"/>
                <w:szCs w:val="24"/>
                <w:lang w:eastAsia="bg-BG"/>
              </w:rPr>
              <w:t>1</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48D4F81" w14:textId="56A51C87" w:rsidR="00B54C34" w:rsidRPr="007D063B" w:rsidRDefault="00B54C34" w:rsidP="00B2016B">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00B2016B" w:rsidRPr="007D063B">
              <w:rPr>
                <w:rFonts w:ascii="Times New Roman" w:eastAsia="Times New Roman" w:hAnsi="Times New Roman" w:cs="Times New Roman"/>
                <w:color w:val="000000"/>
                <w:sz w:val="24"/>
                <w:szCs w:val="24"/>
                <w:lang w:eastAsia="bg-BG"/>
              </w:rPr>
              <w:t>1</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C2FDAA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52E45438" w14:textId="17445989"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1C7FC57B" w14:textId="096E6E5A"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6CC7D10E" w14:textId="571CFD9B"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175C2DD3"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3B878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34CAA42D"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Мигранти, участници с произход от друга държава, малцинства (включително маргинализирани общности като ромите)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5D09284A"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5B85D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92A2C4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F04DF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ECF2B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F27864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5850E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9247D5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7E9611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F3FDF6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69E63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9B141D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038A77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7DFE9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49D9A4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D34C6C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BA751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82BDBE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5A0559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3000A1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903A2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F1482B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0E6E94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8FA02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200F3A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91346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29507C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3A572C8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3D54712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6B86399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6556CA5C"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656B4B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075FD21C"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с увреждания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20C38CB"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9EB753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8FBFAD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5D4299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74C1A8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DA2D8B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B60508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8FEFF1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98C4B41" w14:textId="50280D25"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71FF6" w:rsidRPr="007D063B">
              <w:rPr>
                <w:rFonts w:ascii="Times New Roman" w:eastAsia="Times New Roman" w:hAnsi="Times New Roman" w:cs="Times New Roman"/>
                <w:color w:val="000000"/>
                <w:sz w:val="24"/>
                <w:szCs w:val="24"/>
                <w:lang w:eastAsia="bg-BG"/>
              </w:rPr>
              <w:t>1</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62FBDCD" w14:textId="2B8D3715"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71FF6"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0913C5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EC57BE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92FF92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076470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48EB22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15646C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5E560A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BBAFC1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F6677A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908B4A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7A2341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4B42EB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F71FC3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2E50DD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84FC3E0" w14:textId="0E39FA74" w:rsidR="00B54C34" w:rsidRPr="007D063B" w:rsidRDefault="00B54C34" w:rsidP="00B71FF6">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B71FF6" w:rsidRPr="007D063B">
              <w:rPr>
                <w:rFonts w:ascii="Times New Roman" w:eastAsia="Times New Roman" w:hAnsi="Times New Roman" w:cs="Times New Roman"/>
                <w:color w:val="000000"/>
                <w:sz w:val="24"/>
                <w:szCs w:val="24"/>
                <w:lang w:eastAsia="bg-BG"/>
              </w:rPr>
              <w:t>1</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71A1DA5" w14:textId="6149F121" w:rsidR="00B54C34" w:rsidRPr="007D063B" w:rsidRDefault="00B54C34" w:rsidP="00B71FF6">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00B71FF6" w:rsidRPr="007D063B">
              <w:rPr>
                <w:rFonts w:ascii="Times New Roman" w:eastAsia="Times New Roman" w:hAnsi="Times New Roman" w:cs="Times New Roman"/>
                <w:color w:val="000000"/>
                <w:sz w:val="24"/>
                <w:szCs w:val="24"/>
                <w:lang w:eastAsia="bg-BG"/>
              </w:rPr>
              <w:t>1</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FF048C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00244A91" w14:textId="6CB479A5"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0B4D5B78" w14:textId="6BA7FB6F"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31BAC650" w14:textId="2AFE9B8C"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68334CF0"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D9E1E2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45F871F9"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Участници с увреждания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7393E30"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A13A46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E96217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8F82B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976DB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85801C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483D0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55A0F4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B0A146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CBD90E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F6DC85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1AA745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3DE7D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8F368A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03018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5E3B4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5143B3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3006C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8074F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148A9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716832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B31C8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5A565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AE0AC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EE0A50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B28AA0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20ED0B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6D6ABD8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32F68A5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3726D7D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21141467"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1B7A5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20322032"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Други хора в неравностойно положение (ЕСФ)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E09F2E9"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EB898D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ACBE21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AAD8DD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F26F96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53B844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74F05D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D9FE5B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A3C8ACD" w14:textId="12ECD1C5"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83460"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FA5B4D6" w14:textId="22382A1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83460"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31751D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0AB14E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E4E729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28E979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35A779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0A9A4E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727363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65793B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8CB25C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476248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3634C9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37E33F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B9D69C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0EF83F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FA61C3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295CF3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val="en-US" w:eastAsia="bg-BG"/>
              </w:rPr>
              <w:t>0</w:t>
            </w:r>
            <w:r w:rsidRPr="007D063B">
              <w:rPr>
                <w:rFonts w:ascii="Times New Roman" w:eastAsia="Times New Roman" w:hAnsi="Times New Roman" w:cs="Times New Roman"/>
                <w:color w:val="000000"/>
                <w:sz w:val="24"/>
                <w:szCs w:val="24"/>
                <w:lang w:eastAsia="bg-BG"/>
              </w:rPr>
              <w:t> </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83A306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0B603365" w14:textId="04A21A09"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04A057DA" w14:textId="3D8F5F8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1656F57A" w14:textId="65E3F23B"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75D7F333"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A5F670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5900F09A"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 xml:space="preserve">Други хора в неравностойно </w:t>
            </w:r>
            <w:r w:rsidRPr="007D063B">
              <w:rPr>
                <w:rFonts w:ascii="Times New Roman" w:eastAsia="Times New Roman" w:hAnsi="Times New Roman" w:cs="Times New Roman"/>
                <w:b/>
                <w:bCs/>
                <w:i/>
                <w:iCs/>
                <w:color w:val="000000"/>
                <w:sz w:val="16"/>
                <w:szCs w:val="16"/>
                <w:lang w:eastAsia="bg-BG"/>
              </w:rPr>
              <w:lastRenderedPageBreak/>
              <w:t>положение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141B3B75"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C4C67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FF216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B0E8E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9E384C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86A0CE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7ECE3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6BAFAD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34D2A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B83443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5DDA8A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9B2BF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2F35A4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CDB600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0017F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A4C26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0C41CC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E8FD85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6ADB9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7812B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672D9E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F1E9AE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29994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E9772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98D0EE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807CF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46140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727B084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74F9DE1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30CAF9A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09264205"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99D79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40EFF98B"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Бездомни или засегнати от изключване от жилищно настаняване</w:t>
            </w:r>
            <w:r w:rsidRPr="007D063B">
              <w:rPr>
                <w:rFonts w:ascii="Times New Roman" w:eastAsia="Times New Roman" w:hAnsi="Times New Roman" w:cs="Times New Roman"/>
                <w:b/>
                <w:bCs/>
                <w:color w:val="000000"/>
                <w:sz w:val="16"/>
                <w:szCs w:val="16"/>
                <w:lang w:eastAsia="bg-BG"/>
              </w:rPr>
              <w:t> </w:t>
            </w:r>
            <w:hyperlink r:id="rId64" w:anchor="ntr14-L_2015038BG.01007201-E0014" w:history="1">
              <w:r w:rsidRPr="007D063B">
                <w:rPr>
                  <w:rFonts w:ascii="Times New Roman" w:eastAsia="Times New Roman" w:hAnsi="Times New Roman" w:cs="Times New Roman"/>
                  <w:color w:val="0000FF"/>
                  <w:sz w:val="16"/>
                  <w:szCs w:val="16"/>
                  <w:u w:val="single"/>
                  <w:lang w:eastAsia="bg-BG"/>
                </w:rPr>
                <w:t> (</w:t>
              </w:r>
              <w:r w:rsidRPr="007D063B">
                <w:rPr>
                  <w:rFonts w:ascii="Times New Roman" w:eastAsia="Times New Roman" w:hAnsi="Times New Roman" w:cs="Times New Roman"/>
                  <w:color w:val="0000FF"/>
                  <w:sz w:val="16"/>
                  <w:szCs w:val="16"/>
                  <w:u w:val="single"/>
                  <w:vertAlign w:val="superscript"/>
                  <w:lang w:eastAsia="bg-BG"/>
                </w:rPr>
                <w:t>14</w:t>
              </w:r>
              <w:r w:rsidRPr="007D063B">
                <w:rPr>
                  <w:rFonts w:ascii="Times New Roman" w:eastAsia="Times New Roman" w:hAnsi="Times New Roman" w:cs="Times New Roman"/>
                  <w:color w:val="0000FF"/>
                  <w:sz w:val="16"/>
                  <w:szCs w:val="16"/>
                  <w:u w:val="single"/>
                  <w:lang w:eastAsia="bg-BG"/>
                </w:rPr>
                <w:t>)</w:t>
              </w:r>
            </w:hyperlink>
            <w:r w:rsidRPr="007D063B">
              <w:rPr>
                <w:rFonts w:ascii="Times New Roman" w:eastAsia="Times New Roman" w:hAnsi="Times New Roman" w:cs="Times New Roman"/>
                <w:b/>
                <w:bCs/>
                <w:i/>
                <w:iCs/>
                <w:color w:val="000000"/>
                <w:sz w:val="16"/>
                <w:szCs w:val="16"/>
                <w:lang w:eastAsia="bg-BG"/>
              </w:rPr>
              <w:t>(ЕСФ)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1452CED"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5D95B5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E92BB6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E2C363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129712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DE647A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6576F6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35A13B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1B25381" w14:textId="5FB37EAF"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83460"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13A4C69" w14:textId="040FE09C"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83460"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4923C1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91870E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9B06EB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09434A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0B5B4A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5E0426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760849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CCB9BE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A27C65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2F14CB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E185F5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80E979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2DAA03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8427EC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A07909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F4285C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612575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78AC915E" w14:textId="74D0BEC9"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0F51C647" w14:textId="75DB350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4F304079" w14:textId="4EAB01E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783B2307"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BBF680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190770F9"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Бездомни или засегнати от изключване от жилищно настаняване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4D85C76A"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04007E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37AD21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9DAEBF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E9C19C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9500F1"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51F2B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DA510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C62F92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FDC40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573A5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A65A24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80F37A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AD64AB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9FE55C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D2CBB2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15CD6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7574E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013B51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F17ED8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0045A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7C3FC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EA78CA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CCC017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6021E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02148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D9746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1B54521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0CDE03C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3C432DA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E133C6" w:rsidRPr="007D063B" w14:paraId="1E0CF859"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FBBA8B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2D4396E6"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Лица, които живеят в селските райони</w:t>
            </w:r>
            <w:hyperlink r:id="rId65" w:anchor="ntr14-L_2015038BG.01007201-E0014" w:history="1">
              <w:r w:rsidRPr="007D063B">
                <w:rPr>
                  <w:rFonts w:ascii="Times New Roman" w:eastAsia="Times New Roman" w:hAnsi="Times New Roman" w:cs="Times New Roman"/>
                  <w:color w:val="0000FF"/>
                  <w:sz w:val="16"/>
                  <w:szCs w:val="16"/>
                  <w:u w:val="single"/>
                  <w:lang w:eastAsia="bg-BG"/>
                </w:rPr>
                <w:t> (</w:t>
              </w:r>
              <w:r w:rsidRPr="007D063B">
                <w:rPr>
                  <w:rFonts w:ascii="Times New Roman" w:eastAsia="Times New Roman" w:hAnsi="Times New Roman" w:cs="Times New Roman"/>
                  <w:color w:val="0000FF"/>
                  <w:sz w:val="16"/>
                  <w:szCs w:val="16"/>
                  <w:u w:val="single"/>
                  <w:vertAlign w:val="superscript"/>
                  <w:lang w:eastAsia="bg-BG"/>
                </w:rPr>
                <w:t>14</w:t>
              </w:r>
              <w:r w:rsidRPr="007D063B">
                <w:rPr>
                  <w:rFonts w:ascii="Times New Roman" w:eastAsia="Times New Roman" w:hAnsi="Times New Roman" w:cs="Times New Roman"/>
                  <w:color w:val="0000FF"/>
                  <w:sz w:val="16"/>
                  <w:szCs w:val="16"/>
                  <w:u w:val="single"/>
                  <w:lang w:eastAsia="bg-BG"/>
                </w:rPr>
                <w:t>)</w:t>
              </w:r>
            </w:hyperlink>
            <w:r w:rsidRPr="007D063B">
              <w:rPr>
                <w:rFonts w:ascii="Times New Roman" w:eastAsia="Times New Roman" w:hAnsi="Times New Roman" w:cs="Times New Roman"/>
                <w:color w:val="000000"/>
                <w:sz w:val="16"/>
                <w:szCs w:val="16"/>
                <w:lang w:eastAsia="bg-BG"/>
              </w:rPr>
              <w:t> </w:t>
            </w:r>
            <w:r w:rsidRPr="007D063B">
              <w:rPr>
                <w:rFonts w:ascii="Times New Roman" w:eastAsia="Times New Roman" w:hAnsi="Times New Roman" w:cs="Times New Roman"/>
                <w:b/>
                <w:bCs/>
                <w:i/>
                <w:iCs/>
                <w:color w:val="000000"/>
                <w:sz w:val="16"/>
                <w:szCs w:val="16"/>
                <w:lang w:eastAsia="bg-BG"/>
              </w:rPr>
              <w:t>(ЕСФ)</w:t>
            </w:r>
          </w:p>
        </w:tc>
        <w:tc>
          <w:tcPr>
            <w:tcW w:w="25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500AE0E"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19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62200E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0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189E2D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11"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1CFC65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AF8E40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950B40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0 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816BE4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B8E151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4CCCE47" w14:textId="70287CC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83460" w:rsidRPr="007D063B">
              <w:rPr>
                <w:rFonts w:ascii="Times New Roman" w:eastAsia="Times New Roman" w:hAnsi="Times New Roman" w:cs="Times New Roman"/>
                <w:color w:val="000000"/>
                <w:sz w:val="24"/>
                <w:szCs w:val="24"/>
                <w:lang w:eastAsia="bg-BG"/>
              </w:rPr>
              <w:t>0</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0126457" w14:textId="5C47389A"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83460" w:rsidRPr="007D063B">
              <w:rPr>
                <w:rFonts w:ascii="Times New Roman" w:eastAsia="Times New Roman" w:hAnsi="Times New Roman" w:cs="Times New Roman"/>
                <w:color w:val="000000"/>
                <w:sz w:val="24"/>
                <w:szCs w:val="24"/>
                <w:lang w:eastAsia="bg-BG"/>
              </w:rPr>
              <w:t>0</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CA042A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B2B0EB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DDF4AF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A4C5F3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EEEA21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3CE358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8E7A98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A603A3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8A678C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574E6A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0C1658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660526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846A81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9AA5BE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9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793C06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10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A49C87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107"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B9CB09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 </w:t>
            </w:r>
            <w:r w:rsidRPr="007D063B">
              <w:rPr>
                <w:rFonts w:ascii="Times New Roman" w:eastAsia="Times New Roman" w:hAnsi="Times New Roman" w:cs="Times New Roman"/>
                <w:color w:val="000000"/>
                <w:sz w:val="24"/>
                <w:szCs w:val="24"/>
                <w:lang w:val="en-US" w:eastAsia="bg-BG"/>
              </w:rPr>
              <w:t>0</w:t>
            </w:r>
          </w:p>
        </w:tc>
        <w:tc>
          <w:tcPr>
            <w:tcW w:w="209"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653024AA" w14:textId="1174BE4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14"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02FB7F5A" w14:textId="17DCBBFF"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c>
          <w:tcPr>
            <w:tcW w:w="103" w:type="pct"/>
            <w:vMerge w:val="restart"/>
            <w:tcBorders>
              <w:top w:val="single" w:sz="6" w:space="0" w:color="000000"/>
              <w:left w:val="single" w:sz="6" w:space="0" w:color="000000"/>
              <w:bottom w:val="single" w:sz="6" w:space="0" w:color="000000"/>
              <w:right w:val="single" w:sz="6" w:space="0" w:color="000000"/>
            </w:tcBorders>
            <w:shd w:val="clear" w:color="auto" w:fill="FFFFFF"/>
          </w:tcPr>
          <w:p w14:paraId="05516143" w14:textId="4713AC6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E133C6" w:rsidRPr="007D063B" w14:paraId="05C1E81C"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A030D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067F3DE8"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Лица, които живеят в селските райони (ИМЗ)</w:t>
            </w:r>
          </w:p>
        </w:tc>
        <w:tc>
          <w:tcPr>
            <w:tcW w:w="254"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5A769E35"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p>
        </w:tc>
        <w:tc>
          <w:tcPr>
            <w:tcW w:w="19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A0488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0BEEE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FD9487E"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DBF0088"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845DD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11B5E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A7B8DB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0F7C36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C1002D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D48A87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774172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A8196A"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E3DBD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27582E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12B897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E44B6B9"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22CF0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B6CC2E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7E6B85"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EF7EFF"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0E7C086"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25"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5D19DE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3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A2D2B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279F094"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B0EFF4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7"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963683D"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209"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65A2ADCC"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14"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2CF2497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103" w:type="pct"/>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65F86830"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r>
      <w:tr w:rsidR="00241A90" w:rsidRPr="007D063B" w14:paraId="321563EA"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AF23882"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396ED83A"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Брой проекти, изцяло или частично изпълнявани от социални партньори или НПО</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6C69EC6E"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41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6A01D1D" w14:textId="58C8FCAC" w:rsidR="00B54C34" w:rsidRPr="007D063B" w:rsidRDefault="00B54C34" w:rsidP="000667D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789C3C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B281510" w14:textId="5139E1FC"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84418F" w:rsidRPr="007D063B">
              <w:rPr>
                <w:rFonts w:ascii="Times New Roman" w:eastAsia="Times New Roman" w:hAnsi="Times New Roman" w:cs="Times New Roman"/>
                <w:color w:val="000000"/>
                <w:sz w:val="24"/>
                <w:szCs w:val="24"/>
                <w:lang w:eastAsia="bg-BG"/>
              </w:rPr>
              <w:t>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BBCDF02" w14:textId="33535E3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83460" w:rsidRPr="007D063B">
              <w:rPr>
                <w:rFonts w:ascii="Times New Roman" w:eastAsia="Times New Roman" w:hAnsi="Times New Roman" w:cs="Times New Roman"/>
                <w:color w:val="000000"/>
                <w:sz w:val="24"/>
                <w:szCs w:val="24"/>
                <w:lang w:eastAsia="bg-BG"/>
              </w:rPr>
              <w:t>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7C3FB2F" w14:textId="6F4FBC83" w:rsidR="00B54C34" w:rsidRPr="007D063B" w:rsidRDefault="00B54C34" w:rsidP="00644737">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488216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576326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27865E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FEAD3A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EC7252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38E947C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tcBorders>
              <w:top w:val="single" w:sz="6" w:space="0" w:color="000000"/>
              <w:left w:val="single" w:sz="6" w:space="0" w:color="000000"/>
              <w:bottom w:val="single" w:sz="6" w:space="0" w:color="000000"/>
              <w:right w:val="single" w:sz="6" w:space="0" w:color="000000"/>
            </w:tcBorders>
            <w:shd w:val="clear" w:color="auto" w:fill="FFFFFF"/>
            <w:hideMark/>
          </w:tcPr>
          <w:p w14:paraId="6874360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D4A5B8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6" w:type="pct"/>
            <w:gridSpan w:val="3"/>
            <w:tcBorders>
              <w:top w:val="single" w:sz="6" w:space="0" w:color="000000"/>
              <w:left w:val="single" w:sz="6" w:space="0" w:color="000000"/>
              <w:bottom w:val="single" w:sz="6" w:space="0" w:color="000000"/>
              <w:right w:val="single" w:sz="6" w:space="0" w:color="000000"/>
            </w:tcBorders>
            <w:shd w:val="clear" w:color="auto" w:fill="FFFFFF"/>
          </w:tcPr>
          <w:p w14:paraId="38A521FB" w14:textId="52CEDA6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241A90" w:rsidRPr="007D063B" w14:paraId="074D4B44"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A6D7A7"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10AC2518"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Брой проекти, посветени на трайното участие и напредъка на жените в заетостта</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3717D446"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41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8375101"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D2B697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5797C08" w14:textId="2216291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84418F" w:rsidRPr="007D063B">
              <w:rPr>
                <w:rFonts w:ascii="Times New Roman" w:eastAsia="Times New Roman" w:hAnsi="Times New Roman" w:cs="Times New Roman"/>
                <w:color w:val="000000"/>
                <w:sz w:val="24"/>
                <w:szCs w:val="24"/>
                <w:lang w:eastAsia="bg-BG"/>
              </w:rPr>
              <w:t>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098002C" w14:textId="085D950D"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83460" w:rsidRPr="007D063B">
              <w:rPr>
                <w:rFonts w:ascii="Times New Roman" w:eastAsia="Times New Roman" w:hAnsi="Times New Roman" w:cs="Times New Roman"/>
                <w:color w:val="000000"/>
                <w:sz w:val="24"/>
                <w:szCs w:val="24"/>
                <w:lang w:eastAsia="bg-BG"/>
              </w:rPr>
              <w:t>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24B537B" w14:textId="60FFDE5B" w:rsidR="00B54C34" w:rsidRPr="007D063B" w:rsidRDefault="00B54C34" w:rsidP="00644737">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ECE51B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C212CD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FC16A9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A23688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B6D703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7077975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tcBorders>
              <w:top w:val="single" w:sz="6" w:space="0" w:color="000000"/>
              <w:left w:val="single" w:sz="6" w:space="0" w:color="000000"/>
              <w:bottom w:val="single" w:sz="6" w:space="0" w:color="000000"/>
              <w:right w:val="single" w:sz="6" w:space="0" w:color="000000"/>
            </w:tcBorders>
            <w:shd w:val="clear" w:color="auto" w:fill="FFFFFF"/>
            <w:hideMark/>
          </w:tcPr>
          <w:p w14:paraId="36F6EEB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A313FE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6" w:type="pct"/>
            <w:gridSpan w:val="3"/>
            <w:tcBorders>
              <w:top w:val="single" w:sz="6" w:space="0" w:color="000000"/>
              <w:left w:val="single" w:sz="6" w:space="0" w:color="000000"/>
              <w:bottom w:val="single" w:sz="6" w:space="0" w:color="000000"/>
              <w:right w:val="single" w:sz="6" w:space="0" w:color="000000"/>
            </w:tcBorders>
            <w:shd w:val="clear" w:color="auto" w:fill="FFFFFF"/>
          </w:tcPr>
          <w:p w14:paraId="0E6D045E" w14:textId="74BFC8C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241A90" w:rsidRPr="007D063B" w14:paraId="56BEC42F"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4D1D43"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1868579A"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 xml:space="preserve">Брой проекти, насочени към публичните администрации или публичните услуги на национално, регионално или </w:t>
            </w:r>
            <w:r w:rsidRPr="007D063B">
              <w:rPr>
                <w:rFonts w:ascii="Times New Roman" w:eastAsia="Times New Roman" w:hAnsi="Times New Roman" w:cs="Times New Roman"/>
                <w:b/>
                <w:bCs/>
                <w:i/>
                <w:iCs/>
                <w:color w:val="000000"/>
                <w:sz w:val="16"/>
                <w:szCs w:val="16"/>
                <w:lang w:eastAsia="bg-BG"/>
              </w:rPr>
              <w:lastRenderedPageBreak/>
              <w:t>местно равнище</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75F574A0"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lastRenderedPageBreak/>
              <w:t>По-слабо развити региони</w:t>
            </w:r>
          </w:p>
        </w:tc>
        <w:tc>
          <w:tcPr>
            <w:tcW w:w="41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4881B7A"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493132D" w14:textId="45A8C32C"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84418F" w:rsidRPr="007D063B">
              <w:rPr>
                <w:rFonts w:ascii="Times New Roman" w:eastAsia="Times New Roman" w:hAnsi="Times New Roman" w:cs="Times New Roman"/>
                <w:color w:val="000000"/>
                <w:sz w:val="24"/>
                <w:szCs w:val="24"/>
                <w:lang w:eastAsia="bg-BG"/>
              </w:rPr>
              <w:t>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95388DB" w14:textId="5DEC19DB"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E37512" w:rsidRPr="007D063B">
              <w:rPr>
                <w:rFonts w:ascii="Times New Roman" w:eastAsia="Times New Roman" w:hAnsi="Times New Roman" w:cs="Times New Roman"/>
                <w:color w:val="000000"/>
                <w:sz w:val="24"/>
                <w:szCs w:val="24"/>
                <w:lang w:eastAsia="bg-BG"/>
              </w:rPr>
              <w:t>1</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4B5F56E" w14:textId="4F8E7636"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7C328A" w:rsidRPr="007D063B">
              <w:rPr>
                <w:rFonts w:ascii="Times New Roman" w:eastAsia="Times New Roman" w:hAnsi="Times New Roman" w:cs="Times New Roman"/>
                <w:color w:val="000000"/>
                <w:sz w:val="24"/>
                <w:szCs w:val="24"/>
                <w:lang w:eastAsia="bg-BG"/>
              </w:rPr>
              <w:t>1</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395357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E30A1B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AB7FB7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F37AB6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5B647D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CEF8F6D"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2D5E0D8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tcBorders>
              <w:top w:val="single" w:sz="6" w:space="0" w:color="000000"/>
              <w:left w:val="single" w:sz="6" w:space="0" w:color="000000"/>
              <w:bottom w:val="single" w:sz="6" w:space="0" w:color="000000"/>
              <w:right w:val="single" w:sz="6" w:space="0" w:color="000000"/>
            </w:tcBorders>
            <w:shd w:val="clear" w:color="auto" w:fill="FFFFFF"/>
            <w:hideMark/>
          </w:tcPr>
          <w:p w14:paraId="0C39F87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6FCDF51" w14:textId="7C866690" w:rsidR="00B54C34" w:rsidRPr="007D063B" w:rsidRDefault="00E37512"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2</w:t>
            </w:r>
          </w:p>
        </w:tc>
        <w:tc>
          <w:tcPr>
            <w:tcW w:w="426" w:type="pct"/>
            <w:gridSpan w:val="3"/>
            <w:tcBorders>
              <w:top w:val="single" w:sz="6" w:space="0" w:color="000000"/>
              <w:left w:val="single" w:sz="6" w:space="0" w:color="000000"/>
              <w:bottom w:val="single" w:sz="6" w:space="0" w:color="000000"/>
              <w:right w:val="single" w:sz="6" w:space="0" w:color="000000"/>
            </w:tcBorders>
            <w:shd w:val="clear" w:color="auto" w:fill="FFFFFF"/>
          </w:tcPr>
          <w:p w14:paraId="4E0FFF37" w14:textId="2E74569F"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241A90" w:rsidRPr="007D063B" w14:paraId="50750C6A" w14:textId="77777777" w:rsidTr="000667D1">
        <w:trPr>
          <w:tblCellSpacing w:w="0" w:type="dxa"/>
        </w:trPr>
        <w:tc>
          <w:tcPr>
            <w:tcW w:w="453"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F792BCB" w14:textId="77777777" w:rsidR="00B54C34" w:rsidRPr="007D063B" w:rsidRDefault="00B54C34" w:rsidP="00450FF1">
            <w:pPr>
              <w:spacing w:after="0" w:line="240" w:lineRule="auto"/>
              <w:rPr>
                <w:rFonts w:ascii="Times New Roman" w:eastAsia="Times New Roman" w:hAnsi="Times New Roman" w:cs="Times New Roman"/>
                <w:color w:val="000000"/>
                <w:sz w:val="24"/>
                <w:szCs w:val="24"/>
                <w:lang w:eastAsia="bg-BG"/>
              </w:rPr>
            </w:pPr>
          </w:p>
        </w:tc>
        <w:tc>
          <w:tcPr>
            <w:tcW w:w="507" w:type="pct"/>
            <w:tcBorders>
              <w:top w:val="single" w:sz="6" w:space="0" w:color="000000"/>
              <w:left w:val="single" w:sz="6" w:space="0" w:color="000000"/>
              <w:bottom w:val="single" w:sz="6" w:space="0" w:color="000000"/>
              <w:right w:val="single" w:sz="6" w:space="0" w:color="000000"/>
            </w:tcBorders>
            <w:shd w:val="clear" w:color="auto" w:fill="FFFFFF"/>
            <w:hideMark/>
          </w:tcPr>
          <w:p w14:paraId="1691FA18"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Брой на микро-, малките и средните подкрепени предприятия, (включително кооперативните предприятия и предприятията на социалната икономика)</w:t>
            </w:r>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79341B32" w14:textId="77777777" w:rsidR="00B54C34" w:rsidRPr="007D063B" w:rsidRDefault="00B54C34" w:rsidP="00450FF1">
            <w:pPr>
              <w:spacing w:before="60" w:after="60" w:line="240" w:lineRule="auto"/>
              <w:rPr>
                <w:rFonts w:ascii="Times New Roman" w:eastAsia="Times New Roman" w:hAnsi="Times New Roman" w:cs="Times New Roman"/>
                <w:b/>
                <w:bCs/>
                <w:i/>
                <w:iCs/>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41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F043B0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058A0A8"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3181A36" w14:textId="12CD9303"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84418F" w:rsidRPr="007D063B">
              <w:rPr>
                <w:rFonts w:ascii="Times New Roman" w:eastAsia="Times New Roman" w:hAnsi="Times New Roman" w:cs="Times New Roman"/>
                <w:color w:val="000000"/>
                <w:sz w:val="24"/>
                <w:szCs w:val="24"/>
                <w:lang w:eastAsia="bg-BG"/>
              </w:rPr>
              <w:t>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EB24089" w14:textId="11F785F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44737" w:rsidRPr="007D063B">
              <w:rPr>
                <w:rFonts w:ascii="Times New Roman" w:eastAsia="Times New Roman" w:hAnsi="Times New Roman" w:cs="Times New Roman"/>
                <w:color w:val="000000"/>
                <w:sz w:val="24"/>
                <w:szCs w:val="24"/>
                <w:lang w:eastAsia="bg-BG"/>
              </w:rPr>
              <w:t>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762CD71" w14:textId="53023122" w:rsidR="00B54C34" w:rsidRPr="007D063B" w:rsidRDefault="00B54C34" w:rsidP="00644737">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47043B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1E1966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6538A4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DEC29E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81106B2"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503AAAD6"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tcBorders>
              <w:top w:val="single" w:sz="6" w:space="0" w:color="000000"/>
              <w:left w:val="single" w:sz="6" w:space="0" w:color="000000"/>
              <w:bottom w:val="single" w:sz="6" w:space="0" w:color="000000"/>
              <w:right w:val="single" w:sz="6" w:space="0" w:color="000000"/>
            </w:tcBorders>
            <w:shd w:val="clear" w:color="auto" w:fill="FFFFFF"/>
            <w:hideMark/>
          </w:tcPr>
          <w:p w14:paraId="75B8BB37"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AF32743"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426" w:type="pct"/>
            <w:gridSpan w:val="3"/>
            <w:tcBorders>
              <w:top w:val="single" w:sz="6" w:space="0" w:color="000000"/>
              <w:left w:val="single" w:sz="6" w:space="0" w:color="000000"/>
              <w:bottom w:val="single" w:sz="6" w:space="0" w:color="000000"/>
              <w:right w:val="single" w:sz="6" w:space="0" w:color="000000"/>
            </w:tcBorders>
            <w:shd w:val="clear" w:color="auto" w:fill="FFFFFF"/>
          </w:tcPr>
          <w:p w14:paraId="6D361FF6" w14:textId="6B3A5B52"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r w:rsidR="00B54C34" w:rsidRPr="007D063B" w14:paraId="57DC66B0" w14:textId="77777777" w:rsidTr="003E6AB0">
        <w:trPr>
          <w:tblCellSpacing w:w="0" w:type="dxa"/>
        </w:trPr>
        <w:tc>
          <w:tcPr>
            <w:tcW w:w="959"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56A15A6" w14:textId="77777777" w:rsidR="00B54C34" w:rsidRPr="007D063B" w:rsidRDefault="00B54C34" w:rsidP="00450FF1">
            <w:pPr>
              <w:spacing w:before="60" w:after="6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b/>
                <w:bCs/>
                <w:i/>
                <w:iCs/>
                <w:color w:val="000000"/>
                <w:sz w:val="16"/>
                <w:szCs w:val="16"/>
                <w:lang w:eastAsia="bg-BG"/>
              </w:rPr>
              <w:t>Общ брой на участниците</w:t>
            </w:r>
            <w:r w:rsidRPr="007D063B">
              <w:rPr>
                <w:rFonts w:ascii="Times New Roman" w:eastAsia="Times New Roman" w:hAnsi="Times New Roman" w:cs="Times New Roman"/>
                <w:b/>
                <w:bCs/>
                <w:color w:val="000000"/>
                <w:sz w:val="16"/>
                <w:szCs w:val="16"/>
                <w:lang w:eastAsia="bg-BG"/>
              </w:rPr>
              <w:t> </w:t>
            </w:r>
            <w:hyperlink r:id="rId66" w:anchor="ntr15-L_2015038BG.01007201-E0015" w:history="1">
              <w:r w:rsidRPr="007D063B">
                <w:rPr>
                  <w:rFonts w:ascii="Times New Roman" w:eastAsia="Times New Roman" w:hAnsi="Times New Roman" w:cs="Times New Roman"/>
                  <w:color w:val="0000FF"/>
                  <w:sz w:val="16"/>
                  <w:szCs w:val="16"/>
                  <w:u w:val="single"/>
                  <w:lang w:eastAsia="bg-BG"/>
                </w:rPr>
                <w:t> (</w:t>
              </w:r>
              <w:r w:rsidRPr="007D063B">
                <w:rPr>
                  <w:rFonts w:ascii="Times New Roman" w:eastAsia="Times New Roman" w:hAnsi="Times New Roman" w:cs="Times New Roman"/>
                  <w:color w:val="0000FF"/>
                  <w:sz w:val="16"/>
                  <w:szCs w:val="16"/>
                  <w:u w:val="single"/>
                  <w:vertAlign w:val="superscript"/>
                  <w:lang w:eastAsia="bg-BG"/>
                </w:rPr>
                <w:t>15</w:t>
              </w:r>
              <w:r w:rsidRPr="007D063B">
                <w:rPr>
                  <w:rFonts w:ascii="Times New Roman" w:eastAsia="Times New Roman" w:hAnsi="Times New Roman" w:cs="Times New Roman"/>
                  <w:color w:val="0000FF"/>
                  <w:sz w:val="16"/>
                  <w:szCs w:val="16"/>
                  <w:u w:val="single"/>
                  <w:lang w:eastAsia="bg-BG"/>
                </w:rPr>
                <w:t>)</w:t>
              </w:r>
            </w:hyperlink>
          </w:p>
        </w:tc>
        <w:tc>
          <w:tcPr>
            <w:tcW w:w="254" w:type="pct"/>
            <w:tcBorders>
              <w:top w:val="single" w:sz="6" w:space="0" w:color="000000"/>
              <w:left w:val="single" w:sz="6" w:space="0" w:color="000000"/>
              <w:bottom w:val="single" w:sz="6" w:space="0" w:color="000000"/>
              <w:right w:val="single" w:sz="6" w:space="0" w:color="000000"/>
            </w:tcBorders>
            <w:shd w:val="clear" w:color="auto" w:fill="FFFFFF"/>
            <w:hideMark/>
          </w:tcPr>
          <w:p w14:paraId="41CD64A9" w14:textId="77777777" w:rsidR="00B54C34" w:rsidRPr="007D063B" w:rsidRDefault="00B54C34" w:rsidP="00450FF1">
            <w:pPr>
              <w:spacing w:before="60" w:after="60" w:line="240" w:lineRule="auto"/>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b/>
                <w:bCs/>
                <w:i/>
                <w:iCs/>
                <w:color w:val="000000"/>
                <w:sz w:val="16"/>
                <w:szCs w:val="16"/>
                <w:lang w:eastAsia="bg-BG"/>
              </w:rPr>
              <w:t>По-слабо развити региони</w:t>
            </w:r>
          </w:p>
        </w:tc>
        <w:tc>
          <w:tcPr>
            <w:tcW w:w="418"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F9B7BA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AE4F60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CBFB514" w14:textId="1623CAA8"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44737" w:rsidRPr="007D063B">
              <w:rPr>
                <w:rFonts w:ascii="Times New Roman" w:eastAsia="Times New Roman" w:hAnsi="Times New Roman" w:cs="Times New Roman"/>
                <w:color w:val="000000"/>
                <w:sz w:val="24"/>
                <w:szCs w:val="24"/>
                <w:lang w:eastAsia="bg-BG"/>
              </w:rPr>
              <w:t>0</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19272C5" w14:textId="1EB1209F"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44737" w:rsidRPr="007D063B">
              <w:rPr>
                <w:rFonts w:ascii="Times New Roman" w:eastAsia="Times New Roman" w:hAnsi="Times New Roman" w:cs="Times New Roman"/>
                <w:color w:val="000000"/>
                <w:sz w:val="24"/>
                <w:szCs w:val="24"/>
                <w:lang w:eastAsia="bg-BG"/>
              </w:rPr>
              <w:t>51</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A49B360"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8735279"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B2FDBA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60B4F04"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AE33E1F"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253"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AD2F3CB"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25" w:type="pct"/>
            <w:tcBorders>
              <w:top w:val="single" w:sz="6" w:space="0" w:color="000000"/>
              <w:left w:val="single" w:sz="6" w:space="0" w:color="000000"/>
              <w:bottom w:val="single" w:sz="6" w:space="0" w:color="000000"/>
              <w:right w:val="single" w:sz="6" w:space="0" w:color="000000"/>
            </w:tcBorders>
            <w:shd w:val="clear" w:color="auto" w:fill="FFFFFF"/>
            <w:hideMark/>
          </w:tcPr>
          <w:p w14:paraId="19DF85FE"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139" w:type="pct"/>
            <w:tcBorders>
              <w:top w:val="single" w:sz="6" w:space="0" w:color="000000"/>
              <w:left w:val="single" w:sz="6" w:space="0" w:color="000000"/>
              <w:bottom w:val="single" w:sz="6" w:space="0" w:color="000000"/>
              <w:right w:val="single" w:sz="6" w:space="0" w:color="000000"/>
            </w:tcBorders>
            <w:shd w:val="clear" w:color="auto" w:fill="FFFFFF"/>
            <w:hideMark/>
          </w:tcPr>
          <w:p w14:paraId="2F24338C"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p>
        </w:tc>
        <w:tc>
          <w:tcPr>
            <w:tcW w:w="401"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ADA4646" w14:textId="38CE430A" w:rsidR="00B54C34" w:rsidRPr="007D063B" w:rsidRDefault="00B54C34" w:rsidP="00644737">
            <w:pPr>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 </w:t>
            </w:r>
            <w:r w:rsidR="00644737" w:rsidRPr="007D063B">
              <w:rPr>
                <w:rFonts w:ascii="Times New Roman" w:eastAsia="Times New Roman" w:hAnsi="Times New Roman" w:cs="Times New Roman"/>
                <w:color w:val="000000"/>
                <w:sz w:val="24"/>
                <w:szCs w:val="24"/>
                <w:lang w:eastAsia="bg-BG"/>
              </w:rPr>
              <w:t>51</w:t>
            </w:r>
          </w:p>
        </w:tc>
        <w:tc>
          <w:tcPr>
            <w:tcW w:w="426" w:type="pct"/>
            <w:gridSpan w:val="3"/>
            <w:tcBorders>
              <w:top w:val="single" w:sz="6" w:space="0" w:color="000000"/>
              <w:left w:val="single" w:sz="6" w:space="0" w:color="000000"/>
              <w:bottom w:val="single" w:sz="6" w:space="0" w:color="000000"/>
              <w:right w:val="single" w:sz="6" w:space="0" w:color="000000"/>
            </w:tcBorders>
            <w:shd w:val="clear" w:color="auto" w:fill="FFFFFF"/>
          </w:tcPr>
          <w:p w14:paraId="42C698B0" w14:textId="6C7C8014" w:rsidR="00B54C34" w:rsidRPr="007D063B" w:rsidRDefault="00B54C34" w:rsidP="00450FF1">
            <w:pPr>
              <w:spacing w:before="120" w:after="0" w:line="240" w:lineRule="auto"/>
              <w:jc w:val="both"/>
              <w:rPr>
                <w:rFonts w:ascii="Times New Roman" w:eastAsia="Times New Roman" w:hAnsi="Times New Roman" w:cs="Times New Roman"/>
                <w:color w:val="000000"/>
                <w:sz w:val="24"/>
                <w:szCs w:val="24"/>
                <w:lang w:eastAsia="bg-BG"/>
              </w:rPr>
            </w:pPr>
          </w:p>
        </w:tc>
      </w:tr>
    </w:tbl>
    <w:p w14:paraId="3D5C441B" w14:textId="77777777" w:rsidR="00B54C34" w:rsidRPr="007D063B" w:rsidRDefault="00B54C34" w:rsidP="00B54C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bg-BG"/>
        </w:rPr>
      </w:pPr>
    </w:p>
    <w:p w14:paraId="17AD954E" w14:textId="77777777" w:rsidR="00B54C34" w:rsidRPr="007D063B" w:rsidRDefault="00B54C34" w:rsidP="00B54C34">
      <w:pPr>
        <w:rPr>
          <w:rFonts w:ascii="inherit" w:eastAsia="Times New Roman" w:hAnsi="inherit" w:cs="Times New Roman"/>
          <w:i/>
          <w:iCs/>
          <w:color w:val="000000"/>
          <w:sz w:val="24"/>
          <w:szCs w:val="24"/>
          <w:lang w:eastAsia="bg-BG"/>
        </w:rPr>
      </w:pPr>
      <w:r w:rsidRPr="007D063B">
        <w:rPr>
          <w:rFonts w:ascii="inherit" w:eastAsia="Times New Roman" w:hAnsi="inherit" w:cs="Times New Roman"/>
          <w:i/>
          <w:iCs/>
          <w:color w:val="000000"/>
          <w:sz w:val="24"/>
          <w:szCs w:val="24"/>
          <w:lang w:eastAsia="bg-BG"/>
        </w:rPr>
        <w:br w:type="page"/>
      </w:r>
    </w:p>
    <w:p w14:paraId="79458E79" w14:textId="77777777" w:rsidR="00B54C34" w:rsidRPr="007D063B" w:rsidRDefault="00B54C34" w:rsidP="003E6AB0">
      <w:pPr>
        <w:pStyle w:val="Heading3"/>
        <w:jc w:val="center"/>
        <w:rPr>
          <w:rFonts w:ascii="Times New Roman" w:eastAsia="Times New Roman" w:hAnsi="Times New Roman" w:cs="Times New Roman"/>
          <w:color w:val="000000"/>
          <w:lang w:eastAsia="bg-BG"/>
        </w:rPr>
      </w:pPr>
      <w:bookmarkStart w:id="32" w:name="_Toc481594293"/>
      <w:r w:rsidRPr="007D063B">
        <w:rPr>
          <w:rFonts w:ascii="inherit" w:eastAsia="Times New Roman" w:hAnsi="inherit" w:cs="Times New Roman"/>
          <w:i/>
          <w:iCs/>
          <w:color w:val="000000"/>
          <w:lang w:eastAsia="bg-BG"/>
        </w:rPr>
        <w:lastRenderedPageBreak/>
        <w:t>Таблица 4Б</w:t>
      </w:r>
      <w:bookmarkEnd w:id="32"/>
    </w:p>
    <w:p w14:paraId="7C77C08C" w14:textId="77777777" w:rsidR="00B54C34" w:rsidRPr="007D063B" w:rsidRDefault="00B54C34" w:rsidP="00B54C34">
      <w:pPr>
        <w:shd w:val="clear" w:color="auto" w:fill="FFFFFF"/>
        <w:spacing w:before="120" w:after="120" w:line="240" w:lineRule="auto"/>
        <w:jc w:val="center"/>
        <w:rPr>
          <w:rFonts w:ascii="Times New Roman" w:eastAsia="Times New Roman" w:hAnsi="Times New Roman" w:cs="Times New Roman"/>
          <w:color w:val="000000"/>
          <w:sz w:val="24"/>
          <w:szCs w:val="24"/>
          <w:lang w:eastAsia="bg-BG"/>
        </w:rPr>
      </w:pPr>
      <w:r w:rsidRPr="007D063B">
        <w:rPr>
          <w:rFonts w:ascii="inherit" w:eastAsia="Times New Roman" w:hAnsi="inherit" w:cs="Times New Roman"/>
          <w:b/>
          <w:bCs/>
          <w:color w:val="000000"/>
          <w:sz w:val="24"/>
          <w:szCs w:val="24"/>
          <w:lang w:eastAsia="bg-BG"/>
        </w:rPr>
        <w:t>Общи специфични за програмата показатели за изпълнение за ЕСФ (по приоритетна ос, инвестиционен приоритет, категория регион; прилага се също така и за приоритетните оси за техническа помощ.) За инициативата за младежка заетост, за всяка приоритетна ос или част от нея не се изисква разделение по категория региони</w:t>
      </w:r>
      <w:r w:rsidRPr="007D063B">
        <w:rPr>
          <w:rFonts w:ascii="Times New Roman" w:eastAsia="Times New Roman" w:hAnsi="Times New Roman" w:cs="Times New Roman"/>
          <w:color w:val="000000"/>
          <w:sz w:val="24"/>
          <w:szCs w:val="24"/>
          <w:lang w:eastAsia="bg-BG"/>
        </w:rPr>
        <w:t> </w:t>
      </w:r>
      <w:hyperlink r:id="rId67" w:anchor="ntr16-L_2015038BG.01007201-E0016" w:history="1">
        <w:r w:rsidRPr="007D063B">
          <w:rPr>
            <w:rFonts w:ascii="inherit" w:eastAsia="Times New Roman" w:hAnsi="inherit" w:cs="Times New Roman"/>
            <w:color w:val="0000FF"/>
            <w:sz w:val="24"/>
            <w:szCs w:val="24"/>
            <w:u w:val="single"/>
            <w:lang w:eastAsia="bg-BG"/>
          </w:rPr>
          <w:t> (</w:t>
        </w:r>
        <w:r w:rsidRPr="007D063B">
          <w:rPr>
            <w:rFonts w:ascii="inherit" w:eastAsia="Times New Roman" w:hAnsi="inherit" w:cs="Times New Roman"/>
            <w:color w:val="0000FF"/>
            <w:sz w:val="17"/>
            <w:szCs w:val="17"/>
            <w:u w:val="single"/>
            <w:vertAlign w:val="superscript"/>
            <w:lang w:eastAsia="bg-BG"/>
          </w:rPr>
          <w:t>16</w:t>
        </w:r>
        <w:r w:rsidRPr="007D063B">
          <w:rPr>
            <w:rFonts w:ascii="inherit" w:eastAsia="Times New Roman" w:hAnsi="inherit" w:cs="Times New Roman"/>
            <w:color w:val="0000FF"/>
            <w:sz w:val="24"/>
            <w:szCs w:val="24"/>
            <w:u w:val="single"/>
            <w:lang w:eastAsia="bg-BG"/>
          </w:rPr>
          <w:t>)</w:t>
        </w:r>
      </w:hyperlink>
    </w:p>
    <w:p w14:paraId="65329DC3" w14:textId="295AF4C8" w:rsidR="00B54C34" w:rsidRPr="007D063B" w:rsidRDefault="00B54C34" w:rsidP="00631E2C">
      <w:pPr>
        <w:shd w:val="clear" w:color="auto" w:fill="FFFFFF"/>
        <w:spacing w:before="120" w:after="0" w:line="240" w:lineRule="auto"/>
        <w:jc w:val="both"/>
        <w:rPr>
          <w:rFonts w:ascii="Times New Roman" w:eastAsia="Times New Roman" w:hAnsi="Times New Roman" w:cs="Times New Roman"/>
          <w:color w:val="000000"/>
          <w:sz w:val="24"/>
          <w:szCs w:val="24"/>
          <w:lang w:val="en-US" w:eastAsia="bg-BG"/>
        </w:rPr>
      </w:pPr>
      <w:r w:rsidRPr="007D063B">
        <w:rPr>
          <w:rFonts w:ascii="Times New Roman" w:eastAsia="Times New Roman" w:hAnsi="Times New Roman" w:cs="Times New Roman"/>
          <w:color w:val="000000"/>
          <w:sz w:val="24"/>
          <w:szCs w:val="24"/>
          <w:lang w:eastAsia="bg-BG"/>
        </w:rPr>
        <w:t>Инвестиционен приоритет:</w:t>
      </w:r>
      <w:r w:rsidR="005C5C55" w:rsidRPr="007D063B">
        <w:rPr>
          <w:rFonts w:ascii="Times New Roman" w:eastAsia="Times New Roman" w:hAnsi="Times New Roman" w:cs="Times New Roman"/>
          <w:color w:val="000000"/>
          <w:sz w:val="24"/>
          <w:szCs w:val="24"/>
          <w:lang w:eastAsia="bg-BG"/>
        </w:rPr>
        <w:t xml:space="preserve"> Неприложимо.</w:t>
      </w:r>
    </w:p>
    <w:tbl>
      <w:tblPr>
        <w:tblW w:w="5014" w:type="pct"/>
        <w:tblCellSpacing w:w="0"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left w:w="0" w:type="dxa"/>
          <w:right w:w="0" w:type="dxa"/>
        </w:tblCellMar>
        <w:tblLook w:val="04A0" w:firstRow="1" w:lastRow="0" w:firstColumn="1" w:lastColumn="0" w:noHBand="0" w:noVBand="1"/>
      </w:tblPr>
      <w:tblGrid>
        <w:gridCol w:w="561"/>
        <w:gridCol w:w="1849"/>
        <w:gridCol w:w="852"/>
        <w:gridCol w:w="425"/>
        <w:gridCol w:w="724"/>
        <w:gridCol w:w="696"/>
        <w:gridCol w:w="567"/>
        <w:gridCol w:w="300"/>
        <w:gridCol w:w="154"/>
        <w:gridCol w:w="125"/>
        <w:gridCol w:w="30"/>
        <w:gridCol w:w="330"/>
        <w:gridCol w:w="154"/>
        <w:gridCol w:w="125"/>
        <w:gridCol w:w="30"/>
        <w:gridCol w:w="184"/>
        <w:gridCol w:w="226"/>
        <w:gridCol w:w="200"/>
        <w:gridCol w:w="30"/>
        <w:gridCol w:w="184"/>
        <w:gridCol w:w="226"/>
        <w:gridCol w:w="200"/>
        <w:gridCol w:w="30"/>
        <w:gridCol w:w="184"/>
        <w:gridCol w:w="226"/>
        <w:gridCol w:w="200"/>
        <w:gridCol w:w="30"/>
        <w:gridCol w:w="184"/>
        <w:gridCol w:w="226"/>
        <w:gridCol w:w="200"/>
        <w:gridCol w:w="30"/>
        <w:gridCol w:w="184"/>
        <w:gridCol w:w="226"/>
        <w:gridCol w:w="200"/>
        <w:gridCol w:w="30"/>
        <w:gridCol w:w="184"/>
        <w:gridCol w:w="226"/>
        <w:gridCol w:w="200"/>
        <w:gridCol w:w="30"/>
        <w:gridCol w:w="184"/>
        <w:gridCol w:w="226"/>
        <w:gridCol w:w="200"/>
        <w:gridCol w:w="30"/>
        <w:gridCol w:w="184"/>
        <w:gridCol w:w="226"/>
        <w:gridCol w:w="411"/>
        <w:gridCol w:w="448"/>
        <w:gridCol w:w="192"/>
        <w:gridCol w:w="166"/>
        <w:gridCol w:w="30"/>
        <w:gridCol w:w="648"/>
        <w:gridCol w:w="197"/>
        <w:gridCol w:w="169"/>
      </w:tblGrid>
      <w:tr w:rsidR="00B54C34" w:rsidRPr="007D063B" w14:paraId="41372CDB" w14:textId="77777777" w:rsidTr="005C5C55">
        <w:trPr>
          <w:tblCellSpacing w:w="0" w:type="dxa"/>
        </w:trPr>
        <w:tc>
          <w:tcPr>
            <w:tcW w:w="560" w:type="dxa"/>
            <w:tcBorders>
              <w:top w:val="single" w:sz="6" w:space="0" w:color="000000"/>
              <w:left w:val="single" w:sz="6" w:space="0" w:color="000000"/>
              <w:bottom w:val="single" w:sz="6" w:space="0" w:color="000000"/>
              <w:right w:val="single" w:sz="6" w:space="0" w:color="000000"/>
            </w:tcBorders>
            <w:shd w:val="clear" w:color="auto" w:fill="FFFFFF"/>
            <w:hideMark/>
          </w:tcPr>
          <w:p w14:paraId="61DB3CDF"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Идентификация</w:t>
            </w:r>
          </w:p>
        </w:tc>
        <w:tc>
          <w:tcPr>
            <w:tcW w:w="1844" w:type="dxa"/>
            <w:tcBorders>
              <w:top w:val="single" w:sz="6" w:space="0" w:color="000000"/>
              <w:left w:val="single" w:sz="6" w:space="0" w:color="000000"/>
              <w:bottom w:val="single" w:sz="6" w:space="0" w:color="000000"/>
              <w:right w:val="single" w:sz="6" w:space="0" w:color="000000"/>
            </w:tcBorders>
            <w:shd w:val="clear" w:color="auto" w:fill="FFFFFF"/>
            <w:hideMark/>
          </w:tcPr>
          <w:p w14:paraId="32BB1A98"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Показател (наименование на показателя)</w:t>
            </w:r>
          </w:p>
        </w:tc>
        <w:tc>
          <w:tcPr>
            <w:tcW w:w="850" w:type="dxa"/>
            <w:tcBorders>
              <w:top w:val="single" w:sz="6" w:space="0" w:color="000000"/>
              <w:left w:val="single" w:sz="6" w:space="0" w:color="000000"/>
              <w:bottom w:val="single" w:sz="6" w:space="0" w:color="000000"/>
              <w:right w:val="single" w:sz="6" w:space="0" w:color="000000"/>
            </w:tcBorders>
            <w:shd w:val="clear" w:color="auto" w:fill="FFFFFF"/>
            <w:hideMark/>
          </w:tcPr>
          <w:p w14:paraId="4EF7FC0E"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Категория региони (когато е уместно)</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1A8D7FD4"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Мерна единица</w:t>
            </w:r>
          </w:p>
        </w:tc>
        <w:tc>
          <w:tcPr>
            <w:tcW w:w="198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16D9A38"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Целева стойност (2023 г.)</w:t>
            </w:r>
          </w:p>
        </w:tc>
        <w:tc>
          <w:tcPr>
            <w:tcW w:w="577"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4C224A5"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2014</w:t>
            </w:r>
          </w:p>
        </w:tc>
        <w:tc>
          <w:tcPr>
            <w:tcW w:w="637"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4704A0AA"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2015</w:t>
            </w:r>
          </w:p>
        </w:tc>
        <w:tc>
          <w:tcPr>
            <w:tcW w:w="637"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1794619E"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2016</w:t>
            </w:r>
          </w:p>
        </w:tc>
        <w:tc>
          <w:tcPr>
            <w:tcW w:w="637"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3271A54B"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2017</w:t>
            </w:r>
          </w:p>
        </w:tc>
        <w:tc>
          <w:tcPr>
            <w:tcW w:w="637"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4CDEFF3E"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2018</w:t>
            </w:r>
          </w:p>
        </w:tc>
        <w:tc>
          <w:tcPr>
            <w:tcW w:w="637"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21F2D4ED"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2019</w:t>
            </w:r>
          </w:p>
        </w:tc>
        <w:tc>
          <w:tcPr>
            <w:tcW w:w="637"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7BDF550C"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2020</w:t>
            </w:r>
          </w:p>
        </w:tc>
        <w:tc>
          <w:tcPr>
            <w:tcW w:w="637"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41CE9C1B"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2021</w:t>
            </w:r>
          </w:p>
        </w:tc>
        <w:tc>
          <w:tcPr>
            <w:tcW w:w="637"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2E477D45"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2022</w:t>
            </w:r>
          </w:p>
        </w:tc>
        <w:tc>
          <w:tcPr>
            <w:tcW w:w="848"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079D8228"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2023</w:t>
            </w:r>
          </w:p>
        </w:tc>
        <w:tc>
          <w:tcPr>
            <w:tcW w:w="803"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096F3F3"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Кумулативна стойност (автоматично изчислена)</w:t>
            </w:r>
          </w:p>
        </w:tc>
        <w:tc>
          <w:tcPr>
            <w:tcW w:w="1040"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7A198CB0" w14:textId="77777777" w:rsidR="00B54C34" w:rsidRPr="007D063B" w:rsidRDefault="00B54C34" w:rsidP="00450FF1">
            <w:pPr>
              <w:spacing w:before="120" w:after="0" w:line="240" w:lineRule="auto"/>
              <w:jc w:val="center"/>
              <w:rPr>
                <w:rFonts w:ascii="Times New Roman" w:hAnsi="Times New Roman" w:cs="Times New Roman"/>
                <w:b/>
                <w:sz w:val="16"/>
                <w:szCs w:val="16"/>
              </w:rPr>
            </w:pPr>
            <w:r w:rsidRPr="007D063B">
              <w:rPr>
                <w:rFonts w:ascii="Times New Roman" w:hAnsi="Times New Roman" w:cs="Times New Roman"/>
                <w:b/>
                <w:sz w:val="16"/>
                <w:szCs w:val="16"/>
              </w:rPr>
              <w:t>Съотношение на постиженията</w:t>
            </w:r>
          </w:p>
        </w:tc>
      </w:tr>
      <w:tr w:rsidR="00B54C34" w:rsidRPr="007D063B" w14:paraId="5CCB7322" w14:textId="77777777" w:rsidTr="005C5C55">
        <w:trPr>
          <w:tblCellSpacing w:w="0" w:type="dxa"/>
        </w:trPr>
        <w:tc>
          <w:tcPr>
            <w:tcW w:w="560" w:type="dxa"/>
            <w:tcBorders>
              <w:top w:val="single" w:sz="6" w:space="0" w:color="000000"/>
              <w:left w:val="single" w:sz="6" w:space="0" w:color="000000"/>
              <w:bottom w:val="single" w:sz="6" w:space="0" w:color="000000"/>
              <w:right w:val="single" w:sz="6" w:space="0" w:color="000000"/>
            </w:tcBorders>
            <w:shd w:val="clear" w:color="auto" w:fill="FFFFFF"/>
            <w:hideMark/>
          </w:tcPr>
          <w:p w14:paraId="000574B5" w14:textId="77777777" w:rsidR="00B54C34" w:rsidRPr="007D063B" w:rsidRDefault="00B54C34" w:rsidP="00450FF1">
            <w:pPr>
              <w:spacing w:before="120" w:after="0" w:line="240" w:lineRule="auto"/>
              <w:jc w:val="both"/>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1844" w:type="dxa"/>
            <w:tcBorders>
              <w:top w:val="single" w:sz="6" w:space="0" w:color="000000"/>
              <w:left w:val="single" w:sz="6" w:space="0" w:color="000000"/>
              <w:bottom w:val="single" w:sz="6" w:space="0" w:color="000000"/>
              <w:right w:val="single" w:sz="6" w:space="0" w:color="000000"/>
            </w:tcBorders>
            <w:shd w:val="clear" w:color="auto" w:fill="FFFFFF"/>
            <w:hideMark/>
          </w:tcPr>
          <w:p w14:paraId="6C5AF461" w14:textId="77777777" w:rsidR="00B54C34" w:rsidRPr="007D063B" w:rsidRDefault="00B54C34" w:rsidP="00450FF1">
            <w:pPr>
              <w:spacing w:before="120" w:after="0" w:line="240" w:lineRule="auto"/>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hideMark/>
          </w:tcPr>
          <w:p w14:paraId="785E290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F588F4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8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37DE812" w14:textId="77777777" w:rsidR="00B54C34" w:rsidRPr="007D063B" w:rsidRDefault="00B54C34" w:rsidP="00450FF1">
            <w:pPr>
              <w:spacing w:before="120" w:after="0" w:line="240" w:lineRule="auto"/>
              <w:jc w:val="center"/>
              <w:rPr>
                <w:rFonts w:ascii="Times New Roman" w:hAnsi="Times New Roman" w:cs="Times New Roman"/>
                <w:sz w:val="16"/>
                <w:szCs w:val="16"/>
              </w:rPr>
            </w:pPr>
          </w:p>
        </w:tc>
        <w:tc>
          <w:tcPr>
            <w:tcW w:w="6521" w:type="dxa"/>
            <w:gridSpan w:val="39"/>
            <w:tcBorders>
              <w:top w:val="single" w:sz="6" w:space="0" w:color="000000"/>
              <w:left w:val="single" w:sz="6" w:space="0" w:color="000000"/>
              <w:bottom w:val="single" w:sz="6" w:space="0" w:color="000000"/>
              <w:right w:val="single" w:sz="6" w:space="0" w:color="000000"/>
            </w:tcBorders>
            <w:shd w:val="clear" w:color="auto" w:fill="FFFFFF"/>
            <w:hideMark/>
          </w:tcPr>
          <w:p w14:paraId="603CBA60" w14:textId="77777777" w:rsidR="00B54C34" w:rsidRPr="007D063B" w:rsidRDefault="00B54C34" w:rsidP="00450FF1">
            <w:pPr>
              <w:spacing w:before="60" w:after="60" w:line="240" w:lineRule="auto"/>
              <w:ind w:right="195"/>
              <w:jc w:val="center"/>
              <w:rPr>
                <w:rFonts w:ascii="Times New Roman" w:hAnsi="Times New Roman" w:cs="Times New Roman"/>
                <w:sz w:val="16"/>
                <w:szCs w:val="16"/>
              </w:rPr>
            </w:pPr>
            <w:r w:rsidRPr="007D063B">
              <w:rPr>
                <w:rFonts w:ascii="Times New Roman" w:hAnsi="Times New Roman" w:cs="Times New Roman"/>
                <w:sz w:val="16"/>
                <w:szCs w:val="16"/>
              </w:rPr>
              <w:t>Годишна стойност</w:t>
            </w:r>
          </w:p>
        </w:tc>
        <w:tc>
          <w:tcPr>
            <w:tcW w:w="803"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4C6EBCA" w14:textId="77777777" w:rsidR="00B54C34" w:rsidRPr="007D063B" w:rsidRDefault="00B54C34" w:rsidP="00450FF1">
            <w:pPr>
              <w:spacing w:before="120" w:after="0" w:line="240" w:lineRule="auto"/>
              <w:jc w:val="center"/>
              <w:rPr>
                <w:rFonts w:ascii="Times New Roman" w:hAnsi="Times New Roman" w:cs="Times New Roman"/>
                <w:sz w:val="16"/>
                <w:szCs w:val="16"/>
              </w:rPr>
            </w:pPr>
          </w:p>
        </w:tc>
        <w:tc>
          <w:tcPr>
            <w:tcW w:w="1040"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2E5061FA" w14:textId="77777777" w:rsidR="00B54C34" w:rsidRPr="007D063B" w:rsidRDefault="00B54C34" w:rsidP="00450FF1">
            <w:pPr>
              <w:spacing w:before="120" w:after="0" w:line="240" w:lineRule="auto"/>
              <w:jc w:val="center"/>
              <w:rPr>
                <w:rFonts w:ascii="Times New Roman" w:hAnsi="Times New Roman" w:cs="Times New Roman"/>
                <w:sz w:val="16"/>
                <w:szCs w:val="16"/>
              </w:rPr>
            </w:pPr>
          </w:p>
        </w:tc>
      </w:tr>
      <w:tr w:rsidR="003B73DC" w:rsidRPr="007D063B" w14:paraId="4B244C90" w14:textId="77777777" w:rsidTr="005C5C55">
        <w:tblPrEx>
          <w:tblBorders>
            <w:top w:val="single" w:sz="2" w:space="0" w:color="000000"/>
            <w:left w:val="single" w:sz="2" w:space="0" w:color="000000"/>
            <w:bottom w:val="single" w:sz="2" w:space="0" w:color="000000"/>
            <w:right w:val="single" w:sz="2" w:space="0" w:color="000000"/>
          </w:tblBorders>
        </w:tblPrEx>
        <w:trPr>
          <w:tblCellSpacing w:w="0" w:type="dxa"/>
        </w:trPr>
        <w:tc>
          <w:tcPr>
            <w:tcW w:w="268" w:type="dxa"/>
            <w:tcBorders>
              <w:top w:val="single" w:sz="2" w:space="0" w:color="000000"/>
              <w:left w:val="single" w:sz="2" w:space="0" w:color="000000"/>
              <w:bottom w:val="single" w:sz="2" w:space="0" w:color="000000"/>
              <w:right w:val="single" w:sz="2" w:space="0" w:color="000000"/>
            </w:tcBorders>
            <w:shd w:val="clear" w:color="auto" w:fill="FFFFFF"/>
          </w:tcPr>
          <w:p w14:paraId="0445CC9B"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O5-1</w:t>
            </w:r>
          </w:p>
        </w:tc>
        <w:tc>
          <w:tcPr>
            <w:tcW w:w="885" w:type="dxa"/>
            <w:tcBorders>
              <w:top w:val="single" w:sz="2" w:space="0" w:color="000000"/>
              <w:left w:val="single" w:sz="2" w:space="0" w:color="000000"/>
              <w:bottom w:val="single" w:sz="2" w:space="0" w:color="000000"/>
              <w:right w:val="single" w:sz="2" w:space="0" w:color="000000"/>
            </w:tcBorders>
            <w:shd w:val="clear" w:color="auto" w:fill="FFFFFF"/>
          </w:tcPr>
          <w:p w14:paraId="04C6FCC0"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Обучени служители на УО и членове на КН</w:t>
            </w:r>
          </w:p>
        </w:tc>
        <w:tc>
          <w:tcPr>
            <w:tcW w:w="408" w:type="dxa"/>
            <w:tcBorders>
              <w:top w:val="single" w:sz="2" w:space="0" w:color="000000"/>
              <w:left w:val="single" w:sz="2" w:space="0" w:color="000000"/>
              <w:bottom w:val="single" w:sz="2" w:space="0" w:color="000000"/>
              <w:right w:val="single" w:sz="2" w:space="0" w:color="000000"/>
            </w:tcBorders>
            <w:shd w:val="clear" w:color="auto" w:fill="FFFFFF"/>
          </w:tcPr>
          <w:p w14:paraId="60DB0C31"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204" w:type="dxa"/>
            <w:tcBorders>
              <w:top w:val="single" w:sz="2" w:space="0" w:color="000000"/>
              <w:left w:val="single" w:sz="2" w:space="0" w:color="000000"/>
              <w:bottom w:val="single" w:sz="2" w:space="0" w:color="000000"/>
              <w:right w:val="single" w:sz="2" w:space="0" w:color="000000"/>
            </w:tcBorders>
            <w:shd w:val="clear" w:color="auto" w:fill="FFFFFF"/>
          </w:tcPr>
          <w:p w14:paraId="4E6FA7B7"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Брой</w:t>
            </w:r>
          </w:p>
        </w:tc>
        <w:tc>
          <w:tcPr>
            <w:tcW w:w="347" w:type="dxa"/>
            <w:tcBorders>
              <w:top w:val="single" w:sz="2" w:space="0" w:color="000000"/>
              <w:left w:val="single" w:sz="2" w:space="0" w:color="000000"/>
              <w:bottom w:val="single" w:sz="2" w:space="0" w:color="000000"/>
              <w:right w:val="single" w:sz="2" w:space="0" w:color="000000"/>
            </w:tcBorders>
            <w:shd w:val="clear" w:color="auto" w:fill="FFFFFF"/>
          </w:tcPr>
          <w:p w14:paraId="2C81F13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2400</w:t>
            </w:r>
          </w:p>
        </w:tc>
        <w:tc>
          <w:tcPr>
            <w:tcW w:w="333" w:type="dxa"/>
            <w:tcBorders>
              <w:top w:val="single" w:sz="2" w:space="0" w:color="000000"/>
              <w:left w:val="single" w:sz="2" w:space="0" w:color="000000"/>
              <w:bottom w:val="single" w:sz="2" w:space="0" w:color="000000"/>
              <w:right w:val="single" w:sz="2" w:space="0" w:color="000000"/>
            </w:tcBorders>
            <w:shd w:val="clear" w:color="auto" w:fill="FFFFFF"/>
          </w:tcPr>
          <w:p w14:paraId="1010C89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71" w:type="dxa"/>
            <w:tcBorders>
              <w:top w:val="single" w:sz="2" w:space="0" w:color="000000"/>
              <w:left w:val="single" w:sz="2" w:space="0" w:color="000000"/>
              <w:bottom w:val="single" w:sz="2" w:space="0" w:color="000000"/>
              <w:right w:val="single" w:sz="2" w:space="0" w:color="000000"/>
            </w:tcBorders>
            <w:shd w:val="clear" w:color="auto" w:fill="FFFFFF"/>
          </w:tcPr>
          <w:p w14:paraId="6EEC265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43" w:type="dxa"/>
            <w:tcBorders>
              <w:top w:val="single" w:sz="2" w:space="0" w:color="000000"/>
              <w:left w:val="single" w:sz="2" w:space="0" w:color="000000"/>
              <w:bottom w:val="single" w:sz="2" w:space="0" w:color="000000"/>
              <w:right w:val="single" w:sz="2" w:space="0" w:color="000000"/>
            </w:tcBorders>
            <w:shd w:val="clear" w:color="auto" w:fill="FFFFFF"/>
          </w:tcPr>
          <w:p w14:paraId="7488B1FF" w14:textId="77777777" w:rsidR="00B54C34" w:rsidRPr="007D063B" w:rsidRDefault="00B54C34" w:rsidP="00450FF1">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lang w:val="en-US"/>
              </w:rPr>
              <w:t>0</w:t>
            </w:r>
          </w:p>
        </w:tc>
        <w:tc>
          <w:tcPr>
            <w:tcW w:w="73" w:type="dxa"/>
            <w:tcBorders>
              <w:top w:val="single" w:sz="2" w:space="0" w:color="000000"/>
              <w:left w:val="single" w:sz="2" w:space="0" w:color="000000"/>
              <w:bottom w:val="single" w:sz="2" w:space="0" w:color="000000"/>
              <w:right w:val="single" w:sz="2" w:space="0" w:color="000000"/>
            </w:tcBorders>
            <w:shd w:val="clear" w:color="auto" w:fill="FFFFFF"/>
          </w:tcPr>
          <w:p w14:paraId="3B21795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4" w:type="dxa"/>
            <w:gridSpan w:val="2"/>
            <w:tcBorders>
              <w:top w:val="single" w:sz="2" w:space="0" w:color="000000"/>
              <w:left w:val="single" w:sz="2" w:space="0" w:color="000000"/>
              <w:bottom w:val="single" w:sz="2" w:space="0" w:color="000000"/>
              <w:right w:val="single" w:sz="2" w:space="0" w:color="000000"/>
            </w:tcBorders>
            <w:shd w:val="clear" w:color="auto" w:fill="FFFFFF"/>
          </w:tcPr>
          <w:p w14:paraId="0E3932F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7" w:type="dxa"/>
            <w:tcBorders>
              <w:top w:val="single" w:sz="2" w:space="0" w:color="000000"/>
              <w:left w:val="single" w:sz="2" w:space="0" w:color="000000"/>
              <w:bottom w:val="single" w:sz="2" w:space="0" w:color="000000"/>
              <w:right w:val="single" w:sz="2" w:space="0" w:color="000000"/>
            </w:tcBorders>
            <w:shd w:val="clear" w:color="auto" w:fill="FFFFFF"/>
          </w:tcPr>
          <w:p w14:paraId="4364C2DC" w14:textId="77777777" w:rsidR="00B54C34" w:rsidRPr="007D063B" w:rsidRDefault="00B54C34" w:rsidP="00450FF1">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lang w:val="en-US"/>
              </w:rPr>
              <w:t>0</w:t>
            </w:r>
          </w:p>
        </w:tc>
        <w:tc>
          <w:tcPr>
            <w:tcW w:w="73" w:type="dxa"/>
            <w:tcBorders>
              <w:top w:val="single" w:sz="2" w:space="0" w:color="000000"/>
              <w:left w:val="single" w:sz="2" w:space="0" w:color="000000"/>
              <w:bottom w:val="single" w:sz="2" w:space="0" w:color="000000"/>
              <w:right w:val="single" w:sz="2" w:space="0" w:color="000000"/>
            </w:tcBorders>
            <w:shd w:val="clear" w:color="auto" w:fill="FFFFFF"/>
          </w:tcPr>
          <w:p w14:paraId="0B94544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74" w:type="dxa"/>
            <w:gridSpan w:val="2"/>
            <w:tcBorders>
              <w:top w:val="single" w:sz="2" w:space="0" w:color="000000"/>
              <w:left w:val="single" w:sz="2" w:space="0" w:color="000000"/>
              <w:bottom w:val="single" w:sz="2" w:space="0" w:color="000000"/>
              <w:right w:val="single" w:sz="2" w:space="0" w:color="000000"/>
            </w:tcBorders>
            <w:shd w:val="clear" w:color="auto" w:fill="FFFFFF"/>
          </w:tcPr>
          <w:p w14:paraId="5472FAC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7" w:type="dxa"/>
            <w:tcBorders>
              <w:top w:val="single" w:sz="2" w:space="0" w:color="000000"/>
              <w:left w:val="single" w:sz="2" w:space="0" w:color="000000"/>
              <w:bottom w:val="single" w:sz="2" w:space="0" w:color="000000"/>
              <w:right w:val="single" w:sz="2" w:space="0" w:color="000000"/>
            </w:tcBorders>
            <w:shd w:val="clear" w:color="auto" w:fill="FFFFFF"/>
          </w:tcPr>
          <w:p w14:paraId="5A0B2783" w14:textId="12AE8CB6" w:rsidR="00B54C34" w:rsidRPr="007D063B" w:rsidRDefault="0074364A"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288</w:t>
            </w:r>
          </w:p>
        </w:tc>
        <w:tc>
          <w:tcPr>
            <w:tcW w:w="108" w:type="dxa"/>
            <w:tcBorders>
              <w:top w:val="single" w:sz="2" w:space="0" w:color="000000"/>
              <w:left w:val="single" w:sz="2" w:space="0" w:color="000000"/>
              <w:bottom w:val="single" w:sz="2" w:space="0" w:color="000000"/>
              <w:right w:val="single" w:sz="2" w:space="0" w:color="000000"/>
            </w:tcBorders>
            <w:shd w:val="clear" w:color="auto" w:fill="FFFFFF"/>
          </w:tcPr>
          <w:p w14:paraId="78F7C58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09" w:type="dxa"/>
            <w:gridSpan w:val="2"/>
            <w:tcBorders>
              <w:top w:val="single" w:sz="2" w:space="0" w:color="000000"/>
              <w:left w:val="single" w:sz="2" w:space="0" w:color="000000"/>
              <w:bottom w:val="single" w:sz="2" w:space="0" w:color="000000"/>
              <w:right w:val="single" w:sz="2" w:space="0" w:color="000000"/>
            </w:tcBorders>
            <w:shd w:val="clear" w:color="auto" w:fill="FFFFFF"/>
          </w:tcPr>
          <w:p w14:paraId="546185F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7" w:type="dxa"/>
            <w:tcBorders>
              <w:top w:val="single" w:sz="2" w:space="0" w:color="000000"/>
              <w:left w:val="single" w:sz="2" w:space="0" w:color="000000"/>
              <w:bottom w:val="single" w:sz="2" w:space="0" w:color="000000"/>
              <w:right w:val="single" w:sz="2" w:space="0" w:color="000000"/>
            </w:tcBorders>
            <w:shd w:val="clear" w:color="auto" w:fill="FFFFFF"/>
          </w:tcPr>
          <w:p w14:paraId="3C5D17F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08" w:type="dxa"/>
            <w:tcBorders>
              <w:top w:val="single" w:sz="2" w:space="0" w:color="000000"/>
              <w:left w:val="single" w:sz="2" w:space="0" w:color="000000"/>
              <w:bottom w:val="single" w:sz="2" w:space="0" w:color="000000"/>
              <w:right w:val="single" w:sz="2" w:space="0" w:color="000000"/>
            </w:tcBorders>
            <w:shd w:val="clear" w:color="auto" w:fill="FFFFFF"/>
          </w:tcPr>
          <w:p w14:paraId="5A6C4FC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09" w:type="dxa"/>
            <w:gridSpan w:val="2"/>
            <w:tcBorders>
              <w:top w:val="single" w:sz="2" w:space="0" w:color="000000"/>
              <w:left w:val="single" w:sz="2" w:space="0" w:color="000000"/>
              <w:bottom w:val="single" w:sz="2" w:space="0" w:color="000000"/>
              <w:right w:val="single" w:sz="2" w:space="0" w:color="000000"/>
            </w:tcBorders>
            <w:shd w:val="clear" w:color="auto" w:fill="FFFFFF"/>
          </w:tcPr>
          <w:p w14:paraId="083CFC8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7" w:type="dxa"/>
            <w:tcBorders>
              <w:top w:val="single" w:sz="2" w:space="0" w:color="000000"/>
              <w:left w:val="single" w:sz="2" w:space="0" w:color="000000"/>
              <w:bottom w:val="single" w:sz="2" w:space="0" w:color="000000"/>
              <w:right w:val="single" w:sz="2" w:space="0" w:color="000000"/>
            </w:tcBorders>
            <w:shd w:val="clear" w:color="auto" w:fill="FFFFFF"/>
          </w:tcPr>
          <w:p w14:paraId="26B0973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08" w:type="dxa"/>
            <w:tcBorders>
              <w:top w:val="single" w:sz="2" w:space="0" w:color="000000"/>
              <w:left w:val="single" w:sz="2" w:space="0" w:color="000000"/>
              <w:bottom w:val="single" w:sz="2" w:space="0" w:color="000000"/>
              <w:right w:val="single" w:sz="2" w:space="0" w:color="000000"/>
            </w:tcBorders>
            <w:shd w:val="clear" w:color="auto" w:fill="FFFFFF"/>
          </w:tcPr>
          <w:p w14:paraId="5FA6007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09" w:type="dxa"/>
            <w:gridSpan w:val="2"/>
            <w:tcBorders>
              <w:top w:val="single" w:sz="2" w:space="0" w:color="000000"/>
              <w:left w:val="single" w:sz="2" w:space="0" w:color="000000"/>
              <w:bottom w:val="single" w:sz="2" w:space="0" w:color="000000"/>
              <w:right w:val="single" w:sz="2" w:space="0" w:color="000000"/>
            </w:tcBorders>
            <w:shd w:val="clear" w:color="auto" w:fill="FFFFFF"/>
          </w:tcPr>
          <w:p w14:paraId="7E6C5C6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7" w:type="dxa"/>
            <w:tcBorders>
              <w:top w:val="single" w:sz="2" w:space="0" w:color="000000"/>
              <w:left w:val="single" w:sz="2" w:space="0" w:color="000000"/>
              <w:bottom w:val="single" w:sz="2" w:space="0" w:color="000000"/>
              <w:right w:val="single" w:sz="2" w:space="0" w:color="000000"/>
            </w:tcBorders>
            <w:shd w:val="clear" w:color="auto" w:fill="FFFFFF"/>
          </w:tcPr>
          <w:p w14:paraId="1E2285D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08" w:type="dxa"/>
            <w:tcBorders>
              <w:top w:val="single" w:sz="2" w:space="0" w:color="000000"/>
              <w:left w:val="single" w:sz="2" w:space="0" w:color="000000"/>
              <w:bottom w:val="single" w:sz="2" w:space="0" w:color="000000"/>
              <w:right w:val="single" w:sz="2" w:space="0" w:color="000000"/>
            </w:tcBorders>
            <w:shd w:val="clear" w:color="auto" w:fill="FFFFFF"/>
          </w:tcPr>
          <w:p w14:paraId="2D760EA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09" w:type="dxa"/>
            <w:gridSpan w:val="2"/>
            <w:tcBorders>
              <w:top w:val="single" w:sz="2" w:space="0" w:color="000000"/>
              <w:left w:val="single" w:sz="2" w:space="0" w:color="000000"/>
              <w:bottom w:val="single" w:sz="2" w:space="0" w:color="000000"/>
              <w:right w:val="single" w:sz="2" w:space="0" w:color="000000"/>
            </w:tcBorders>
            <w:shd w:val="clear" w:color="auto" w:fill="FFFFFF"/>
          </w:tcPr>
          <w:p w14:paraId="251E072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7" w:type="dxa"/>
            <w:tcBorders>
              <w:top w:val="single" w:sz="2" w:space="0" w:color="000000"/>
              <w:left w:val="single" w:sz="2" w:space="0" w:color="000000"/>
              <w:bottom w:val="single" w:sz="2" w:space="0" w:color="000000"/>
              <w:right w:val="single" w:sz="2" w:space="0" w:color="000000"/>
            </w:tcBorders>
            <w:shd w:val="clear" w:color="auto" w:fill="FFFFFF"/>
          </w:tcPr>
          <w:p w14:paraId="0C05F44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08" w:type="dxa"/>
            <w:tcBorders>
              <w:top w:val="single" w:sz="2" w:space="0" w:color="000000"/>
              <w:left w:val="single" w:sz="2" w:space="0" w:color="000000"/>
              <w:bottom w:val="single" w:sz="2" w:space="0" w:color="000000"/>
              <w:right w:val="single" w:sz="2" w:space="0" w:color="000000"/>
            </w:tcBorders>
            <w:shd w:val="clear" w:color="auto" w:fill="FFFFFF"/>
          </w:tcPr>
          <w:p w14:paraId="5B794B1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09" w:type="dxa"/>
            <w:gridSpan w:val="2"/>
            <w:tcBorders>
              <w:top w:val="single" w:sz="2" w:space="0" w:color="000000"/>
              <w:left w:val="single" w:sz="2" w:space="0" w:color="000000"/>
              <w:bottom w:val="single" w:sz="2" w:space="0" w:color="000000"/>
              <w:right w:val="single" w:sz="2" w:space="0" w:color="000000"/>
            </w:tcBorders>
            <w:shd w:val="clear" w:color="auto" w:fill="FFFFFF"/>
          </w:tcPr>
          <w:p w14:paraId="5741AE0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7" w:type="dxa"/>
            <w:tcBorders>
              <w:top w:val="single" w:sz="2" w:space="0" w:color="000000"/>
              <w:left w:val="single" w:sz="2" w:space="0" w:color="000000"/>
              <w:bottom w:val="single" w:sz="2" w:space="0" w:color="000000"/>
              <w:right w:val="single" w:sz="2" w:space="0" w:color="000000"/>
            </w:tcBorders>
            <w:shd w:val="clear" w:color="auto" w:fill="FFFFFF"/>
          </w:tcPr>
          <w:p w14:paraId="0DBD4C9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08" w:type="dxa"/>
            <w:tcBorders>
              <w:top w:val="single" w:sz="2" w:space="0" w:color="000000"/>
              <w:left w:val="single" w:sz="2" w:space="0" w:color="000000"/>
              <w:bottom w:val="single" w:sz="2" w:space="0" w:color="000000"/>
              <w:right w:val="single" w:sz="2" w:space="0" w:color="000000"/>
            </w:tcBorders>
            <w:shd w:val="clear" w:color="auto" w:fill="FFFFFF"/>
          </w:tcPr>
          <w:p w14:paraId="3230B3E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09" w:type="dxa"/>
            <w:gridSpan w:val="2"/>
            <w:tcBorders>
              <w:top w:val="single" w:sz="2" w:space="0" w:color="000000"/>
              <w:left w:val="single" w:sz="2" w:space="0" w:color="000000"/>
              <w:bottom w:val="single" w:sz="2" w:space="0" w:color="000000"/>
              <w:right w:val="single" w:sz="2" w:space="0" w:color="000000"/>
            </w:tcBorders>
            <w:shd w:val="clear" w:color="auto" w:fill="FFFFFF"/>
          </w:tcPr>
          <w:p w14:paraId="11722D0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7" w:type="dxa"/>
            <w:tcBorders>
              <w:top w:val="single" w:sz="2" w:space="0" w:color="000000"/>
              <w:left w:val="single" w:sz="2" w:space="0" w:color="000000"/>
              <w:bottom w:val="single" w:sz="2" w:space="0" w:color="000000"/>
              <w:right w:val="single" w:sz="2" w:space="0" w:color="000000"/>
            </w:tcBorders>
            <w:shd w:val="clear" w:color="auto" w:fill="FFFFFF"/>
          </w:tcPr>
          <w:p w14:paraId="6435973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08" w:type="dxa"/>
            <w:tcBorders>
              <w:top w:val="single" w:sz="2" w:space="0" w:color="000000"/>
              <w:left w:val="single" w:sz="2" w:space="0" w:color="000000"/>
              <w:bottom w:val="single" w:sz="2" w:space="0" w:color="000000"/>
              <w:right w:val="single" w:sz="2" w:space="0" w:color="000000"/>
            </w:tcBorders>
            <w:shd w:val="clear" w:color="auto" w:fill="FFFFFF"/>
          </w:tcPr>
          <w:p w14:paraId="76F8067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09" w:type="dxa"/>
            <w:gridSpan w:val="2"/>
            <w:tcBorders>
              <w:top w:val="single" w:sz="2" w:space="0" w:color="000000"/>
              <w:left w:val="single" w:sz="2" w:space="0" w:color="000000"/>
              <w:bottom w:val="single" w:sz="2" w:space="0" w:color="000000"/>
              <w:right w:val="single" w:sz="2" w:space="0" w:color="000000"/>
            </w:tcBorders>
            <w:shd w:val="clear" w:color="auto" w:fill="FFFFFF"/>
          </w:tcPr>
          <w:p w14:paraId="241D782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7" w:type="dxa"/>
            <w:tcBorders>
              <w:top w:val="single" w:sz="2" w:space="0" w:color="000000"/>
              <w:left w:val="single" w:sz="2" w:space="0" w:color="000000"/>
              <w:bottom w:val="single" w:sz="2" w:space="0" w:color="000000"/>
              <w:right w:val="single" w:sz="2" w:space="0" w:color="000000"/>
            </w:tcBorders>
            <w:shd w:val="clear" w:color="auto" w:fill="FFFFFF"/>
          </w:tcPr>
          <w:p w14:paraId="1998019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08" w:type="dxa"/>
            <w:tcBorders>
              <w:top w:val="single" w:sz="2" w:space="0" w:color="000000"/>
              <w:left w:val="single" w:sz="2" w:space="0" w:color="000000"/>
              <w:bottom w:val="single" w:sz="2" w:space="0" w:color="000000"/>
              <w:right w:val="single" w:sz="2" w:space="0" w:color="000000"/>
            </w:tcBorders>
            <w:shd w:val="clear" w:color="auto" w:fill="FFFFFF"/>
          </w:tcPr>
          <w:p w14:paraId="7781838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6" w:type="dxa"/>
            <w:tcBorders>
              <w:top w:val="single" w:sz="2" w:space="0" w:color="000000"/>
              <w:left w:val="single" w:sz="2" w:space="0" w:color="000000"/>
              <w:bottom w:val="single" w:sz="2" w:space="0" w:color="000000"/>
              <w:right w:val="single" w:sz="2" w:space="0" w:color="000000"/>
            </w:tcBorders>
            <w:shd w:val="clear" w:color="auto" w:fill="FFFFFF"/>
          </w:tcPr>
          <w:p w14:paraId="3EA08A9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14" w:type="dxa"/>
            <w:tcBorders>
              <w:top w:val="single" w:sz="2" w:space="0" w:color="000000"/>
              <w:left w:val="single" w:sz="2" w:space="0" w:color="000000"/>
              <w:bottom w:val="single" w:sz="2" w:space="0" w:color="000000"/>
              <w:right w:val="single" w:sz="2" w:space="0" w:color="000000"/>
            </w:tcBorders>
            <w:shd w:val="clear" w:color="auto" w:fill="FFFFFF"/>
          </w:tcPr>
          <w:p w14:paraId="2FF0CE7E" w14:textId="7F4A70EE" w:rsidR="00B54C34" w:rsidRPr="007D063B" w:rsidRDefault="0074364A"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eastAsia="bg-BG"/>
              </w:rPr>
              <w:t>288</w:t>
            </w:r>
          </w:p>
        </w:tc>
        <w:tc>
          <w:tcPr>
            <w:tcW w:w="91" w:type="dxa"/>
            <w:tcBorders>
              <w:top w:val="single" w:sz="2" w:space="0" w:color="000000"/>
              <w:left w:val="single" w:sz="2" w:space="0" w:color="000000"/>
              <w:bottom w:val="single" w:sz="2" w:space="0" w:color="000000"/>
              <w:right w:val="single" w:sz="2" w:space="0" w:color="000000"/>
            </w:tcBorders>
            <w:shd w:val="clear" w:color="auto" w:fill="FFFFFF"/>
          </w:tcPr>
          <w:p w14:paraId="442E8E3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93" w:type="dxa"/>
            <w:gridSpan w:val="2"/>
            <w:tcBorders>
              <w:top w:val="single" w:sz="2" w:space="0" w:color="000000"/>
              <w:left w:val="single" w:sz="2" w:space="0" w:color="000000"/>
              <w:bottom w:val="single" w:sz="2" w:space="0" w:color="000000"/>
              <w:right w:val="single" w:sz="2" w:space="0" w:color="000000"/>
            </w:tcBorders>
            <w:shd w:val="clear" w:color="auto" w:fill="FFFFFF"/>
          </w:tcPr>
          <w:p w14:paraId="4913AB8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10" w:type="dxa"/>
            <w:tcBorders>
              <w:top w:val="single" w:sz="2" w:space="0" w:color="000000"/>
              <w:left w:val="single" w:sz="2" w:space="0" w:color="000000"/>
              <w:bottom w:val="single" w:sz="2" w:space="0" w:color="000000"/>
              <w:right w:val="single" w:sz="2" w:space="0" w:color="000000"/>
            </w:tcBorders>
            <w:shd w:val="clear" w:color="auto" w:fill="FFFFFF"/>
          </w:tcPr>
          <w:p w14:paraId="12A82D11" w14:textId="65DB496E" w:rsidR="00B54C34" w:rsidRPr="007D063B" w:rsidRDefault="00410799"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0,12</w:t>
            </w:r>
          </w:p>
        </w:tc>
        <w:tc>
          <w:tcPr>
            <w:tcW w:w="94" w:type="dxa"/>
            <w:tcBorders>
              <w:top w:val="single" w:sz="2" w:space="0" w:color="000000"/>
              <w:left w:val="single" w:sz="2" w:space="0" w:color="000000"/>
              <w:bottom w:val="single" w:sz="2" w:space="0" w:color="000000"/>
              <w:right w:val="single" w:sz="2" w:space="0" w:color="000000"/>
            </w:tcBorders>
            <w:shd w:val="clear" w:color="auto" w:fill="FFFFFF"/>
          </w:tcPr>
          <w:p w14:paraId="58D5A28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80" w:type="dxa"/>
            <w:tcBorders>
              <w:top w:val="single" w:sz="2" w:space="0" w:color="000000"/>
              <w:left w:val="single" w:sz="2" w:space="0" w:color="000000"/>
              <w:bottom w:val="single" w:sz="2" w:space="0" w:color="000000"/>
              <w:right w:val="single" w:sz="2" w:space="0" w:color="000000"/>
            </w:tcBorders>
            <w:shd w:val="clear" w:color="auto" w:fill="FFFFFF"/>
          </w:tcPr>
          <w:p w14:paraId="16C97F4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67940776" w14:textId="77777777" w:rsidTr="005C5C55">
        <w:trPr>
          <w:tblCellSpacing w:w="0" w:type="dxa"/>
        </w:trPr>
        <w:tc>
          <w:tcPr>
            <w:tcW w:w="560" w:type="dxa"/>
            <w:tcBorders>
              <w:top w:val="single" w:sz="6" w:space="0" w:color="000000"/>
              <w:left w:val="single" w:sz="6" w:space="0" w:color="000000"/>
              <w:bottom w:val="single" w:sz="6" w:space="0" w:color="000000"/>
              <w:right w:val="single" w:sz="6" w:space="0" w:color="000000"/>
            </w:tcBorders>
            <w:shd w:val="clear" w:color="auto" w:fill="FFFFFF"/>
          </w:tcPr>
          <w:p w14:paraId="4A9A09A0"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O5-2</w:t>
            </w: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14:paraId="12702CC0"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Проведени заседания на КН</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14:paraId="74716B42"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Pr>
          <w:p w14:paraId="3E2CB4F1"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Брой</w:t>
            </w:r>
          </w:p>
        </w:tc>
        <w:tc>
          <w:tcPr>
            <w:tcW w:w="723" w:type="dxa"/>
            <w:tcBorders>
              <w:top w:val="single" w:sz="6" w:space="0" w:color="000000"/>
              <w:left w:val="single" w:sz="6" w:space="0" w:color="000000"/>
              <w:bottom w:val="single" w:sz="6" w:space="0" w:color="000000"/>
              <w:right w:val="single" w:sz="6" w:space="0" w:color="000000"/>
            </w:tcBorders>
            <w:shd w:val="clear" w:color="auto" w:fill="FFFFFF"/>
          </w:tcPr>
          <w:p w14:paraId="5426660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20</w:t>
            </w:r>
          </w:p>
          <w:p w14:paraId="60250AA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95" w:type="dxa"/>
            <w:tcBorders>
              <w:top w:val="single" w:sz="6" w:space="0" w:color="000000"/>
              <w:left w:val="single" w:sz="6" w:space="0" w:color="000000"/>
              <w:bottom w:val="single" w:sz="6" w:space="0" w:color="000000"/>
              <w:right w:val="single" w:sz="6" w:space="0" w:color="000000"/>
            </w:tcBorders>
            <w:shd w:val="clear" w:color="auto" w:fill="FFFFFF"/>
          </w:tcPr>
          <w:p w14:paraId="0815DED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66" w:type="dxa"/>
            <w:tcBorders>
              <w:top w:val="single" w:sz="6" w:space="0" w:color="000000"/>
              <w:left w:val="single" w:sz="6" w:space="0" w:color="000000"/>
              <w:bottom w:val="single" w:sz="6" w:space="0" w:color="000000"/>
              <w:right w:val="single" w:sz="6" w:space="0" w:color="000000"/>
            </w:tcBorders>
            <w:shd w:val="clear" w:color="auto" w:fill="FFFFFF"/>
          </w:tcPr>
          <w:p w14:paraId="4A13A15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99" w:type="dxa"/>
            <w:tcBorders>
              <w:top w:val="single" w:sz="6" w:space="0" w:color="000000"/>
              <w:left w:val="single" w:sz="6" w:space="0" w:color="000000"/>
              <w:bottom w:val="single" w:sz="6" w:space="0" w:color="000000"/>
              <w:right w:val="single" w:sz="6" w:space="0" w:color="000000"/>
            </w:tcBorders>
            <w:shd w:val="clear" w:color="auto" w:fill="FFFFFF"/>
          </w:tcPr>
          <w:p w14:paraId="6E219DBC" w14:textId="77777777" w:rsidR="00B54C34" w:rsidRPr="007D063B" w:rsidRDefault="00B54C34" w:rsidP="00450FF1">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1AAD1D4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7E49CAF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29" w:type="dxa"/>
            <w:tcBorders>
              <w:top w:val="single" w:sz="6" w:space="0" w:color="000000"/>
              <w:left w:val="single" w:sz="6" w:space="0" w:color="000000"/>
              <w:bottom w:val="single" w:sz="6" w:space="0" w:color="000000"/>
              <w:right w:val="single" w:sz="6" w:space="0" w:color="000000"/>
            </w:tcBorders>
            <w:shd w:val="clear" w:color="auto" w:fill="FFFFFF"/>
          </w:tcPr>
          <w:p w14:paraId="6FFB73B0" w14:textId="77777777" w:rsidR="00B54C34" w:rsidRPr="007D063B" w:rsidRDefault="00B54C34" w:rsidP="00450FF1">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1C9215C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2B597FD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2389C561" w14:textId="0957C7F2" w:rsidR="00B54C34" w:rsidRPr="007D063B" w:rsidRDefault="00B3632D"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3</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7765DA2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196EE1B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4DD4D66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793239D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16E1895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655F2DF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0F7348A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54B6118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67CBDF2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133CDD5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210359D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1899AEA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5ACCE1B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00FC7FD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71C19B8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2B78288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3BB818D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209CC5D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395FBB7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28A80B6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51C9CD8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45DE717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10" w:type="dxa"/>
            <w:tcBorders>
              <w:top w:val="single" w:sz="6" w:space="0" w:color="000000"/>
              <w:left w:val="single" w:sz="6" w:space="0" w:color="000000"/>
              <w:bottom w:val="single" w:sz="6" w:space="0" w:color="000000"/>
              <w:right w:val="single" w:sz="6" w:space="0" w:color="000000"/>
            </w:tcBorders>
            <w:shd w:val="clear" w:color="auto" w:fill="FFFFFF"/>
          </w:tcPr>
          <w:p w14:paraId="01B479C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47" w:type="dxa"/>
            <w:tcBorders>
              <w:top w:val="single" w:sz="6" w:space="0" w:color="000000"/>
              <w:left w:val="single" w:sz="6" w:space="0" w:color="000000"/>
              <w:bottom w:val="single" w:sz="6" w:space="0" w:color="000000"/>
              <w:right w:val="single" w:sz="6" w:space="0" w:color="000000"/>
            </w:tcBorders>
            <w:shd w:val="clear" w:color="auto" w:fill="FFFFFF"/>
          </w:tcPr>
          <w:p w14:paraId="03B108C3" w14:textId="289CDB40" w:rsidR="00B54C34" w:rsidRPr="007D063B" w:rsidRDefault="00B3632D"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eastAsia="bg-BG"/>
              </w:rPr>
              <w:t>3</w:t>
            </w:r>
          </w:p>
        </w:tc>
        <w:tc>
          <w:tcPr>
            <w:tcW w:w="191" w:type="dxa"/>
            <w:tcBorders>
              <w:top w:val="single" w:sz="6" w:space="0" w:color="000000"/>
              <w:left w:val="single" w:sz="6" w:space="0" w:color="000000"/>
              <w:bottom w:val="single" w:sz="6" w:space="0" w:color="000000"/>
              <w:right w:val="single" w:sz="6" w:space="0" w:color="000000"/>
            </w:tcBorders>
            <w:shd w:val="clear" w:color="auto" w:fill="FFFFFF"/>
          </w:tcPr>
          <w:p w14:paraId="39A9D42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5" w:type="dxa"/>
            <w:gridSpan w:val="2"/>
            <w:tcBorders>
              <w:top w:val="single" w:sz="6" w:space="0" w:color="000000"/>
              <w:left w:val="single" w:sz="6" w:space="0" w:color="000000"/>
              <w:bottom w:val="single" w:sz="6" w:space="0" w:color="000000"/>
              <w:right w:val="single" w:sz="6" w:space="0" w:color="000000"/>
            </w:tcBorders>
            <w:shd w:val="clear" w:color="auto" w:fill="FFFFFF"/>
          </w:tcPr>
          <w:p w14:paraId="433D505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46" w:type="dxa"/>
            <w:tcBorders>
              <w:top w:val="single" w:sz="6" w:space="0" w:color="000000"/>
              <w:left w:val="single" w:sz="6" w:space="0" w:color="000000"/>
              <w:bottom w:val="single" w:sz="6" w:space="0" w:color="000000"/>
              <w:right w:val="single" w:sz="6" w:space="0" w:color="000000"/>
            </w:tcBorders>
            <w:shd w:val="clear" w:color="auto" w:fill="FFFFFF"/>
          </w:tcPr>
          <w:p w14:paraId="224055FA" w14:textId="2493FB5F" w:rsidR="00B54C34" w:rsidRPr="007D063B" w:rsidRDefault="00410799"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0,15</w:t>
            </w:r>
          </w:p>
        </w:tc>
        <w:tc>
          <w:tcPr>
            <w:tcW w:w="196" w:type="dxa"/>
            <w:tcBorders>
              <w:top w:val="single" w:sz="6" w:space="0" w:color="000000"/>
              <w:left w:val="single" w:sz="6" w:space="0" w:color="000000"/>
              <w:bottom w:val="single" w:sz="6" w:space="0" w:color="000000"/>
              <w:right w:val="single" w:sz="6" w:space="0" w:color="000000"/>
            </w:tcBorders>
            <w:shd w:val="clear" w:color="auto" w:fill="FFFFFF"/>
          </w:tcPr>
          <w:p w14:paraId="192F240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68" w:type="dxa"/>
            <w:tcBorders>
              <w:top w:val="single" w:sz="6" w:space="0" w:color="000000"/>
              <w:left w:val="single" w:sz="6" w:space="0" w:color="000000"/>
              <w:bottom w:val="single" w:sz="6" w:space="0" w:color="000000"/>
              <w:right w:val="single" w:sz="6" w:space="0" w:color="000000"/>
            </w:tcBorders>
            <w:shd w:val="clear" w:color="auto" w:fill="FFFFFF"/>
          </w:tcPr>
          <w:p w14:paraId="4085C99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103C024C" w14:textId="77777777" w:rsidTr="005C5C55">
        <w:trPr>
          <w:tblCellSpacing w:w="0" w:type="dxa"/>
        </w:trPr>
        <w:tc>
          <w:tcPr>
            <w:tcW w:w="560" w:type="dxa"/>
            <w:tcBorders>
              <w:top w:val="single" w:sz="6" w:space="0" w:color="000000"/>
              <w:left w:val="single" w:sz="6" w:space="0" w:color="000000"/>
              <w:bottom w:val="single" w:sz="6" w:space="0" w:color="000000"/>
              <w:right w:val="single" w:sz="6" w:space="0" w:color="000000"/>
            </w:tcBorders>
            <w:shd w:val="clear" w:color="auto" w:fill="FFFFFF"/>
          </w:tcPr>
          <w:p w14:paraId="34EF3700"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O5-3</w:t>
            </w: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14:paraId="581DBB83"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Извършени оценки на ОПДУ, приоритети, процедури и пр.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14:paraId="07AF797E"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Pr>
          <w:p w14:paraId="71D495A3"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Брой</w:t>
            </w:r>
          </w:p>
        </w:tc>
        <w:tc>
          <w:tcPr>
            <w:tcW w:w="723" w:type="dxa"/>
            <w:tcBorders>
              <w:top w:val="single" w:sz="6" w:space="0" w:color="000000"/>
              <w:left w:val="single" w:sz="6" w:space="0" w:color="000000"/>
              <w:bottom w:val="single" w:sz="6" w:space="0" w:color="000000"/>
              <w:right w:val="single" w:sz="6" w:space="0" w:color="000000"/>
            </w:tcBorders>
            <w:shd w:val="clear" w:color="auto" w:fill="FFFFFF"/>
          </w:tcPr>
          <w:p w14:paraId="037D774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10</w:t>
            </w:r>
          </w:p>
          <w:p w14:paraId="7F5538A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95" w:type="dxa"/>
            <w:tcBorders>
              <w:top w:val="single" w:sz="6" w:space="0" w:color="000000"/>
              <w:left w:val="single" w:sz="6" w:space="0" w:color="000000"/>
              <w:bottom w:val="single" w:sz="6" w:space="0" w:color="000000"/>
              <w:right w:val="single" w:sz="6" w:space="0" w:color="000000"/>
            </w:tcBorders>
            <w:shd w:val="clear" w:color="auto" w:fill="FFFFFF"/>
          </w:tcPr>
          <w:p w14:paraId="036B4D6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66" w:type="dxa"/>
            <w:tcBorders>
              <w:top w:val="single" w:sz="6" w:space="0" w:color="000000"/>
              <w:left w:val="single" w:sz="6" w:space="0" w:color="000000"/>
              <w:bottom w:val="single" w:sz="6" w:space="0" w:color="000000"/>
              <w:right w:val="single" w:sz="6" w:space="0" w:color="000000"/>
            </w:tcBorders>
            <w:shd w:val="clear" w:color="auto" w:fill="FFFFFF"/>
          </w:tcPr>
          <w:p w14:paraId="4685A0F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99" w:type="dxa"/>
            <w:tcBorders>
              <w:top w:val="single" w:sz="6" w:space="0" w:color="000000"/>
              <w:left w:val="single" w:sz="6" w:space="0" w:color="000000"/>
              <w:bottom w:val="single" w:sz="6" w:space="0" w:color="000000"/>
              <w:right w:val="single" w:sz="6" w:space="0" w:color="000000"/>
            </w:tcBorders>
            <w:shd w:val="clear" w:color="auto" w:fill="FFFFFF"/>
          </w:tcPr>
          <w:p w14:paraId="0F7D0C2F" w14:textId="77777777" w:rsidR="00B54C34" w:rsidRPr="007D063B" w:rsidRDefault="00B54C34" w:rsidP="00450FF1">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4B49227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4FBD172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29" w:type="dxa"/>
            <w:tcBorders>
              <w:top w:val="single" w:sz="6" w:space="0" w:color="000000"/>
              <w:left w:val="single" w:sz="6" w:space="0" w:color="000000"/>
              <w:bottom w:val="single" w:sz="6" w:space="0" w:color="000000"/>
              <w:right w:val="single" w:sz="6" w:space="0" w:color="000000"/>
            </w:tcBorders>
            <w:shd w:val="clear" w:color="auto" w:fill="FFFFFF"/>
          </w:tcPr>
          <w:p w14:paraId="242F56FE" w14:textId="77777777" w:rsidR="00B54C34" w:rsidRPr="007D063B" w:rsidRDefault="00B54C34" w:rsidP="00450FF1">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47291DD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0F6AE3E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12B6C9A0" w14:textId="6142063F" w:rsidR="00B54C34" w:rsidRPr="007D063B" w:rsidRDefault="0027764F"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1</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0961C06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061E77D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59E795A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2465ADE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6BCDE05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54237C5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7066B5D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2F5B63A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600A060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7B95517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2A6435A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616B0A4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627631F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6B689BD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272F544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5DC12B9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56B22D1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0C7911D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1BAE455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07A5F09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040BCB9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538E279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10" w:type="dxa"/>
            <w:tcBorders>
              <w:top w:val="single" w:sz="6" w:space="0" w:color="000000"/>
              <w:left w:val="single" w:sz="6" w:space="0" w:color="000000"/>
              <w:bottom w:val="single" w:sz="6" w:space="0" w:color="000000"/>
              <w:right w:val="single" w:sz="6" w:space="0" w:color="000000"/>
            </w:tcBorders>
            <w:shd w:val="clear" w:color="auto" w:fill="FFFFFF"/>
          </w:tcPr>
          <w:p w14:paraId="0F9092A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47" w:type="dxa"/>
            <w:tcBorders>
              <w:top w:val="single" w:sz="6" w:space="0" w:color="000000"/>
              <w:left w:val="single" w:sz="6" w:space="0" w:color="000000"/>
              <w:bottom w:val="single" w:sz="6" w:space="0" w:color="000000"/>
              <w:right w:val="single" w:sz="6" w:space="0" w:color="000000"/>
            </w:tcBorders>
            <w:shd w:val="clear" w:color="auto" w:fill="FFFFFF"/>
          </w:tcPr>
          <w:p w14:paraId="38562A18" w14:textId="5C1F2C2C" w:rsidR="00B54C34" w:rsidRPr="007D063B" w:rsidRDefault="0027764F" w:rsidP="0027764F">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eastAsia="bg-BG"/>
              </w:rPr>
              <w:t>1</w:t>
            </w:r>
          </w:p>
        </w:tc>
        <w:tc>
          <w:tcPr>
            <w:tcW w:w="191" w:type="dxa"/>
            <w:tcBorders>
              <w:top w:val="single" w:sz="6" w:space="0" w:color="000000"/>
              <w:left w:val="single" w:sz="6" w:space="0" w:color="000000"/>
              <w:bottom w:val="single" w:sz="6" w:space="0" w:color="000000"/>
              <w:right w:val="single" w:sz="6" w:space="0" w:color="000000"/>
            </w:tcBorders>
            <w:shd w:val="clear" w:color="auto" w:fill="FFFFFF"/>
          </w:tcPr>
          <w:p w14:paraId="5C999B0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5" w:type="dxa"/>
            <w:gridSpan w:val="2"/>
            <w:tcBorders>
              <w:top w:val="single" w:sz="6" w:space="0" w:color="000000"/>
              <w:left w:val="single" w:sz="6" w:space="0" w:color="000000"/>
              <w:bottom w:val="single" w:sz="6" w:space="0" w:color="000000"/>
              <w:right w:val="single" w:sz="6" w:space="0" w:color="000000"/>
            </w:tcBorders>
            <w:shd w:val="clear" w:color="auto" w:fill="FFFFFF"/>
          </w:tcPr>
          <w:p w14:paraId="0BDC6FB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46" w:type="dxa"/>
            <w:tcBorders>
              <w:top w:val="single" w:sz="6" w:space="0" w:color="000000"/>
              <w:left w:val="single" w:sz="6" w:space="0" w:color="000000"/>
              <w:bottom w:val="single" w:sz="6" w:space="0" w:color="000000"/>
              <w:right w:val="single" w:sz="6" w:space="0" w:color="000000"/>
            </w:tcBorders>
            <w:shd w:val="clear" w:color="auto" w:fill="FFFFFF"/>
          </w:tcPr>
          <w:p w14:paraId="22B6D770" w14:textId="32EE8AD2" w:rsidR="00B54C34" w:rsidRPr="007D063B" w:rsidRDefault="00410799"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0,10</w:t>
            </w:r>
          </w:p>
        </w:tc>
        <w:tc>
          <w:tcPr>
            <w:tcW w:w="196" w:type="dxa"/>
            <w:tcBorders>
              <w:top w:val="single" w:sz="6" w:space="0" w:color="000000"/>
              <w:left w:val="single" w:sz="6" w:space="0" w:color="000000"/>
              <w:bottom w:val="single" w:sz="6" w:space="0" w:color="000000"/>
              <w:right w:val="single" w:sz="6" w:space="0" w:color="000000"/>
            </w:tcBorders>
            <w:shd w:val="clear" w:color="auto" w:fill="FFFFFF"/>
          </w:tcPr>
          <w:p w14:paraId="5B73A54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68" w:type="dxa"/>
            <w:tcBorders>
              <w:top w:val="single" w:sz="6" w:space="0" w:color="000000"/>
              <w:left w:val="single" w:sz="6" w:space="0" w:color="000000"/>
              <w:bottom w:val="single" w:sz="6" w:space="0" w:color="000000"/>
              <w:right w:val="single" w:sz="6" w:space="0" w:color="000000"/>
            </w:tcBorders>
            <w:shd w:val="clear" w:color="auto" w:fill="FFFFFF"/>
          </w:tcPr>
          <w:p w14:paraId="7E975F9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1A83E0A0" w14:textId="77777777" w:rsidTr="005C5C55">
        <w:trPr>
          <w:tblCellSpacing w:w="0" w:type="dxa"/>
        </w:trPr>
        <w:tc>
          <w:tcPr>
            <w:tcW w:w="560" w:type="dxa"/>
            <w:tcBorders>
              <w:top w:val="single" w:sz="6" w:space="0" w:color="000000"/>
              <w:left w:val="single" w:sz="6" w:space="0" w:color="000000"/>
              <w:bottom w:val="single" w:sz="6" w:space="0" w:color="000000"/>
              <w:right w:val="single" w:sz="6" w:space="0" w:color="000000"/>
            </w:tcBorders>
            <w:shd w:val="clear" w:color="auto" w:fill="FFFFFF"/>
          </w:tcPr>
          <w:p w14:paraId="6930E59D"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O5-4</w:t>
            </w: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14:paraId="13E5A73B"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Анализи, проучвания, доклади и др. подпомагащи изпълнението на ОПДУ и подготовката за следващия програмен период</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14:paraId="6C4D4B30"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Pr>
          <w:p w14:paraId="6C4A5896"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Брой</w:t>
            </w:r>
          </w:p>
        </w:tc>
        <w:tc>
          <w:tcPr>
            <w:tcW w:w="723" w:type="dxa"/>
            <w:tcBorders>
              <w:top w:val="single" w:sz="6" w:space="0" w:color="000000"/>
              <w:left w:val="single" w:sz="6" w:space="0" w:color="000000"/>
              <w:bottom w:val="single" w:sz="6" w:space="0" w:color="000000"/>
              <w:right w:val="single" w:sz="6" w:space="0" w:color="000000"/>
            </w:tcBorders>
            <w:shd w:val="clear" w:color="auto" w:fill="FFFFFF"/>
          </w:tcPr>
          <w:p w14:paraId="7B355EE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5</w:t>
            </w:r>
          </w:p>
          <w:p w14:paraId="49870A8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95" w:type="dxa"/>
            <w:tcBorders>
              <w:top w:val="single" w:sz="6" w:space="0" w:color="000000"/>
              <w:left w:val="single" w:sz="6" w:space="0" w:color="000000"/>
              <w:bottom w:val="single" w:sz="6" w:space="0" w:color="000000"/>
              <w:right w:val="single" w:sz="6" w:space="0" w:color="000000"/>
            </w:tcBorders>
            <w:shd w:val="clear" w:color="auto" w:fill="FFFFFF"/>
          </w:tcPr>
          <w:p w14:paraId="5CACB17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66" w:type="dxa"/>
            <w:tcBorders>
              <w:top w:val="single" w:sz="6" w:space="0" w:color="000000"/>
              <w:left w:val="single" w:sz="6" w:space="0" w:color="000000"/>
              <w:bottom w:val="single" w:sz="6" w:space="0" w:color="000000"/>
              <w:right w:val="single" w:sz="6" w:space="0" w:color="000000"/>
            </w:tcBorders>
            <w:shd w:val="clear" w:color="auto" w:fill="FFFFFF"/>
          </w:tcPr>
          <w:p w14:paraId="68201D4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99" w:type="dxa"/>
            <w:tcBorders>
              <w:top w:val="single" w:sz="6" w:space="0" w:color="000000"/>
              <w:left w:val="single" w:sz="6" w:space="0" w:color="000000"/>
              <w:bottom w:val="single" w:sz="6" w:space="0" w:color="000000"/>
              <w:right w:val="single" w:sz="6" w:space="0" w:color="000000"/>
            </w:tcBorders>
            <w:shd w:val="clear" w:color="auto" w:fill="FFFFFF"/>
          </w:tcPr>
          <w:p w14:paraId="331130B3" w14:textId="77777777" w:rsidR="00B54C34" w:rsidRPr="007D063B" w:rsidRDefault="00B54C34" w:rsidP="00450FF1">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3586041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7156CD2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29" w:type="dxa"/>
            <w:tcBorders>
              <w:top w:val="single" w:sz="6" w:space="0" w:color="000000"/>
              <w:left w:val="single" w:sz="6" w:space="0" w:color="000000"/>
              <w:bottom w:val="single" w:sz="6" w:space="0" w:color="000000"/>
              <w:right w:val="single" w:sz="6" w:space="0" w:color="000000"/>
            </w:tcBorders>
            <w:shd w:val="clear" w:color="auto" w:fill="FFFFFF"/>
          </w:tcPr>
          <w:p w14:paraId="2A08335F" w14:textId="77777777" w:rsidR="00B54C34" w:rsidRPr="007D063B" w:rsidRDefault="00B54C34" w:rsidP="00450FF1">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17A788F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113E7A8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24F00848" w14:textId="1CE345AE" w:rsidR="00B54C34" w:rsidRPr="007D063B" w:rsidRDefault="00EB564A"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277A673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1DD626C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3B9BA2C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5CC05C0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5A9720B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72CE810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7738584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47A0B13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7ABBF8E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18479E6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0E9517D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08C1141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722D510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4F8B92F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389160B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3C37867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392F9D5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72B2E47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53F3CAB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4AB41FA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7B2F0F5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576CC6B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10" w:type="dxa"/>
            <w:tcBorders>
              <w:top w:val="single" w:sz="6" w:space="0" w:color="000000"/>
              <w:left w:val="single" w:sz="6" w:space="0" w:color="000000"/>
              <w:bottom w:val="single" w:sz="6" w:space="0" w:color="000000"/>
              <w:right w:val="single" w:sz="6" w:space="0" w:color="000000"/>
            </w:tcBorders>
            <w:shd w:val="clear" w:color="auto" w:fill="FFFFFF"/>
          </w:tcPr>
          <w:p w14:paraId="030F236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47" w:type="dxa"/>
            <w:tcBorders>
              <w:top w:val="single" w:sz="6" w:space="0" w:color="000000"/>
              <w:left w:val="single" w:sz="6" w:space="0" w:color="000000"/>
              <w:bottom w:val="single" w:sz="6" w:space="0" w:color="000000"/>
              <w:right w:val="single" w:sz="6" w:space="0" w:color="000000"/>
            </w:tcBorders>
            <w:shd w:val="clear" w:color="auto" w:fill="FFFFFF"/>
          </w:tcPr>
          <w:p w14:paraId="76CF167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val="en-US" w:eastAsia="bg-BG"/>
              </w:rPr>
              <w:t>0</w:t>
            </w:r>
          </w:p>
        </w:tc>
        <w:tc>
          <w:tcPr>
            <w:tcW w:w="191" w:type="dxa"/>
            <w:tcBorders>
              <w:top w:val="single" w:sz="6" w:space="0" w:color="000000"/>
              <w:left w:val="single" w:sz="6" w:space="0" w:color="000000"/>
              <w:bottom w:val="single" w:sz="6" w:space="0" w:color="000000"/>
              <w:right w:val="single" w:sz="6" w:space="0" w:color="000000"/>
            </w:tcBorders>
            <w:shd w:val="clear" w:color="auto" w:fill="FFFFFF"/>
          </w:tcPr>
          <w:p w14:paraId="019DB57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5" w:type="dxa"/>
            <w:gridSpan w:val="2"/>
            <w:tcBorders>
              <w:top w:val="single" w:sz="6" w:space="0" w:color="000000"/>
              <w:left w:val="single" w:sz="6" w:space="0" w:color="000000"/>
              <w:bottom w:val="single" w:sz="6" w:space="0" w:color="000000"/>
              <w:right w:val="single" w:sz="6" w:space="0" w:color="000000"/>
            </w:tcBorders>
            <w:shd w:val="clear" w:color="auto" w:fill="FFFFFF"/>
          </w:tcPr>
          <w:p w14:paraId="1A4765B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46" w:type="dxa"/>
            <w:tcBorders>
              <w:top w:val="single" w:sz="6" w:space="0" w:color="000000"/>
              <w:left w:val="single" w:sz="6" w:space="0" w:color="000000"/>
              <w:bottom w:val="single" w:sz="6" w:space="0" w:color="000000"/>
              <w:right w:val="single" w:sz="6" w:space="0" w:color="000000"/>
            </w:tcBorders>
            <w:shd w:val="clear" w:color="auto" w:fill="FFFFFF"/>
          </w:tcPr>
          <w:p w14:paraId="4016860F" w14:textId="04507747" w:rsidR="00B54C34" w:rsidRPr="007D063B" w:rsidRDefault="00410799"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w:t>
            </w:r>
          </w:p>
        </w:tc>
        <w:tc>
          <w:tcPr>
            <w:tcW w:w="196" w:type="dxa"/>
            <w:tcBorders>
              <w:top w:val="single" w:sz="6" w:space="0" w:color="000000"/>
              <w:left w:val="single" w:sz="6" w:space="0" w:color="000000"/>
              <w:bottom w:val="single" w:sz="6" w:space="0" w:color="000000"/>
              <w:right w:val="single" w:sz="6" w:space="0" w:color="000000"/>
            </w:tcBorders>
            <w:shd w:val="clear" w:color="auto" w:fill="FFFFFF"/>
          </w:tcPr>
          <w:p w14:paraId="3B21CB9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68" w:type="dxa"/>
            <w:tcBorders>
              <w:top w:val="single" w:sz="6" w:space="0" w:color="000000"/>
              <w:left w:val="single" w:sz="6" w:space="0" w:color="000000"/>
              <w:bottom w:val="single" w:sz="6" w:space="0" w:color="000000"/>
              <w:right w:val="single" w:sz="6" w:space="0" w:color="000000"/>
            </w:tcBorders>
            <w:shd w:val="clear" w:color="auto" w:fill="FFFFFF"/>
          </w:tcPr>
          <w:p w14:paraId="1A8C7C2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24ED8A4F" w14:textId="77777777" w:rsidTr="005C5C55">
        <w:trPr>
          <w:tblCellSpacing w:w="0" w:type="dxa"/>
        </w:trPr>
        <w:tc>
          <w:tcPr>
            <w:tcW w:w="560" w:type="dxa"/>
            <w:tcBorders>
              <w:top w:val="single" w:sz="6" w:space="0" w:color="000000"/>
              <w:left w:val="single" w:sz="6" w:space="0" w:color="000000"/>
              <w:bottom w:val="single" w:sz="6" w:space="0" w:color="000000"/>
              <w:right w:val="single" w:sz="6" w:space="0" w:color="000000"/>
            </w:tcBorders>
            <w:shd w:val="clear" w:color="auto" w:fill="FFFFFF"/>
          </w:tcPr>
          <w:p w14:paraId="504D28A6"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O5-5</w:t>
            </w: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14:paraId="3B1D4FEE"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Изработени информационни материали по вид (печатни, електронни и аудиовизуални)</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14:paraId="6E903F51"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Pr>
          <w:p w14:paraId="2ED9E8CF"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Брой</w:t>
            </w:r>
          </w:p>
        </w:tc>
        <w:tc>
          <w:tcPr>
            <w:tcW w:w="723" w:type="dxa"/>
            <w:tcBorders>
              <w:top w:val="single" w:sz="6" w:space="0" w:color="000000"/>
              <w:left w:val="single" w:sz="6" w:space="0" w:color="000000"/>
              <w:bottom w:val="single" w:sz="6" w:space="0" w:color="000000"/>
              <w:right w:val="single" w:sz="6" w:space="0" w:color="000000"/>
            </w:tcBorders>
            <w:shd w:val="clear" w:color="auto" w:fill="FFFFFF"/>
          </w:tcPr>
          <w:p w14:paraId="78C513B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15</w:t>
            </w:r>
          </w:p>
          <w:p w14:paraId="3B91DDA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95" w:type="dxa"/>
            <w:tcBorders>
              <w:top w:val="single" w:sz="6" w:space="0" w:color="000000"/>
              <w:left w:val="single" w:sz="6" w:space="0" w:color="000000"/>
              <w:bottom w:val="single" w:sz="6" w:space="0" w:color="000000"/>
              <w:right w:val="single" w:sz="6" w:space="0" w:color="000000"/>
            </w:tcBorders>
            <w:shd w:val="clear" w:color="auto" w:fill="FFFFFF"/>
          </w:tcPr>
          <w:p w14:paraId="65F1DDE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66" w:type="dxa"/>
            <w:tcBorders>
              <w:top w:val="single" w:sz="6" w:space="0" w:color="000000"/>
              <w:left w:val="single" w:sz="6" w:space="0" w:color="000000"/>
              <w:bottom w:val="single" w:sz="6" w:space="0" w:color="000000"/>
              <w:right w:val="single" w:sz="6" w:space="0" w:color="000000"/>
            </w:tcBorders>
            <w:shd w:val="clear" w:color="auto" w:fill="FFFFFF"/>
          </w:tcPr>
          <w:p w14:paraId="0ADBFA7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99" w:type="dxa"/>
            <w:tcBorders>
              <w:top w:val="single" w:sz="6" w:space="0" w:color="000000"/>
              <w:left w:val="single" w:sz="6" w:space="0" w:color="000000"/>
              <w:bottom w:val="single" w:sz="6" w:space="0" w:color="000000"/>
              <w:right w:val="single" w:sz="6" w:space="0" w:color="000000"/>
            </w:tcBorders>
            <w:shd w:val="clear" w:color="auto" w:fill="FFFFFF"/>
          </w:tcPr>
          <w:p w14:paraId="342526A9" w14:textId="77777777" w:rsidR="00B54C34" w:rsidRPr="007D063B" w:rsidRDefault="00B54C34" w:rsidP="00450FF1">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1049036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5C14505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29" w:type="dxa"/>
            <w:tcBorders>
              <w:top w:val="single" w:sz="6" w:space="0" w:color="000000"/>
              <w:left w:val="single" w:sz="6" w:space="0" w:color="000000"/>
              <w:bottom w:val="single" w:sz="6" w:space="0" w:color="000000"/>
              <w:right w:val="single" w:sz="6" w:space="0" w:color="000000"/>
            </w:tcBorders>
            <w:shd w:val="clear" w:color="auto" w:fill="FFFFFF"/>
          </w:tcPr>
          <w:p w14:paraId="125C3112" w14:textId="77777777" w:rsidR="00B54C34" w:rsidRPr="007D063B" w:rsidRDefault="00B54C34" w:rsidP="00450FF1">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75D329D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40FA41E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5BBF185A" w14:textId="55F4E399" w:rsidR="00B54C34" w:rsidRPr="007D063B" w:rsidRDefault="00EB564A"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9</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4D1621F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6520EDF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3B553D1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5016B0C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1189301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5707B69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5DF52BA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219798B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4FCAFE3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3987A4B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23C6589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0B428D5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1334808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6033403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293345E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2F0DE3D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42EBAEE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66A1223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4EAB6DF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21A603C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78EBD6D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0A9DBF0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10" w:type="dxa"/>
            <w:tcBorders>
              <w:top w:val="single" w:sz="6" w:space="0" w:color="000000"/>
              <w:left w:val="single" w:sz="6" w:space="0" w:color="000000"/>
              <w:bottom w:val="single" w:sz="6" w:space="0" w:color="000000"/>
              <w:right w:val="single" w:sz="6" w:space="0" w:color="000000"/>
            </w:tcBorders>
            <w:shd w:val="clear" w:color="auto" w:fill="FFFFFF"/>
          </w:tcPr>
          <w:p w14:paraId="60B5A5E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47" w:type="dxa"/>
            <w:tcBorders>
              <w:top w:val="single" w:sz="6" w:space="0" w:color="000000"/>
              <w:left w:val="single" w:sz="6" w:space="0" w:color="000000"/>
              <w:bottom w:val="single" w:sz="6" w:space="0" w:color="000000"/>
              <w:right w:val="single" w:sz="6" w:space="0" w:color="000000"/>
            </w:tcBorders>
            <w:shd w:val="clear" w:color="auto" w:fill="FFFFFF"/>
          </w:tcPr>
          <w:p w14:paraId="33A9E077" w14:textId="1DFCA23B" w:rsidR="00B54C34" w:rsidRPr="007D063B" w:rsidRDefault="00EB564A"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eastAsia="bg-BG"/>
              </w:rPr>
              <w:t>9</w:t>
            </w:r>
          </w:p>
        </w:tc>
        <w:tc>
          <w:tcPr>
            <w:tcW w:w="191" w:type="dxa"/>
            <w:tcBorders>
              <w:top w:val="single" w:sz="6" w:space="0" w:color="000000"/>
              <w:left w:val="single" w:sz="6" w:space="0" w:color="000000"/>
              <w:bottom w:val="single" w:sz="6" w:space="0" w:color="000000"/>
              <w:right w:val="single" w:sz="6" w:space="0" w:color="000000"/>
            </w:tcBorders>
            <w:shd w:val="clear" w:color="auto" w:fill="FFFFFF"/>
          </w:tcPr>
          <w:p w14:paraId="1714F76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5" w:type="dxa"/>
            <w:gridSpan w:val="2"/>
            <w:tcBorders>
              <w:top w:val="single" w:sz="6" w:space="0" w:color="000000"/>
              <w:left w:val="single" w:sz="6" w:space="0" w:color="000000"/>
              <w:bottom w:val="single" w:sz="6" w:space="0" w:color="000000"/>
              <w:right w:val="single" w:sz="6" w:space="0" w:color="000000"/>
            </w:tcBorders>
            <w:shd w:val="clear" w:color="auto" w:fill="FFFFFF"/>
          </w:tcPr>
          <w:p w14:paraId="1A63A01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46" w:type="dxa"/>
            <w:tcBorders>
              <w:top w:val="single" w:sz="6" w:space="0" w:color="000000"/>
              <w:left w:val="single" w:sz="6" w:space="0" w:color="000000"/>
              <w:bottom w:val="single" w:sz="6" w:space="0" w:color="000000"/>
              <w:right w:val="single" w:sz="6" w:space="0" w:color="000000"/>
            </w:tcBorders>
            <w:shd w:val="clear" w:color="auto" w:fill="FFFFFF"/>
          </w:tcPr>
          <w:p w14:paraId="7B00F68E" w14:textId="7FE87730" w:rsidR="00B54C34" w:rsidRPr="007D063B" w:rsidRDefault="00410799"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0,60</w:t>
            </w:r>
          </w:p>
        </w:tc>
        <w:tc>
          <w:tcPr>
            <w:tcW w:w="196" w:type="dxa"/>
            <w:tcBorders>
              <w:top w:val="single" w:sz="6" w:space="0" w:color="000000"/>
              <w:left w:val="single" w:sz="6" w:space="0" w:color="000000"/>
              <w:bottom w:val="single" w:sz="6" w:space="0" w:color="000000"/>
              <w:right w:val="single" w:sz="6" w:space="0" w:color="000000"/>
            </w:tcBorders>
            <w:shd w:val="clear" w:color="auto" w:fill="FFFFFF"/>
          </w:tcPr>
          <w:p w14:paraId="6EFF96E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68" w:type="dxa"/>
            <w:tcBorders>
              <w:top w:val="single" w:sz="6" w:space="0" w:color="000000"/>
              <w:left w:val="single" w:sz="6" w:space="0" w:color="000000"/>
              <w:bottom w:val="single" w:sz="6" w:space="0" w:color="000000"/>
              <w:right w:val="single" w:sz="6" w:space="0" w:color="000000"/>
            </w:tcBorders>
            <w:shd w:val="clear" w:color="auto" w:fill="FFFFFF"/>
          </w:tcPr>
          <w:p w14:paraId="5E4C01C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645B70FC" w14:textId="77777777" w:rsidTr="005C5C55">
        <w:trPr>
          <w:tblCellSpacing w:w="0" w:type="dxa"/>
        </w:trPr>
        <w:tc>
          <w:tcPr>
            <w:tcW w:w="560" w:type="dxa"/>
            <w:tcBorders>
              <w:top w:val="single" w:sz="6" w:space="0" w:color="000000"/>
              <w:left w:val="single" w:sz="6" w:space="0" w:color="000000"/>
              <w:bottom w:val="single" w:sz="6" w:space="0" w:color="000000"/>
              <w:right w:val="single" w:sz="6" w:space="0" w:color="000000"/>
            </w:tcBorders>
            <w:shd w:val="clear" w:color="auto" w:fill="FFFFFF"/>
          </w:tcPr>
          <w:p w14:paraId="47DFD011"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O5-6</w:t>
            </w: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14:paraId="703DEE12"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Брой публични информационни събития</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14:paraId="12E316D6"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Pr>
          <w:p w14:paraId="2CEFD19B"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Брой</w:t>
            </w:r>
          </w:p>
        </w:tc>
        <w:tc>
          <w:tcPr>
            <w:tcW w:w="723" w:type="dxa"/>
            <w:tcBorders>
              <w:top w:val="single" w:sz="6" w:space="0" w:color="000000"/>
              <w:left w:val="single" w:sz="6" w:space="0" w:color="000000"/>
              <w:bottom w:val="single" w:sz="6" w:space="0" w:color="000000"/>
              <w:right w:val="single" w:sz="6" w:space="0" w:color="000000"/>
            </w:tcBorders>
            <w:shd w:val="clear" w:color="auto" w:fill="FFFFFF"/>
          </w:tcPr>
          <w:p w14:paraId="0748F43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150</w:t>
            </w:r>
          </w:p>
          <w:p w14:paraId="14CC96D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95" w:type="dxa"/>
            <w:tcBorders>
              <w:top w:val="single" w:sz="6" w:space="0" w:color="000000"/>
              <w:left w:val="single" w:sz="6" w:space="0" w:color="000000"/>
              <w:bottom w:val="single" w:sz="6" w:space="0" w:color="000000"/>
              <w:right w:val="single" w:sz="6" w:space="0" w:color="000000"/>
            </w:tcBorders>
            <w:shd w:val="clear" w:color="auto" w:fill="FFFFFF"/>
          </w:tcPr>
          <w:p w14:paraId="07C3F2A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66" w:type="dxa"/>
            <w:tcBorders>
              <w:top w:val="single" w:sz="6" w:space="0" w:color="000000"/>
              <w:left w:val="single" w:sz="6" w:space="0" w:color="000000"/>
              <w:bottom w:val="single" w:sz="6" w:space="0" w:color="000000"/>
              <w:right w:val="single" w:sz="6" w:space="0" w:color="000000"/>
            </w:tcBorders>
            <w:shd w:val="clear" w:color="auto" w:fill="FFFFFF"/>
          </w:tcPr>
          <w:p w14:paraId="033FBE4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99" w:type="dxa"/>
            <w:tcBorders>
              <w:top w:val="single" w:sz="6" w:space="0" w:color="000000"/>
              <w:left w:val="single" w:sz="6" w:space="0" w:color="000000"/>
              <w:bottom w:val="single" w:sz="6" w:space="0" w:color="000000"/>
              <w:right w:val="single" w:sz="6" w:space="0" w:color="000000"/>
            </w:tcBorders>
            <w:shd w:val="clear" w:color="auto" w:fill="FFFFFF"/>
          </w:tcPr>
          <w:p w14:paraId="3F72FDE3" w14:textId="77777777" w:rsidR="00B54C34" w:rsidRPr="007D063B" w:rsidRDefault="00B54C34" w:rsidP="00450FF1">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3982B66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669B413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29" w:type="dxa"/>
            <w:tcBorders>
              <w:top w:val="single" w:sz="6" w:space="0" w:color="000000"/>
              <w:left w:val="single" w:sz="6" w:space="0" w:color="000000"/>
              <w:bottom w:val="single" w:sz="6" w:space="0" w:color="000000"/>
              <w:right w:val="single" w:sz="6" w:space="0" w:color="000000"/>
            </w:tcBorders>
            <w:shd w:val="clear" w:color="auto" w:fill="FFFFFF"/>
          </w:tcPr>
          <w:p w14:paraId="6D229C1F" w14:textId="77777777" w:rsidR="00B54C34" w:rsidRPr="007D063B" w:rsidRDefault="00B54C34" w:rsidP="00450FF1">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63CC3EB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2D8F744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736DD582" w14:textId="1AC8797E" w:rsidR="00B54C34" w:rsidRPr="007D063B" w:rsidRDefault="00A25586"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27</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57A4E21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6B83AFE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35FF24C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1833B33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126E867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352A56E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3453DE0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1079F97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3264A0F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598060A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2D07B0B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1B1441F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73336B8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16B03EB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02626F9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155E979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68E96E9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5E45852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2C13112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7284C32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6A408B4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492C45C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10" w:type="dxa"/>
            <w:tcBorders>
              <w:top w:val="single" w:sz="6" w:space="0" w:color="000000"/>
              <w:left w:val="single" w:sz="6" w:space="0" w:color="000000"/>
              <w:bottom w:val="single" w:sz="6" w:space="0" w:color="000000"/>
              <w:right w:val="single" w:sz="6" w:space="0" w:color="000000"/>
            </w:tcBorders>
            <w:shd w:val="clear" w:color="auto" w:fill="FFFFFF"/>
          </w:tcPr>
          <w:p w14:paraId="427D264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47" w:type="dxa"/>
            <w:tcBorders>
              <w:top w:val="single" w:sz="6" w:space="0" w:color="000000"/>
              <w:left w:val="single" w:sz="6" w:space="0" w:color="000000"/>
              <w:bottom w:val="single" w:sz="6" w:space="0" w:color="000000"/>
              <w:right w:val="single" w:sz="6" w:space="0" w:color="000000"/>
            </w:tcBorders>
            <w:shd w:val="clear" w:color="auto" w:fill="FFFFFF"/>
          </w:tcPr>
          <w:p w14:paraId="5633375B" w14:textId="143170C4" w:rsidR="00B54C34" w:rsidRPr="007D063B" w:rsidRDefault="00A25586"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eastAsia="bg-BG"/>
              </w:rPr>
              <w:t>27</w:t>
            </w:r>
          </w:p>
        </w:tc>
        <w:tc>
          <w:tcPr>
            <w:tcW w:w="191" w:type="dxa"/>
            <w:tcBorders>
              <w:top w:val="single" w:sz="6" w:space="0" w:color="000000"/>
              <w:left w:val="single" w:sz="6" w:space="0" w:color="000000"/>
              <w:bottom w:val="single" w:sz="6" w:space="0" w:color="000000"/>
              <w:right w:val="single" w:sz="6" w:space="0" w:color="000000"/>
            </w:tcBorders>
            <w:shd w:val="clear" w:color="auto" w:fill="FFFFFF"/>
          </w:tcPr>
          <w:p w14:paraId="05DF80A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5" w:type="dxa"/>
            <w:gridSpan w:val="2"/>
            <w:tcBorders>
              <w:top w:val="single" w:sz="6" w:space="0" w:color="000000"/>
              <w:left w:val="single" w:sz="6" w:space="0" w:color="000000"/>
              <w:bottom w:val="single" w:sz="6" w:space="0" w:color="000000"/>
              <w:right w:val="single" w:sz="6" w:space="0" w:color="000000"/>
            </w:tcBorders>
            <w:shd w:val="clear" w:color="auto" w:fill="FFFFFF"/>
          </w:tcPr>
          <w:p w14:paraId="6A57D51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46" w:type="dxa"/>
            <w:tcBorders>
              <w:top w:val="single" w:sz="6" w:space="0" w:color="000000"/>
              <w:left w:val="single" w:sz="6" w:space="0" w:color="000000"/>
              <w:bottom w:val="single" w:sz="6" w:space="0" w:color="000000"/>
              <w:right w:val="single" w:sz="6" w:space="0" w:color="000000"/>
            </w:tcBorders>
            <w:shd w:val="clear" w:color="auto" w:fill="FFFFFF"/>
          </w:tcPr>
          <w:p w14:paraId="4696E3AB" w14:textId="47BFBA49" w:rsidR="00B54C34" w:rsidRPr="007D063B" w:rsidRDefault="00410799"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0,18</w:t>
            </w:r>
          </w:p>
        </w:tc>
        <w:tc>
          <w:tcPr>
            <w:tcW w:w="196" w:type="dxa"/>
            <w:tcBorders>
              <w:top w:val="single" w:sz="6" w:space="0" w:color="000000"/>
              <w:left w:val="single" w:sz="6" w:space="0" w:color="000000"/>
              <w:bottom w:val="single" w:sz="6" w:space="0" w:color="000000"/>
              <w:right w:val="single" w:sz="6" w:space="0" w:color="000000"/>
            </w:tcBorders>
            <w:shd w:val="clear" w:color="auto" w:fill="FFFFFF"/>
          </w:tcPr>
          <w:p w14:paraId="25A8EAD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68" w:type="dxa"/>
            <w:tcBorders>
              <w:top w:val="single" w:sz="6" w:space="0" w:color="000000"/>
              <w:left w:val="single" w:sz="6" w:space="0" w:color="000000"/>
              <w:bottom w:val="single" w:sz="6" w:space="0" w:color="000000"/>
              <w:right w:val="single" w:sz="6" w:space="0" w:color="000000"/>
            </w:tcBorders>
            <w:shd w:val="clear" w:color="auto" w:fill="FFFFFF"/>
          </w:tcPr>
          <w:p w14:paraId="5C4529A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196DD982" w14:textId="77777777" w:rsidTr="005C5C55">
        <w:trPr>
          <w:tblCellSpacing w:w="0" w:type="dxa"/>
        </w:trPr>
        <w:tc>
          <w:tcPr>
            <w:tcW w:w="560" w:type="dxa"/>
            <w:tcBorders>
              <w:top w:val="single" w:sz="6" w:space="0" w:color="000000"/>
              <w:left w:val="single" w:sz="6" w:space="0" w:color="000000"/>
              <w:bottom w:val="single" w:sz="6" w:space="0" w:color="000000"/>
              <w:right w:val="single" w:sz="6" w:space="0" w:color="000000"/>
            </w:tcBorders>
            <w:shd w:val="clear" w:color="auto" w:fill="FFFFFF"/>
          </w:tcPr>
          <w:p w14:paraId="230A6FC8"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lastRenderedPageBreak/>
              <w:t>O5-7</w:t>
            </w: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14:paraId="626F0546"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Брой служители, чиито заплати се съфинансират от техническа помощ</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14:paraId="582A426B" w14:textId="77777777" w:rsidR="00B54C34" w:rsidRPr="007D063B" w:rsidRDefault="00B54C34" w:rsidP="00450FF1">
            <w:pPr>
              <w:spacing w:before="120" w:after="0" w:line="240" w:lineRule="auto"/>
              <w:rPr>
                <w:rFonts w:ascii="Times New Roman" w:hAnsi="Times New Roman" w:cs="Times New Roman"/>
                <w:sz w:val="16"/>
                <w:szCs w:val="16"/>
              </w:rPr>
            </w:pPr>
            <w:r w:rsidRPr="007D063B">
              <w:rPr>
                <w:rFonts w:ascii="Times New Roman" w:hAnsi="Times New Roman" w:cs="Times New Roman"/>
                <w:sz w:val="16"/>
                <w:szCs w:val="16"/>
              </w:rPr>
              <w:t>По-слабо развити региони</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Pr>
          <w:p w14:paraId="6842E39A" w14:textId="77777777" w:rsidR="00B54C34" w:rsidRPr="007D063B" w:rsidRDefault="00B54C34" w:rsidP="00450FF1">
            <w:pPr>
              <w:spacing w:before="120" w:after="0" w:line="240" w:lineRule="auto"/>
              <w:jc w:val="center"/>
              <w:rPr>
                <w:rFonts w:ascii="Times New Roman" w:hAnsi="Times New Roman" w:cs="Times New Roman"/>
                <w:sz w:val="16"/>
                <w:szCs w:val="16"/>
              </w:rPr>
            </w:pPr>
            <w:r w:rsidRPr="007D063B">
              <w:rPr>
                <w:rFonts w:ascii="Times New Roman" w:hAnsi="Times New Roman" w:cs="Times New Roman"/>
                <w:sz w:val="16"/>
                <w:szCs w:val="16"/>
              </w:rPr>
              <w:t>Брой</w:t>
            </w:r>
          </w:p>
        </w:tc>
        <w:tc>
          <w:tcPr>
            <w:tcW w:w="723" w:type="dxa"/>
            <w:tcBorders>
              <w:top w:val="single" w:sz="6" w:space="0" w:color="000000"/>
              <w:left w:val="single" w:sz="6" w:space="0" w:color="000000"/>
              <w:bottom w:val="single" w:sz="6" w:space="0" w:color="000000"/>
              <w:right w:val="single" w:sz="6" w:space="0" w:color="000000"/>
            </w:tcBorders>
            <w:shd w:val="clear" w:color="auto" w:fill="FFFFFF"/>
          </w:tcPr>
          <w:p w14:paraId="692277E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62</w:t>
            </w:r>
          </w:p>
        </w:tc>
        <w:tc>
          <w:tcPr>
            <w:tcW w:w="695" w:type="dxa"/>
            <w:tcBorders>
              <w:top w:val="single" w:sz="6" w:space="0" w:color="000000"/>
              <w:left w:val="single" w:sz="6" w:space="0" w:color="000000"/>
              <w:bottom w:val="single" w:sz="6" w:space="0" w:color="000000"/>
              <w:right w:val="single" w:sz="6" w:space="0" w:color="000000"/>
            </w:tcBorders>
            <w:shd w:val="clear" w:color="auto" w:fill="FFFFFF"/>
          </w:tcPr>
          <w:p w14:paraId="6A5E43B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66" w:type="dxa"/>
            <w:tcBorders>
              <w:top w:val="single" w:sz="6" w:space="0" w:color="000000"/>
              <w:left w:val="single" w:sz="6" w:space="0" w:color="000000"/>
              <w:bottom w:val="single" w:sz="6" w:space="0" w:color="000000"/>
              <w:right w:val="single" w:sz="6" w:space="0" w:color="000000"/>
            </w:tcBorders>
            <w:shd w:val="clear" w:color="auto" w:fill="FFFFFF"/>
          </w:tcPr>
          <w:p w14:paraId="3D588DC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99" w:type="dxa"/>
            <w:tcBorders>
              <w:top w:val="single" w:sz="6" w:space="0" w:color="000000"/>
              <w:left w:val="single" w:sz="6" w:space="0" w:color="000000"/>
              <w:bottom w:val="single" w:sz="6" w:space="0" w:color="000000"/>
              <w:right w:val="single" w:sz="6" w:space="0" w:color="000000"/>
            </w:tcBorders>
            <w:shd w:val="clear" w:color="auto" w:fill="FFFFFF"/>
          </w:tcPr>
          <w:p w14:paraId="09451F3C" w14:textId="77777777" w:rsidR="00B54C34" w:rsidRPr="007D063B" w:rsidRDefault="00B54C34" w:rsidP="00450FF1">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3BCBFCE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1BB1843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29" w:type="dxa"/>
            <w:tcBorders>
              <w:top w:val="single" w:sz="6" w:space="0" w:color="000000"/>
              <w:left w:val="single" w:sz="6" w:space="0" w:color="000000"/>
              <w:bottom w:val="single" w:sz="6" w:space="0" w:color="000000"/>
              <w:right w:val="single" w:sz="6" w:space="0" w:color="000000"/>
            </w:tcBorders>
            <w:shd w:val="clear" w:color="auto" w:fill="FFFFFF"/>
          </w:tcPr>
          <w:p w14:paraId="042A9744" w14:textId="77777777" w:rsidR="00B54C34" w:rsidRPr="007D063B" w:rsidRDefault="00B54C34" w:rsidP="00450FF1">
            <w:pPr>
              <w:spacing w:before="120" w:after="0" w:line="240" w:lineRule="auto"/>
              <w:jc w:val="center"/>
              <w:rPr>
                <w:rFonts w:ascii="Times New Roman" w:hAnsi="Times New Roman" w:cs="Times New Roman"/>
                <w:sz w:val="16"/>
                <w:szCs w:val="16"/>
                <w:lang w:val="en-US"/>
              </w:rPr>
            </w:pPr>
            <w:r w:rsidRPr="007D063B">
              <w:rPr>
                <w:rFonts w:ascii="Times New Roman" w:hAnsi="Times New Roman" w:cs="Times New Roman"/>
                <w:sz w:val="16"/>
                <w:szCs w:val="16"/>
                <w:lang w:val="en-US"/>
              </w:rPr>
              <w:t>0</w:t>
            </w: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70F9B84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371FA54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54149033" w14:textId="3C27D095" w:rsidR="00B54C34" w:rsidRPr="007D063B" w:rsidRDefault="00A25586"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55,75</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33ECD49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1FA4531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7E144F9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6C3EB44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3C966F2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72329B3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1A79260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34B3E7F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74D7461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01A8221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2A30A87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27BAD9F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4648685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62D82CC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1A3BD6C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04AB07A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305255F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61B8773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7CC333D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67A82F9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3A36C37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61F69A7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10" w:type="dxa"/>
            <w:tcBorders>
              <w:top w:val="single" w:sz="6" w:space="0" w:color="000000"/>
              <w:left w:val="single" w:sz="6" w:space="0" w:color="000000"/>
              <w:bottom w:val="single" w:sz="6" w:space="0" w:color="000000"/>
              <w:right w:val="single" w:sz="6" w:space="0" w:color="000000"/>
            </w:tcBorders>
            <w:shd w:val="clear" w:color="auto" w:fill="FFFFFF"/>
          </w:tcPr>
          <w:p w14:paraId="4C91352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47" w:type="dxa"/>
            <w:tcBorders>
              <w:top w:val="single" w:sz="6" w:space="0" w:color="000000"/>
              <w:left w:val="single" w:sz="6" w:space="0" w:color="000000"/>
              <w:bottom w:val="single" w:sz="6" w:space="0" w:color="000000"/>
              <w:right w:val="single" w:sz="6" w:space="0" w:color="000000"/>
            </w:tcBorders>
            <w:shd w:val="clear" w:color="auto" w:fill="FFFFFF"/>
          </w:tcPr>
          <w:p w14:paraId="79B001A9" w14:textId="215A6D5F" w:rsidR="00B54C34" w:rsidRPr="007D063B" w:rsidRDefault="00A25586" w:rsidP="00450FF1">
            <w:pPr>
              <w:spacing w:before="120" w:after="0" w:line="240" w:lineRule="auto"/>
              <w:jc w:val="center"/>
              <w:rPr>
                <w:rFonts w:ascii="Times New Roman" w:eastAsia="Times New Roman" w:hAnsi="Times New Roman" w:cs="Times New Roman"/>
                <w:color w:val="000000"/>
                <w:sz w:val="16"/>
                <w:szCs w:val="16"/>
                <w:lang w:val="en-US" w:eastAsia="bg-BG"/>
              </w:rPr>
            </w:pPr>
            <w:r w:rsidRPr="007D063B">
              <w:rPr>
                <w:rFonts w:ascii="Times New Roman" w:eastAsia="Times New Roman" w:hAnsi="Times New Roman" w:cs="Times New Roman"/>
                <w:color w:val="000000"/>
                <w:sz w:val="16"/>
                <w:szCs w:val="16"/>
                <w:lang w:eastAsia="bg-BG"/>
              </w:rPr>
              <w:t>55,75</w:t>
            </w:r>
          </w:p>
        </w:tc>
        <w:tc>
          <w:tcPr>
            <w:tcW w:w="191" w:type="dxa"/>
            <w:tcBorders>
              <w:top w:val="single" w:sz="6" w:space="0" w:color="000000"/>
              <w:left w:val="single" w:sz="6" w:space="0" w:color="000000"/>
              <w:bottom w:val="single" w:sz="6" w:space="0" w:color="000000"/>
              <w:right w:val="single" w:sz="6" w:space="0" w:color="000000"/>
            </w:tcBorders>
            <w:shd w:val="clear" w:color="auto" w:fill="FFFFFF"/>
          </w:tcPr>
          <w:p w14:paraId="703CA5F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5" w:type="dxa"/>
            <w:gridSpan w:val="2"/>
            <w:tcBorders>
              <w:top w:val="single" w:sz="6" w:space="0" w:color="000000"/>
              <w:left w:val="single" w:sz="6" w:space="0" w:color="000000"/>
              <w:bottom w:val="single" w:sz="6" w:space="0" w:color="000000"/>
              <w:right w:val="single" w:sz="6" w:space="0" w:color="000000"/>
            </w:tcBorders>
            <w:shd w:val="clear" w:color="auto" w:fill="FFFFFF"/>
          </w:tcPr>
          <w:p w14:paraId="61B781B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46" w:type="dxa"/>
            <w:tcBorders>
              <w:top w:val="single" w:sz="6" w:space="0" w:color="000000"/>
              <w:left w:val="single" w:sz="6" w:space="0" w:color="000000"/>
              <w:bottom w:val="single" w:sz="6" w:space="0" w:color="000000"/>
              <w:right w:val="single" w:sz="6" w:space="0" w:color="000000"/>
            </w:tcBorders>
            <w:shd w:val="clear" w:color="auto" w:fill="FFFFFF"/>
          </w:tcPr>
          <w:p w14:paraId="57F74D79" w14:textId="252289BD" w:rsidR="00B54C34" w:rsidRPr="007D063B" w:rsidRDefault="00410799" w:rsidP="00450FF1">
            <w:pPr>
              <w:spacing w:before="120" w:after="0" w:line="240" w:lineRule="auto"/>
              <w:jc w:val="center"/>
              <w:rPr>
                <w:rFonts w:ascii="Times New Roman" w:eastAsia="Times New Roman" w:hAnsi="Times New Roman" w:cs="Times New Roman"/>
                <w:color w:val="000000"/>
                <w:sz w:val="16"/>
                <w:szCs w:val="16"/>
                <w:lang w:eastAsia="bg-BG"/>
              </w:rPr>
            </w:pPr>
            <w:r w:rsidRPr="007D063B">
              <w:rPr>
                <w:rFonts w:ascii="Times New Roman" w:eastAsia="Times New Roman" w:hAnsi="Times New Roman" w:cs="Times New Roman"/>
                <w:color w:val="000000"/>
                <w:sz w:val="16"/>
                <w:szCs w:val="16"/>
                <w:lang w:eastAsia="bg-BG"/>
              </w:rPr>
              <w:t>0,90</w:t>
            </w:r>
          </w:p>
        </w:tc>
        <w:tc>
          <w:tcPr>
            <w:tcW w:w="196" w:type="dxa"/>
            <w:tcBorders>
              <w:top w:val="single" w:sz="6" w:space="0" w:color="000000"/>
              <w:left w:val="single" w:sz="6" w:space="0" w:color="000000"/>
              <w:bottom w:val="single" w:sz="6" w:space="0" w:color="000000"/>
              <w:right w:val="single" w:sz="6" w:space="0" w:color="000000"/>
            </w:tcBorders>
            <w:shd w:val="clear" w:color="auto" w:fill="FFFFFF"/>
          </w:tcPr>
          <w:p w14:paraId="4564038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68" w:type="dxa"/>
            <w:tcBorders>
              <w:top w:val="single" w:sz="6" w:space="0" w:color="000000"/>
              <w:left w:val="single" w:sz="6" w:space="0" w:color="000000"/>
              <w:bottom w:val="single" w:sz="6" w:space="0" w:color="000000"/>
              <w:right w:val="single" w:sz="6" w:space="0" w:color="000000"/>
            </w:tcBorders>
            <w:shd w:val="clear" w:color="auto" w:fill="FFFFFF"/>
          </w:tcPr>
          <w:p w14:paraId="28E94E4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r w:rsidR="003B73DC" w:rsidRPr="007D063B" w14:paraId="76B8932F" w14:textId="77777777" w:rsidTr="005C5C55">
        <w:trPr>
          <w:tblCellSpacing w:w="0" w:type="dxa"/>
        </w:trPr>
        <w:tc>
          <w:tcPr>
            <w:tcW w:w="560" w:type="dxa"/>
            <w:tcBorders>
              <w:top w:val="single" w:sz="6" w:space="0" w:color="000000"/>
              <w:left w:val="single" w:sz="6" w:space="0" w:color="000000"/>
              <w:bottom w:val="single" w:sz="6" w:space="0" w:color="000000"/>
              <w:right w:val="single" w:sz="6" w:space="0" w:color="000000"/>
            </w:tcBorders>
            <w:shd w:val="clear" w:color="auto" w:fill="FFFFFF"/>
          </w:tcPr>
          <w:p w14:paraId="263E1B88" w14:textId="77777777" w:rsidR="00B54C34" w:rsidRPr="007D063B" w:rsidRDefault="00B54C34" w:rsidP="00450FF1">
            <w:pPr>
              <w:spacing w:before="120" w:after="0" w:line="240" w:lineRule="auto"/>
              <w:rPr>
                <w:rFonts w:ascii="Times New Roman" w:hAnsi="Times New Roman" w:cs="Times New Roman"/>
                <w:sz w:val="16"/>
                <w:szCs w:val="16"/>
              </w:rPr>
            </w:pP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14:paraId="37B2F8F0" w14:textId="77777777" w:rsidR="00B54C34" w:rsidRPr="007D063B" w:rsidRDefault="00B54C34" w:rsidP="00450FF1">
            <w:pPr>
              <w:spacing w:before="120" w:after="0" w:line="240" w:lineRule="auto"/>
              <w:rPr>
                <w:rFonts w:ascii="Times New Roman" w:hAnsi="Times New Roman" w:cs="Times New Roman"/>
                <w:sz w:val="16"/>
                <w:szCs w:val="16"/>
              </w:rPr>
            </w:pP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14:paraId="6804E26E" w14:textId="77777777" w:rsidR="00B54C34" w:rsidRPr="007D063B" w:rsidRDefault="00B54C34" w:rsidP="00450FF1">
            <w:pPr>
              <w:spacing w:before="120" w:after="0" w:line="240" w:lineRule="auto"/>
              <w:rPr>
                <w:rFonts w:ascii="Times New Roman" w:hAnsi="Times New Roman" w:cs="Times New Roman"/>
                <w:sz w:val="16"/>
                <w:szCs w:val="16"/>
              </w:rPr>
            </w:pPr>
          </w:p>
        </w:tc>
        <w:tc>
          <w:tcPr>
            <w:tcW w:w="425" w:type="dxa"/>
            <w:tcBorders>
              <w:top w:val="single" w:sz="6" w:space="0" w:color="000000"/>
              <w:left w:val="single" w:sz="6" w:space="0" w:color="000000"/>
              <w:bottom w:val="single" w:sz="6" w:space="0" w:color="000000"/>
              <w:right w:val="single" w:sz="6" w:space="0" w:color="000000"/>
            </w:tcBorders>
            <w:shd w:val="clear" w:color="auto" w:fill="FFFFFF"/>
          </w:tcPr>
          <w:p w14:paraId="1E6F8E99" w14:textId="77777777" w:rsidR="00B54C34" w:rsidRPr="007D063B" w:rsidRDefault="00B54C34" w:rsidP="00450FF1">
            <w:pPr>
              <w:spacing w:before="120" w:after="0" w:line="240" w:lineRule="auto"/>
              <w:jc w:val="center"/>
              <w:rPr>
                <w:rFonts w:ascii="Times New Roman" w:hAnsi="Times New Roman" w:cs="Times New Roman"/>
                <w:sz w:val="16"/>
                <w:szCs w:val="16"/>
              </w:rPr>
            </w:pPr>
          </w:p>
        </w:tc>
        <w:tc>
          <w:tcPr>
            <w:tcW w:w="723" w:type="dxa"/>
            <w:tcBorders>
              <w:top w:val="single" w:sz="6" w:space="0" w:color="000000"/>
              <w:left w:val="single" w:sz="6" w:space="0" w:color="000000"/>
              <w:bottom w:val="single" w:sz="6" w:space="0" w:color="000000"/>
              <w:right w:val="single" w:sz="6" w:space="0" w:color="000000"/>
            </w:tcBorders>
            <w:shd w:val="clear" w:color="auto" w:fill="FFFFFF"/>
          </w:tcPr>
          <w:p w14:paraId="38BE47F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95" w:type="dxa"/>
            <w:tcBorders>
              <w:top w:val="single" w:sz="6" w:space="0" w:color="000000"/>
              <w:left w:val="single" w:sz="6" w:space="0" w:color="000000"/>
              <w:bottom w:val="single" w:sz="6" w:space="0" w:color="000000"/>
              <w:right w:val="single" w:sz="6" w:space="0" w:color="000000"/>
            </w:tcBorders>
            <w:shd w:val="clear" w:color="auto" w:fill="FFFFFF"/>
          </w:tcPr>
          <w:p w14:paraId="76DCAEE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566" w:type="dxa"/>
            <w:tcBorders>
              <w:top w:val="single" w:sz="6" w:space="0" w:color="000000"/>
              <w:left w:val="single" w:sz="6" w:space="0" w:color="000000"/>
              <w:bottom w:val="single" w:sz="6" w:space="0" w:color="000000"/>
              <w:right w:val="single" w:sz="6" w:space="0" w:color="000000"/>
            </w:tcBorders>
            <w:shd w:val="clear" w:color="auto" w:fill="FFFFFF"/>
          </w:tcPr>
          <w:p w14:paraId="0B2E55F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99" w:type="dxa"/>
            <w:tcBorders>
              <w:top w:val="single" w:sz="6" w:space="0" w:color="000000"/>
              <w:left w:val="single" w:sz="6" w:space="0" w:color="000000"/>
              <w:bottom w:val="single" w:sz="6" w:space="0" w:color="000000"/>
              <w:right w:val="single" w:sz="6" w:space="0" w:color="000000"/>
            </w:tcBorders>
            <w:shd w:val="clear" w:color="auto" w:fill="FFFFFF"/>
          </w:tcPr>
          <w:p w14:paraId="0BA3D4CC" w14:textId="77777777" w:rsidR="00B54C34" w:rsidRPr="007D063B" w:rsidRDefault="00B54C34" w:rsidP="00450FF1">
            <w:pPr>
              <w:spacing w:before="120" w:after="0" w:line="240" w:lineRule="auto"/>
              <w:jc w:val="center"/>
              <w:rPr>
                <w:rFonts w:ascii="Times New Roman" w:hAnsi="Times New Roman" w:cs="Times New Roman"/>
                <w:sz w:val="16"/>
                <w:szCs w:val="16"/>
              </w:rPr>
            </w:pP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27274C3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29A36CA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329" w:type="dxa"/>
            <w:tcBorders>
              <w:top w:val="single" w:sz="6" w:space="0" w:color="000000"/>
              <w:left w:val="single" w:sz="6" w:space="0" w:color="000000"/>
              <w:bottom w:val="single" w:sz="6" w:space="0" w:color="000000"/>
              <w:right w:val="single" w:sz="6" w:space="0" w:color="000000"/>
            </w:tcBorders>
            <w:shd w:val="clear" w:color="auto" w:fill="FFFFFF"/>
          </w:tcPr>
          <w:p w14:paraId="7D8B8BD1" w14:textId="77777777" w:rsidR="00B54C34" w:rsidRPr="007D063B" w:rsidRDefault="00B54C34" w:rsidP="00450FF1">
            <w:pPr>
              <w:spacing w:before="120" w:after="0" w:line="240" w:lineRule="auto"/>
              <w:jc w:val="center"/>
              <w:rPr>
                <w:rFonts w:ascii="Times New Roman" w:hAnsi="Times New Roman" w:cs="Times New Roman"/>
                <w:sz w:val="16"/>
                <w:szCs w:val="16"/>
              </w:rPr>
            </w:pPr>
          </w:p>
        </w:tc>
        <w:tc>
          <w:tcPr>
            <w:tcW w:w="153" w:type="dxa"/>
            <w:tcBorders>
              <w:top w:val="single" w:sz="6" w:space="0" w:color="000000"/>
              <w:left w:val="single" w:sz="6" w:space="0" w:color="000000"/>
              <w:bottom w:val="single" w:sz="6" w:space="0" w:color="000000"/>
              <w:right w:val="single" w:sz="6" w:space="0" w:color="000000"/>
            </w:tcBorders>
            <w:shd w:val="clear" w:color="auto" w:fill="FFFFFF"/>
          </w:tcPr>
          <w:p w14:paraId="6D7FD2A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55" w:type="dxa"/>
            <w:gridSpan w:val="2"/>
            <w:tcBorders>
              <w:top w:val="single" w:sz="6" w:space="0" w:color="000000"/>
              <w:left w:val="single" w:sz="6" w:space="0" w:color="000000"/>
              <w:bottom w:val="single" w:sz="6" w:space="0" w:color="000000"/>
              <w:right w:val="single" w:sz="6" w:space="0" w:color="000000"/>
            </w:tcBorders>
            <w:shd w:val="clear" w:color="auto" w:fill="FFFFFF"/>
          </w:tcPr>
          <w:p w14:paraId="5BC02E26"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76B7428A"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6F80A70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3595DF4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51A2EE1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7294157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360913E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154E823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7FE6D311"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553C37D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02385A3B"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46EA325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219A3A8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34C5293C"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0ACBBFD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458C255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2C80C928"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63B1BB80"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347311A4"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3D7888E2"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54282AC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9" w:type="dxa"/>
            <w:gridSpan w:val="2"/>
            <w:tcBorders>
              <w:top w:val="single" w:sz="6" w:space="0" w:color="000000"/>
              <w:left w:val="single" w:sz="6" w:space="0" w:color="000000"/>
              <w:bottom w:val="single" w:sz="6" w:space="0" w:color="000000"/>
              <w:right w:val="single" w:sz="6" w:space="0" w:color="000000"/>
            </w:tcBorders>
            <w:shd w:val="clear" w:color="auto" w:fill="FFFFFF"/>
          </w:tcPr>
          <w:p w14:paraId="23FEFF7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83" w:type="dxa"/>
            <w:tcBorders>
              <w:top w:val="single" w:sz="6" w:space="0" w:color="000000"/>
              <w:left w:val="single" w:sz="6" w:space="0" w:color="000000"/>
              <w:bottom w:val="single" w:sz="6" w:space="0" w:color="000000"/>
              <w:right w:val="single" w:sz="6" w:space="0" w:color="000000"/>
            </w:tcBorders>
            <w:shd w:val="clear" w:color="auto" w:fill="FFFFFF"/>
          </w:tcPr>
          <w:p w14:paraId="089B883F"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Pr>
          <w:p w14:paraId="51C690B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10" w:type="dxa"/>
            <w:tcBorders>
              <w:top w:val="single" w:sz="6" w:space="0" w:color="000000"/>
              <w:left w:val="single" w:sz="6" w:space="0" w:color="000000"/>
              <w:bottom w:val="single" w:sz="6" w:space="0" w:color="000000"/>
              <w:right w:val="single" w:sz="6" w:space="0" w:color="000000"/>
            </w:tcBorders>
            <w:shd w:val="clear" w:color="auto" w:fill="FFFFFF"/>
          </w:tcPr>
          <w:p w14:paraId="49AA55F5"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447" w:type="dxa"/>
            <w:tcBorders>
              <w:top w:val="single" w:sz="6" w:space="0" w:color="000000"/>
              <w:left w:val="single" w:sz="6" w:space="0" w:color="000000"/>
              <w:bottom w:val="single" w:sz="6" w:space="0" w:color="000000"/>
              <w:right w:val="single" w:sz="6" w:space="0" w:color="000000"/>
            </w:tcBorders>
            <w:shd w:val="clear" w:color="auto" w:fill="FFFFFF"/>
          </w:tcPr>
          <w:p w14:paraId="26B0688E"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1" w:type="dxa"/>
            <w:tcBorders>
              <w:top w:val="single" w:sz="6" w:space="0" w:color="000000"/>
              <w:left w:val="single" w:sz="6" w:space="0" w:color="000000"/>
              <w:bottom w:val="single" w:sz="6" w:space="0" w:color="000000"/>
              <w:right w:val="single" w:sz="6" w:space="0" w:color="000000"/>
            </w:tcBorders>
            <w:shd w:val="clear" w:color="auto" w:fill="FFFFFF"/>
          </w:tcPr>
          <w:p w14:paraId="58A7CD2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5" w:type="dxa"/>
            <w:gridSpan w:val="2"/>
            <w:tcBorders>
              <w:top w:val="single" w:sz="6" w:space="0" w:color="000000"/>
              <w:left w:val="single" w:sz="6" w:space="0" w:color="000000"/>
              <w:bottom w:val="single" w:sz="6" w:space="0" w:color="000000"/>
              <w:right w:val="single" w:sz="6" w:space="0" w:color="000000"/>
            </w:tcBorders>
            <w:shd w:val="clear" w:color="auto" w:fill="FFFFFF"/>
          </w:tcPr>
          <w:p w14:paraId="38771D07"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646" w:type="dxa"/>
            <w:tcBorders>
              <w:top w:val="single" w:sz="6" w:space="0" w:color="000000"/>
              <w:left w:val="single" w:sz="6" w:space="0" w:color="000000"/>
              <w:bottom w:val="single" w:sz="6" w:space="0" w:color="000000"/>
              <w:right w:val="single" w:sz="6" w:space="0" w:color="000000"/>
            </w:tcBorders>
            <w:shd w:val="clear" w:color="auto" w:fill="FFFFFF"/>
          </w:tcPr>
          <w:p w14:paraId="4CA15BAD"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96" w:type="dxa"/>
            <w:tcBorders>
              <w:top w:val="single" w:sz="6" w:space="0" w:color="000000"/>
              <w:left w:val="single" w:sz="6" w:space="0" w:color="000000"/>
              <w:bottom w:val="single" w:sz="6" w:space="0" w:color="000000"/>
              <w:right w:val="single" w:sz="6" w:space="0" w:color="000000"/>
            </w:tcBorders>
            <w:shd w:val="clear" w:color="auto" w:fill="FFFFFF"/>
          </w:tcPr>
          <w:p w14:paraId="6546D649"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c>
          <w:tcPr>
            <w:tcW w:w="168" w:type="dxa"/>
            <w:tcBorders>
              <w:top w:val="single" w:sz="6" w:space="0" w:color="000000"/>
              <w:left w:val="single" w:sz="6" w:space="0" w:color="000000"/>
              <w:bottom w:val="single" w:sz="6" w:space="0" w:color="000000"/>
              <w:right w:val="single" w:sz="6" w:space="0" w:color="000000"/>
            </w:tcBorders>
            <w:shd w:val="clear" w:color="auto" w:fill="FFFFFF"/>
          </w:tcPr>
          <w:p w14:paraId="69979193" w14:textId="77777777" w:rsidR="00B54C34" w:rsidRPr="007D063B" w:rsidRDefault="00B54C34" w:rsidP="00450FF1">
            <w:pPr>
              <w:spacing w:before="120" w:after="0" w:line="240" w:lineRule="auto"/>
              <w:jc w:val="center"/>
              <w:rPr>
                <w:rFonts w:ascii="Times New Roman" w:eastAsia="Times New Roman" w:hAnsi="Times New Roman" w:cs="Times New Roman"/>
                <w:color w:val="000000"/>
                <w:sz w:val="16"/>
                <w:szCs w:val="16"/>
                <w:lang w:eastAsia="bg-BG"/>
              </w:rPr>
            </w:pPr>
          </w:p>
        </w:tc>
      </w:tr>
    </w:tbl>
    <w:p w14:paraId="21F369A9" w14:textId="77777777" w:rsidR="00B54C34" w:rsidRPr="007D063B" w:rsidRDefault="00B54C34" w:rsidP="00B54C34">
      <w:pPr>
        <w:shd w:val="clear" w:color="auto" w:fill="FFFFFF"/>
        <w:spacing w:before="240" w:after="120" w:line="240" w:lineRule="auto"/>
        <w:jc w:val="both"/>
        <w:rPr>
          <w:rFonts w:ascii="Times New Roman" w:eastAsia="Times New Roman" w:hAnsi="Times New Roman" w:cs="Times New Roman"/>
          <w:b/>
          <w:bCs/>
          <w:color w:val="000000"/>
          <w:sz w:val="24"/>
          <w:szCs w:val="24"/>
          <w:lang w:eastAsia="bg-BG"/>
        </w:rPr>
      </w:pPr>
    </w:p>
    <w:p w14:paraId="12294E57" w14:textId="77777777" w:rsidR="00B54C34" w:rsidRPr="007D063B" w:rsidRDefault="00B54C34" w:rsidP="00B54C34">
      <w:pPr>
        <w:rPr>
          <w:rFonts w:ascii="Times New Roman" w:eastAsia="Times New Roman" w:hAnsi="Times New Roman" w:cs="Times New Roman"/>
          <w:b/>
          <w:bCs/>
          <w:color w:val="000000"/>
          <w:sz w:val="24"/>
          <w:szCs w:val="24"/>
          <w:lang w:eastAsia="bg-BG"/>
        </w:rPr>
      </w:pPr>
      <w:r w:rsidRPr="007D063B">
        <w:rPr>
          <w:rFonts w:ascii="Times New Roman" w:eastAsia="Times New Roman" w:hAnsi="Times New Roman" w:cs="Times New Roman"/>
          <w:b/>
          <w:bCs/>
          <w:color w:val="000000"/>
          <w:sz w:val="24"/>
          <w:szCs w:val="24"/>
          <w:lang w:eastAsia="bg-BG"/>
        </w:rPr>
        <w:br w:type="page"/>
      </w:r>
    </w:p>
    <w:p w14:paraId="55AF2031" w14:textId="77777777" w:rsidR="00B54C34" w:rsidRPr="007D063B" w:rsidRDefault="00B54C34" w:rsidP="003E6AB0">
      <w:pPr>
        <w:pStyle w:val="Heading2"/>
        <w:rPr>
          <w:rFonts w:ascii="Times New Roman" w:eastAsia="Times New Roman" w:hAnsi="Times New Roman" w:cs="Times New Roman"/>
          <w:b/>
          <w:bCs/>
          <w:color w:val="000000"/>
          <w:sz w:val="24"/>
          <w:szCs w:val="24"/>
          <w:lang w:eastAsia="bg-BG"/>
        </w:rPr>
      </w:pPr>
      <w:bookmarkStart w:id="33" w:name="_Toc481594294"/>
      <w:r w:rsidRPr="007D063B">
        <w:rPr>
          <w:rFonts w:ascii="Times New Roman" w:eastAsia="Times New Roman" w:hAnsi="Times New Roman" w:cs="Times New Roman"/>
          <w:b/>
          <w:bCs/>
          <w:color w:val="000000"/>
          <w:sz w:val="24"/>
          <w:szCs w:val="24"/>
          <w:lang w:eastAsia="bg-BG"/>
        </w:rPr>
        <w:lastRenderedPageBreak/>
        <w:t>3.3.   </w:t>
      </w:r>
      <w:r w:rsidRPr="007D063B">
        <w:rPr>
          <w:rFonts w:ascii="inherit" w:eastAsia="Times New Roman" w:hAnsi="inherit" w:cs="Times New Roman"/>
          <w:b/>
          <w:bCs/>
          <w:color w:val="000000"/>
          <w:sz w:val="24"/>
          <w:szCs w:val="24"/>
          <w:lang w:eastAsia="bg-BG"/>
        </w:rPr>
        <w:t>Етапните цели и целевите стойности, определени в рамката на изпълнението (член 50, параграф 2 от Регламент (ЕС) № 1303/2013), представени в годишните доклади за изпълнението, считано от 2017 г.</w:t>
      </w:r>
      <w:r w:rsidRPr="007D063B">
        <w:rPr>
          <w:rFonts w:ascii="Times New Roman" w:eastAsia="Times New Roman" w:hAnsi="Times New Roman" w:cs="Times New Roman"/>
          <w:b/>
          <w:bCs/>
          <w:color w:val="000000"/>
          <w:sz w:val="24"/>
          <w:szCs w:val="24"/>
          <w:lang w:eastAsia="bg-BG"/>
        </w:rPr>
        <w:t> </w:t>
      </w:r>
      <w:hyperlink r:id="rId68" w:anchor="ntr17-L_2015038BG.01007201-E0017" w:history="1">
        <w:r w:rsidRPr="007D063B">
          <w:rPr>
            <w:rFonts w:ascii="inherit" w:eastAsia="Times New Roman" w:hAnsi="inherit" w:cs="Times New Roman"/>
            <w:b/>
            <w:bCs/>
            <w:color w:val="0000FF"/>
            <w:sz w:val="24"/>
            <w:szCs w:val="24"/>
            <w:u w:val="single"/>
            <w:lang w:eastAsia="bg-BG"/>
          </w:rPr>
          <w:t> (</w:t>
        </w:r>
        <w:r w:rsidRPr="007D063B">
          <w:rPr>
            <w:rFonts w:ascii="inherit" w:eastAsia="Times New Roman" w:hAnsi="inherit" w:cs="Times New Roman"/>
            <w:b/>
            <w:bCs/>
            <w:color w:val="0000FF"/>
            <w:sz w:val="17"/>
            <w:szCs w:val="17"/>
            <w:u w:val="single"/>
            <w:vertAlign w:val="superscript"/>
            <w:lang w:eastAsia="bg-BG"/>
          </w:rPr>
          <w:t>17</w:t>
        </w:r>
        <w:r w:rsidRPr="007D063B">
          <w:rPr>
            <w:rFonts w:ascii="inherit" w:eastAsia="Times New Roman" w:hAnsi="inherit" w:cs="Times New Roman"/>
            <w:b/>
            <w:bCs/>
            <w:color w:val="0000FF"/>
            <w:sz w:val="24"/>
            <w:szCs w:val="24"/>
            <w:u w:val="single"/>
            <w:lang w:eastAsia="bg-BG"/>
          </w:rPr>
          <w:t>)</w:t>
        </w:r>
        <w:bookmarkEnd w:id="33"/>
      </w:hyperlink>
    </w:p>
    <w:p w14:paraId="3A72E7AB" w14:textId="77777777" w:rsidR="00B54C34" w:rsidRPr="007D063B" w:rsidRDefault="00B54C34" w:rsidP="00B54C34">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Докладване относно финансовите показатели, ключовите етапи на изпълнението, показателите за изпълнението и резултатите, за да служат за етапни цели и целеви стойности на рамката на изпълнението (считано от подаването на доклада за 2017 г.).</w:t>
      </w:r>
    </w:p>
    <w:p w14:paraId="652E6C3A" w14:textId="77777777" w:rsidR="00B54C34" w:rsidRPr="007D063B" w:rsidRDefault="00B54C34" w:rsidP="00B54C34">
      <w:pPr>
        <w:shd w:val="clear" w:color="auto" w:fill="FFFFFF"/>
        <w:spacing w:before="120" w:after="120" w:line="240" w:lineRule="auto"/>
        <w:jc w:val="both"/>
        <w:rPr>
          <w:rFonts w:ascii="Times New Roman" w:eastAsia="Times New Roman" w:hAnsi="Times New Roman" w:cs="Times New Roman"/>
          <w:b/>
          <w:bCs/>
          <w:color w:val="000000"/>
          <w:sz w:val="24"/>
          <w:szCs w:val="24"/>
          <w:lang w:eastAsia="bg-BG"/>
        </w:rPr>
      </w:pPr>
    </w:p>
    <w:p w14:paraId="40FAD67F" w14:textId="77777777" w:rsidR="00B54C34" w:rsidRPr="007D063B" w:rsidRDefault="00B54C34" w:rsidP="003E6AB0">
      <w:pPr>
        <w:pStyle w:val="Heading2"/>
        <w:rPr>
          <w:rFonts w:ascii="Times New Roman" w:eastAsia="Times New Roman" w:hAnsi="Times New Roman" w:cs="Times New Roman"/>
          <w:b/>
          <w:bCs/>
          <w:color w:val="000000"/>
          <w:sz w:val="24"/>
          <w:szCs w:val="24"/>
          <w:lang w:eastAsia="bg-BG"/>
        </w:rPr>
      </w:pPr>
      <w:bookmarkStart w:id="34" w:name="_Toc481594295"/>
      <w:r w:rsidRPr="007D063B">
        <w:rPr>
          <w:rFonts w:ascii="Times New Roman" w:eastAsia="Times New Roman" w:hAnsi="Times New Roman" w:cs="Times New Roman"/>
          <w:b/>
          <w:bCs/>
          <w:color w:val="000000"/>
          <w:sz w:val="24"/>
          <w:szCs w:val="24"/>
          <w:lang w:eastAsia="bg-BG"/>
        </w:rPr>
        <w:t>3.4.   </w:t>
      </w:r>
      <w:r w:rsidRPr="007D063B">
        <w:rPr>
          <w:rFonts w:ascii="inherit" w:eastAsia="Times New Roman" w:hAnsi="inherit" w:cs="Times New Roman"/>
          <w:b/>
          <w:bCs/>
          <w:color w:val="000000"/>
          <w:sz w:val="24"/>
          <w:szCs w:val="24"/>
          <w:lang w:eastAsia="bg-BG"/>
        </w:rPr>
        <w:t>Финансови данни (член 50, параграф 2 от Регламент (ЕС) № 1303/2013)</w:t>
      </w:r>
      <w:r w:rsidRPr="007D063B">
        <w:rPr>
          <w:rFonts w:ascii="Times New Roman" w:eastAsia="Times New Roman" w:hAnsi="Times New Roman" w:cs="Times New Roman"/>
          <w:b/>
          <w:bCs/>
          <w:color w:val="000000"/>
          <w:sz w:val="24"/>
          <w:szCs w:val="24"/>
          <w:lang w:eastAsia="bg-BG"/>
        </w:rPr>
        <w:t> </w:t>
      </w:r>
      <w:hyperlink r:id="rId69" w:anchor="ntr19-L_2015038BG.01007201-E0019" w:history="1">
        <w:r w:rsidRPr="007D063B">
          <w:rPr>
            <w:rFonts w:ascii="inherit" w:eastAsia="Times New Roman" w:hAnsi="inherit" w:cs="Times New Roman"/>
            <w:b/>
            <w:bCs/>
            <w:color w:val="0000FF"/>
            <w:sz w:val="24"/>
            <w:szCs w:val="24"/>
            <w:u w:val="single"/>
            <w:lang w:eastAsia="bg-BG"/>
          </w:rPr>
          <w:t> (</w:t>
        </w:r>
        <w:r w:rsidRPr="007D063B">
          <w:rPr>
            <w:rFonts w:ascii="inherit" w:eastAsia="Times New Roman" w:hAnsi="inherit" w:cs="Times New Roman"/>
            <w:b/>
            <w:bCs/>
            <w:color w:val="0000FF"/>
            <w:sz w:val="17"/>
            <w:szCs w:val="17"/>
            <w:u w:val="single"/>
            <w:vertAlign w:val="superscript"/>
            <w:lang w:eastAsia="bg-BG"/>
          </w:rPr>
          <w:t>19</w:t>
        </w:r>
        <w:r w:rsidRPr="007D063B">
          <w:rPr>
            <w:rFonts w:ascii="inherit" w:eastAsia="Times New Roman" w:hAnsi="inherit" w:cs="Times New Roman"/>
            <w:b/>
            <w:bCs/>
            <w:color w:val="0000FF"/>
            <w:sz w:val="24"/>
            <w:szCs w:val="24"/>
            <w:u w:val="single"/>
            <w:lang w:eastAsia="bg-BG"/>
          </w:rPr>
          <w:t>)</w:t>
        </w:r>
        <w:bookmarkEnd w:id="34"/>
      </w:hyperlink>
    </w:p>
    <w:p w14:paraId="72038F6A" w14:textId="77777777" w:rsidR="00B54C34" w:rsidRPr="007D063B" w:rsidRDefault="00B54C34" w:rsidP="00B54C34">
      <w:pPr>
        <w:shd w:val="clear" w:color="auto" w:fill="FFFFFF"/>
        <w:spacing w:before="120" w:after="120" w:line="240" w:lineRule="auto"/>
        <w:jc w:val="both"/>
        <w:rPr>
          <w:rFonts w:ascii="Times New Roman" w:eastAsia="Times New Roman" w:hAnsi="Times New Roman" w:cs="Times New Roman"/>
          <w:b/>
          <w:bCs/>
          <w:color w:val="000000"/>
          <w:sz w:val="24"/>
          <w:szCs w:val="24"/>
          <w:lang w:eastAsia="bg-BG"/>
        </w:rPr>
      </w:pPr>
      <w:r w:rsidRPr="007D063B">
        <w:rPr>
          <w:rFonts w:ascii="inherit" w:eastAsia="Times New Roman" w:hAnsi="inherit" w:cs="Times New Roman"/>
          <w:b/>
          <w:bCs/>
          <w:i/>
          <w:iCs/>
          <w:color w:val="000000"/>
          <w:sz w:val="24"/>
          <w:szCs w:val="24"/>
          <w:lang w:eastAsia="bg-BG"/>
        </w:rPr>
        <w:t>Таблица 6</w:t>
      </w:r>
    </w:p>
    <w:p w14:paraId="0DA1C814" w14:textId="77777777" w:rsidR="00B54C34" w:rsidRPr="007D063B" w:rsidRDefault="00B54C34" w:rsidP="00B54C34">
      <w:pPr>
        <w:shd w:val="clear" w:color="auto" w:fill="FFFFFF"/>
        <w:spacing w:before="120" w:after="120" w:line="240" w:lineRule="auto"/>
        <w:jc w:val="both"/>
        <w:rPr>
          <w:rFonts w:ascii="Times New Roman" w:eastAsia="Times New Roman" w:hAnsi="Times New Roman" w:cs="Times New Roman"/>
          <w:b/>
          <w:bCs/>
          <w:color w:val="000000"/>
          <w:sz w:val="24"/>
          <w:szCs w:val="24"/>
          <w:lang w:eastAsia="bg-BG"/>
        </w:rPr>
      </w:pPr>
      <w:r w:rsidRPr="007D063B">
        <w:rPr>
          <w:rFonts w:ascii="inherit" w:eastAsia="Times New Roman" w:hAnsi="inherit" w:cs="Times New Roman"/>
          <w:b/>
          <w:bCs/>
          <w:color w:val="000000"/>
          <w:sz w:val="24"/>
          <w:szCs w:val="24"/>
          <w:lang w:eastAsia="bg-BG"/>
        </w:rPr>
        <w:t>Финансова информация на ниво приоритетна ос и програма</w:t>
      </w:r>
    </w:p>
    <w:p w14:paraId="12855068" w14:textId="77777777" w:rsidR="00B54C34" w:rsidRPr="007D063B" w:rsidRDefault="00B54C34" w:rsidP="00B54C34">
      <w:pPr>
        <w:shd w:val="clear" w:color="auto" w:fill="FFFFFF"/>
        <w:spacing w:before="120" w:after="120" w:line="240" w:lineRule="auto"/>
        <w:jc w:val="both"/>
        <w:rPr>
          <w:rFonts w:eastAsia="Times New Roman" w:cs="Times New Roman"/>
          <w:b/>
          <w:bCs/>
          <w:color w:val="0000FF"/>
          <w:sz w:val="24"/>
          <w:szCs w:val="24"/>
          <w:u w:val="single"/>
          <w:lang w:val="ru-RU" w:eastAsia="bg-BG"/>
        </w:rPr>
      </w:pPr>
      <w:r w:rsidRPr="007D063B">
        <w:rPr>
          <w:rFonts w:ascii="Times New Roman" w:eastAsia="Times New Roman" w:hAnsi="Times New Roman" w:cs="Times New Roman"/>
          <w:b/>
          <w:bCs/>
          <w:color w:val="000000"/>
          <w:sz w:val="24"/>
          <w:szCs w:val="24"/>
          <w:lang w:eastAsia="bg-BG"/>
        </w:rPr>
        <w:t>както е посочено в таблица 1 от приложение II към Регламент за изпълнение (ЕС) № 1011/2014 на Комисията</w:t>
      </w:r>
      <w:hyperlink r:id="rId70" w:anchor="ntr20-L_2015038BG.01007201-E0020" w:history="1">
        <w:r w:rsidRPr="007D063B">
          <w:rPr>
            <w:rFonts w:ascii="inherit" w:eastAsia="Times New Roman" w:hAnsi="inherit" w:cs="Times New Roman"/>
            <w:b/>
            <w:bCs/>
            <w:color w:val="0000FF"/>
            <w:sz w:val="24"/>
            <w:szCs w:val="24"/>
            <w:u w:val="single"/>
            <w:lang w:eastAsia="bg-BG"/>
          </w:rPr>
          <w:t> (</w:t>
        </w:r>
        <w:r w:rsidRPr="007D063B">
          <w:rPr>
            <w:rFonts w:ascii="inherit" w:eastAsia="Times New Roman" w:hAnsi="inherit" w:cs="Times New Roman"/>
            <w:b/>
            <w:bCs/>
            <w:color w:val="0000FF"/>
            <w:sz w:val="17"/>
            <w:szCs w:val="17"/>
            <w:u w:val="single"/>
            <w:vertAlign w:val="superscript"/>
            <w:lang w:eastAsia="bg-BG"/>
          </w:rPr>
          <w:t>20</w:t>
        </w:r>
        <w:r w:rsidRPr="007D063B">
          <w:rPr>
            <w:rFonts w:ascii="inherit" w:eastAsia="Times New Roman" w:hAnsi="inherit" w:cs="Times New Roman"/>
            <w:b/>
            <w:bCs/>
            <w:color w:val="0000FF"/>
            <w:sz w:val="24"/>
            <w:szCs w:val="24"/>
            <w:u w:val="single"/>
            <w:lang w:eastAsia="bg-BG"/>
          </w:rPr>
          <w:t>)</w:t>
        </w:r>
      </w:hyperlink>
      <w:r w:rsidRPr="007D063B">
        <w:rPr>
          <w:rFonts w:ascii="Times New Roman" w:eastAsia="Times New Roman" w:hAnsi="Times New Roman" w:cs="Times New Roman"/>
          <w:b/>
          <w:bCs/>
          <w:color w:val="000000"/>
          <w:sz w:val="24"/>
          <w:szCs w:val="24"/>
          <w:lang w:eastAsia="bg-BG"/>
        </w:rPr>
        <w:t> [образец за предаване на финансови данни]</w:t>
      </w:r>
      <w:hyperlink r:id="rId71" w:anchor="ntr21-L_2015038BG.01007201-E0021" w:history="1">
        <w:r w:rsidRPr="007D063B">
          <w:rPr>
            <w:rFonts w:ascii="inherit" w:eastAsia="Times New Roman" w:hAnsi="inherit" w:cs="Times New Roman"/>
            <w:b/>
            <w:bCs/>
            <w:color w:val="0000FF"/>
            <w:sz w:val="24"/>
            <w:szCs w:val="24"/>
            <w:u w:val="single"/>
            <w:lang w:eastAsia="bg-BG"/>
          </w:rPr>
          <w:t> (</w:t>
        </w:r>
        <w:r w:rsidRPr="007D063B">
          <w:rPr>
            <w:rFonts w:ascii="inherit" w:eastAsia="Times New Roman" w:hAnsi="inherit" w:cs="Times New Roman"/>
            <w:b/>
            <w:bCs/>
            <w:color w:val="0000FF"/>
            <w:sz w:val="17"/>
            <w:szCs w:val="17"/>
            <w:u w:val="single"/>
            <w:vertAlign w:val="superscript"/>
            <w:lang w:eastAsia="bg-BG"/>
          </w:rPr>
          <w:t>21</w:t>
        </w:r>
        <w:r w:rsidRPr="007D063B">
          <w:rPr>
            <w:rFonts w:ascii="inherit" w:eastAsia="Times New Roman" w:hAnsi="inherit" w:cs="Times New Roman"/>
            <w:b/>
            <w:bCs/>
            <w:color w:val="0000FF"/>
            <w:sz w:val="24"/>
            <w:szCs w:val="24"/>
            <w:u w:val="single"/>
            <w:lang w:eastAsia="bg-BG"/>
          </w:rPr>
          <w:t>)</w:t>
        </w:r>
      </w:hyperlink>
      <w:r w:rsidRPr="007D063B">
        <w:rPr>
          <w:rFonts w:eastAsia="Times New Roman" w:cs="Times New Roman"/>
          <w:b/>
          <w:bCs/>
          <w:color w:val="0000FF"/>
          <w:sz w:val="24"/>
          <w:szCs w:val="24"/>
          <w:u w:val="single"/>
          <w:lang w:val="ru-RU" w:eastAsia="bg-BG"/>
        </w:rPr>
        <w:t xml:space="preserve"> </w:t>
      </w:r>
    </w:p>
    <w:p w14:paraId="4C5A68D1" w14:textId="77777777" w:rsidR="00D13E5F" w:rsidRPr="007D063B" w:rsidRDefault="00D13E5F" w:rsidP="00D13E5F">
      <w:pPr>
        <w:shd w:val="clear" w:color="auto" w:fill="FFFFFF"/>
        <w:spacing w:before="120" w:after="0" w:line="240" w:lineRule="auto"/>
        <w:jc w:val="both"/>
        <w:rPr>
          <w:rFonts w:ascii="Times New Roman" w:eastAsia="Times New Roman" w:hAnsi="Times New Roman" w:cs="Times New Roman"/>
          <w:b/>
          <w:color w:val="0000FF"/>
          <w:sz w:val="24"/>
          <w:szCs w:val="24"/>
          <w:lang w:eastAsia="bg-BG"/>
        </w:rPr>
      </w:pPr>
      <w:r w:rsidRPr="007D063B">
        <w:rPr>
          <w:rFonts w:ascii="Times New Roman" w:eastAsia="Times New Roman" w:hAnsi="Times New Roman" w:cs="Times New Roman"/>
          <w:b/>
          <w:color w:val="0000FF"/>
          <w:sz w:val="24"/>
          <w:szCs w:val="24"/>
          <w:lang w:eastAsia="bg-BG"/>
        </w:rPr>
        <w:t>Таблицата е Приложение 1, към Годишния доклад за 2016 г.</w:t>
      </w:r>
    </w:p>
    <w:p w14:paraId="4C53FD24" w14:textId="77777777" w:rsidR="00B54C34" w:rsidRPr="007D063B" w:rsidRDefault="00B54C34" w:rsidP="00B54C34">
      <w:pPr>
        <w:shd w:val="clear" w:color="auto" w:fill="FFFFFF"/>
        <w:spacing w:before="120" w:after="120" w:line="240" w:lineRule="auto"/>
        <w:jc w:val="both"/>
        <w:rPr>
          <w:rFonts w:ascii="Times New Roman" w:eastAsia="Times New Roman" w:hAnsi="Times New Roman" w:cs="Times New Roman"/>
          <w:b/>
          <w:bCs/>
          <w:color w:val="000000"/>
          <w:sz w:val="24"/>
          <w:szCs w:val="24"/>
          <w:lang w:eastAsia="bg-BG"/>
        </w:rPr>
      </w:pPr>
      <w:r w:rsidRPr="007D063B">
        <w:rPr>
          <w:rFonts w:ascii="inherit" w:eastAsia="Times New Roman" w:hAnsi="inherit" w:cs="Times New Roman"/>
          <w:b/>
          <w:bCs/>
          <w:i/>
          <w:iCs/>
          <w:color w:val="000000"/>
          <w:sz w:val="24"/>
          <w:szCs w:val="24"/>
          <w:lang w:eastAsia="bg-BG"/>
        </w:rPr>
        <w:t>Таблица 7</w:t>
      </w:r>
    </w:p>
    <w:p w14:paraId="4D233554" w14:textId="46F29D11" w:rsidR="00B54C34" w:rsidRPr="007D063B" w:rsidRDefault="00B54C34" w:rsidP="00B54C34">
      <w:pPr>
        <w:shd w:val="clear" w:color="auto" w:fill="FFFFFF"/>
        <w:spacing w:before="120" w:after="120" w:line="240" w:lineRule="auto"/>
        <w:jc w:val="both"/>
        <w:rPr>
          <w:rFonts w:ascii="Times New Roman" w:eastAsia="Times New Roman" w:hAnsi="Times New Roman" w:cs="Times New Roman"/>
          <w:b/>
          <w:bCs/>
          <w:color w:val="000000"/>
          <w:sz w:val="24"/>
          <w:szCs w:val="24"/>
          <w:lang w:eastAsia="bg-BG"/>
        </w:rPr>
      </w:pPr>
      <w:r w:rsidRPr="007D063B">
        <w:rPr>
          <w:rFonts w:ascii="inherit" w:eastAsia="Times New Roman" w:hAnsi="inherit" w:cs="Times New Roman"/>
          <w:b/>
          <w:bCs/>
          <w:color w:val="000000"/>
          <w:sz w:val="24"/>
          <w:szCs w:val="24"/>
          <w:lang w:eastAsia="bg-BG"/>
        </w:rPr>
        <w:t>Разпределение на кумулативните финансови данни по комбинация от категории интервенции за ЕФРР, ЕСФ и Кохезионния фонд (член 112, параграфи 1 и 2 от Регламент (ЕС) № 1303/2013 и член 5 от Регламент (ЕС) № 1304/2013)</w:t>
      </w:r>
    </w:p>
    <w:p w14:paraId="5AC1BCE4" w14:textId="77777777" w:rsidR="00B54C34" w:rsidRPr="007D063B" w:rsidRDefault="00B54C34" w:rsidP="00B54C34">
      <w:pPr>
        <w:shd w:val="clear" w:color="auto" w:fill="FFFFFF"/>
        <w:spacing w:before="120" w:after="120" w:line="240" w:lineRule="auto"/>
        <w:jc w:val="both"/>
        <w:rPr>
          <w:rFonts w:ascii="Times New Roman" w:eastAsia="Times New Roman" w:hAnsi="Times New Roman" w:cs="Times New Roman"/>
          <w:b/>
          <w:bCs/>
          <w:color w:val="000000"/>
          <w:sz w:val="24"/>
          <w:szCs w:val="24"/>
          <w:lang w:eastAsia="bg-BG"/>
        </w:rPr>
      </w:pPr>
      <w:r w:rsidRPr="007D063B">
        <w:rPr>
          <w:rFonts w:ascii="Times New Roman" w:eastAsia="Times New Roman" w:hAnsi="Times New Roman" w:cs="Times New Roman"/>
          <w:b/>
          <w:bCs/>
          <w:color w:val="000000"/>
          <w:sz w:val="24"/>
          <w:szCs w:val="24"/>
          <w:lang w:eastAsia="bg-BG"/>
        </w:rPr>
        <w:t xml:space="preserve">съгласно посоченото в таблица 2 от приложение II към Регламент за изпълнение (ЕС) № 1011/2014 на Комисията [образец за предаване на финансови данни] </w:t>
      </w:r>
    </w:p>
    <w:p w14:paraId="38BCED1D" w14:textId="1FCC0F6E" w:rsidR="004D7E1E" w:rsidRPr="007D063B" w:rsidRDefault="00B54C34" w:rsidP="00BC267C">
      <w:pPr>
        <w:shd w:val="clear" w:color="auto" w:fill="FFFFFF"/>
        <w:spacing w:before="120" w:after="0" w:line="240" w:lineRule="auto"/>
        <w:jc w:val="both"/>
        <w:rPr>
          <w:rFonts w:ascii="Times New Roman" w:eastAsia="Times New Roman" w:hAnsi="Times New Roman" w:cs="Times New Roman"/>
          <w:b/>
          <w:color w:val="0000FF"/>
          <w:sz w:val="24"/>
          <w:szCs w:val="24"/>
          <w:lang w:eastAsia="bg-BG"/>
        </w:rPr>
      </w:pPr>
      <w:r w:rsidRPr="007D063B">
        <w:rPr>
          <w:rFonts w:ascii="Times New Roman" w:eastAsia="Times New Roman" w:hAnsi="Times New Roman" w:cs="Times New Roman"/>
          <w:b/>
          <w:color w:val="0000FF"/>
          <w:sz w:val="24"/>
          <w:szCs w:val="24"/>
          <w:lang w:eastAsia="bg-BG"/>
        </w:rPr>
        <w:t xml:space="preserve">Таблицата е Приложение 2, към Годишния доклад за </w:t>
      </w:r>
      <w:r w:rsidR="00D13E5F" w:rsidRPr="007D063B">
        <w:rPr>
          <w:rFonts w:ascii="Times New Roman" w:eastAsia="Times New Roman" w:hAnsi="Times New Roman" w:cs="Times New Roman"/>
          <w:b/>
          <w:color w:val="0000FF"/>
          <w:sz w:val="24"/>
          <w:szCs w:val="24"/>
          <w:lang w:eastAsia="bg-BG"/>
        </w:rPr>
        <w:t xml:space="preserve">2016 </w:t>
      </w:r>
      <w:r w:rsidRPr="007D063B">
        <w:rPr>
          <w:rFonts w:ascii="Times New Roman" w:eastAsia="Times New Roman" w:hAnsi="Times New Roman" w:cs="Times New Roman"/>
          <w:b/>
          <w:color w:val="0000FF"/>
          <w:sz w:val="24"/>
          <w:szCs w:val="24"/>
          <w:lang w:eastAsia="bg-BG"/>
        </w:rPr>
        <w:t>г.</w:t>
      </w:r>
    </w:p>
    <w:p w14:paraId="54807CCD" w14:textId="77777777" w:rsidR="004D7E1E" w:rsidRPr="007D063B" w:rsidRDefault="004D7E1E" w:rsidP="009C6F83">
      <w:pPr>
        <w:shd w:val="clear" w:color="auto" w:fill="FFFFFF"/>
        <w:spacing w:before="240" w:after="120" w:line="240" w:lineRule="auto"/>
        <w:jc w:val="both"/>
        <w:rPr>
          <w:rFonts w:ascii="Times New Roman" w:eastAsia="Times New Roman" w:hAnsi="Times New Roman" w:cs="Times New Roman"/>
          <w:b/>
          <w:bCs/>
          <w:color w:val="000000"/>
          <w:sz w:val="24"/>
          <w:szCs w:val="24"/>
          <w:lang w:eastAsia="bg-BG"/>
        </w:rPr>
      </w:pPr>
    </w:p>
    <w:p w14:paraId="3334A0D4" w14:textId="77777777" w:rsidR="009C6F83" w:rsidRPr="007D063B" w:rsidRDefault="009C6F83" w:rsidP="003E6AB0">
      <w:pPr>
        <w:pStyle w:val="Heading1"/>
        <w:rPr>
          <w:rFonts w:ascii="Times New Roman" w:eastAsia="Times New Roman" w:hAnsi="Times New Roman" w:cs="Times New Roman"/>
          <w:b/>
          <w:bCs/>
          <w:color w:val="000000"/>
          <w:sz w:val="24"/>
          <w:szCs w:val="24"/>
          <w:lang w:eastAsia="bg-BG"/>
        </w:rPr>
      </w:pPr>
      <w:bookmarkStart w:id="35" w:name="_Toc481594296"/>
      <w:r w:rsidRPr="007D063B">
        <w:rPr>
          <w:rFonts w:ascii="Times New Roman" w:eastAsia="Times New Roman" w:hAnsi="Times New Roman" w:cs="Times New Roman"/>
          <w:b/>
          <w:bCs/>
          <w:color w:val="000000"/>
          <w:sz w:val="24"/>
          <w:szCs w:val="24"/>
          <w:lang w:eastAsia="bg-BG"/>
        </w:rPr>
        <w:t>4.   ОБОБЩЕНИЕ НА ОЦЕНКИТЕ (член 50, параграф 2 от Регламент (ЕС) № 1303/2013)</w:t>
      </w:r>
      <w:bookmarkEnd w:id="35"/>
    </w:p>
    <w:p w14:paraId="050AA5DF" w14:textId="77777777" w:rsidR="009C6F83" w:rsidRPr="007D063B" w:rsidRDefault="009C6F83" w:rsidP="009C6F83">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Обобщение на констатациите от всички оценки на програмата, представени през предходната финансова година, с посочване на наименованието и референтния период на използваните доклади за оценка</w:t>
      </w:r>
    </w:p>
    <w:p w14:paraId="048A045D" w14:textId="77777777" w:rsidR="009C6F83" w:rsidRPr="007D063B" w:rsidRDefault="009C6F83" w:rsidP="009C6F83">
      <w:pPr>
        <w:shd w:val="clear" w:color="auto" w:fill="FFFFFF"/>
        <w:spacing w:after="0" w:line="240" w:lineRule="auto"/>
        <w:rPr>
          <w:rFonts w:eastAsia="Times New Roman" w:cs="Times New Roman"/>
          <w:color w:val="000000"/>
          <w:sz w:val="24"/>
          <w:szCs w:val="24"/>
          <w:lang w:eastAsia="bg-BG"/>
        </w:rPr>
      </w:pPr>
      <w:r w:rsidRPr="007D063B">
        <w:rPr>
          <w:rFonts w:ascii="inherit" w:eastAsia="Times New Roman" w:hAnsi="inherit" w:cs="Times New Roman"/>
          <w:i/>
          <w:iCs/>
          <w:color w:val="000000"/>
          <w:sz w:val="24"/>
          <w:szCs w:val="24"/>
          <w:lang w:eastAsia="bg-BG"/>
        </w:rPr>
        <w:t>&lt;type='S' maxlength=10500 input='M'&gt;</w:t>
      </w:r>
    </w:p>
    <w:p w14:paraId="4683BC8C" w14:textId="024F7945" w:rsidR="00571DC5" w:rsidRPr="007D063B" w:rsidRDefault="00571DC5">
      <w:pPr>
        <w:rPr>
          <w:rFonts w:ascii="Times New Roman" w:eastAsia="Times New Roman" w:hAnsi="Times New Roman" w:cs="Times New Roman"/>
          <w:bCs/>
          <w:color w:val="000000"/>
          <w:sz w:val="24"/>
          <w:szCs w:val="24"/>
          <w:lang w:eastAsia="bg-BG"/>
        </w:rPr>
      </w:pPr>
    </w:p>
    <w:p w14:paraId="2F17A331" w14:textId="206165EB" w:rsidR="00E555AC" w:rsidRPr="007D063B" w:rsidRDefault="00E555AC" w:rsidP="004274D7">
      <w:pPr>
        <w:jc w:val="both"/>
        <w:rPr>
          <w:rFonts w:ascii="Times New Roman" w:eastAsia="Times New Roman" w:hAnsi="Times New Roman" w:cs="Times New Roman"/>
          <w:bCs/>
          <w:color w:val="000000"/>
          <w:sz w:val="24"/>
          <w:szCs w:val="24"/>
          <w:lang w:eastAsia="bg-BG"/>
        </w:rPr>
      </w:pPr>
      <w:r w:rsidRPr="007D063B">
        <w:rPr>
          <w:rFonts w:ascii="Times New Roman" w:eastAsia="Times New Roman" w:hAnsi="Times New Roman" w:cs="Times New Roman"/>
          <w:bCs/>
          <w:color w:val="000000"/>
          <w:sz w:val="24"/>
          <w:szCs w:val="24"/>
          <w:lang w:eastAsia="bg-BG"/>
        </w:rPr>
        <w:lastRenderedPageBreak/>
        <w:t>На</w:t>
      </w:r>
      <w:r w:rsidRPr="007D063B">
        <w:rPr>
          <w:rFonts w:ascii="Times New Roman" w:eastAsia="Times New Roman" w:hAnsi="Times New Roman" w:cs="Times New Roman"/>
          <w:bCs/>
          <w:color w:val="000000"/>
          <w:sz w:val="24"/>
          <w:szCs w:val="24"/>
          <w:lang w:val="ru-RU" w:eastAsia="bg-BG"/>
        </w:rPr>
        <w:t xml:space="preserve"> 15.08.2016 </w:t>
      </w:r>
      <w:r w:rsidRPr="007D063B">
        <w:rPr>
          <w:rFonts w:ascii="Times New Roman" w:eastAsia="Times New Roman" w:hAnsi="Times New Roman" w:cs="Times New Roman"/>
          <w:bCs/>
          <w:color w:val="000000"/>
          <w:sz w:val="24"/>
          <w:szCs w:val="24"/>
          <w:lang w:eastAsia="bg-BG"/>
        </w:rPr>
        <w:t>г. беше публикувана обществена поръчка с предмет „Анализ на изпълнението на Оперативна програма „Административен капацитет“ и Оперативна програма „Техническа помощ“ във връзка с изготвянето на окончателните доклади по двете програми“. Договор с изпълнител беше сключен на 11.11.2016 г.</w:t>
      </w:r>
    </w:p>
    <w:p w14:paraId="3B9C24A1" w14:textId="40B49F0B" w:rsidR="00E555AC" w:rsidRPr="007D063B" w:rsidRDefault="004274D7" w:rsidP="004274D7">
      <w:pPr>
        <w:jc w:val="both"/>
        <w:rPr>
          <w:rFonts w:ascii="Times New Roman" w:eastAsia="Times New Roman" w:hAnsi="Times New Roman" w:cs="Times New Roman"/>
          <w:b/>
          <w:bCs/>
          <w:color w:val="000000"/>
          <w:sz w:val="24"/>
          <w:szCs w:val="24"/>
          <w:u w:val="single"/>
          <w:lang w:eastAsia="bg-BG"/>
        </w:rPr>
      </w:pPr>
      <w:r w:rsidRPr="007D063B">
        <w:rPr>
          <w:rFonts w:ascii="Times New Roman" w:eastAsia="Times New Roman" w:hAnsi="Times New Roman" w:cs="Times New Roman"/>
          <w:b/>
          <w:bCs/>
          <w:color w:val="000000"/>
          <w:sz w:val="24"/>
          <w:szCs w:val="24"/>
          <w:u w:val="single"/>
          <w:lang w:eastAsia="bg-BG"/>
        </w:rPr>
        <w:t>Основните препоръки от анализа на Оперативна програма „Административен капацитет“ (ОПАК) са:</w:t>
      </w:r>
    </w:p>
    <w:p w14:paraId="6AE8FF0D" w14:textId="7262895C" w:rsidR="004274D7" w:rsidRPr="007D063B" w:rsidRDefault="004274D7" w:rsidP="007D063B">
      <w:pPr>
        <w:spacing w:after="0" w:line="240" w:lineRule="auto"/>
        <w:jc w:val="both"/>
        <w:rPr>
          <w:rFonts w:ascii="Times New Roman" w:eastAsia="Times New Roman" w:hAnsi="Times New Roman" w:cs="Times New Roman"/>
          <w:bCs/>
          <w:color w:val="000000"/>
          <w:sz w:val="24"/>
          <w:szCs w:val="24"/>
          <w:lang w:eastAsia="bg-BG"/>
        </w:rPr>
      </w:pPr>
      <w:r w:rsidRPr="007D063B">
        <w:rPr>
          <w:rFonts w:ascii="Times New Roman" w:eastAsia="Times New Roman" w:hAnsi="Times New Roman" w:cs="Times New Roman"/>
          <w:bCs/>
          <w:color w:val="000000"/>
          <w:sz w:val="24"/>
          <w:szCs w:val="24"/>
          <w:lang w:eastAsia="bg-BG"/>
        </w:rPr>
        <w:t>Голяма част от направените изводи са взети предвид при програмиране на Оперативна програма „Добро управление“, която обединява надграждането на двете програми – ОПАК и ОПТП. Налице са и редица промени и адаптирани добри практики и научени уроци при програмиране на Споразумението за партньорство, оперативните програми за период 2014 – 2020, както и развитата впоследствие нормативна уредба за ЕСИФ. В този смисъл са малко препоръките в резултат на направения анализ и те имат по-скоро хоризонтален характер:</w:t>
      </w:r>
    </w:p>
    <w:p w14:paraId="186303D1" w14:textId="39A6CA7E" w:rsidR="001F6B58" w:rsidRDefault="004274D7" w:rsidP="007D063B">
      <w:pPr>
        <w:pStyle w:val="ListParagraph"/>
        <w:numPr>
          <w:ilvl w:val="0"/>
          <w:numId w:val="40"/>
        </w:numPr>
        <w:spacing w:before="240" w:after="0" w:line="240" w:lineRule="auto"/>
        <w:ind w:left="714" w:hanging="357"/>
        <w:rPr>
          <w:rFonts w:ascii="Times New Roman" w:hAnsi="Times New Roman"/>
          <w:bCs/>
          <w:color w:val="000000"/>
          <w:szCs w:val="24"/>
          <w:lang w:eastAsia="bg-BG"/>
        </w:rPr>
      </w:pPr>
      <w:r w:rsidRPr="007D063B">
        <w:rPr>
          <w:rFonts w:ascii="Times New Roman" w:hAnsi="Times New Roman"/>
          <w:bCs/>
          <w:color w:val="000000"/>
          <w:szCs w:val="24"/>
          <w:lang w:eastAsia="bg-BG"/>
        </w:rPr>
        <w:t xml:space="preserve">Основните мерки, </w:t>
      </w:r>
      <w:r w:rsidR="001F6B58" w:rsidRPr="007D063B">
        <w:rPr>
          <w:rFonts w:ascii="Times New Roman" w:hAnsi="Times New Roman"/>
          <w:bCs/>
          <w:color w:val="000000"/>
          <w:szCs w:val="24"/>
          <w:lang w:eastAsia="bg-BG"/>
        </w:rPr>
        <w:t xml:space="preserve">финансирани по </w:t>
      </w:r>
      <w:r w:rsidRPr="007D063B">
        <w:rPr>
          <w:rFonts w:ascii="Times New Roman" w:hAnsi="Times New Roman"/>
          <w:bCs/>
          <w:color w:val="000000"/>
          <w:szCs w:val="24"/>
          <w:lang w:eastAsia="bg-BG"/>
        </w:rPr>
        <w:t>ОПАК, чиято устойчивост зависи от продължаващо финансиране, са реформите в съдебната система, включително електронното правосъдие, както и електронното правителство. Необходими са надграждащи мерки по отношение на оптимизиране на структурата на администрацията, подобряване на управлението на човешките ресурси и развитието на ПЧП. Хоризонтална дейност, която независимо от резултатите ще е необходима и в бъдеще е осигуряване на ресурси за поддържане и повишаване на квалификацията на човешките ресурси както в системата на администрацията, така и в съдебната система, а в тази връзка и мерки за повишаване на капацитета и престижа на ИПА и НИП като основни обучителни институции съответно за администрацията и за съдебната система. Поради същите причини подкрепа за предоставяне на обучения и развитие на капацитет може да бъде насочена и към други институции, които предоставят централизирани обучения за администрацията като Института по психология на МВР, НСОРБ и Дипломатическият институт, който са предвидени като бенефициенти по новата ОПДУ.</w:t>
      </w:r>
    </w:p>
    <w:p w14:paraId="5A3C9F31" w14:textId="47840D38" w:rsidR="004274D7" w:rsidRDefault="00946DA3" w:rsidP="007D063B">
      <w:pPr>
        <w:pStyle w:val="ListParagraph"/>
        <w:numPr>
          <w:ilvl w:val="0"/>
          <w:numId w:val="40"/>
        </w:numPr>
        <w:spacing w:before="240" w:after="0" w:line="240" w:lineRule="auto"/>
        <w:ind w:left="714" w:hanging="357"/>
        <w:rPr>
          <w:rFonts w:ascii="Times New Roman" w:hAnsi="Times New Roman"/>
          <w:bCs/>
          <w:color w:val="000000"/>
          <w:szCs w:val="24"/>
          <w:lang w:eastAsia="bg-BG"/>
        </w:rPr>
      </w:pPr>
      <w:r w:rsidRPr="007D063B">
        <w:rPr>
          <w:rFonts w:ascii="Times New Roman" w:hAnsi="Times New Roman"/>
          <w:bCs/>
          <w:color w:val="000000"/>
          <w:szCs w:val="24"/>
          <w:lang w:eastAsia="bg-BG"/>
        </w:rPr>
        <w:t>У</w:t>
      </w:r>
      <w:r w:rsidR="004274D7" w:rsidRPr="007D063B">
        <w:rPr>
          <w:rFonts w:ascii="Times New Roman" w:hAnsi="Times New Roman"/>
          <w:bCs/>
          <w:color w:val="000000"/>
          <w:szCs w:val="24"/>
          <w:lang w:eastAsia="bg-BG"/>
        </w:rPr>
        <w:t xml:space="preserve">стойчивостта на направените инвестиции по двете програми е свързана както с изградения капацитет, умението за анализ на нуждите, ясно целеполагане, стратегическо планиране, мониторинг и оценка на  въздействието, така и с изградените и внедрени системи за електронно управление и електронно обслужване. Направените инвестиции имат много важно място в решаването на конкретни нужди на ключови големи бенефициенти (НАП, АГКК, Агенция митници, Агенция по вписванията, Столична община и общините в големите градски центрове с население над 100 хил. и мн. други институции на централно ниво), така и за по-малки администрации и бенефициенти (като малки и средни общини, НИП, ИПА, НСОРБ и др.) Надграждането с нови мерки в рамките на новия програмен период би допринесло за постигане на по-висока устойчивост на проектите и направените инвестиции. </w:t>
      </w:r>
    </w:p>
    <w:p w14:paraId="69610B7F" w14:textId="1D26E593" w:rsidR="007D063B" w:rsidRPr="007D063B" w:rsidRDefault="004274D7" w:rsidP="007D063B">
      <w:pPr>
        <w:pStyle w:val="ListParagraph"/>
        <w:numPr>
          <w:ilvl w:val="0"/>
          <w:numId w:val="40"/>
        </w:numPr>
        <w:spacing w:before="240" w:after="0" w:line="240" w:lineRule="auto"/>
        <w:ind w:left="714" w:hanging="357"/>
        <w:rPr>
          <w:rFonts w:ascii="Times New Roman" w:hAnsi="Times New Roman"/>
          <w:bCs/>
          <w:color w:val="000000"/>
          <w:szCs w:val="24"/>
          <w:lang w:eastAsia="bg-BG"/>
        </w:rPr>
      </w:pPr>
      <w:r w:rsidRPr="007D063B">
        <w:rPr>
          <w:rFonts w:ascii="Times New Roman" w:hAnsi="Times New Roman"/>
          <w:bCs/>
          <w:color w:val="000000"/>
          <w:szCs w:val="24"/>
          <w:lang w:eastAsia="bg-BG"/>
        </w:rPr>
        <w:lastRenderedPageBreak/>
        <w:t>ОПДУ следва да възприеме проактивна и водеща роля на най-ранен етап от проектния цикъл - програмиране и планиране на мерките, на базата на сериозни анализи на нуждите и в координация с бенефициентите. По този начин ще се преодолее реактивния подход на планиране и ще отпаднат част от докладваните съществени проблеми при изпълнението на проектите, като „краткосрочно и неефективно планиране на дейностите от страна на бенефициентите, което води до честа промяна на приоритетите им“ и „подготовката и възлагането на външен изпълнител по реда на ЗОП на дейности по проекти, в съчетание с високата степен на преосмисляне на приоритети и мерки от страна на бенефициентите, допринася за отлагане във времето на изпълнението на програмата“.</w:t>
      </w:r>
    </w:p>
    <w:p w14:paraId="154B9CFF" w14:textId="120F8E70" w:rsidR="004274D7" w:rsidRPr="007D063B" w:rsidRDefault="004274D7" w:rsidP="007D063B">
      <w:pPr>
        <w:pStyle w:val="ListParagraph"/>
        <w:numPr>
          <w:ilvl w:val="0"/>
          <w:numId w:val="40"/>
        </w:numPr>
        <w:spacing w:before="240" w:after="0" w:line="240" w:lineRule="auto"/>
        <w:ind w:left="714" w:hanging="357"/>
        <w:rPr>
          <w:rFonts w:ascii="Times New Roman" w:hAnsi="Times New Roman"/>
          <w:bCs/>
          <w:color w:val="000000"/>
          <w:szCs w:val="24"/>
          <w:lang w:eastAsia="bg-BG"/>
        </w:rPr>
      </w:pPr>
      <w:r w:rsidRPr="007D063B">
        <w:rPr>
          <w:rFonts w:ascii="Times New Roman" w:hAnsi="Times New Roman"/>
          <w:bCs/>
          <w:color w:val="000000"/>
          <w:szCs w:val="24"/>
          <w:lang w:eastAsia="bg-BG"/>
        </w:rPr>
        <w:t>Системата от индикатори трябва да е работеща и разяснена в максимална степен на кандидатите и бенефициентите по ОПДУ по всички фази на проектния цикъл. Отчитането на индикаторите трябва да дава възможност за отчитане изпълнението на целите по отделните мерки, а оттам – и на специфичните цели на програмата. Не на последно място, следва да се вземат предвид и индикатори, свързани с хоризонталните политики (равни възможности и устойчиво развитие, при спазване на „Насоки за интегриране на политиката по околна среда и политиката по изменение на климата в Европейските структурни и инвестиционни фондове - фаза „Изпълнение на Споразумението за партньорство и програмите в периода 2014-2020г.” (одобрени с Протоколно решение № 3 на МС от 6.01.2016</w:t>
      </w:r>
      <w:r w:rsidR="007D063B">
        <w:rPr>
          <w:rFonts w:ascii="Times New Roman" w:hAnsi="Times New Roman"/>
          <w:bCs/>
          <w:color w:val="000000"/>
          <w:szCs w:val="24"/>
          <w:lang w:eastAsia="bg-BG"/>
        </w:rPr>
        <w:t xml:space="preserve"> </w:t>
      </w:r>
      <w:r w:rsidRPr="007D063B">
        <w:rPr>
          <w:rFonts w:ascii="Times New Roman" w:hAnsi="Times New Roman"/>
          <w:bCs/>
          <w:color w:val="000000"/>
          <w:szCs w:val="24"/>
          <w:lang w:eastAsia="bg-BG"/>
        </w:rPr>
        <w:t xml:space="preserve">г.) </w:t>
      </w:r>
    </w:p>
    <w:p w14:paraId="3112E39E" w14:textId="375AFCFE" w:rsidR="004274D7" w:rsidRDefault="004274D7" w:rsidP="007D063B">
      <w:pPr>
        <w:pStyle w:val="ListParagraph"/>
        <w:numPr>
          <w:ilvl w:val="0"/>
          <w:numId w:val="40"/>
        </w:numPr>
        <w:spacing w:before="240" w:after="0" w:line="240" w:lineRule="auto"/>
        <w:ind w:left="714" w:hanging="357"/>
        <w:rPr>
          <w:rFonts w:ascii="Times New Roman" w:hAnsi="Times New Roman"/>
          <w:bCs/>
          <w:color w:val="000000"/>
          <w:szCs w:val="24"/>
          <w:lang w:eastAsia="bg-BG"/>
        </w:rPr>
      </w:pPr>
      <w:r w:rsidRPr="007D063B">
        <w:rPr>
          <w:rFonts w:ascii="Times New Roman" w:hAnsi="Times New Roman"/>
          <w:bCs/>
          <w:color w:val="000000"/>
          <w:szCs w:val="24"/>
          <w:lang w:eastAsia="bg-BG"/>
        </w:rPr>
        <w:t>Да продължат информационните кампании и обученията на бенефициенти във всички фази на проектния цикъл включително и разширени и подробни обучения във връзка с прилагане на ЗОП,  опростени разходи, използване на ИСУН 2020.</w:t>
      </w:r>
    </w:p>
    <w:p w14:paraId="38A8604F" w14:textId="77777777" w:rsidR="007D063B" w:rsidRPr="007D063B" w:rsidRDefault="007D063B" w:rsidP="007D063B">
      <w:pPr>
        <w:pStyle w:val="ListParagraph"/>
        <w:spacing w:after="0" w:line="240" w:lineRule="auto"/>
        <w:ind w:left="714" w:firstLine="0"/>
        <w:rPr>
          <w:rFonts w:ascii="Times New Roman" w:hAnsi="Times New Roman"/>
          <w:bCs/>
          <w:color w:val="000000"/>
          <w:szCs w:val="24"/>
          <w:lang w:eastAsia="bg-BG"/>
        </w:rPr>
      </w:pPr>
    </w:p>
    <w:p w14:paraId="61A022EA" w14:textId="3FA777FD" w:rsidR="00E555AC" w:rsidRPr="007D063B" w:rsidRDefault="004274D7" w:rsidP="004274D7">
      <w:pPr>
        <w:jc w:val="both"/>
        <w:rPr>
          <w:rFonts w:ascii="Times New Roman" w:eastAsia="Times New Roman" w:hAnsi="Times New Roman" w:cs="Times New Roman"/>
          <w:b/>
          <w:bCs/>
          <w:color w:val="000000"/>
          <w:sz w:val="24"/>
          <w:szCs w:val="24"/>
          <w:u w:val="single"/>
          <w:lang w:eastAsia="bg-BG"/>
        </w:rPr>
      </w:pPr>
      <w:r w:rsidRPr="007D063B">
        <w:rPr>
          <w:rFonts w:ascii="Times New Roman" w:eastAsia="Times New Roman" w:hAnsi="Times New Roman" w:cs="Times New Roman"/>
          <w:b/>
          <w:bCs/>
          <w:color w:val="000000"/>
          <w:sz w:val="24"/>
          <w:szCs w:val="24"/>
          <w:u w:val="single"/>
          <w:lang w:eastAsia="bg-BG"/>
        </w:rPr>
        <w:t>Основните препоръки от анализа на Оперативна програма „Техническа помощ“ (ОПТП) са:</w:t>
      </w:r>
    </w:p>
    <w:p w14:paraId="32BFCA6E" w14:textId="22699435" w:rsidR="004274D7" w:rsidRPr="007D063B" w:rsidRDefault="004274D7" w:rsidP="007D063B">
      <w:pPr>
        <w:pStyle w:val="ListParagraph"/>
        <w:numPr>
          <w:ilvl w:val="0"/>
          <w:numId w:val="41"/>
        </w:numPr>
        <w:spacing w:before="240" w:after="0" w:line="240" w:lineRule="auto"/>
        <w:ind w:left="714" w:hanging="357"/>
        <w:rPr>
          <w:rFonts w:ascii="Times New Roman" w:hAnsi="Times New Roman"/>
          <w:bCs/>
          <w:color w:val="000000"/>
          <w:szCs w:val="24"/>
          <w:lang w:eastAsia="bg-BG"/>
        </w:rPr>
      </w:pPr>
      <w:r w:rsidRPr="007D063B">
        <w:rPr>
          <w:rFonts w:ascii="Times New Roman" w:hAnsi="Times New Roman"/>
          <w:bCs/>
          <w:color w:val="000000"/>
          <w:szCs w:val="24"/>
          <w:lang w:eastAsia="bg-BG"/>
        </w:rPr>
        <w:t>Финансиращата програма следва да възприеме проактивна и водеща роля на най-ранен етап от проектния цикъл - програмиране и планиране на мерките, на базата на сериозни анализи на нуждите и в координация с бенефициентите. По този начин ще се преодолее реактивния подход на планиране и ще отпаднат част от докладваните съществени проблеми при изпълнението на проектите, като „краткосрочно и неефективно планиране на дейностите от страна на бенефициентите, което води до честа промяна на приоритетите им“ и „подготовката и възлагането на външен изпълнител по реда на ЗОП на дейности по проекти, в съчетание с високата степен на преосмисляне на приоритети и мерки от страна на бенефициентите, допринася за отлагане във времето на изпълнението на програмата“ (годишни доклади за изпълнение на ОПТП, Текущо състояние и напредък при реализацията на Оперативна програма „Техническа помощ“ 2007-2013 г. към 31.5.2016 г.).</w:t>
      </w:r>
    </w:p>
    <w:p w14:paraId="7637647F" w14:textId="77817EEA" w:rsidR="004274D7" w:rsidRPr="007D063B" w:rsidRDefault="004111F1" w:rsidP="007D063B">
      <w:pPr>
        <w:pStyle w:val="ListParagraph"/>
        <w:numPr>
          <w:ilvl w:val="0"/>
          <w:numId w:val="41"/>
        </w:numPr>
        <w:spacing w:before="240" w:after="0" w:line="240" w:lineRule="auto"/>
        <w:ind w:left="714" w:hanging="357"/>
        <w:rPr>
          <w:rFonts w:ascii="Times New Roman" w:hAnsi="Times New Roman"/>
          <w:bCs/>
          <w:color w:val="000000"/>
          <w:szCs w:val="24"/>
          <w:lang w:eastAsia="bg-BG"/>
        </w:rPr>
      </w:pPr>
      <w:r w:rsidRPr="007D063B">
        <w:rPr>
          <w:rFonts w:ascii="Times New Roman" w:hAnsi="Times New Roman"/>
          <w:bCs/>
          <w:color w:val="000000"/>
          <w:szCs w:val="24"/>
          <w:lang w:eastAsia="bg-BG"/>
        </w:rPr>
        <w:t xml:space="preserve">Одобряването </w:t>
      </w:r>
      <w:r w:rsidR="004274D7" w:rsidRPr="007D063B">
        <w:rPr>
          <w:rFonts w:ascii="Times New Roman" w:hAnsi="Times New Roman"/>
          <w:bCs/>
          <w:color w:val="000000"/>
          <w:szCs w:val="24"/>
          <w:lang w:eastAsia="bg-BG"/>
        </w:rPr>
        <w:t>на рамкови проекти/ бюджетни линии, които да обхващат максимално продължителни периоди (целия програмен период), ще доведе до гъвкавост при изпълнение на дейностите и намаляване на административната тежест както за УО, така и за конкретните бенефициенти (</w:t>
      </w:r>
      <w:r w:rsidRPr="007D063B">
        <w:rPr>
          <w:rFonts w:ascii="Times New Roman" w:hAnsi="Times New Roman"/>
          <w:bCs/>
          <w:color w:val="000000"/>
          <w:szCs w:val="24"/>
          <w:lang w:eastAsia="bg-BG"/>
        </w:rPr>
        <w:t>по ОПТП за</w:t>
      </w:r>
      <w:r w:rsidR="004274D7" w:rsidRPr="007D063B">
        <w:rPr>
          <w:rFonts w:ascii="Times New Roman" w:hAnsi="Times New Roman"/>
          <w:bCs/>
          <w:color w:val="000000"/>
          <w:szCs w:val="24"/>
          <w:lang w:eastAsia="bg-BG"/>
        </w:rPr>
        <w:t xml:space="preserve"> структурите на централно ниво, отговорни за координиране борбата с </w:t>
      </w:r>
      <w:r w:rsidR="004274D7" w:rsidRPr="007D063B">
        <w:rPr>
          <w:rFonts w:ascii="Times New Roman" w:hAnsi="Times New Roman"/>
          <w:bCs/>
          <w:color w:val="000000"/>
          <w:szCs w:val="24"/>
          <w:lang w:eastAsia="bg-BG"/>
        </w:rPr>
        <w:lastRenderedPageBreak/>
        <w:t xml:space="preserve">правонарушенията, засягащи интересите на ЕС – 5 проекта, ТП за ОО – 10 проекта, ТП за ЦКЗ – 13 проекта; ТП за СО – 15 проекта; Подкрепа за изпълнението на ОПТП – 17 проекта). </w:t>
      </w:r>
    </w:p>
    <w:p w14:paraId="326E5EA6" w14:textId="228DE1AB" w:rsidR="004274D7" w:rsidRPr="007D063B" w:rsidRDefault="004274D7" w:rsidP="007D063B">
      <w:pPr>
        <w:pStyle w:val="ListParagraph"/>
        <w:numPr>
          <w:ilvl w:val="0"/>
          <w:numId w:val="41"/>
        </w:numPr>
        <w:spacing w:before="240" w:after="0" w:line="240" w:lineRule="auto"/>
        <w:ind w:left="714" w:hanging="357"/>
        <w:rPr>
          <w:rFonts w:ascii="Times New Roman" w:hAnsi="Times New Roman"/>
          <w:bCs/>
          <w:color w:val="000000"/>
          <w:szCs w:val="24"/>
          <w:lang w:eastAsia="bg-BG"/>
        </w:rPr>
      </w:pPr>
      <w:r w:rsidRPr="007D063B">
        <w:rPr>
          <w:rFonts w:ascii="Times New Roman" w:hAnsi="Times New Roman"/>
          <w:bCs/>
          <w:color w:val="000000"/>
          <w:szCs w:val="24"/>
          <w:lang w:eastAsia="bg-BG"/>
        </w:rPr>
        <w:t xml:space="preserve">Препоръки във връзка със създаване на работеща система от индикатори: Следва да се определят задължителните индикатори по приоритетни оси и </w:t>
      </w:r>
      <w:r w:rsidR="004111F1" w:rsidRPr="007D063B">
        <w:rPr>
          <w:rFonts w:ascii="Times New Roman" w:hAnsi="Times New Roman"/>
          <w:bCs/>
          <w:color w:val="000000"/>
          <w:szCs w:val="24"/>
          <w:lang w:eastAsia="bg-BG"/>
        </w:rPr>
        <w:t>финансови планове</w:t>
      </w:r>
      <w:r w:rsidRPr="007D063B">
        <w:rPr>
          <w:rFonts w:ascii="Times New Roman" w:hAnsi="Times New Roman"/>
          <w:bCs/>
          <w:color w:val="000000"/>
          <w:szCs w:val="24"/>
          <w:lang w:eastAsia="bg-BG"/>
        </w:rPr>
        <w:t xml:space="preserve">, както и възможните </w:t>
      </w:r>
      <w:r w:rsidR="00A40503" w:rsidRPr="007D063B">
        <w:rPr>
          <w:rFonts w:ascii="Times New Roman" w:hAnsi="Times New Roman"/>
          <w:bCs/>
          <w:color w:val="000000"/>
          <w:szCs w:val="24"/>
          <w:lang w:eastAsia="bg-BG"/>
        </w:rPr>
        <w:t xml:space="preserve">допълнителни </w:t>
      </w:r>
      <w:r w:rsidRPr="007D063B">
        <w:rPr>
          <w:rFonts w:ascii="Times New Roman" w:hAnsi="Times New Roman"/>
          <w:bCs/>
          <w:color w:val="000000"/>
          <w:szCs w:val="24"/>
          <w:lang w:eastAsia="bg-BG"/>
        </w:rPr>
        <w:t xml:space="preserve">индикатори на ниво </w:t>
      </w:r>
      <w:r w:rsidR="004111F1" w:rsidRPr="007D063B">
        <w:rPr>
          <w:rFonts w:ascii="Times New Roman" w:hAnsi="Times New Roman"/>
          <w:bCs/>
          <w:color w:val="000000"/>
          <w:szCs w:val="24"/>
          <w:lang w:eastAsia="bg-BG"/>
        </w:rPr>
        <w:t>финансов план</w:t>
      </w:r>
      <w:r w:rsidRPr="007D063B">
        <w:rPr>
          <w:rFonts w:ascii="Times New Roman" w:hAnsi="Times New Roman"/>
          <w:bCs/>
          <w:color w:val="000000"/>
          <w:szCs w:val="24"/>
          <w:lang w:eastAsia="bg-BG"/>
        </w:rPr>
        <w:t xml:space="preserve">. Системата следва да предвижда връзки между индикаторите на различните нива, вкл. проект, </w:t>
      </w:r>
      <w:r w:rsidR="004111F1" w:rsidRPr="007D063B">
        <w:rPr>
          <w:rFonts w:ascii="Times New Roman" w:hAnsi="Times New Roman"/>
          <w:bCs/>
          <w:color w:val="000000"/>
          <w:szCs w:val="24"/>
          <w:lang w:eastAsia="bg-BG"/>
        </w:rPr>
        <w:t>процедура</w:t>
      </w:r>
      <w:r w:rsidRPr="007D063B">
        <w:rPr>
          <w:rFonts w:ascii="Times New Roman" w:hAnsi="Times New Roman"/>
          <w:bCs/>
          <w:color w:val="000000"/>
          <w:szCs w:val="24"/>
          <w:lang w:eastAsia="bg-BG"/>
        </w:rPr>
        <w:t xml:space="preserve">, приоритетна ос, оперативна програма. Отчитането на индикаторите трябва да дава възможност за отчитане изпълнението на целите по отделните </w:t>
      </w:r>
      <w:r w:rsidR="004111F1" w:rsidRPr="007D063B">
        <w:rPr>
          <w:rFonts w:ascii="Times New Roman" w:hAnsi="Times New Roman"/>
          <w:bCs/>
          <w:color w:val="000000"/>
          <w:szCs w:val="24"/>
          <w:lang w:eastAsia="bg-BG"/>
        </w:rPr>
        <w:t>процедури</w:t>
      </w:r>
      <w:r w:rsidRPr="007D063B">
        <w:rPr>
          <w:rFonts w:ascii="Times New Roman" w:hAnsi="Times New Roman"/>
          <w:bCs/>
          <w:color w:val="000000"/>
          <w:szCs w:val="24"/>
          <w:lang w:eastAsia="bg-BG"/>
        </w:rPr>
        <w:t>, а оттам – и на специфичните цел</w:t>
      </w:r>
      <w:r w:rsidR="004111F1" w:rsidRPr="007D063B">
        <w:rPr>
          <w:rFonts w:ascii="Times New Roman" w:hAnsi="Times New Roman"/>
          <w:bCs/>
          <w:color w:val="000000"/>
          <w:szCs w:val="24"/>
          <w:lang w:eastAsia="bg-BG"/>
        </w:rPr>
        <w:t>и</w:t>
      </w:r>
      <w:r w:rsidRPr="007D063B">
        <w:rPr>
          <w:rFonts w:ascii="Times New Roman" w:hAnsi="Times New Roman"/>
          <w:bCs/>
          <w:color w:val="000000"/>
          <w:szCs w:val="24"/>
          <w:lang w:eastAsia="bg-BG"/>
        </w:rPr>
        <w:t xml:space="preserve"> на програмата.</w:t>
      </w:r>
      <w:r w:rsidR="004111F1" w:rsidRPr="007D063B">
        <w:rPr>
          <w:rFonts w:ascii="Times New Roman" w:hAnsi="Times New Roman"/>
          <w:bCs/>
          <w:color w:val="000000"/>
          <w:szCs w:val="24"/>
          <w:lang w:eastAsia="bg-BG"/>
        </w:rPr>
        <w:t xml:space="preserve"> </w:t>
      </w:r>
    </w:p>
    <w:p w14:paraId="1A9BF9BA" w14:textId="7F55F919" w:rsidR="004274D7" w:rsidRPr="007D063B" w:rsidRDefault="004111F1" w:rsidP="007D063B">
      <w:pPr>
        <w:pStyle w:val="ListParagraph"/>
        <w:numPr>
          <w:ilvl w:val="0"/>
          <w:numId w:val="41"/>
        </w:numPr>
        <w:spacing w:before="240" w:after="0" w:line="240" w:lineRule="auto"/>
        <w:ind w:left="714" w:hanging="357"/>
        <w:rPr>
          <w:rFonts w:ascii="Times New Roman" w:hAnsi="Times New Roman"/>
          <w:bCs/>
          <w:color w:val="000000"/>
          <w:szCs w:val="24"/>
          <w:lang w:eastAsia="bg-BG"/>
        </w:rPr>
      </w:pPr>
      <w:r w:rsidRPr="007D063B">
        <w:rPr>
          <w:rFonts w:ascii="Times New Roman" w:hAnsi="Times New Roman"/>
          <w:bCs/>
          <w:color w:val="000000"/>
          <w:szCs w:val="24"/>
          <w:lang w:eastAsia="bg-BG"/>
        </w:rPr>
        <w:t>С</w:t>
      </w:r>
      <w:r w:rsidR="004274D7" w:rsidRPr="007D063B">
        <w:rPr>
          <w:rFonts w:ascii="Times New Roman" w:hAnsi="Times New Roman"/>
          <w:bCs/>
          <w:color w:val="000000"/>
          <w:szCs w:val="24"/>
          <w:lang w:eastAsia="bg-BG"/>
        </w:rPr>
        <w:t>ледва да продължи подкрепата на всички нива за постигане на целите и резултатите и извършване на необходимите законодателни и организационни предпоставки за създаване на работеща и прозрачна система за управление и контрол на средствата от ЕСИФ, за гарантиране на максимално ефикасно изпълнение приоритетните инвестиции в Република България. Съществуващата институционална рамка следва да бъде оптимизирана и надградена, чрез продължаване на добрите практики, въведени през п</w:t>
      </w:r>
      <w:r w:rsidR="00A40503" w:rsidRPr="007D063B">
        <w:rPr>
          <w:rFonts w:ascii="Times New Roman" w:hAnsi="Times New Roman"/>
          <w:bCs/>
          <w:color w:val="000000"/>
          <w:szCs w:val="24"/>
          <w:lang w:eastAsia="bg-BG"/>
        </w:rPr>
        <w:t>рограмен период 2007 – 2013 г.</w:t>
      </w:r>
      <w:r w:rsidR="004274D7" w:rsidRPr="007D063B">
        <w:rPr>
          <w:rFonts w:ascii="Times New Roman" w:hAnsi="Times New Roman"/>
          <w:bCs/>
          <w:color w:val="000000"/>
          <w:szCs w:val="24"/>
          <w:lang w:eastAsia="bg-BG"/>
        </w:rPr>
        <w:t xml:space="preserve"> </w:t>
      </w:r>
      <w:r w:rsidR="00A40503" w:rsidRPr="007D063B">
        <w:rPr>
          <w:rFonts w:ascii="Times New Roman" w:hAnsi="Times New Roman"/>
          <w:bCs/>
          <w:color w:val="000000"/>
          <w:szCs w:val="24"/>
          <w:lang w:eastAsia="bg-BG"/>
        </w:rPr>
        <w:t>Необходимо е</w:t>
      </w:r>
      <w:r w:rsidR="004274D7" w:rsidRPr="007D063B">
        <w:rPr>
          <w:rFonts w:ascii="Times New Roman" w:hAnsi="Times New Roman"/>
          <w:bCs/>
          <w:color w:val="000000"/>
          <w:szCs w:val="24"/>
          <w:lang w:eastAsia="bg-BG"/>
        </w:rPr>
        <w:t xml:space="preserve"> включването на нови мерки, приоритетно в областта на обществените поръчки и държавните помощи</w:t>
      </w:r>
      <w:r w:rsidR="00A40503" w:rsidRPr="007D063B">
        <w:rPr>
          <w:rFonts w:ascii="Times New Roman" w:hAnsi="Times New Roman"/>
          <w:bCs/>
          <w:color w:val="000000"/>
          <w:szCs w:val="24"/>
          <w:lang w:eastAsia="bg-BG"/>
        </w:rPr>
        <w:t xml:space="preserve">. </w:t>
      </w:r>
      <w:r w:rsidR="004274D7" w:rsidRPr="007D063B">
        <w:rPr>
          <w:rFonts w:ascii="Times New Roman" w:hAnsi="Times New Roman"/>
          <w:bCs/>
          <w:color w:val="000000"/>
          <w:szCs w:val="24"/>
          <w:lang w:eastAsia="bg-BG"/>
        </w:rPr>
        <w:t>Функциониране</w:t>
      </w:r>
      <w:r w:rsidR="00A40503" w:rsidRPr="007D063B">
        <w:rPr>
          <w:rFonts w:ascii="Times New Roman" w:hAnsi="Times New Roman"/>
          <w:bCs/>
          <w:color w:val="000000"/>
          <w:szCs w:val="24"/>
          <w:lang w:eastAsia="bg-BG"/>
        </w:rPr>
        <w:t>то</w:t>
      </w:r>
      <w:r w:rsidR="004274D7" w:rsidRPr="007D063B">
        <w:rPr>
          <w:rFonts w:ascii="Times New Roman" w:hAnsi="Times New Roman"/>
          <w:bCs/>
          <w:color w:val="000000"/>
          <w:szCs w:val="24"/>
          <w:lang w:eastAsia="bg-BG"/>
        </w:rPr>
        <w:t xml:space="preserve"> на ефикасен координационен механизъм в областта на управление на средствата от ЕС (ЕСИФ) е основен въпрос. Положително се оценяват предприетите в рамките на програмния период действия и усилия за оптимизиране и реформиране на структурите, отговорни за различните аспекти на координацията (програмиране, мониторинг, информационно обезпечаване, координация на дейностите свързани с информацията и публичността).</w:t>
      </w:r>
    </w:p>
    <w:p w14:paraId="51D81B4C" w14:textId="204243B9" w:rsidR="004274D7" w:rsidRPr="007D063B" w:rsidRDefault="004274D7" w:rsidP="007D063B">
      <w:pPr>
        <w:pStyle w:val="ListParagraph"/>
        <w:numPr>
          <w:ilvl w:val="0"/>
          <w:numId w:val="41"/>
        </w:numPr>
        <w:spacing w:before="240" w:after="0" w:line="240" w:lineRule="auto"/>
        <w:ind w:left="714" w:hanging="357"/>
        <w:rPr>
          <w:rFonts w:ascii="Times New Roman" w:hAnsi="Times New Roman"/>
          <w:bCs/>
          <w:color w:val="000000"/>
          <w:szCs w:val="24"/>
          <w:lang w:eastAsia="bg-BG"/>
        </w:rPr>
      </w:pPr>
      <w:r w:rsidRPr="007D063B">
        <w:rPr>
          <w:rFonts w:ascii="Times New Roman" w:hAnsi="Times New Roman"/>
          <w:bCs/>
          <w:color w:val="000000"/>
          <w:szCs w:val="24"/>
          <w:lang w:eastAsia="bg-BG"/>
        </w:rPr>
        <w:t>Максимална ангажираност от страна на всички заинтересовани страни и основно на бенефициентите.</w:t>
      </w:r>
      <w:r w:rsidR="00A40503" w:rsidRPr="007D063B">
        <w:rPr>
          <w:rFonts w:ascii="Times New Roman" w:hAnsi="Times New Roman"/>
          <w:bCs/>
          <w:color w:val="000000"/>
          <w:szCs w:val="24"/>
          <w:lang w:eastAsia="bg-BG"/>
        </w:rPr>
        <w:t xml:space="preserve"> </w:t>
      </w:r>
      <w:r w:rsidRPr="007D063B">
        <w:rPr>
          <w:rFonts w:ascii="Times New Roman" w:hAnsi="Times New Roman"/>
          <w:bCs/>
          <w:color w:val="000000"/>
          <w:szCs w:val="24"/>
          <w:lang w:eastAsia="bg-BG"/>
        </w:rPr>
        <w:t>Планиране и изпълнение на мерките и постигане на заложените цели в реално партньорство с всички заинтересовани страни – публична администрация, бизнес, социално-икономически партньори, неправителствен сектор. Принципът на партньорство следва да продължи да се прилага успешно към всички основни процеси, които гарантират управлението на средствата от ЕС.</w:t>
      </w:r>
    </w:p>
    <w:p w14:paraId="0003A48A" w14:textId="0BB24DB2" w:rsidR="004274D7" w:rsidRPr="007D063B" w:rsidRDefault="004274D7" w:rsidP="007D063B">
      <w:pPr>
        <w:pStyle w:val="ListParagraph"/>
        <w:numPr>
          <w:ilvl w:val="0"/>
          <w:numId w:val="41"/>
        </w:numPr>
        <w:spacing w:before="240" w:after="0" w:line="240" w:lineRule="auto"/>
        <w:ind w:left="714" w:hanging="357"/>
        <w:rPr>
          <w:rFonts w:ascii="Times New Roman" w:hAnsi="Times New Roman"/>
          <w:bCs/>
          <w:color w:val="000000"/>
          <w:szCs w:val="24"/>
          <w:lang w:eastAsia="bg-BG"/>
        </w:rPr>
      </w:pPr>
      <w:r w:rsidRPr="007D063B">
        <w:rPr>
          <w:rFonts w:ascii="Times New Roman" w:hAnsi="Times New Roman"/>
          <w:bCs/>
          <w:color w:val="000000"/>
          <w:szCs w:val="24"/>
          <w:lang w:eastAsia="bg-BG"/>
        </w:rPr>
        <w:t>Препоръки за подобряване дейността на ОИЦ:</w:t>
      </w:r>
      <w:r w:rsidR="00A40503" w:rsidRPr="007D063B">
        <w:rPr>
          <w:rFonts w:ascii="Times New Roman" w:hAnsi="Times New Roman"/>
          <w:bCs/>
          <w:color w:val="000000"/>
          <w:szCs w:val="24"/>
          <w:lang w:eastAsia="bg-BG"/>
        </w:rPr>
        <w:t xml:space="preserve"> </w:t>
      </w:r>
      <w:r w:rsidRPr="007D063B">
        <w:rPr>
          <w:rFonts w:ascii="Times New Roman" w:hAnsi="Times New Roman"/>
          <w:bCs/>
          <w:color w:val="000000"/>
          <w:szCs w:val="24"/>
          <w:lang w:eastAsia="bg-BG"/>
        </w:rPr>
        <w:t xml:space="preserve">Изграденият административен капацитет в рамките на </w:t>
      </w:r>
      <w:r w:rsidR="00A40503" w:rsidRPr="007D063B">
        <w:rPr>
          <w:rFonts w:ascii="Times New Roman" w:hAnsi="Times New Roman"/>
          <w:bCs/>
          <w:color w:val="000000"/>
          <w:szCs w:val="24"/>
          <w:lang w:eastAsia="bg-BG"/>
        </w:rPr>
        <w:t>областните информационни центрове</w:t>
      </w:r>
      <w:r w:rsidRPr="007D063B">
        <w:rPr>
          <w:rFonts w:ascii="Times New Roman" w:hAnsi="Times New Roman"/>
          <w:bCs/>
          <w:color w:val="000000"/>
          <w:szCs w:val="24"/>
          <w:lang w:eastAsia="bg-BG"/>
        </w:rPr>
        <w:t xml:space="preserve"> следва да бъде запазен и надграден, за да може да съответства на динамичния дневен ред на оперативните програми и на ЕС като цяло. Препоръчително е да се запази динамиката и актуалността на кампаниите, като се провеждат регулярни дейности за събиране на обратна връзка от ползвателите на услугите на информационните центрове, за да може да се предприемат адекватни действия при необходимост.</w:t>
      </w:r>
    </w:p>
    <w:p w14:paraId="26CBF204" w14:textId="1F7BB6AA" w:rsidR="004274D7" w:rsidRPr="007D063B" w:rsidRDefault="004274D7" w:rsidP="007D063B">
      <w:pPr>
        <w:pStyle w:val="ListParagraph"/>
        <w:numPr>
          <w:ilvl w:val="0"/>
          <w:numId w:val="41"/>
        </w:numPr>
        <w:spacing w:before="240" w:after="0" w:line="240" w:lineRule="auto"/>
        <w:ind w:left="714" w:hanging="357"/>
        <w:rPr>
          <w:rFonts w:ascii="Times New Roman" w:hAnsi="Times New Roman"/>
          <w:bCs/>
          <w:color w:val="000000"/>
          <w:szCs w:val="24"/>
          <w:lang w:eastAsia="bg-BG"/>
        </w:rPr>
      </w:pPr>
      <w:r w:rsidRPr="007D063B">
        <w:rPr>
          <w:rFonts w:ascii="Times New Roman" w:hAnsi="Times New Roman"/>
          <w:bCs/>
          <w:color w:val="000000"/>
          <w:szCs w:val="24"/>
          <w:lang w:eastAsia="bg-BG"/>
        </w:rPr>
        <w:t xml:space="preserve">Специализиране и задълбочаване на познанията и разбирането на служителите на ОИЦ за оперативните програми чрез провеждане на иновативни форми на обучение, вкл. преминаване на „практически стажове” в УО на оперативните програми на </w:t>
      </w:r>
      <w:r w:rsidRPr="007D063B">
        <w:rPr>
          <w:rFonts w:ascii="Times New Roman" w:hAnsi="Times New Roman"/>
          <w:bCs/>
          <w:color w:val="000000"/>
          <w:szCs w:val="24"/>
          <w:lang w:eastAsia="bg-BG"/>
        </w:rPr>
        <w:lastRenderedPageBreak/>
        <w:t xml:space="preserve">ротационен принцип като се използват възможностите за временна хоризонтална мобилност, като важен инструмент за насърчаване на професионалното развитие на държавните служители). Това ще допринесе и за подобряване на сътрудничеството и създаване на устойчиво </w:t>
      </w:r>
      <w:r w:rsidR="00A40503" w:rsidRPr="007D063B">
        <w:rPr>
          <w:rFonts w:ascii="Times New Roman" w:hAnsi="Times New Roman"/>
          <w:bCs/>
          <w:color w:val="000000"/>
          <w:szCs w:val="24"/>
          <w:lang w:eastAsia="bg-BG"/>
        </w:rPr>
        <w:t>партньорство</w:t>
      </w:r>
      <w:r w:rsidRPr="007D063B">
        <w:rPr>
          <w:rFonts w:ascii="Times New Roman" w:hAnsi="Times New Roman"/>
          <w:bCs/>
          <w:color w:val="000000"/>
          <w:szCs w:val="24"/>
          <w:lang w:eastAsia="bg-BG"/>
        </w:rPr>
        <w:t xml:space="preserve"> с различните оперативни програми. </w:t>
      </w:r>
    </w:p>
    <w:p w14:paraId="6582064C" w14:textId="77777777" w:rsidR="009256B9" w:rsidRPr="007D063B" w:rsidRDefault="004274D7" w:rsidP="007D063B">
      <w:pPr>
        <w:pStyle w:val="ListParagraph"/>
        <w:numPr>
          <w:ilvl w:val="0"/>
          <w:numId w:val="41"/>
        </w:numPr>
        <w:spacing w:before="240" w:after="0" w:line="240" w:lineRule="auto"/>
        <w:ind w:left="714" w:hanging="357"/>
        <w:rPr>
          <w:rFonts w:ascii="Times New Roman" w:hAnsi="Times New Roman"/>
          <w:bCs/>
          <w:color w:val="000000"/>
          <w:szCs w:val="24"/>
          <w:lang w:eastAsia="bg-BG"/>
        </w:rPr>
      </w:pPr>
      <w:r w:rsidRPr="007D063B">
        <w:rPr>
          <w:rFonts w:ascii="Times New Roman" w:hAnsi="Times New Roman"/>
          <w:bCs/>
          <w:color w:val="000000"/>
          <w:szCs w:val="24"/>
          <w:lang w:eastAsia="bg-BG"/>
        </w:rPr>
        <w:t>Разширяване на обхвата на възможните дейности на ОИЦ – да се обмисли възможността за делегиране на ОИЦ на допълнителни функции, дейности/ възлагане изпълнението на конкретни задачи, които изискват интервенции на регионално и/ или местно ниво, от страна на структурите на национално ниво, отговорни за управлениет</w:t>
      </w:r>
      <w:r w:rsidR="00A40503" w:rsidRPr="007D063B">
        <w:rPr>
          <w:rFonts w:ascii="Times New Roman" w:hAnsi="Times New Roman"/>
          <w:bCs/>
          <w:color w:val="000000"/>
          <w:szCs w:val="24"/>
          <w:lang w:eastAsia="bg-BG"/>
        </w:rPr>
        <w:t>о и изпълнението на програмите (</w:t>
      </w:r>
      <w:r w:rsidRPr="007D063B">
        <w:rPr>
          <w:rFonts w:ascii="Times New Roman" w:hAnsi="Times New Roman"/>
          <w:bCs/>
          <w:color w:val="000000"/>
          <w:szCs w:val="24"/>
          <w:lang w:eastAsia="bg-BG"/>
        </w:rPr>
        <w:t>например</w:t>
      </w:r>
      <w:r w:rsidR="00A40503" w:rsidRPr="007D063B">
        <w:rPr>
          <w:rFonts w:ascii="Times New Roman" w:hAnsi="Times New Roman"/>
          <w:bCs/>
          <w:color w:val="000000"/>
          <w:szCs w:val="24"/>
          <w:lang w:eastAsia="bg-BG"/>
        </w:rPr>
        <w:t>,</w:t>
      </w:r>
      <w:r w:rsidRPr="007D063B">
        <w:rPr>
          <w:rFonts w:ascii="Times New Roman" w:hAnsi="Times New Roman"/>
          <w:bCs/>
          <w:color w:val="000000"/>
          <w:szCs w:val="24"/>
          <w:lang w:eastAsia="bg-BG"/>
        </w:rPr>
        <w:t xml:space="preserve"> организационни дейности, провеждане на обучения и/ или специализирани кампании, координация с други специализирани териториални структури, подпомагане на изпълняваните на съответната територия проекти при спазване на изисквани</w:t>
      </w:r>
      <w:r w:rsidR="00A40503" w:rsidRPr="007D063B">
        <w:rPr>
          <w:rFonts w:ascii="Times New Roman" w:hAnsi="Times New Roman"/>
          <w:bCs/>
          <w:color w:val="000000"/>
          <w:szCs w:val="24"/>
          <w:lang w:eastAsia="bg-BG"/>
        </w:rPr>
        <w:t xml:space="preserve">ята за публичност, както и при </w:t>
      </w:r>
      <w:r w:rsidRPr="007D063B">
        <w:rPr>
          <w:rFonts w:ascii="Times New Roman" w:hAnsi="Times New Roman"/>
          <w:bCs/>
          <w:color w:val="000000"/>
          <w:szCs w:val="24"/>
          <w:lang w:eastAsia="bg-BG"/>
        </w:rPr>
        <w:t xml:space="preserve">реалното изпълнение на хоризонталните политики (равни възможности, ресурсна ефективност). </w:t>
      </w:r>
    </w:p>
    <w:p w14:paraId="7C6B5E63" w14:textId="77777777" w:rsidR="00FD2EBA" w:rsidRDefault="00FD2EBA" w:rsidP="00B40284">
      <w:pPr>
        <w:jc w:val="both"/>
        <w:rPr>
          <w:rFonts w:ascii="Times New Roman" w:eastAsia="Times New Roman" w:hAnsi="Times New Roman" w:cs="Times New Roman"/>
          <w:bCs/>
          <w:color w:val="000000"/>
          <w:sz w:val="24"/>
          <w:szCs w:val="24"/>
          <w:lang w:eastAsia="bg-BG"/>
        </w:rPr>
      </w:pPr>
    </w:p>
    <w:p w14:paraId="529A5504" w14:textId="4C5F3B1B" w:rsidR="009256B9" w:rsidRPr="007D063B" w:rsidRDefault="003C64DD" w:rsidP="00B40284">
      <w:pPr>
        <w:jc w:val="both"/>
        <w:rPr>
          <w:rFonts w:ascii="Times New Roman" w:eastAsia="Times New Roman" w:hAnsi="Times New Roman" w:cs="Times New Roman"/>
          <w:bCs/>
          <w:color w:val="000000"/>
          <w:sz w:val="24"/>
          <w:szCs w:val="24"/>
          <w:lang w:eastAsia="bg-BG"/>
        </w:rPr>
      </w:pPr>
      <w:r w:rsidRPr="007D063B">
        <w:rPr>
          <w:rFonts w:ascii="Times New Roman" w:eastAsia="Times New Roman" w:hAnsi="Times New Roman" w:cs="Times New Roman"/>
          <w:bCs/>
          <w:color w:val="000000"/>
          <w:sz w:val="24"/>
          <w:szCs w:val="24"/>
          <w:lang w:eastAsia="bg-BG"/>
        </w:rPr>
        <w:t>В т. 12</w:t>
      </w:r>
      <w:r w:rsidR="009F08B9" w:rsidRPr="007D063B">
        <w:rPr>
          <w:rFonts w:ascii="Times New Roman" w:eastAsia="Times New Roman" w:hAnsi="Times New Roman" w:cs="Times New Roman"/>
          <w:bCs/>
          <w:color w:val="000000"/>
          <w:sz w:val="24"/>
          <w:szCs w:val="24"/>
          <w:lang w:eastAsia="bg-BG"/>
        </w:rPr>
        <w:t>.1</w:t>
      </w:r>
      <w:r w:rsidRPr="007D063B">
        <w:rPr>
          <w:rFonts w:ascii="Times New Roman" w:eastAsia="Times New Roman" w:hAnsi="Times New Roman" w:cs="Times New Roman"/>
          <w:bCs/>
          <w:color w:val="000000"/>
          <w:sz w:val="24"/>
          <w:szCs w:val="24"/>
          <w:lang w:eastAsia="bg-BG"/>
        </w:rPr>
        <w:t xml:space="preserve"> е описано по какъв начин тези препоръки от оценката на ОПАК и ОПТП са взети предвид при програмирането на ОПДУ.</w:t>
      </w:r>
    </w:p>
    <w:p w14:paraId="4D4DB496" w14:textId="77777777" w:rsidR="009256B9" w:rsidRPr="007D063B" w:rsidRDefault="009256B9" w:rsidP="00B40284">
      <w:pPr>
        <w:jc w:val="both"/>
        <w:rPr>
          <w:rFonts w:ascii="Times New Roman" w:eastAsia="Times New Roman" w:hAnsi="Times New Roman" w:cs="Times New Roman"/>
          <w:bCs/>
          <w:color w:val="000000"/>
          <w:sz w:val="24"/>
          <w:szCs w:val="24"/>
          <w:lang w:eastAsia="bg-BG"/>
        </w:rPr>
      </w:pPr>
    </w:p>
    <w:p w14:paraId="3F0A84DA" w14:textId="6BAE8C23" w:rsidR="005D7119" w:rsidRPr="007D063B" w:rsidRDefault="005D7119" w:rsidP="00B40284">
      <w:pPr>
        <w:jc w:val="both"/>
        <w:rPr>
          <w:rFonts w:ascii="Times New Roman" w:eastAsia="Times New Roman" w:hAnsi="Times New Roman" w:cs="Times New Roman"/>
          <w:b/>
          <w:bCs/>
          <w:color w:val="000000"/>
          <w:sz w:val="24"/>
          <w:szCs w:val="24"/>
          <w:lang w:eastAsia="bg-BG"/>
        </w:rPr>
      </w:pPr>
      <w:r w:rsidRPr="007D063B">
        <w:rPr>
          <w:rFonts w:ascii="Times New Roman" w:eastAsia="Times New Roman" w:hAnsi="Times New Roman" w:cs="Times New Roman"/>
          <w:b/>
          <w:bCs/>
          <w:color w:val="000000"/>
          <w:sz w:val="24"/>
          <w:szCs w:val="24"/>
          <w:lang w:eastAsia="bg-BG"/>
        </w:rPr>
        <w:br w:type="page"/>
      </w:r>
    </w:p>
    <w:p w14:paraId="3DD6234A" w14:textId="3BD03EEB" w:rsidR="009C6F83" w:rsidRPr="007D063B" w:rsidRDefault="009C6F83" w:rsidP="00EF2E35">
      <w:pPr>
        <w:pStyle w:val="Heading1"/>
        <w:rPr>
          <w:rFonts w:ascii="Times New Roman" w:eastAsia="Times New Roman" w:hAnsi="Times New Roman" w:cs="Times New Roman"/>
          <w:b/>
          <w:bCs/>
          <w:color w:val="000000"/>
          <w:sz w:val="24"/>
          <w:szCs w:val="24"/>
          <w:lang w:eastAsia="bg-BG"/>
        </w:rPr>
      </w:pPr>
      <w:bookmarkStart w:id="36" w:name="_Toc481594297"/>
      <w:r w:rsidRPr="007D063B">
        <w:rPr>
          <w:rFonts w:ascii="Times New Roman" w:eastAsia="Times New Roman" w:hAnsi="Times New Roman" w:cs="Times New Roman"/>
          <w:b/>
          <w:bCs/>
          <w:color w:val="000000"/>
          <w:sz w:val="24"/>
          <w:szCs w:val="24"/>
          <w:lang w:eastAsia="bg-BG"/>
        </w:rPr>
        <w:lastRenderedPageBreak/>
        <w:t>5.   ИНФОРМАЦИЯ ЗА ИЗПЪЛНЕНИЕТО НА ИНИЦИАТИВАТА ЗА МЛАДЕЖКА ЗАЕТОСТ, КОГАТО Е ПРИЛОЖИМО (член 19, параграфи 2 и 4 от Регламент (ЕС) № 1304/2013)</w:t>
      </w:r>
      <w:bookmarkEnd w:id="36"/>
    </w:p>
    <w:p w14:paraId="70537D10" w14:textId="3F4376C8" w:rsidR="009C6F83" w:rsidRPr="007D063B" w:rsidRDefault="00631E2C" w:rsidP="009C6F83">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Неприложимо.</w:t>
      </w:r>
    </w:p>
    <w:p w14:paraId="4DF1CC9E" w14:textId="77777777" w:rsidR="009C6F83" w:rsidRPr="007D063B" w:rsidRDefault="009C6F83" w:rsidP="00622B19">
      <w:pPr>
        <w:pStyle w:val="Heading1"/>
        <w:rPr>
          <w:rFonts w:ascii="Times New Roman" w:eastAsia="Times New Roman" w:hAnsi="Times New Roman" w:cs="Times New Roman"/>
          <w:b/>
          <w:bCs/>
          <w:color w:val="000000"/>
          <w:sz w:val="24"/>
          <w:szCs w:val="24"/>
          <w:lang w:eastAsia="bg-BG"/>
        </w:rPr>
      </w:pPr>
      <w:bookmarkStart w:id="37" w:name="_Toc481594298"/>
      <w:r w:rsidRPr="007D063B">
        <w:rPr>
          <w:rFonts w:ascii="Times New Roman" w:eastAsia="Times New Roman" w:hAnsi="Times New Roman" w:cs="Times New Roman"/>
          <w:b/>
          <w:bCs/>
          <w:color w:val="000000"/>
          <w:sz w:val="24"/>
          <w:szCs w:val="24"/>
          <w:lang w:eastAsia="bg-BG"/>
        </w:rPr>
        <w:t>6.   ПРОБЛЕМИ, СВЪРЗАНИ С ИЗПЪЛНЕНИЕТО НА ПРОГРАМАТА И ПРИЕТИТЕ МЕРКИ (член 50, параграф 2 от Регламент (ЕС) № 1303/2013)</w:t>
      </w:r>
      <w:hyperlink r:id="rId72" w:anchor="ntr28-L_2015038BG.01007201-E0028" w:history="1">
        <w:r w:rsidRPr="007D063B">
          <w:rPr>
            <w:rFonts w:ascii="inherit" w:eastAsia="Times New Roman" w:hAnsi="inherit" w:cs="Times New Roman"/>
            <w:b/>
            <w:bCs/>
            <w:color w:val="0000FF"/>
            <w:sz w:val="24"/>
            <w:szCs w:val="24"/>
            <w:u w:val="single"/>
            <w:lang w:eastAsia="bg-BG"/>
          </w:rPr>
          <w:t> (</w:t>
        </w:r>
        <w:r w:rsidRPr="007D063B">
          <w:rPr>
            <w:rFonts w:ascii="inherit" w:eastAsia="Times New Roman" w:hAnsi="inherit" w:cs="Times New Roman"/>
            <w:b/>
            <w:bCs/>
            <w:color w:val="0000FF"/>
            <w:sz w:val="17"/>
            <w:szCs w:val="17"/>
            <w:u w:val="single"/>
            <w:vertAlign w:val="superscript"/>
            <w:lang w:eastAsia="bg-BG"/>
          </w:rPr>
          <w:t>28</w:t>
        </w:r>
        <w:r w:rsidRPr="007D063B">
          <w:rPr>
            <w:rFonts w:ascii="inherit" w:eastAsia="Times New Roman" w:hAnsi="inherit" w:cs="Times New Roman"/>
            <w:b/>
            <w:bCs/>
            <w:color w:val="0000FF"/>
            <w:sz w:val="24"/>
            <w:szCs w:val="24"/>
            <w:u w:val="single"/>
            <w:lang w:eastAsia="bg-BG"/>
          </w:rPr>
          <w:t>)</w:t>
        </w:r>
      </w:hyperlink>
      <w:bookmarkEnd w:id="37"/>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1"/>
        <w:gridCol w:w="13643"/>
      </w:tblGrid>
      <w:tr w:rsidR="009C6F83" w:rsidRPr="007D063B" w14:paraId="7EBA515B" w14:textId="77777777" w:rsidTr="009C6F83">
        <w:trPr>
          <w:tblCellSpacing w:w="0" w:type="dxa"/>
        </w:trPr>
        <w:tc>
          <w:tcPr>
            <w:tcW w:w="0" w:type="auto"/>
            <w:shd w:val="clear" w:color="auto" w:fill="FFFFFF"/>
            <w:hideMark/>
          </w:tcPr>
          <w:p w14:paraId="5043A256" w14:textId="77777777" w:rsidR="009C6F83" w:rsidRPr="007D063B" w:rsidRDefault="009C6F83" w:rsidP="009C6F83">
            <w:pPr>
              <w:spacing w:before="120" w:after="0" w:line="240" w:lineRule="auto"/>
              <w:jc w:val="both"/>
              <w:rPr>
                <w:rFonts w:ascii="inherit" w:eastAsia="Times New Roman" w:hAnsi="inherit" w:cs="Times New Roman"/>
                <w:color w:val="000000"/>
                <w:sz w:val="24"/>
                <w:szCs w:val="24"/>
                <w:lang w:eastAsia="bg-BG"/>
              </w:rPr>
            </w:pPr>
            <w:r w:rsidRPr="007D063B">
              <w:rPr>
                <w:rFonts w:ascii="inherit" w:eastAsia="Times New Roman" w:hAnsi="inherit" w:cs="Times New Roman"/>
                <w:color w:val="000000"/>
                <w:sz w:val="24"/>
                <w:szCs w:val="24"/>
                <w:lang w:eastAsia="bg-BG"/>
              </w:rPr>
              <w:t>а)</w:t>
            </w:r>
          </w:p>
        </w:tc>
        <w:tc>
          <w:tcPr>
            <w:tcW w:w="0" w:type="auto"/>
            <w:shd w:val="clear" w:color="auto" w:fill="FFFFFF"/>
            <w:hideMark/>
          </w:tcPr>
          <w:p w14:paraId="4DB7AE62" w14:textId="77777777" w:rsidR="009C6F83" w:rsidRPr="007D063B" w:rsidRDefault="009C6F83" w:rsidP="009C6F83">
            <w:pPr>
              <w:spacing w:before="120" w:after="0" w:line="240" w:lineRule="auto"/>
              <w:jc w:val="both"/>
              <w:rPr>
                <w:rFonts w:ascii="inherit" w:eastAsia="Times New Roman" w:hAnsi="inherit" w:cs="Times New Roman"/>
                <w:color w:val="000000"/>
                <w:sz w:val="24"/>
                <w:szCs w:val="24"/>
                <w:lang w:eastAsia="bg-BG"/>
              </w:rPr>
            </w:pPr>
            <w:r w:rsidRPr="007D063B">
              <w:rPr>
                <w:rFonts w:ascii="inherit" w:eastAsia="Times New Roman" w:hAnsi="inherit" w:cs="Times New Roman"/>
                <w:color w:val="000000"/>
                <w:sz w:val="24"/>
                <w:szCs w:val="24"/>
                <w:lang w:eastAsia="bg-BG"/>
              </w:rPr>
              <w:t>проблеми, свързани с изпълнението на програмата и приетите мерки</w:t>
            </w:r>
          </w:p>
          <w:p w14:paraId="1AA9CA15" w14:textId="77777777" w:rsidR="009C6F83" w:rsidRPr="007D063B" w:rsidRDefault="009C6F83" w:rsidP="009C6F83">
            <w:pPr>
              <w:spacing w:after="0" w:line="240" w:lineRule="auto"/>
              <w:rPr>
                <w:rFonts w:ascii="inherit" w:eastAsia="Times New Roman" w:hAnsi="inherit" w:cs="Times New Roman"/>
                <w:color w:val="000000"/>
                <w:sz w:val="24"/>
                <w:szCs w:val="24"/>
                <w:lang w:eastAsia="bg-BG"/>
              </w:rPr>
            </w:pPr>
            <w:r w:rsidRPr="007D063B">
              <w:rPr>
                <w:rFonts w:ascii="inherit" w:eastAsia="Times New Roman" w:hAnsi="inherit" w:cs="Times New Roman"/>
                <w:i/>
                <w:iCs/>
                <w:color w:val="000000"/>
                <w:sz w:val="24"/>
                <w:szCs w:val="24"/>
                <w:lang w:eastAsia="bg-BG"/>
              </w:rPr>
              <w:t>&lt;type='S' maxlength=7000 input='M'&gt;</w:t>
            </w:r>
          </w:p>
        </w:tc>
      </w:tr>
    </w:tbl>
    <w:p w14:paraId="4AE98EB1" w14:textId="77777777" w:rsidR="009F08B9" w:rsidRPr="007D063B" w:rsidRDefault="009F08B9" w:rsidP="009C6F83">
      <w:pPr>
        <w:spacing w:after="0" w:line="240" w:lineRule="auto"/>
        <w:rPr>
          <w:rFonts w:ascii="Times New Roman" w:eastAsia="Times New Roman" w:hAnsi="Times New Roman" w:cs="Times New Roman"/>
          <w:b/>
          <w:sz w:val="24"/>
          <w:szCs w:val="24"/>
          <w:lang w:eastAsia="bg-BG"/>
        </w:rPr>
      </w:pPr>
    </w:p>
    <w:p w14:paraId="579A90FA" w14:textId="5FB8AD9F" w:rsidR="009F08B9" w:rsidRPr="007D063B" w:rsidRDefault="009F08B9" w:rsidP="009C6F83">
      <w:pPr>
        <w:spacing w:after="0" w:line="240" w:lineRule="auto"/>
        <w:rPr>
          <w:rFonts w:ascii="Times New Roman" w:eastAsia="Times New Roman" w:hAnsi="Times New Roman" w:cs="Times New Roman"/>
          <w:b/>
          <w:sz w:val="24"/>
          <w:szCs w:val="24"/>
          <w:lang w:eastAsia="bg-BG"/>
        </w:rPr>
      </w:pPr>
      <w:r w:rsidRPr="007D063B">
        <w:rPr>
          <w:rFonts w:ascii="Times New Roman" w:eastAsia="Times New Roman" w:hAnsi="Times New Roman" w:cs="Times New Roman"/>
          <w:b/>
          <w:sz w:val="24"/>
          <w:szCs w:val="24"/>
          <w:lang w:eastAsia="bg-BG"/>
        </w:rPr>
        <w:t>Приоритетна ос 2</w:t>
      </w:r>
    </w:p>
    <w:p w14:paraId="4CD00612" w14:textId="4015B6A8" w:rsidR="009C6F83" w:rsidRPr="007D063B" w:rsidRDefault="00AB57EE" w:rsidP="009C6F83">
      <w:pPr>
        <w:spacing w:after="0" w:line="240" w:lineRule="auto"/>
        <w:rPr>
          <w:rFonts w:ascii="Times New Roman" w:eastAsia="Times New Roman" w:hAnsi="Times New Roman" w:cs="Times New Roman"/>
          <w:vanish/>
          <w:sz w:val="24"/>
          <w:szCs w:val="24"/>
          <w:lang w:eastAsia="bg-BG"/>
        </w:rPr>
      </w:pPr>
      <w:r w:rsidRPr="007D063B">
        <w:rPr>
          <w:rFonts w:ascii="Times New Roman" w:eastAsia="Times New Roman" w:hAnsi="Times New Roman" w:cs="Times New Roman"/>
          <w:vanish/>
          <w:sz w:val="24"/>
          <w:szCs w:val="24"/>
          <w:lang w:eastAsia="bg-BG"/>
        </w:rPr>
        <w:t>Основните проблеми свързани с изпълнението на програмата са следните:</w:t>
      </w:r>
    </w:p>
    <w:p w14:paraId="3637E8BA" w14:textId="61EC6629" w:rsidR="00C03774" w:rsidRPr="007D063B" w:rsidRDefault="00C03774" w:rsidP="008115E2">
      <w:pPr>
        <w:pStyle w:val="ListParagraph"/>
        <w:numPr>
          <w:ilvl w:val="0"/>
          <w:numId w:val="36"/>
        </w:numPr>
        <w:shd w:val="clear" w:color="auto" w:fill="FFFFFF"/>
        <w:spacing w:before="120" w:after="0" w:line="240" w:lineRule="auto"/>
        <w:rPr>
          <w:rFonts w:ascii="Times New Roman" w:hAnsi="Times New Roman"/>
          <w:szCs w:val="24"/>
        </w:rPr>
      </w:pPr>
      <w:r w:rsidRPr="007D063B">
        <w:rPr>
          <w:rFonts w:ascii="Times New Roman" w:hAnsi="Times New Roman"/>
          <w:szCs w:val="24"/>
        </w:rPr>
        <w:t>Първоначално включената в ИГРП 2016 г. процедура „Повишаване на обществената осведоменост и на гражданското участие в процесите на формулиране, изпълнение и мониторинг на политики и законодателство“ е прехвърлена в ИГРП 2017 г. поради идентифицирани проблеми с начина на изпълнение. Поради това отлагане на процедурата, към края на 2016 г. няма напредък по индикатор СО20, който е част от рамката за изпълнение на ПО2.</w:t>
      </w:r>
    </w:p>
    <w:p w14:paraId="19E7ED42" w14:textId="77777777" w:rsidR="00C03774" w:rsidRPr="007D063B" w:rsidRDefault="00C03774" w:rsidP="008115E2">
      <w:pPr>
        <w:shd w:val="clear" w:color="auto" w:fill="FFFFFF"/>
        <w:spacing w:before="120" w:after="0" w:line="240" w:lineRule="auto"/>
        <w:ind w:firstLine="360"/>
        <w:jc w:val="both"/>
        <w:rPr>
          <w:rFonts w:ascii="Times New Roman" w:hAnsi="Times New Roman"/>
          <w:szCs w:val="24"/>
        </w:rPr>
      </w:pPr>
      <w:r w:rsidRPr="007D063B">
        <w:rPr>
          <w:rFonts w:ascii="Times New Roman" w:hAnsi="Times New Roman"/>
          <w:szCs w:val="24"/>
        </w:rPr>
        <w:t>В т. 7.2.2 от ОПДУ е предвидено част от дейностите по СЦ3 на ПО2, по специално дейностите на НПО и СИП, да бъдат изпълнявани посредством глобална субсидия на стойност 10 млн. евро. Организацията, която трябва да изпълнява ролята на Междинно звено за тази глобална субсидия трябва да бъде неправителствена организация, избрана чрез конкурс на база способността си и доказания си опит да управлява проекти на НПО с донорско финансиране.</w:t>
      </w:r>
    </w:p>
    <w:p w14:paraId="7185AD9A" w14:textId="77777777" w:rsidR="00C03774" w:rsidRPr="007D063B" w:rsidRDefault="00C03774" w:rsidP="008115E2">
      <w:pPr>
        <w:shd w:val="clear" w:color="auto" w:fill="FFFFFF"/>
        <w:spacing w:before="120" w:after="0" w:line="240" w:lineRule="auto"/>
        <w:ind w:firstLine="360"/>
        <w:jc w:val="both"/>
        <w:rPr>
          <w:rFonts w:ascii="Times New Roman" w:hAnsi="Times New Roman"/>
          <w:szCs w:val="24"/>
        </w:rPr>
      </w:pPr>
      <w:r w:rsidRPr="007D063B">
        <w:rPr>
          <w:rFonts w:ascii="Times New Roman" w:hAnsi="Times New Roman"/>
          <w:szCs w:val="24"/>
        </w:rPr>
        <w:t xml:space="preserve">След анализ УО на ОПДУ изпрати до ЕК официално писмо № 02.50-83/ 15.03.2016 г., в което представи два варианта за изпълнение на планираните интервенции. На 30.08.2016 г. УО на ОПДУ получи от ЕК потвърждение (като резултат от консултациите между няколко генерални дирекции на ЕК) относно необходимостта от прилагане на процедурите за обществени поръчки при избора на междинно звено за възлагане на глобална субсидия от УО на ОПДУ. </w:t>
      </w:r>
    </w:p>
    <w:p w14:paraId="3061E8BA" w14:textId="77777777" w:rsidR="00C03774" w:rsidRPr="007D063B" w:rsidRDefault="00C03774" w:rsidP="008115E2">
      <w:pPr>
        <w:shd w:val="clear" w:color="auto" w:fill="FFFFFF"/>
        <w:spacing w:before="120" w:after="0" w:line="240" w:lineRule="auto"/>
        <w:ind w:firstLine="360"/>
        <w:jc w:val="both"/>
        <w:rPr>
          <w:rFonts w:ascii="Times New Roman" w:hAnsi="Times New Roman"/>
          <w:szCs w:val="24"/>
        </w:rPr>
      </w:pPr>
      <w:r w:rsidRPr="007D063B">
        <w:rPr>
          <w:rFonts w:ascii="Times New Roman" w:hAnsi="Times New Roman"/>
          <w:szCs w:val="24"/>
        </w:rPr>
        <w:t xml:space="preserve">Предвид невъзможността да бъде гарантирано, че в резултат на провеждане на обществена поръчка ще бъде избрано НПО като Междинно звено за глобалната субсидия, УО на ОПДУ проведе консултации с НПО и СИП-членове на КН на ОПДУ за формулиране на нов начин на изпълнение на СЦ3 на ПО2, който да е законосъобразен, бърз и максимално близък до нуждите на НПО и СИП. На Петото си заседание, проведено на 12.12.2016 г., КН на ОПДУ одобри изпълнението на СЦ3 на ПО2 без междинно звено, създаването на Подкомитет „Повишаване на обществената осведоменост и на гражданското участие в процесите на формулиране, изпълнение и мониторинг на политики и законодателство“, в чийто състав влизат представителите на НПО и СИП в КН на ОПДУ, както и даде мандат на УО да предложи на ЕК техническо изменение на ОПДУ, което включва отпадане на текстовете за глобална субсидия и включване на пояснения относно новия начин на изпълнение. </w:t>
      </w:r>
    </w:p>
    <w:p w14:paraId="159B905A" w14:textId="77777777" w:rsidR="009F08B9" w:rsidRPr="007D063B" w:rsidRDefault="009F08B9" w:rsidP="009F08B9">
      <w:pPr>
        <w:spacing w:after="0" w:line="240" w:lineRule="auto"/>
        <w:rPr>
          <w:rFonts w:ascii="Times New Roman" w:eastAsia="Times New Roman" w:hAnsi="Times New Roman" w:cs="Times New Roman"/>
          <w:b/>
          <w:sz w:val="24"/>
          <w:szCs w:val="24"/>
          <w:lang w:eastAsia="bg-BG"/>
        </w:rPr>
      </w:pPr>
    </w:p>
    <w:p w14:paraId="467D4D5C" w14:textId="37DF891B" w:rsidR="009F08B9" w:rsidRPr="007D063B" w:rsidRDefault="009F08B9" w:rsidP="009F08B9">
      <w:pPr>
        <w:spacing w:after="0" w:line="240" w:lineRule="auto"/>
        <w:rPr>
          <w:rFonts w:ascii="Times New Roman" w:eastAsia="Times New Roman" w:hAnsi="Times New Roman" w:cs="Times New Roman"/>
          <w:b/>
          <w:sz w:val="24"/>
          <w:szCs w:val="24"/>
          <w:lang w:eastAsia="bg-BG"/>
        </w:rPr>
      </w:pPr>
      <w:r w:rsidRPr="007D063B">
        <w:rPr>
          <w:rFonts w:ascii="Times New Roman" w:eastAsia="Times New Roman" w:hAnsi="Times New Roman" w:cs="Times New Roman"/>
          <w:b/>
          <w:sz w:val="24"/>
          <w:szCs w:val="24"/>
          <w:lang w:eastAsia="bg-BG"/>
        </w:rPr>
        <w:lastRenderedPageBreak/>
        <w:t>Приоритетна ос 3</w:t>
      </w:r>
    </w:p>
    <w:p w14:paraId="1A40E426" w14:textId="77777777" w:rsidR="009F08B9" w:rsidRPr="007D063B" w:rsidRDefault="009F08B9" w:rsidP="009F08B9">
      <w:pPr>
        <w:pStyle w:val="ListParagraph"/>
        <w:shd w:val="clear" w:color="auto" w:fill="FFFFFF"/>
        <w:spacing w:before="120" w:after="0" w:line="240" w:lineRule="auto"/>
        <w:ind w:left="720" w:firstLine="0"/>
        <w:rPr>
          <w:rFonts w:ascii="Times New Roman" w:hAnsi="Times New Roman"/>
          <w:szCs w:val="24"/>
        </w:rPr>
      </w:pPr>
    </w:p>
    <w:p w14:paraId="361B407A" w14:textId="12758582" w:rsidR="0016414F" w:rsidRPr="007D063B" w:rsidRDefault="0016414F" w:rsidP="008115E2">
      <w:pPr>
        <w:pStyle w:val="ListParagraph"/>
        <w:numPr>
          <w:ilvl w:val="0"/>
          <w:numId w:val="36"/>
        </w:numPr>
        <w:shd w:val="clear" w:color="auto" w:fill="FFFFFF"/>
        <w:spacing w:before="120" w:after="0" w:line="240" w:lineRule="auto"/>
        <w:rPr>
          <w:rFonts w:ascii="Times New Roman" w:hAnsi="Times New Roman"/>
          <w:szCs w:val="24"/>
        </w:rPr>
      </w:pPr>
      <w:r w:rsidRPr="007D063B">
        <w:rPr>
          <w:rFonts w:ascii="Times New Roman" w:hAnsi="Times New Roman"/>
          <w:szCs w:val="24"/>
        </w:rPr>
        <w:t xml:space="preserve">Въпреки, че процедурата по ПО 3 е отворена още в края на 2015 г., съдебната система не бе активна в подготовката и подаването на проектни предложения през 2016 г. Основната част от проектите (с изключение на 5 бр.) бяха подадени в последните 15 дни преди изтичане на крайния срок за кандидатстване – 31.12.2016 г. УО на ОПДУ предприе </w:t>
      </w:r>
      <w:r w:rsidR="009256B9" w:rsidRPr="007D063B">
        <w:rPr>
          <w:rFonts w:ascii="Times New Roman" w:hAnsi="Times New Roman"/>
          <w:szCs w:val="24"/>
        </w:rPr>
        <w:t xml:space="preserve">редица </w:t>
      </w:r>
      <w:r w:rsidRPr="007D063B">
        <w:rPr>
          <w:rFonts w:ascii="Times New Roman" w:hAnsi="Times New Roman"/>
          <w:szCs w:val="24"/>
        </w:rPr>
        <w:t xml:space="preserve">действия за ускоряване процеса по подготовка и </w:t>
      </w:r>
      <w:r w:rsidR="009256B9" w:rsidRPr="007D063B">
        <w:rPr>
          <w:rFonts w:ascii="Times New Roman" w:hAnsi="Times New Roman"/>
          <w:szCs w:val="24"/>
        </w:rPr>
        <w:t>подаване</w:t>
      </w:r>
      <w:r w:rsidRPr="007D063B">
        <w:rPr>
          <w:rFonts w:ascii="Times New Roman" w:hAnsi="Times New Roman"/>
          <w:szCs w:val="24"/>
        </w:rPr>
        <w:t xml:space="preserve"> на проектни</w:t>
      </w:r>
      <w:r w:rsidR="009256B9" w:rsidRPr="007D063B">
        <w:rPr>
          <w:rFonts w:ascii="Times New Roman" w:hAnsi="Times New Roman"/>
          <w:szCs w:val="24"/>
        </w:rPr>
        <w:t>те</w:t>
      </w:r>
      <w:r w:rsidRPr="007D063B">
        <w:rPr>
          <w:rFonts w:ascii="Times New Roman" w:hAnsi="Times New Roman"/>
          <w:szCs w:val="24"/>
        </w:rPr>
        <w:t xml:space="preserve"> предложения: поредица официални писма и срещи с бенефициенти</w:t>
      </w:r>
      <w:r w:rsidR="009256B9" w:rsidRPr="007D063B">
        <w:rPr>
          <w:rFonts w:ascii="Times New Roman" w:hAnsi="Times New Roman"/>
          <w:szCs w:val="24"/>
        </w:rPr>
        <w:t>те</w:t>
      </w:r>
      <w:r w:rsidRPr="007D063B">
        <w:rPr>
          <w:rFonts w:ascii="Times New Roman" w:hAnsi="Times New Roman"/>
          <w:szCs w:val="24"/>
        </w:rPr>
        <w:t>; изискани и представени графици за подаване на проектни предложения включени в двете пътни от страна на МП</w:t>
      </w:r>
      <w:r w:rsidR="009256B9" w:rsidRPr="007D063B">
        <w:rPr>
          <w:rFonts w:ascii="Times New Roman" w:hAnsi="Times New Roman"/>
          <w:szCs w:val="24"/>
        </w:rPr>
        <w:t>; п</w:t>
      </w:r>
      <w:r w:rsidRPr="007D063B">
        <w:rPr>
          <w:rFonts w:ascii="Times New Roman" w:hAnsi="Times New Roman"/>
          <w:szCs w:val="24"/>
        </w:rPr>
        <w:t>остоянен диалог и съдействие</w:t>
      </w:r>
      <w:r w:rsidR="009256B9" w:rsidRPr="007D063B">
        <w:rPr>
          <w:rFonts w:ascii="Times New Roman" w:hAnsi="Times New Roman"/>
          <w:szCs w:val="24"/>
        </w:rPr>
        <w:t xml:space="preserve"> от страна на експ</w:t>
      </w:r>
      <w:r w:rsidR="00504F0E" w:rsidRPr="007D063B">
        <w:rPr>
          <w:rFonts w:ascii="Times New Roman" w:hAnsi="Times New Roman"/>
          <w:szCs w:val="24"/>
        </w:rPr>
        <w:t>е</w:t>
      </w:r>
      <w:r w:rsidR="009256B9" w:rsidRPr="007D063B">
        <w:rPr>
          <w:rFonts w:ascii="Times New Roman" w:hAnsi="Times New Roman"/>
          <w:szCs w:val="24"/>
        </w:rPr>
        <w:t>ртите от УО</w:t>
      </w:r>
      <w:r w:rsidRPr="007D063B">
        <w:rPr>
          <w:rFonts w:ascii="Times New Roman" w:hAnsi="Times New Roman"/>
          <w:szCs w:val="24"/>
        </w:rPr>
        <w:t xml:space="preserve"> при разработване на проектните предложения</w:t>
      </w:r>
      <w:r w:rsidR="009256B9" w:rsidRPr="007D063B">
        <w:rPr>
          <w:rFonts w:ascii="Times New Roman" w:hAnsi="Times New Roman"/>
          <w:szCs w:val="24"/>
        </w:rPr>
        <w:t xml:space="preserve">; </w:t>
      </w:r>
      <w:r w:rsidRPr="007D063B">
        <w:rPr>
          <w:rFonts w:ascii="Times New Roman" w:hAnsi="Times New Roman"/>
          <w:szCs w:val="24"/>
        </w:rPr>
        <w:t xml:space="preserve">работни срещи. </w:t>
      </w:r>
      <w:r w:rsidR="009256B9" w:rsidRPr="007D063B">
        <w:rPr>
          <w:rFonts w:ascii="Times New Roman" w:hAnsi="Times New Roman"/>
          <w:szCs w:val="24"/>
        </w:rPr>
        <w:t>В</w:t>
      </w:r>
      <w:r w:rsidR="00504F0E" w:rsidRPr="007D063B">
        <w:rPr>
          <w:rFonts w:ascii="Times New Roman" w:hAnsi="Times New Roman"/>
          <w:szCs w:val="24"/>
        </w:rPr>
        <w:t xml:space="preserve"> </w:t>
      </w:r>
      <w:r w:rsidR="009256B9" w:rsidRPr="007D063B">
        <w:rPr>
          <w:rFonts w:ascii="Times New Roman" w:hAnsi="Times New Roman"/>
          <w:szCs w:val="24"/>
        </w:rPr>
        <w:t xml:space="preserve">бъдеще, </w:t>
      </w:r>
      <w:r w:rsidRPr="007D063B">
        <w:rPr>
          <w:rFonts w:ascii="Times New Roman" w:hAnsi="Times New Roman"/>
          <w:szCs w:val="24"/>
        </w:rPr>
        <w:t>УО предвижда промяна в подхода при програмирането и отварянето на процедури за съдебната система: кратки срокове за кандидатстване за конкретни бенефициенти и мерки, за които има доказана проектна готовност</w:t>
      </w:r>
      <w:r w:rsidR="009256B9" w:rsidRPr="007D063B">
        <w:rPr>
          <w:rFonts w:ascii="Times New Roman" w:hAnsi="Times New Roman"/>
          <w:szCs w:val="24"/>
        </w:rPr>
        <w:t xml:space="preserve"> и капацитет.</w:t>
      </w:r>
    </w:p>
    <w:p w14:paraId="1FA0EF72" w14:textId="77777777" w:rsidR="009F08B9" w:rsidRPr="007D063B" w:rsidRDefault="009F08B9" w:rsidP="009F08B9">
      <w:pPr>
        <w:spacing w:after="0" w:line="240" w:lineRule="auto"/>
        <w:rPr>
          <w:rFonts w:ascii="Times New Roman" w:eastAsia="Times New Roman" w:hAnsi="Times New Roman" w:cs="Times New Roman"/>
          <w:b/>
          <w:sz w:val="24"/>
          <w:szCs w:val="24"/>
          <w:lang w:eastAsia="bg-BG"/>
        </w:rPr>
      </w:pPr>
    </w:p>
    <w:p w14:paraId="0BFD8160" w14:textId="5B509F87" w:rsidR="009F08B9" w:rsidRPr="007D063B" w:rsidRDefault="009F08B9" w:rsidP="009F08B9">
      <w:pPr>
        <w:spacing w:after="0" w:line="240" w:lineRule="auto"/>
        <w:rPr>
          <w:rFonts w:ascii="Times New Roman" w:eastAsia="Times New Roman" w:hAnsi="Times New Roman" w:cs="Times New Roman"/>
          <w:b/>
          <w:sz w:val="24"/>
          <w:szCs w:val="24"/>
          <w:lang w:eastAsia="bg-BG"/>
        </w:rPr>
      </w:pPr>
      <w:r w:rsidRPr="007D063B">
        <w:rPr>
          <w:rFonts w:ascii="Times New Roman" w:eastAsia="Times New Roman" w:hAnsi="Times New Roman" w:cs="Times New Roman"/>
          <w:b/>
          <w:sz w:val="24"/>
          <w:szCs w:val="24"/>
          <w:lang w:eastAsia="bg-BG"/>
        </w:rPr>
        <w:t>Приоритетна ос 1</w:t>
      </w:r>
    </w:p>
    <w:p w14:paraId="04CA5DD8" w14:textId="30CDF9B7" w:rsidR="00AB57EE" w:rsidRPr="007D063B" w:rsidRDefault="009256B9" w:rsidP="008115E2">
      <w:pPr>
        <w:pStyle w:val="ListParagraph"/>
        <w:numPr>
          <w:ilvl w:val="0"/>
          <w:numId w:val="36"/>
        </w:numPr>
        <w:shd w:val="clear" w:color="auto" w:fill="FFFFFF"/>
        <w:spacing w:before="120" w:after="0" w:line="240" w:lineRule="auto"/>
        <w:rPr>
          <w:rFonts w:ascii="Times New Roman" w:hAnsi="Times New Roman"/>
          <w:szCs w:val="24"/>
        </w:rPr>
      </w:pPr>
      <w:r w:rsidRPr="007D063B">
        <w:rPr>
          <w:rFonts w:ascii="Times New Roman" w:hAnsi="Times New Roman"/>
          <w:szCs w:val="24"/>
        </w:rPr>
        <w:t>Съществени</w:t>
      </w:r>
      <w:r w:rsidR="00AB57EE" w:rsidRPr="007D063B">
        <w:rPr>
          <w:rFonts w:ascii="Times New Roman" w:hAnsi="Times New Roman"/>
          <w:szCs w:val="24"/>
        </w:rPr>
        <w:t xml:space="preserve"> промени в Закона за електронно управление</w:t>
      </w:r>
      <w:r w:rsidRPr="007D063B">
        <w:rPr>
          <w:rFonts w:ascii="Times New Roman" w:hAnsi="Times New Roman"/>
          <w:szCs w:val="24"/>
        </w:rPr>
        <w:t xml:space="preserve">, влезли в сила от </w:t>
      </w:r>
      <w:r w:rsidR="009F08B9" w:rsidRPr="007D063B">
        <w:rPr>
          <w:rFonts w:ascii="Times New Roman" w:hAnsi="Times New Roman"/>
          <w:szCs w:val="24"/>
        </w:rPr>
        <w:t>юли 2016 г.</w:t>
      </w:r>
      <w:r w:rsidR="00AB57EE" w:rsidRPr="007D063B">
        <w:rPr>
          <w:rFonts w:ascii="Times New Roman" w:hAnsi="Times New Roman"/>
          <w:szCs w:val="24"/>
        </w:rPr>
        <w:t xml:space="preserve">, новата подзаконова нормативна уредба и структуриране на Държавна агенция „Електронно управление“ в края на 2016 г. </w:t>
      </w:r>
      <w:r w:rsidRPr="007D063B">
        <w:rPr>
          <w:rFonts w:ascii="Times New Roman" w:hAnsi="Times New Roman"/>
          <w:szCs w:val="24"/>
        </w:rPr>
        <w:t xml:space="preserve">въведоха промени в </w:t>
      </w:r>
      <w:r w:rsidR="00AB57EE" w:rsidRPr="007D063B">
        <w:rPr>
          <w:rFonts w:ascii="Times New Roman" w:hAnsi="Times New Roman"/>
          <w:szCs w:val="24"/>
        </w:rPr>
        <w:t xml:space="preserve">реда и процедурите за утвърждаване на проектните предложения, </w:t>
      </w:r>
      <w:r w:rsidRPr="007D063B">
        <w:rPr>
          <w:rFonts w:ascii="Times New Roman" w:hAnsi="Times New Roman"/>
          <w:szCs w:val="24"/>
        </w:rPr>
        <w:t xml:space="preserve">включително и </w:t>
      </w:r>
      <w:r w:rsidR="00AB57EE" w:rsidRPr="007D063B">
        <w:rPr>
          <w:rFonts w:ascii="Times New Roman" w:hAnsi="Times New Roman"/>
          <w:szCs w:val="24"/>
        </w:rPr>
        <w:t>нови изисквания за предварително одобрение на техническите задания от страна на ДАЕУ</w:t>
      </w:r>
      <w:r w:rsidR="0060690C" w:rsidRPr="007D063B">
        <w:rPr>
          <w:rFonts w:ascii="Times New Roman" w:hAnsi="Times New Roman"/>
          <w:szCs w:val="24"/>
        </w:rPr>
        <w:t xml:space="preserve"> (цитирай ПМС-то)</w:t>
      </w:r>
      <w:r w:rsidR="00AB57EE" w:rsidRPr="007D063B">
        <w:rPr>
          <w:rFonts w:ascii="Times New Roman" w:hAnsi="Times New Roman"/>
          <w:szCs w:val="24"/>
        </w:rPr>
        <w:t xml:space="preserve">. УО на ОПДУ </w:t>
      </w:r>
      <w:r w:rsidR="0060690C" w:rsidRPr="007D063B">
        <w:rPr>
          <w:rFonts w:ascii="Times New Roman" w:hAnsi="Times New Roman"/>
          <w:szCs w:val="24"/>
        </w:rPr>
        <w:t>проведе</w:t>
      </w:r>
      <w:r w:rsidR="00AB57EE" w:rsidRPr="007D063B">
        <w:rPr>
          <w:rFonts w:ascii="Times New Roman" w:hAnsi="Times New Roman"/>
          <w:szCs w:val="24"/>
        </w:rPr>
        <w:t xml:space="preserve"> срещи с ДАЕУ за обсъждане на възникналите въпроси, като поддържа постоянна комуникация с агенцията. В допълнение е създадена постоянна работна група с участието на УО и ЦКЗ, в рамките на която да се координират действията на отделните органи по отношение на проектите и дейностите, съфинансирани от ЕСИФ, както и да бъдат обсъждани конкретни казуси и проблеми, свързани с процедурата по утвърждаване от страна на ДАЕУ. </w:t>
      </w:r>
    </w:p>
    <w:p w14:paraId="493FED90" w14:textId="77777777" w:rsidR="00E71A37" w:rsidRPr="007D063B" w:rsidRDefault="00E71A37" w:rsidP="00E71A37">
      <w:pPr>
        <w:pStyle w:val="ListParagraph"/>
        <w:shd w:val="clear" w:color="auto" w:fill="FFFFFF"/>
        <w:spacing w:before="120" w:after="0" w:line="240" w:lineRule="auto"/>
        <w:ind w:left="720" w:firstLine="0"/>
        <w:rPr>
          <w:rFonts w:ascii="Times New Roman" w:hAnsi="Times New Roman"/>
          <w:szCs w:val="24"/>
        </w:rPr>
      </w:pPr>
    </w:p>
    <w:p w14:paraId="745BDCB2" w14:textId="2A63F429" w:rsidR="009F08B9" w:rsidRPr="007D063B" w:rsidRDefault="009F08B9" w:rsidP="00E71A37">
      <w:pPr>
        <w:spacing w:after="0" w:line="240" w:lineRule="auto"/>
        <w:rPr>
          <w:rFonts w:ascii="Times New Roman" w:eastAsia="Times New Roman" w:hAnsi="Times New Roman" w:cs="Times New Roman"/>
          <w:b/>
          <w:sz w:val="24"/>
          <w:szCs w:val="24"/>
          <w:lang w:eastAsia="bg-BG"/>
        </w:rPr>
      </w:pPr>
      <w:r w:rsidRPr="007D063B">
        <w:rPr>
          <w:rFonts w:ascii="Times New Roman" w:eastAsia="Times New Roman" w:hAnsi="Times New Roman" w:cs="Times New Roman"/>
          <w:b/>
          <w:sz w:val="24"/>
          <w:szCs w:val="24"/>
          <w:lang w:eastAsia="bg-BG"/>
        </w:rPr>
        <w:t>Общ проблем при изпълнението на проекти по ОПДУ</w:t>
      </w:r>
    </w:p>
    <w:p w14:paraId="74AF7AF0" w14:textId="2343F571" w:rsidR="00C03774" w:rsidRPr="007D063B" w:rsidRDefault="0060690C" w:rsidP="0060690C">
      <w:pPr>
        <w:pStyle w:val="ListParagraph"/>
        <w:numPr>
          <w:ilvl w:val="0"/>
          <w:numId w:val="36"/>
        </w:numPr>
        <w:shd w:val="clear" w:color="auto" w:fill="FFFFFF"/>
        <w:spacing w:before="120" w:after="0" w:line="240" w:lineRule="auto"/>
        <w:rPr>
          <w:rFonts w:ascii="Times New Roman" w:hAnsi="Times New Roman"/>
          <w:szCs w:val="24"/>
        </w:rPr>
      </w:pPr>
      <w:r w:rsidRPr="007D063B">
        <w:rPr>
          <w:rFonts w:ascii="Times New Roman" w:hAnsi="Times New Roman"/>
          <w:szCs w:val="24"/>
        </w:rPr>
        <w:t>П</w:t>
      </w:r>
      <w:r w:rsidR="0016414F" w:rsidRPr="007D063B">
        <w:rPr>
          <w:rFonts w:ascii="Times New Roman" w:hAnsi="Times New Roman"/>
          <w:szCs w:val="24"/>
        </w:rPr>
        <w:t xml:space="preserve">ри изпълнението на проектите </w:t>
      </w:r>
      <w:r w:rsidRPr="007D063B">
        <w:rPr>
          <w:rFonts w:ascii="Times New Roman" w:hAnsi="Times New Roman"/>
          <w:szCs w:val="24"/>
        </w:rPr>
        <w:t>с</w:t>
      </w:r>
      <w:r w:rsidR="00C03774" w:rsidRPr="007D063B">
        <w:rPr>
          <w:rFonts w:ascii="Times New Roman" w:hAnsi="Times New Roman"/>
          <w:szCs w:val="24"/>
        </w:rPr>
        <w:t xml:space="preserve">е </w:t>
      </w:r>
      <w:r w:rsidRPr="007D063B">
        <w:rPr>
          <w:rFonts w:ascii="Times New Roman" w:hAnsi="Times New Roman"/>
          <w:szCs w:val="24"/>
        </w:rPr>
        <w:t xml:space="preserve"> наблюдава </w:t>
      </w:r>
      <w:r w:rsidR="00C03774" w:rsidRPr="007D063B">
        <w:rPr>
          <w:rFonts w:ascii="Times New Roman" w:hAnsi="Times New Roman"/>
          <w:szCs w:val="24"/>
        </w:rPr>
        <w:t>забавяне в разработване на технически задания и обявяването на обществените поръчки за избор на изпълнител в срок.</w:t>
      </w:r>
      <w:r w:rsidRPr="007D063B">
        <w:rPr>
          <w:rFonts w:ascii="Times New Roman" w:hAnsi="Times New Roman"/>
          <w:szCs w:val="24"/>
        </w:rPr>
        <w:t>, както и структуриране на екип за управление на проектите</w:t>
      </w:r>
      <w:r w:rsidR="00696F3D" w:rsidRPr="007D063B">
        <w:rPr>
          <w:rFonts w:ascii="Times New Roman" w:hAnsi="Times New Roman"/>
          <w:szCs w:val="24"/>
        </w:rPr>
        <w:t>.</w:t>
      </w:r>
    </w:p>
    <w:p w14:paraId="69496788" w14:textId="1C0D143D" w:rsidR="00AB57EE" w:rsidRPr="007D063B" w:rsidRDefault="00AB57EE" w:rsidP="009C6F83">
      <w:pPr>
        <w:spacing w:after="0" w:line="240" w:lineRule="auto"/>
        <w:rPr>
          <w:rFonts w:ascii="Times New Roman" w:eastAsia="Times New Roman" w:hAnsi="Times New Roman" w:cs="Times New Roman"/>
          <w:vanish/>
          <w:sz w:val="24"/>
          <w:szCs w:val="24"/>
          <w:lang w:eastAsia="bg-BG"/>
        </w:rPr>
      </w:pPr>
    </w:p>
    <w:p w14:paraId="7F8ABF98" w14:textId="77777777" w:rsidR="00A452AE" w:rsidRPr="007D063B" w:rsidRDefault="00A452AE" w:rsidP="00A452AE">
      <w:pPr>
        <w:ind w:firstLine="709"/>
        <w:rPr>
          <w:rFonts w:ascii="Times New Roman" w:hAnsi="Times New Roman"/>
          <w:b/>
          <w:color w:val="000000"/>
          <w:szCs w:val="24"/>
          <w:lang w:eastAsia="bg-BG"/>
        </w:rPr>
      </w:pPr>
    </w:p>
    <w:p w14:paraId="105B6AF7" w14:textId="77777777" w:rsidR="00AB15FF" w:rsidRPr="007D063B" w:rsidRDefault="00AB15FF" w:rsidP="00C01B6F">
      <w:pPr>
        <w:shd w:val="clear" w:color="auto" w:fill="FFFFFF"/>
        <w:spacing w:before="120" w:after="0" w:line="240" w:lineRule="auto"/>
        <w:ind w:firstLine="708"/>
        <w:jc w:val="both"/>
        <w:rPr>
          <w:rFonts w:ascii="Times New Roman" w:hAnsi="Times New Roman"/>
          <w:color w:val="000000"/>
          <w:szCs w:val="24"/>
          <w:lang w:eastAsia="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3"/>
        <w:gridCol w:w="13795"/>
        <w:gridCol w:w="6"/>
      </w:tblGrid>
      <w:tr w:rsidR="00117C7C" w:rsidRPr="007D063B" w14:paraId="66C3831F" w14:textId="23BF911E" w:rsidTr="00DB0EAA">
        <w:trPr>
          <w:tblCellSpacing w:w="0" w:type="dxa"/>
        </w:trPr>
        <w:tc>
          <w:tcPr>
            <w:tcW w:w="0" w:type="auto"/>
            <w:shd w:val="clear" w:color="auto" w:fill="FFFFFF"/>
            <w:hideMark/>
          </w:tcPr>
          <w:p w14:paraId="6385BDAC" w14:textId="77777777" w:rsidR="00117C7C" w:rsidRPr="007D063B" w:rsidRDefault="00117C7C" w:rsidP="009C6F83">
            <w:pPr>
              <w:spacing w:before="120" w:after="0" w:line="240" w:lineRule="auto"/>
              <w:jc w:val="both"/>
              <w:rPr>
                <w:rFonts w:ascii="inherit" w:eastAsia="Times New Roman" w:hAnsi="inherit" w:cs="Times New Roman"/>
                <w:color w:val="000000"/>
                <w:sz w:val="24"/>
                <w:szCs w:val="24"/>
                <w:lang w:eastAsia="bg-BG"/>
              </w:rPr>
            </w:pPr>
            <w:r w:rsidRPr="007D063B">
              <w:rPr>
                <w:rFonts w:ascii="inherit" w:eastAsia="Times New Roman" w:hAnsi="inherit" w:cs="Times New Roman" w:hint="eastAsia"/>
                <w:color w:val="000000"/>
                <w:sz w:val="24"/>
                <w:szCs w:val="24"/>
                <w:lang w:eastAsia="bg-BG"/>
              </w:rPr>
              <w:t>б</w:t>
            </w:r>
            <w:r w:rsidRPr="007D063B">
              <w:rPr>
                <w:rFonts w:ascii="inherit" w:eastAsia="Times New Roman" w:hAnsi="inherit" w:cs="Times New Roman"/>
                <w:color w:val="000000"/>
                <w:sz w:val="24"/>
                <w:szCs w:val="24"/>
                <w:lang w:eastAsia="bg-BG"/>
              </w:rPr>
              <w:t>)</w:t>
            </w:r>
          </w:p>
        </w:tc>
        <w:tc>
          <w:tcPr>
            <w:tcW w:w="0" w:type="auto"/>
            <w:shd w:val="clear" w:color="auto" w:fill="FFFFFF"/>
            <w:hideMark/>
          </w:tcPr>
          <w:p w14:paraId="1CCA6739" w14:textId="77777777" w:rsidR="00117C7C" w:rsidRPr="007D063B" w:rsidRDefault="00117C7C" w:rsidP="009C6F83">
            <w:pPr>
              <w:spacing w:before="120" w:after="0" w:line="240" w:lineRule="auto"/>
              <w:jc w:val="both"/>
              <w:rPr>
                <w:rFonts w:ascii="inherit" w:eastAsia="Times New Roman" w:hAnsi="inherit" w:cs="Times New Roman"/>
                <w:color w:val="000000"/>
                <w:sz w:val="24"/>
                <w:szCs w:val="24"/>
                <w:lang w:eastAsia="bg-BG"/>
              </w:rPr>
            </w:pPr>
            <w:r w:rsidRPr="007D063B">
              <w:rPr>
                <w:rFonts w:ascii="inherit" w:eastAsia="Times New Roman" w:hAnsi="inherit" w:cs="Times New Roman" w:hint="eastAsia"/>
                <w:color w:val="000000"/>
                <w:sz w:val="24"/>
                <w:szCs w:val="24"/>
                <w:lang w:eastAsia="bg-BG"/>
              </w:rPr>
              <w:t>НЕЗАДЪЛЖИТЕЛНО</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ЗА</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МИНИ</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ДОКЛАДИ</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в</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противен</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случай</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данните</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ще</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бъдат</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включени</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в</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точка</w:t>
            </w:r>
            <w:r w:rsidRPr="007D063B">
              <w:rPr>
                <w:rFonts w:ascii="inherit" w:eastAsia="Times New Roman" w:hAnsi="inherit" w:cs="Times New Roman"/>
                <w:color w:val="000000"/>
                <w:sz w:val="24"/>
                <w:szCs w:val="24"/>
                <w:lang w:eastAsia="bg-BG"/>
              </w:rPr>
              <w:t xml:space="preserve"> 11.1 </w:t>
            </w:r>
            <w:r w:rsidRPr="007D063B">
              <w:rPr>
                <w:rFonts w:ascii="inherit" w:eastAsia="Times New Roman" w:hAnsi="inherit" w:cs="Times New Roman" w:hint="eastAsia"/>
                <w:color w:val="000000"/>
                <w:sz w:val="24"/>
                <w:szCs w:val="24"/>
                <w:lang w:eastAsia="bg-BG"/>
              </w:rPr>
              <w:t>от</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образеца</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член </w:t>
            </w:r>
            <w:r w:rsidRPr="007D063B">
              <w:rPr>
                <w:rFonts w:ascii="inherit" w:eastAsia="Times New Roman" w:hAnsi="inherit" w:cs="Times New Roman"/>
                <w:color w:val="000000"/>
                <w:sz w:val="24"/>
                <w:szCs w:val="24"/>
                <w:lang w:eastAsia="bg-BG"/>
              </w:rPr>
              <w:t xml:space="preserve">50, </w:t>
            </w:r>
            <w:r w:rsidRPr="007D063B">
              <w:rPr>
                <w:rFonts w:ascii="inherit" w:eastAsia="Times New Roman" w:hAnsi="inherit" w:cs="Times New Roman" w:hint="eastAsia"/>
                <w:color w:val="000000"/>
                <w:sz w:val="24"/>
                <w:szCs w:val="24"/>
                <w:lang w:eastAsia="bg-BG"/>
              </w:rPr>
              <w:t>параграф </w:t>
            </w:r>
            <w:r w:rsidRPr="007D063B">
              <w:rPr>
                <w:rFonts w:ascii="inherit" w:eastAsia="Times New Roman" w:hAnsi="inherit" w:cs="Times New Roman"/>
                <w:color w:val="000000"/>
                <w:sz w:val="24"/>
                <w:szCs w:val="24"/>
                <w:lang w:eastAsia="bg-BG"/>
              </w:rPr>
              <w:t xml:space="preserve">4 </w:t>
            </w:r>
            <w:r w:rsidRPr="007D063B">
              <w:rPr>
                <w:rFonts w:ascii="inherit" w:eastAsia="Times New Roman" w:hAnsi="inherit" w:cs="Times New Roman" w:hint="eastAsia"/>
                <w:color w:val="000000"/>
                <w:sz w:val="24"/>
                <w:szCs w:val="24"/>
                <w:lang w:eastAsia="bg-BG"/>
              </w:rPr>
              <w:t>от</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Регламент</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ЕС</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 </w:t>
            </w:r>
            <w:r w:rsidRPr="007D063B">
              <w:rPr>
                <w:rFonts w:ascii="inherit" w:eastAsia="Times New Roman" w:hAnsi="inherit" w:cs="Times New Roman"/>
                <w:color w:val="000000"/>
                <w:sz w:val="24"/>
                <w:szCs w:val="24"/>
                <w:lang w:eastAsia="bg-BG"/>
              </w:rPr>
              <w:t>1303/2013):</w:t>
            </w:r>
          </w:p>
          <w:p w14:paraId="1BE6B33A" w14:textId="77777777" w:rsidR="00117C7C" w:rsidRPr="007D063B" w:rsidRDefault="00117C7C" w:rsidP="009C6F83">
            <w:pPr>
              <w:spacing w:before="120" w:after="0" w:line="240" w:lineRule="auto"/>
              <w:jc w:val="both"/>
              <w:rPr>
                <w:rFonts w:ascii="inherit" w:eastAsia="Times New Roman" w:hAnsi="inherit" w:cs="Times New Roman"/>
                <w:color w:val="000000"/>
                <w:sz w:val="24"/>
                <w:szCs w:val="24"/>
                <w:lang w:eastAsia="bg-BG"/>
              </w:rPr>
            </w:pPr>
            <w:r w:rsidRPr="007D063B">
              <w:rPr>
                <w:rFonts w:ascii="inherit" w:eastAsia="Times New Roman" w:hAnsi="inherit" w:cs="Times New Roman" w:hint="eastAsia"/>
                <w:color w:val="000000"/>
                <w:sz w:val="24"/>
                <w:szCs w:val="24"/>
                <w:lang w:eastAsia="bg-BG"/>
              </w:rPr>
              <w:lastRenderedPageBreak/>
              <w:t>Оценка</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на</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това</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дали</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напредъкът</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в</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постигане</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на</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целевите</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стойности</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е</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достатъчен</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за</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да</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се</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гарантира</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тяхното</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изпълнение</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като</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се</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посочват</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всички</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предприети</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или</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планирани</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корективни</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действия</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когато</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е</w:t>
            </w:r>
            <w:r w:rsidRPr="007D063B">
              <w:rPr>
                <w:rFonts w:ascii="inherit" w:eastAsia="Times New Roman" w:hAnsi="inherit" w:cs="Times New Roman"/>
                <w:color w:val="000000"/>
                <w:sz w:val="24"/>
                <w:szCs w:val="24"/>
                <w:lang w:eastAsia="bg-BG"/>
              </w:rPr>
              <w:t xml:space="preserve"> </w:t>
            </w:r>
            <w:r w:rsidRPr="007D063B">
              <w:rPr>
                <w:rFonts w:ascii="inherit" w:eastAsia="Times New Roman" w:hAnsi="inherit" w:cs="Times New Roman" w:hint="eastAsia"/>
                <w:color w:val="000000"/>
                <w:sz w:val="24"/>
                <w:szCs w:val="24"/>
                <w:lang w:eastAsia="bg-BG"/>
              </w:rPr>
              <w:t>целесъобразно</w:t>
            </w:r>
            <w:r w:rsidRPr="007D063B">
              <w:rPr>
                <w:rFonts w:ascii="inherit" w:eastAsia="Times New Roman" w:hAnsi="inherit" w:cs="Times New Roman"/>
                <w:color w:val="000000"/>
                <w:sz w:val="24"/>
                <w:szCs w:val="24"/>
                <w:lang w:eastAsia="bg-BG"/>
              </w:rPr>
              <w:t>.</w:t>
            </w:r>
          </w:p>
          <w:p w14:paraId="7C76706A" w14:textId="77777777" w:rsidR="00117C7C" w:rsidRPr="007D063B" w:rsidRDefault="00117C7C" w:rsidP="009C6F83">
            <w:pPr>
              <w:spacing w:after="0" w:line="240" w:lineRule="auto"/>
              <w:rPr>
                <w:rFonts w:ascii="inherit" w:eastAsia="Times New Roman" w:hAnsi="inherit" w:cs="Times New Roman"/>
                <w:color w:val="000000"/>
                <w:sz w:val="24"/>
                <w:szCs w:val="24"/>
                <w:lang w:eastAsia="bg-BG"/>
              </w:rPr>
            </w:pPr>
            <w:r w:rsidRPr="007D063B">
              <w:rPr>
                <w:rFonts w:ascii="inherit" w:eastAsia="Times New Roman" w:hAnsi="inherit" w:cs="Times New Roman"/>
                <w:i/>
                <w:iCs/>
                <w:color w:val="000000"/>
                <w:sz w:val="24"/>
                <w:szCs w:val="24"/>
                <w:lang w:eastAsia="bg-BG"/>
              </w:rPr>
              <w:t>&lt;type='S' maxlength=3500 input='M'&gt;</w:t>
            </w:r>
          </w:p>
        </w:tc>
        <w:tc>
          <w:tcPr>
            <w:tcW w:w="0" w:type="auto"/>
            <w:shd w:val="clear" w:color="auto" w:fill="FFFFFF"/>
          </w:tcPr>
          <w:p w14:paraId="072EF64E" w14:textId="77777777" w:rsidR="00117C7C" w:rsidRPr="007D063B" w:rsidRDefault="00117C7C" w:rsidP="009C6F83">
            <w:pPr>
              <w:spacing w:before="120" w:after="0" w:line="240" w:lineRule="auto"/>
              <w:jc w:val="both"/>
              <w:rPr>
                <w:rFonts w:ascii="inherit" w:eastAsia="Times New Roman" w:hAnsi="inherit" w:cs="Times New Roman"/>
                <w:color w:val="000000"/>
                <w:sz w:val="24"/>
                <w:szCs w:val="24"/>
                <w:lang w:eastAsia="bg-BG"/>
              </w:rPr>
            </w:pPr>
          </w:p>
        </w:tc>
      </w:tr>
    </w:tbl>
    <w:p w14:paraId="53051CF4" w14:textId="77777777" w:rsidR="00622B19" w:rsidRPr="007D063B" w:rsidRDefault="00622B19" w:rsidP="00615D76">
      <w:pPr>
        <w:shd w:val="clear" w:color="auto" w:fill="FFFFFF"/>
        <w:spacing w:after="120" w:line="240" w:lineRule="auto"/>
        <w:jc w:val="both"/>
        <w:rPr>
          <w:rFonts w:ascii="Times New Roman" w:eastAsia="Times New Roman" w:hAnsi="Times New Roman" w:cs="Times New Roman"/>
          <w:bCs/>
          <w:color w:val="000000"/>
          <w:sz w:val="24"/>
          <w:szCs w:val="24"/>
          <w:lang w:eastAsia="bg-BG"/>
        </w:rPr>
      </w:pPr>
    </w:p>
    <w:p w14:paraId="2BCE0F3A" w14:textId="1C1BB61A" w:rsidR="00622B19" w:rsidRPr="007D063B" w:rsidRDefault="00622B19" w:rsidP="00615D76">
      <w:pPr>
        <w:shd w:val="clear" w:color="auto" w:fill="FFFFFF"/>
        <w:spacing w:after="120" w:line="240" w:lineRule="auto"/>
        <w:jc w:val="both"/>
        <w:rPr>
          <w:rFonts w:ascii="Times New Roman" w:eastAsia="Times New Roman" w:hAnsi="Times New Roman" w:cs="Times New Roman"/>
          <w:b/>
          <w:bCs/>
          <w:color w:val="000000"/>
          <w:sz w:val="24"/>
          <w:szCs w:val="24"/>
          <w:lang w:eastAsia="bg-BG"/>
        </w:rPr>
      </w:pPr>
      <w:r w:rsidRPr="007D063B">
        <w:rPr>
          <w:rFonts w:ascii="Times New Roman" w:eastAsia="Times New Roman" w:hAnsi="Times New Roman" w:cs="Times New Roman"/>
          <w:b/>
          <w:bCs/>
          <w:color w:val="000000"/>
          <w:sz w:val="24"/>
          <w:szCs w:val="24"/>
          <w:lang w:eastAsia="bg-BG"/>
        </w:rPr>
        <w:t>П</w:t>
      </w:r>
      <w:r w:rsidR="002217AE" w:rsidRPr="007D063B">
        <w:rPr>
          <w:rFonts w:ascii="Times New Roman" w:eastAsia="Times New Roman" w:hAnsi="Times New Roman" w:cs="Times New Roman"/>
          <w:b/>
          <w:bCs/>
          <w:color w:val="000000"/>
          <w:sz w:val="24"/>
          <w:szCs w:val="24"/>
          <w:lang w:eastAsia="bg-BG"/>
        </w:rPr>
        <w:t>риоритетна ос</w:t>
      </w:r>
      <w:r w:rsidRPr="007D063B">
        <w:rPr>
          <w:rFonts w:ascii="Times New Roman" w:eastAsia="Times New Roman" w:hAnsi="Times New Roman" w:cs="Times New Roman"/>
          <w:b/>
          <w:bCs/>
          <w:color w:val="000000"/>
          <w:sz w:val="24"/>
          <w:szCs w:val="24"/>
          <w:lang w:eastAsia="bg-BG"/>
        </w:rPr>
        <w:t xml:space="preserve"> 1</w:t>
      </w:r>
    </w:p>
    <w:p w14:paraId="1B2AE7A9" w14:textId="2C30E5D0" w:rsidR="00622B19" w:rsidRPr="007D063B" w:rsidRDefault="00622B19" w:rsidP="00622B19">
      <w:pPr>
        <w:shd w:val="clear" w:color="auto" w:fill="FFFFFF"/>
        <w:spacing w:after="120" w:line="240" w:lineRule="auto"/>
        <w:jc w:val="both"/>
        <w:rPr>
          <w:rFonts w:ascii="Times New Roman" w:eastAsia="Times New Roman" w:hAnsi="Times New Roman" w:cs="Times New Roman"/>
          <w:bCs/>
          <w:color w:val="000000"/>
          <w:sz w:val="24"/>
          <w:szCs w:val="24"/>
          <w:lang w:eastAsia="bg-BG"/>
        </w:rPr>
      </w:pPr>
      <w:r w:rsidRPr="007D063B">
        <w:rPr>
          <w:rFonts w:ascii="Times New Roman" w:eastAsia="Times New Roman" w:hAnsi="Times New Roman" w:cs="Times New Roman"/>
          <w:bCs/>
          <w:color w:val="000000"/>
          <w:sz w:val="24"/>
          <w:szCs w:val="24"/>
          <w:lang w:eastAsia="bg-BG"/>
        </w:rPr>
        <w:t xml:space="preserve">Успешното приключване на двата проекта по ПО1 от процедура BG05SFOP001-1.001 от ИГРП 2015 е от ключово значение за изпълнението на целевите стойности на индикаторите в рамката за изпълнение. Изпълнението на проект „Трансформация на модела на административно обслужване“ ще доведе до постигане на целевите стойности за 2018 г. от рамката за изпълнение на индикатори О1-3 и О1-4. </w:t>
      </w:r>
      <w:r w:rsidR="00DB0EAA" w:rsidRPr="007D063B">
        <w:rPr>
          <w:rFonts w:ascii="Times New Roman" w:eastAsia="Times New Roman" w:hAnsi="Times New Roman" w:cs="Times New Roman"/>
          <w:bCs/>
          <w:color w:val="000000"/>
          <w:sz w:val="24"/>
          <w:szCs w:val="24"/>
          <w:lang w:eastAsia="bg-BG"/>
        </w:rPr>
        <w:t>Проектите, които ще бъдат финансиране по д</w:t>
      </w:r>
      <w:r w:rsidRPr="007D063B">
        <w:rPr>
          <w:rFonts w:ascii="Times New Roman" w:eastAsia="Times New Roman" w:hAnsi="Times New Roman" w:cs="Times New Roman"/>
          <w:bCs/>
          <w:color w:val="000000"/>
          <w:sz w:val="24"/>
          <w:szCs w:val="24"/>
          <w:lang w:eastAsia="bg-BG"/>
        </w:rPr>
        <w:t xml:space="preserve">вете процедури по ПО 1 от ИГРП 2016 </w:t>
      </w:r>
      <w:r w:rsidR="00DB0EAA" w:rsidRPr="007D063B">
        <w:rPr>
          <w:rFonts w:ascii="Times New Roman" w:eastAsia="Times New Roman" w:hAnsi="Times New Roman" w:cs="Times New Roman"/>
          <w:bCs/>
          <w:color w:val="000000"/>
          <w:sz w:val="24"/>
          <w:szCs w:val="24"/>
          <w:lang w:eastAsia="bg-BG"/>
        </w:rPr>
        <w:t>и са</w:t>
      </w:r>
      <w:r w:rsidRPr="007D063B">
        <w:rPr>
          <w:rFonts w:ascii="Times New Roman" w:eastAsia="Times New Roman" w:hAnsi="Times New Roman" w:cs="Times New Roman"/>
          <w:bCs/>
          <w:color w:val="000000"/>
          <w:sz w:val="24"/>
          <w:szCs w:val="24"/>
          <w:lang w:eastAsia="bg-BG"/>
        </w:rPr>
        <w:t xml:space="preserve"> със срок за изпълнение до края на 2018 г.</w:t>
      </w:r>
      <w:r w:rsidR="00DB0EAA" w:rsidRPr="007D063B">
        <w:rPr>
          <w:rFonts w:ascii="Times New Roman" w:eastAsia="Times New Roman" w:hAnsi="Times New Roman" w:cs="Times New Roman"/>
          <w:bCs/>
          <w:color w:val="000000"/>
          <w:sz w:val="24"/>
          <w:szCs w:val="24"/>
          <w:lang w:eastAsia="bg-BG"/>
        </w:rPr>
        <w:t xml:space="preserve">, следва да обезпечат </w:t>
      </w:r>
      <w:r w:rsidRPr="007D063B">
        <w:rPr>
          <w:rFonts w:ascii="Times New Roman" w:eastAsia="Times New Roman" w:hAnsi="Times New Roman" w:cs="Times New Roman"/>
          <w:bCs/>
          <w:color w:val="000000"/>
          <w:sz w:val="24"/>
          <w:szCs w:val="24"/>
          <w:lang w:eastAsia="bg-BG"/>
        </w:rPr>
        <w:t xml:space="preserve">междинните стойности </w:t>
      </w:r>
      <w:r w:rsidR="00DB0EAA" w:rsidRPr="007D063B">
        <w:rPr>
          <w:rFonts w:ascii="Times New Roman" w:eastAsia="Times New Roman" w:hAnsi="Times New Roman" w:cs="Times New Roman"/>
          <w:bCs/>
          <w:color w:val="000000"/>
          <w:sz w:val="24"/>
          <w:szCs w:val="24"/>
          <w:lang w:eastAsia="bg-BG"/>
        </w:rPr>
        <w:t xml:space="preserve">от </w:t>
      </w:r>
      <w:r w:rsidRPr="007D063B">
        <w:rPr>
          <w:rFonts w:ascii="Times New Roman" w:eastAsia="Times New Roman" w:hAnsi="Times New Roman" w:cs="Times New Roman"/>
          <w:bCs/>
          <w:color w:val="000000"/>
          <w:sz w:val="24"/>
          <w:szCs w:val="24"/>
          <w:lang w:eastAsia="bg-BG"/>
        </w:rPr>
        <w:t>рамката на изпълнение</w:t>
      </w:r>
      <w:r w:rsidR="00DB0EAA" w:rsidRPr="007D063B">
        <w:rPr>
          <w:rFonts w:ascii="Times New Roman" w:eastAsia="Times New Roman" w:hAnsi="Times New Roman" w:cs="Times New Roman"/>
          <w:bCs/>
          <w:color w:val="000000"/>
          <w:sz w:val="24"/>
          <w:szCs w:val="24"/>
          <w:lang w:eastAsia="bg-BG"/>
        </w:rPr>
        <w:t xml:space="preserve"> по ПО 1</w:t>
      </w:r>
      <w:r w:rsidRPr="007D063B">
        <w:rPr>
          <w:rFonts w:ascii="Times New Roman" w:eastAsia="Times New Roman" w:hAnsi="Times New Roman" w:cs="Times New Roman"/>
          <w:bCs/>
          <w:color w:val="000000"/>
          <w:sz w:val="24"/>
          <w:szCs w:val="24"/>
          <w:lang w:eastAsia="bg-BG"/>
        </w:rPr>
        <w:t xml:space="preserve">. </w:t>
      </w:r>
      <w:r w:rsidR="00E133C6" w:rsidRPr="007D063B">
        <w:rPr>
          <w:rFonts w:ascii="Times New Roman" w:eastAsia="Times New Roman" w:hAnsi="Times New Roman" w:cs="Times New Roman"/>
          <w:bCs/>
          <w:color w:val="000000"/>
          <w:sz w:val="24"/>
          <w:szCs w:val="24"/>
          <w:lang w:eastAsia="bg-BG"/>
        </w:rPr>
        <w:t>Н</w:t>
      </w:r>
      <w:r w:rsidRPr="007D063B">
        <w:rPr>
          <w:rFonts w:ascii="Times New Roman" w:eastAsia="Times New Roman" w:hAnsi="Times New Roman" w:cs="Times New Roman"/>
          <w:bCs/>
          <w:color w:val="000000"/>
          <w:sz w:val="24"/>
          <w:szCs w:val="24"/>
          <w:lang w:eastAsia="bg-BG"/>
        </w:rPr>
        <w:t>а този етап не може да се установи риска от неизпълнение на целевите стойности за 2018 г. на индикатори  О1-7 „Брой подкрепени регистри“ и О1-8 „Подкрепени електронни услуги за предоставянето им в транзакционен режим“.</w:t>
      </w:r>
    </w:p>
    <w:p w14:paraId="06349F40" w14:textId="45B1F353" w:rsidR="00622B19" w:rsidRPr="007D063B" w:rsidRDefault="00345B2F" w:rsidP="00615D76">
      <w:pPr>
        <w:shd w:val="clear" w:color="auto" w:fill="FFFFFF"/>
        <w:spacing w:after="120" w:line="240" w:lineRule="auto"/>
        <w:jc w:val="both"/>
        <w:rPr>
          <w:rFonts w:ascii="Times New Roman" w:eastAsia="Times New Roman" w:hAnsi="Times New Roman" w:cs="Times New Roman"/>
          <w:b/>
          <w:bCs/>
          <w:color w:val="000000"/>
          <w:sz w:val="24"/>
          <w:szCs w:val="24"/>
          <w:lang w:eastAsia="bg-BG"/>
        </w:rPr>
      </w:pPr>
      <w:r w:rsidRPr="007D063B">
        <w:rPr>
          <w:rFonts w:ascii="Times New Roman" w:eastAsia="Times New Roman" w:hAnsi="Times New Roman" w:cs="Times New Roman"/>
          <w:b/>
          <w:bCs/>
          <w:color w:val="000000"/>
          <w:sz w:val="24"/>
          <w:szCs w:val="24"/>
          <w:lang w:eastAsia="bg-BG"/>
        </w:rPr>
        <w:t>П</w:t>
      </w:r>
      <w:r w:rsidR="002217AE" w:rsidRPr="007D063B">
        <w:rPr>
          <w:rFonts w:ascii="Times New Roman" w:eastAsia="Times New Roman" w:hAnsi="Times New Roman" w:cs="Times New Roman"/>
          <w:b/>
          <w:bCs/>
          <w:color w:val="000000"/>
          <w:sz w:val="24"/>
          <w:szCs w:val="24"/>
          <w:lang w:eastAsia="bg-BG"/>
        </w:rPr>
        <w:t xml:space="preserve">риоритетна ос </w:t>
      </w:r>
      <w:r w:rsidRPr="007D063B">
        <w:rPr>
          <w:rFonts w:ascii="Times New Roman" w:eastAsia="Times New Roman" w:hAnsi="Times New Roman" w:cs="Times New Roman"/>
          <w:b/>
          <w:bCs/>
          <w:color w:val="000000"/>
          <w:sz w:val="24"/>
          <w:szCs w:val="24"/>
          <w:lang w:eastAsia="bg-BG"/>
        </w:rPr>
        <w:t>2</w:t>
      </w:r>
    </w:p>
    <w:p w14:paraId="5ED5AFB5" w14:textId="78286898" w:rsidR="001A49C3" w:rsidRPr="007D063B" w:rsidRDefault="00345B2F" w:rsidP="00615D76">
      <w:pPr>
        <w:shd w:val="clear" w:color="auto" w:fill="FFFFFF"/>
        <w:spacing w:after="120" w:line="240" w:lineRule="auto"/>
        <w:jc w:val="both"/>
        <w:rPr>
          <w:rFonts w:ascii="Times New Roman" w:eastAsia="Times New Roman" w:hAnsi="Times New Roman" w:cs="Times New Roman"/>
          <w:bCs/>
          <w:color w:val="000000"/>
          <w:sz w:val="24"/>
          <w:szCs w:val="24"/>
          <w:lang w:eastAsia="bg-BG"/>
        </w:rPr>
      </w:pPr>
      <w:r w:rsidRPr="007D063B">
        <w:rPr>
          <w:rFonts w:ascii="Times New Roman" w:eastAsia="Times New Roman" w:hAnsi="Times New Roman" w:cs="Times New Roman"/>
          <w:bCs/>
          <w:color w:val="000000"/>
          <w:sz w:val="24"/>
          <w:szCs w:val="24"/>
          <w:lang w:eastAsia="bg-BG"/>
        </w:rPr>
        <w:t>Д</w:t>
      </w:r>
      <w:r w:rsidR="001A49C3" w:rsidRPr="007D063B">
        <w:rPr>
          <w:rFonts w:ascii="Times New Roman" w:eastAsia="Times New Roman" w:hAnsi="Times New Roman" w:cs="Times New Roman"/>
          <w:bCs/>
          <w:color w:val="000000"/>
          <w:sz w:val="24"/>
          <w:szCs w:val="24"/>
          <w:lang w:eastAsia="bg-BG"/>
        </w:rPr>
        <w:t xml:space="preserve">оговорени </w:t>
      </w:r>
      <w:r w:rsidR="00DB0EAA" w:rsidRPr="007D063B">
        <w:rPr>
          <w:rFonts w:ascii="Times New Roman" w:eastAsia="Times New Roman" w:hAnsi="Times New Roman" w:cs="Times New Roman"/>
          <w:bCs/>
          <w:color w:val="000000"/>
          <w:sz w:val="24"/>
          <w:szCs w:val="24"/>
          <w:lang w:eastAsia="bg-BG"/>
        </w:rPr>
        <w:t xml:space="preserve">са </w:t>
      </w:r>
      <w:r w:rsidR="00A610EE" w:rsidRPr="007D063B">
        <w:rPr>
          <w:rFonts w:ascii="Times New Roman" w:eastAsia="Times New Roman" w:hAnsi="Times New Roman" w:cs="Times New Roman"/>
          <w:bCs/>
          <w:color w:val="000000"/>
          <w:sz w:val="24"/>
          <w:szCs w:val="24"/>
          <w:lang w:eastAsia="bg-BG"/>
        </w:rPr>
        <w:t xml:space="preserve">целевите стойности по </w:t>
      </w:r>
      <w:r w:rsidR="001A49C3" w:rsidRPr="007D063B">
        <w:rPr>
          <w:rFonts w:ascii="Times New Roman" w:eastAsia="Times New Roman" w:hAnsi="Times New Roman" w:cs="Times New Roman"/>
          <w:bCs/>
          <w:color w:val="000000"/>
          <w:sz w:val="24"/>
          <w:szCs w:val="24"/>
          <w:lang w:eastAsia="bg-BG"/>
        </w:rPr>
        <w:t>всички индикатори от рамката за изпълнение за 2018 г. с изключение на:</w:t>
      </w:r>
    </w:p>
    <w:p w14:paraId="1932A1A0" w14:textId="73700B4E" w:rsidR="00615D76" w:rsidRPr="007D063B" w:rsidRDefault="00615D76" w:rsidP="00615D76">
      <w:pPr>
        <w:shd w:val="clear" w:color="auto" w:fill="FFFFFF"/>
        <w:spacing w:after="120" w:line="240" w:lineRule="auto"/>
        <w:jc w:val="both"/>
        <w:rPr>
          <w:rFonts w:ascii="Times New Roman" w:eastAsia="Times New Roman" w:hAnsi="Times New Roman" w:cs="Times New Roman"/>
          <w:bCs/>
          <w:color w:val="000000"/>
          <w:sz w:val="24"/>
          <w:szCs w:val="24"/>
          <w:lang w:eastAsia="bg-BG"/>
        </w:rPr>
      </w:pPr>
      <w:r w:rsidRPr="007D063B">
        <w:rPr>
          <w:rFonts w:ascii="Times New Roman" w:eastAsia="Times New Roman" w:hAnsi="Times New Roman" w:cs="Times New Roman"/>
          <w:bCs/>
          <w:color w:val="000000"/>
          <w:sz w:val="24"/>
          <w:szCs w:val="24"/>
          <w:lang w:eastAsia="bg-BG"/>
        </w:rPr>
        <w:t xml:space="preserve">Индикатор СО20 – </w:t>
      </w:r>
      <w:r w:rsidR="00DB0EAA" w:rsidRPr="007D063B">
        <w:rPr>
          <w:rFonts w:ascii="Times New Roman" w:eastAsia="Times New Roman" w:hAnsi="Times New Roman" w:cs="Times New Roman"/>
          <w:bCs/>
          <w:color w:val="000000"/>
          <w:sz w:val="24"/>
          <w:szCs w:val="24"/>
          <w:lang w:eastAsia="bg-BG"/>
        </w:rPr>
        <w:t>Брой проекти</w:t>
      </w:r>
      <w:r w:rsidRPr="007D063B">
        <w:rPr>
          <w:rFonts w:ascii="Times New Roman" w:eastAsia="Times New Roman" w:hAnsi="Times New Roman" w:cs="Times New Roman"/>
          <w:bCs/>
          <w:color w:val="000000"/>
          <w:sz w:val="24"/>
          <w:szCs w:val="24"/>
          <w:lang w:eastAsia="bg-BG"/>
        </w:rPr>
        <w:t>, изцяло или частично изпълнен</w:t>
      </w:r>
      <w:r w:rsidR="00DB0EAA" w:rsidRPr="007D063B">
        <w:rPr>
          <w:rFonts w:ascii="Times New Roman" w:eastAsia="Times New Roman" w:hAnsi="Times New Roman" w:cs="Times New Roman"/>
          <w:bCs/>
          <w:color w:val="000000"/>
          <w:sz w:val="24"/>
          <w:szCs w:val="24"/>
          <w:lang w:eastAsia="bg-BG"/>
        </w:rPr>
        <w:t>и</w:t>
      </w:r>
      <w:r w:rsidRPr="007D063B">
        <w:rPr>
          <w:rFonts w:ascii="Times New Roman" w:eastAsia="Times New Roman" w:hAnsi="Times New Roman" w:cs="Times New Roman"/>
          <w:bCs/>
          <w:color w:val="000000"/>
          <w:sz w:val="24"/>
          <w:szCs w:val="24"/>
          <w:lang w:eastAsia="bg-BG"/>
        </w:rPr>
        <w:t xml:space="preserve"> от социални партньори или неправителствени организации (целева стойност за 2018 - 50)</w:t>
      </w:r>
    </w:p>
    <w:p w14:paraId="6778AC62" w14:textId="61EBE737" w:rsidR="00615D76" w:rsidRPr="007D063B" w:rsidRDefault="00615D76" w:rsidP="00615D76">
      <w:pPr>
        <w:shd w:val="clear" w:color="auto" w:fill="FFFFFF"/>
        <w:spacing w:after="120" w:line="240" w:lineRule="auto"/>
        <w:jc w:val="both"/>
        <w:rPr>
          <w:rFonts w:ascii="Times New Roman" w:eastAsia="Times New Roman" w:hAnsi="Times New Roman" w:cs="Times New Roman"/>
          <w:bCs/>
          <w:color w:val="000000"/>
          <w:sz w:val="24"/>
          <w:szCs w:val="24"/>
          <w:lang w:eastAsia="bg-BG"/>
        </w:rPr>
      </w:pPr>
      <w:r w:rsidRPr="007D063B">
        <w:rPr>
          <w:rFonts w:ascii="Times New Roman" w:eastAsia="Times New Roman" w:hAnsi="Times New Roman" w:cs="Times New Roman"/>
          <w:bCs/>
          <w:color w:val="000000"/>
          <w:sz w:val="24"/>
          <w:szCs w:val="24"/>
          <w:lang w:eastAsia="bg-BG"/>
        </w:rPr>
        <w:t xml:space="preserve">Въз основа на </w:t>
      </w:r>
      <w:r w:rsidR="000C4589" w:rsidRPr="007D063B">
        <w:rPr>
          <w:rFonts w:ascii="Times New Roman" w:eastAsia="Times New Roman" w:hAnsi="Times New Roman" w:cs="Times New Roman"/>
          <w:bCs/>
          <w:color w:val="000000"/>
          <w:sz w:val="24"/>
          <w:szCs w:val="24"/>
          <w:lang w:eastAsia="bg-BG"/>
        </w:rPr>
        <w:t xml:space="preserve">ограниченията за законосъобразен избор на НПО като междинно звено, </w:t>
      </w:r>
      <w:r w:rsidR="00A610EE" w:rsidRPr="007D063B">
        <w:rPr>
          <w:rFonts w:ascii="Times New Roman" w:eastAsia="Times New Roman" w:hAnsi="Times New Roman" w:cs="Times New Roman"/>
          <w:bCs/>
          <w:color w:val="000000"/>
          <w:sz w:val="24"/>
          <w:szCs w:val="24"/>
          <w:lang w:eastAsia="bg-BG"/>
        </w:rPr>
        <w:t xml:space="preserve">след проведени консултации с ЕК </w:t>
      </w:r>
      <w:r w:rsidR="000C4589" w:rsidRPr="007D063B">
        <w:rPr>
          <w:rFonts w:ascii="Times New Roman" w:eastAsia="Times New Roman" w:hAnsi="Times New Roman" w:cs="Times New Roman"/>
          <w:bCs/>
          <w:color w:val="000000"/>
          <w:sz w:val="24"/>
          <w:szCs w:val="24"/>
          <w:lang w:eastAsia="bg-BG"/>
        </w:rPr>
        <w:t xml:space="preserve">и в изпълнение на </w:t>
      </w:r>
      <w:r w:rsidRPr="007D063B">
        <w:rPr>
          <w:rFonts w:ascii="Times New Roman" w:eastAsia="Times New Roman" w:hAnsi="Times New Roman" w:cs="Times New Roman"/>
          <w:bCs/>
          <w:color w:val="000000"/>
          <w:sz w:val="24"/>
          <w:szCs w:val="24"/>
          <w:lang w:eastAsia="bg-BG"/>
        </w:rPr>
        <w:t>решението на КН на ОПДУ от 12.12.2016 г. СЦ3 на ПО2 да не бъде изпълнявана чрез глобална субсидия, в ИГРП 2017 е заложена процедура, която да изпълни целевата стойност за 2018 г. по индикатор СО20, както и частично целевата стойност по индикатор R2-4.</w:t>
      </w:r>
      <w:r w:rsidR="00B93AA8" w:rsidRPr="007D063B">
        <w:rPr>
          <w:rFonts w:ascii="Times New Roman" w:eastAsia="Times New Roman" w:hAnsi="Times New Roman" w:cs="Times New Roman"/>
          <w:bCs/>
          <w:color w:val="000000"/>
          <w:sz w:val="24"/>
          <w:szCs w:val="24"/>
          <w:lang w:eastAsia="bg-BG"/>
        </w:rPr>
        <w:t xml:space="preserve"> Процедурата е планирана за последното тримесечие на 2017 г., очаква се засилен интерес на НПО, поради което договорите ще бъдат сключени през второто тримесечие на 2018 г., което създава риск </w:t>
      </w:r>
      <w:r w:rsidR="000C4589" w:rsidRPr="007D063B">
        <w:rPr>
          <w:rFonts w:ascii="Times New Roman" w:eastAsia="Times New Roman" w:hAnsi="Times New Roman" w:cs="Times New Roman"/>
          <w:bCs/>
          <w:color w:val="000000"/>
          <w:sz w:val="24"/>
          <w:szCs w:val="24"/>
          <w:lang w:eastAsia="bg-BG"/>
        </w:rPr>
        <w:t>за постигането на целевата стойност за 2018 г. на индикатор СО20.</w:t>
      </w:r>
    </w:p>
    <w:p w14:paraId="64319659" w14:textId="6445B561" w:rsidR="00B93AA8" w:rsidRPr="007D063B" w:rsidRDefault="00B93AA8" w:rsidP="00615D76">
      <w:pPr>
        <w:shd w:val="clear" w:color="auto" w:fill="FFFFFF"/>
        <w:spacing w:after="120" w:line="240" w:lineRule="auto"/>
        <w:jc w:val="both"/>
        <w:rPr>
          <w:rFonts w:ascii="Times New Roman" w:eastAsia="Times New Roman" w:hAnsi="Times New Roman" w:cs="Times New Roman"/>
          <w:bCs/>
          <w:color w:val="000000"/>
          <w:sz w:val="24"/>
          <w:szCs w:val="24"/>
          <w:lang w:eastAsia="bg-BG"/>
        </w:rPr>
      </w:pPr>
      <w:r w:rsidRPr="007D063B">
        <w:rPr>
          <w:rFonts w:ascii="Times New Roman" w:eastAsia="Times New Roman" w:hAnsi="Times New Roman" w:cs="Times New Roman"/>
          <w:bCs/>
          <w:color w:val="000000"/>
          <w:sz w:val="24"/>
          <w:szCs w:val="24"/>
          <w:lang w:eastAsia="bg-BG"/>
        </w:rPr>
        <w:t xml:space="preserve">Проектите на обучителните институти, които имат принос към целевите стойности за 2018 г. на индикатори О2-6 и </w:t>
      </w:r>
      <w:r w:rsidRPr="007D063B">
        <w:rPr>
          <w:rFonts w:ascii="Times New Roman" w:eastAsia="Times New Roman" w:hAnsi="Times New Roman" w:cs="Times New Roman"/>
          <w:bCs/>
          <w:color w:val="000000"/>
          <w:sz w:val="24"/>
          <w:szCs w:val="24"/>
          <w:lang w:val="en-US" w:eastAsia="bg-BG"/>
        </w:rPr>
        <w:t>R</w:t>
      </w:r>
      <w:r w:rsidRPr="007D063B">
        <w:rPr>
          <w:rFonts w:ascii="Times New Roman" w:eastAsia="Times New Roman" w:hAnsi="Times New Roman" w:cs="Times New Roman"/>
          <w:bCs/>
          <w:color w:val="000000"/>
          <w:sz w:val="24"/>
          <w:szCs w:val="24"/>
          <w:lang w:eastAsia="bg-BG"/>
        </w:rPr>
        <w:t>2-2 са договорени през м. декември 2016 г., единствено ДИ е използвал предоставената допустимост на разходите от м. май 2016 г.</w:t>
      </w:r>
      <w:r w:rsidR="00E133C6" w:rsidRPr="007D063B" w:rsidDel="00E133C6">
        <w:rPr>
          <w:rFonts w:ascii="Times New Roman" w:eastAsia="Times New Roman" w:hAnsi="Times New Roman" w:cs="Times New Roman"/>
          <w:bCs/>
          <w:color w:val="000000"/>
          <w:sz w:val="24"/>
          <w:szCs w:val="24"/>
          <w:lang w:eastAsia="bg-BG"/>
        </w:rPr>
        <w:t xml:space="preserve"> </w:t>
      </w:r>
    </w:p>
    <w:p w14:paraId="20365F8C" w14:textId="65F2AB02" w:rsidR="00DB0EAA" w:rsidRPr="007D063B" w:rsidRDefault="00DB0EAA" w:rsidP="007F2B8B">
      <w:pPr>
        <w:shd w:val="clear" w:color="auto" w:fill="FFFFFF"/>
        <w:spacing w:after="120" w:line="240" w:lineRule="auto"/>
        <w:jc w:val="both"/>
        <w:rPr>
          <w:rFonts w:ascii="Times New Roman" w:eastAsia="Times New Roman" w:hAnsi="Times New Roman" w:cs="Times New Roman"/>
          <w:b/>
          <w:bCs/>
          <w:color w:val="000000"/>
          <w:sz w:val="24"/>
          <w:szCs w:val="24"/>
          <w:lang w:eastAsia="bg-BG"/>
        </w:rPr>
      </w:pPr>
      <w:r w:rsidRPr="007D063B">
        <w:rPr>
          <w:rFonts w:ascii="Times New Roman" w:eastAsia="Times New Roman" w:hAnsi="Times New Roman" w:cs="Times New Roman"/>
          <w:b/>
          <w:bCs/>
          <w:color w:val="000000"/>
          <w:sz w:val="24"/>
          <w:szCs w:val="24"/>
          <w:lang w:eastAsia="bg-BG"/>
        </w:rPr>
        <w:t>П</w:t>
      </w:r>
      <w:r w:rsidR="002217AE" w:rsidRPr="007D063B">
        <w:rPr>
          <w:rFonts w:ascii="Times New Roman" w:eastAsia="Times New Roman" w:hAnsi="Times New Roman" w:cs="Times New Roman"/>
          <w:b/>
          <w:bCs/>
          <w:color w:val="000000"/>
          <w:sz w:val="24"/>
          <w:szCs w:val="24"/>
          <w:lang w:eastAsia="bg-BG"/>
        </w:rPr>
        <w:t>риоритетна ос</w:t>
      </w:r>
      <w:r w:rsidRPr="007D063B">
        <w:rPr>
          <w:rFonts w:ascii="Times New Roman" w:eastAsia="Times New Roman" w:hAnsi="Times New Roman" w:cs="Times New Roman"/>
          <w:b/>
          <w:bCs/>
          <w:color w:val="000000"/>
          <w:sz w:val="24"/>
          <w:szCs w:val="24"/>
          <w:lang w:eastAsia="bg-BG"/>
        </w:rPr>
        <w:t xml:space="preserve"> 3</w:t>
      </w:r>
    </w:p>
    <w:p w14:paraId="612845D0" w14:textId="106803DC" w:rsidR="00F42092" w:rsidRPr="007D063B" w:rsidRDefault="00F42092" w:rsidP="00DB0EAA">
      <w:pPr>
        <w:spacing w:after="120" w:line="240" w:lineRule="auto"/>
        <w:jc w:val="both"/>
        <w:rPr>
          <w:rFonts w:ascii="Times New Roman" w:eastAsia="Times New Roman" w:hAnsi="Times New Roman" w:cs="Times New Roman"/>
          <w:bCs/>
          <w:color w:val="000000"/>
          <w:sz w:val="24"/>
          <w:szCs w:val="24"/>
          <w:lang w:eastAsia="bg-BG"/>
        </w:rPr>
      </w:pPr>
      <w:r w:rsidRPr="007D063B">
        <w:rPr>
          <w:rFonts w:ascii="Times New Roman" w:eastAsia="Times New Roman" w:hAnsi="Times New Roman" w:cs="Times New Roman"/>
          <w:bCs/>
          <w:color w:val="000000"/>
          <w:sz w:val="24"/>
          <w:szCs w:val="24"/>
          <w:lang w:eastAsia="bg-BG"/>
        </w:rPr>
        <w:t xml:space="preserve">По ПО 3 са договорени всички индикатори от рамката за изпълнение за 2018 г. </w:t>
      </w:r>
      <w:r w:rsidR="00DC1B5A" w:rsidRPr="007D063B">
        <w:rPr>
          <w:rFonts w:ascii="Times New Roman" w:eastAsia="Times New Roman" w:hAnsi="Times New Roman" w:cs="Times New Roman"/>
          <w:bCs/>
          <w:color w:val="000000"/>
          <w:sz w:val="24"/>
          <w:szCs w:val="24"/>
          <w:lang w:eastAsia="bg-BG"/>
        </w:rPr>
        <w:t xml:space="preserve">Въпреки късното подаване на проектите и </w:t>
      </w:r>
      <w:r w:rsidR="006C11CB" w:rsidRPr="007D063B">
        <w:rPr>
          <w:rFonts w:ascii="Times New Roman" w:eastAsia="Times New Roman" w:hAnsi="Times New Roman" w:cs="Times New Roman"/>
          <w:bCs/>
          <w:color w:val="000000"/>
          <w:sz w:val="24"/>
          <w:szCs w:val="24"/>
          <w:lang w:eastAsia="bg-BG"/>
        </w:rPr>
        <w:t xml:space="preserve">закъсненията </w:t>
      </w:r>
      <w:r w:rsidR="00DC1B5A" w:rsidRPr="007D063B">
        <w:rPr>
          <w:rFonts w:ascii="Times New Roman" w:eastAsia="Times New Roman" w:hAnsi="Times New Roman" w:cs="Times New Roman"/>
          <w:bCs/>
          <w:color w:val="000000"/>
          <w:sz w:val="24"/>
          <w:szCs w:val="24"/>
          <w:lang w:eastAsia="bg-BG"/>
        </w:rPr>
        <w:t>в тяхното изпълнение към момента не е идентифициран риск от неизпълнение на рамката за 2018 г.</w:t>
      </w:r>
    </w:p>
    <w:p w14:paraId="619CD5B8" w14:textId="77777777" w:rsidR="00F42092" w:rsidRPr="007D063B" w:rsidRDefault="00F42092" w:rsidP="00C906E5">
      <w:pPr>
        <w:shd w:val="clear" w:color="auto" w:fill="FFFFFF"/>
        <w:spacing w:after="120" w:line="240" w:lineRule="auto"/>
        <w:jc w:val="both"/>
        <w:rPr>
          <w:rFonts w:ascii="Times New Roman" w:eastAsia="Times New Roman" w:hAnsi="Times New Roman" w:cs="Times New Roman"/>
          <w:bCs/>
          <w:color w:val="000000"/>
          <w:sz w:val="24"/>
          <w:szCs w:val="24"/>
          <w:lang w:eastAsia="bg-BG"/>
        </w:rPr>
      </w:pPr>
    </w:p>
    <w:p w14:paraId="758A3CC3" w14:textId="77777777" w:rsidR="009C6F83" w:rsidRPr="007D063B" w:rsidRDefault="009C6F83" w:rsidP="00DC1B5A">
      <w:pPr>
        <w:pStyle w:val="Heading1"/>
        <w:rPr>
          <w:rFonts w:ascii="Times New Roman" w:eastAsia="Times New Roman" w:hAnsi="Times New Roman" w:cs="Times New Roman"/>
          <w:b/>
          <w:bCs/>
          <w:color w:val="000000"/>
          <w:sz w:val="24"/>
          <w:szCs w:val="24"/>
          <w:lang w:eastAsia="bg-BG"/>
        </w:rPr>
      </w:pPr>
      <w:bookmarkStart w:id="38" w:name="_Toc481594299"/>
      <w:r w:rsidRPr="007D063B">
        <w:rPr>
          <w:rFonts w:ascii="Times New Roman" w:eastAsia="Times New Roman" w:hAnsi="Times New Roman" w:cs="Times New Roman"/>
          <w:b/>
          <w:bCs/>
          <w:color w:val="000000"/>
          <w:sz w:val="24"/>
          <w:szCs w:val="24"/>
          <w:lang w:eastAsia="bg-BG"/>
        </w:rPr>
        <w:lastRenderedPageBreak/>
        <w:t>7.   РЕЗЮМЕ ЗА ГРАЖДАНИТЕ (член 50, параграф 9 от Регламент (ЕС) № 1303/2013)</w:t>
      </w:r>
      <w:hyperlink r:id="rId73" w:anchor="ntr21-L_2015038BG.01007201-E0021" w:history="1">
        <w:r w:rsidRPr="007D063B">
          <w:rPr>
            <w:rFonts w:ascii="inherit" w:eastAsia="Times New Roman" w:hAnsi="inherit" w:cs="Times New Roman"/>
            <w:b/>
            <w:bCs/>
            <w:color w:val="0000FF"/>
            <w:sz w:val="24"/>
            <w:szCs w:val="24"/>
            <w:u w:val="single"/>
            <w:lang w:eastAsia="bg-BG"/>
          </w:rPr>
          <w:t> (</w:t>
        </w:r>
        <w:r w:rsidRPr="007D063B">
          <w:rPr>
            <w:rFonts w:ascii="inherit" w:eastAsia="Times New Roman" w:hAnsi="inherit" w:cs="Times New Roman"/>
            <w:b/>
            <w:bCs/>
            <w:color w:val="0000FF"/>
            <w:sz w:val="17"/>
            <w:szCs w:val="17"/>
            <w:u w:val="single"/>
            <w:vertAlign w:val="superscript"/>
            <w:lang w:eastAsia="bg-BG"/>
          </w:rPr>
          <w:t>21</w:t>
        </w:r>
        <w:r w:rsidRPr="007D063B">
          <w:rPr>
            <w:rFonts w:ascii="inherit" w:eastAsia="Times New Roman" w:hAnsi="inherit" w:cs="Times New Roman"/>
            <w:b/>
            <w:bCs/>
            <w:color w:val="0000FF"/>
            <w:sz w:val="24"/>
            <w:szCs w:val="24"/>
            <w:u w:val="single"/>
            <w:lang w:eastAsia="bg-BG"/>
          </w:rPr>
          <w:t>)</w:t>
        </w:r>
        <w:bookmarkEnd w:id="38"/>
      </w:hyperlink>
    </w:p>
    <w:p w14:paraId="5349F262" w14:textId="77777777" w:rsidR="009C6F83" w:rsidRPr="007D063B" w:rsidRDefault="009C6F83" w:rsidP="009C6F83">
      <w:pPr>
        <w:shd w:val="clear" w:color="auto" w:fill="FFFFFF"/>
        <w:spacing w:before="120" w:after="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color w:val="000000"/>
          <w:sz w:val="24"/>
          <w:szCs w:val="24"/>
          <w:lang w:eastAsia="bg-BG"/>
        </w:rPr>
        <w:t>Резюмето за гражданите на съдържанието на годишните и окончателните доклади за изпълнението се публикува и качва като отделен файл под формата на приложение към годишния и окончателния доклади за изпълнението.</w:t>
      </w:r>
    </w:p>
    <w:p w14:paraId="7F31CEF4" w14:textId="79E24931" w:rsidR="00CA2A1D" w:rsidRPr="007D063B" w:rsidRDefault="00A63FF9" w:rsidP="00AB15FF">
      <w:pPr>
        <w:shd w:val="clear" w:color="auto" w:fill="FFFFFF"/>
        <w:spacing w:before="120" w:after="0" w:line="240" w:lineRule="auto"/>
        <w:jc w:val="both"/>
        <w:rPr>
          <w:rFonts w:ascii="Times New Roman" w:eastAsia="Times New Roman" w:hAnsi="Times New Roman" w:cs="Times New Roman"/>
          <w:b/>
          <w:bCs/>
          <w:color w:val="000000"/>
          <w:sz w:val="24"/>
          <w:szCs w:val="24"/>
          <w:lang w:eastAsia="bg-BG"/>
        </w:rPr>
      </w:pPr>
      <w:r w:rsidRPr="007D063B">
        <w:rPr>
          <w:rFonts w:ascii="Times New Roman" w:eastAsia="Times New Roman" w:hAnsi="Times New Roman" w:cs="Times New Roman"/>
          <w:b/>
          <w:color w:val="0000FF"/>
          <w:sz w:val="24"/>
          <w:szCs w:val="24"/>
          <w:lang w:eastAsia="bg-BG"/>
        </w:rPr>
        <w:t>Резюмето е Приложение 3, към Годишния доклад за 201</w:t>
      </w:r>
      <w:r w:rsidR="00AB15FF" w:rsidRPr="007D063B">
        <w:rPr>
          <w:rFonts w:ascii="Times New Roman" w:eastAsia="Times New Roman" w:hAnsi="Times New Roman" w:cs="Times New Roman"/>
          <w:b/>
          <w:color w:val="0000FF"/>
          <w:sz w:val="24"/>
          <w:szCs w:val="24"/>
          <w:lang w:eastAsia="bg-BG"/>
        </w:rPr>
        <w:t>6</w:t>
      </w:r>
      <w:r w:rsidRPr="007D063B">
        <w:rPr>
          <w:rFonts w:ascii="Times New Roman" w:eastAsia="Times New Roman" w:hAnsi="Times New Roman" w:cs="Times New Roman"/>
          <w:b/>
          <w:color w:val="0000FF"/>
          <w:sz w:val="24"/>
          <w:szCs w:val="24"/>
          <w:lang w:eastAsia="bg-BG"/>
        </w:rPr>
        <w:t xml:space="preserve"> г.</w:t>
      </w:r>
    </w:p>
    <w:p w14:paraId="56E48905" w14:textId="77777777" w:rsidR="009C6F83" w:rsidRPr="007D063B" w:rsidRDefault="009C6F83" w:rsidP="000C4589">
      <w:pPr>
        <w:pStyle w:val="Heading1"/>
        <w:rPr>
          <w:rFonts w:ascii="Times New Roman" w:eastAsia="Times New Roman" w:hAnsi="Times New Roman" w:cs="Times New Roman"/>
          <w:b/>
          <w:bCs/>
          <w:color w:val="000000"/>
          <w:sz w:val="24"/>
          <w:szCs w:val="24"/>
          <w:lang w:eastAsia="bg-BG"/>
        </w:rPr>
      </w:pPr>
      <w:bookmarkStart w:id="39" w:name="_Toc481594300"/>
      <w:r w:rsidRPr="007D063B">
        <w:rPr>
          <w:rFonts w:ascii="Times New Roman" w:eastAsia="Times New Roman" w:hAnsi="Times New Roman" w:cs="Times New Roman"/>
          <w:b/>
          <w:bCs/>
          <w:color w:val="000000"/>
          <w:sz w:val="24"/>
          <w:szCs w:val="24"/>
          <w:lang w:eastAsia="bg-BG"/>
        </w:rPr>
        <w:t>8.   ДОКЛАД ЗА ИЗПОЛЗВАНЕТО НА ФИНАНСОВИТЕ ИНСТРУМЕНТИ (член 46 от Регламент (ЕС) № 1303/2013)</w:t>
      </w:r>
      <w:bookmarkEnd w:id="39"/>
    </w:p>
    <w:p w14:paraId="19B987AC" w14:textId="432FA543" w:rsidR="00E4082D" w:rsidRPr="007D063B" w:rsidRDefault="00631E2C" w:rsidP="00AB15FF">
      <w:pPr>
        <w:shd w:val="clear" w:color="auto" w:fill="FFFFFF"/>
        <w:spacing w:before="240" w:after="120" w:line="240" w:lineRule="auto"/>
        <w:jc w:val="both"/>
        <w:rPr>
          <w:rFonts w:ascii="Times New Roman" w:eastAsia="Times New Roman" w:hAnsi="Times New Roman" w:cs="Times New Roman"/>
          <w:color w:val="000000"/>
          <w:sz w:val="24"/>
          <w:szCs w:val="24"/>
          <w:lang w:eastAsia="bg-BG"/>
        </w:rPr>
      </w:pPr>
      <w:r w:rsidRPr="007D063B">
        <w:rPr>
          <w:rFonts w:ascii="Times New Roman" w:eastAsia="Times New Roman" w:hAnsi="Times New Roman" w:cs="Times New Roman"/>
          <w:bCs/>
          <w:color w:val="000000"/>
          <w:sz w:val="24"/>
          <w:szCs w:val="24"/>
          <w:lang w:eastAsia="bg-BG"/>
        </w:rPr>
        <w:t>Неприложимо.</w:t>
      </w:r>
    </w:p>
    <w:p w14:paraId="7897DECB" w14:textId="7CDF3CDC" w:rsidR="00424D01" w:rsidRPr="007D063B" w:rsidRDefault="00424D01" w:rsidP="000C4589">
      <w:pPr>
        <w:pStyle w:val="Heading1"/>
        <w:rPr>
          <w:rFonts w:ascii="Times New Roman" w:hAnsi="Times New Roman" w:cs="Times New Roman"/>
          <w:color w:val="000000"/>
          <w:sz w:val="24"/>
          <w:szCs w:val="24"/>
        </w:rPr>
      </w:pPr>
      <w:bookmarkStart w:id="40" w:name="_Toc481594301"/>
      <w:r w:rsidRPr="007D063B">
        <w:rPr>
          <w:rFonts w:ascii="Times New Roman" w:hAnsi="Times New Roman" w:cs="Times New Roman"/>
          <w:b/>
          <w:color w:val="000000"/>
          <w:sz w:val="24"/>
          <w:szCs w:val="24"/>
        </w:rPr>
        <w:t>9.   Информация, нямаща задължителен характер, за евентуално включване в доклада, който трябва да бъде представен през 2016 г., която не се изисква за други мини доклади: ДЕЙСТВИЯ, ПРЕДПРИЕТИ ЗА ИЗПЪЛНЕНИЕТО НА ПРЕДВАРИТЕЛНИТЕ УСЛОВИЯ (член 50, параграф 2 от Регламент (ЕС) № 1303/2013), когато приложимите предварителни условия не са били изпълнени при приемането на ОП: (вж. точка 13 oт образеца)</w:t>
      </w:r>
      <w:bookmarkEnd w:id="40"/>
    </w:p>
    <w:p w14:paraId="2826E5F5" w14:textId="77777777" w:rsidR="00424D01" w:rsidRPr="007D063B" w:rsidRDefault="00424D01" w:rsidP="009C6F83">
      <w:pPr>
        <w:shd w:val="clear" w:color="auto" w:fill="FFFFFF"/>
        <w:spacing w:before="240" w:after="120" w:line="240" w:lineRule="auto"/>
        <w:jc w:val="both"/>
        <w:rPr>
          <w:rFonts w:ascii="Times New Roman" w:eastAsia="Times New Roman" w:hAnsi="Times New Roman" w:cs="Times New Roman"/>
          <w:b/>
          <w:bCs/>
          <w:color w:val="000000"/>
          <w:sz w:val="24"/>
          <w:szCs w:val="24"/>
          <w:lang w:eastAsia="bg-BG"/>
        </w:rPr>
      </w:pPr>
    </w:p>
    <w:p w14:paraId="2AD0FF35" w14:textId="224773E8" w:rsidR="009C6F83" w:rsidRPr="007D063B" w:rsidRDefault="009C6F83" w:rsidP="000C4589">
      <w:pPr>
        <w:pStyle w:val="Heading1"/>
        <w:rPr>
          <w:rFonts w:ascii="Times New Roman" w:eastAsia="Times New Roman" w:hAnsi="Times New Roman" w:cs="Times New Roman"/>
          <w:b/>
          <w:bCs/>
          <w:color w:val="000000"/>
          <w:sz w:val="24"/>
          <w:szCs w:val="24"/>
          <w:lang w:eastAsia="bg-BG"/>
        </w:rPr>
      </w:pPr>
      <w:bookmarkStart w:id="41" w:name="_Toc481594302"/>
      <w:r w:rsidRPr="007D063B">
        <w:rPr>
          <w:rFonts w:ascii="Times New Roman" w:eastAsia="Times New Roman" w:hAnsi="Times New Roman" w:cs="Times New Roman"/>
          <w:b/>
          <w:bCs/>
          <w:color w:val="000000"/>
          <w:sz w:val="24"/>
          <w:szCs w:val="24"/>
          <w:lang w:eastAsia="bg-BG"/>
        </w:rPr>
        <w:t>10.   НАПРЕДЪК В ИЗГОТВЯНЕТО И ИЗПЪЛНЕНИЕТО НА ГОЛЕМИ ПРОЕКТИ И СЪВМЕСТНИ ПЛАНОВЕ ЗА ДЕЙСТВИЕ (член 101, буква з) и член 111, параграф 3 от Регламент (ЕС) № 1303/2013)</w:t>
      </w:r>
      <w:bookmarkEnd w:id="41"/>
    </w:p>
    <w:p w14:paraId="2EDB4F39" w14:textId="77777777" w:rsidR="009C6F83" w:rsidRPr="007D063B" w:rsidRDefault="009C6F83" w:rsidP="009C6F83">
      <w:pPr>
        <w:shd w:val="clear" w:color="auto" w:fill="FFFFFF"/>
        <w:spacing w:before="240" w:after="120" w:line="240" w:lineRule="auto"/>
        <w:jc w:val="both"/>
        <w:rPr>
          <w:rFonts w:ascii="Times New Roman" w:eastAsia="Times New Roman" w:hAnsi="Times New Roman" w:cs="Times New Roman"/>
          <w:b/>
          <w:bCs/>
          <w:color w:val="000000"/>
          <w:sz w:val="24"/>
          <w:szCs w:val="24"/>
          <w:lang w:eastAsia="bg-BG"/>
        </w:rPr>
      </w:pPr>
      <w:r w:rsidRPr="007D063B">
        <w:rPr>
          <w:rFonts w:ascii="Times New Roman" w:eastAsia="Times New Roman" w:hAnsi="Times New Roman" w:cs="Times New Roman"/>
          <w:b/>
          <w:bCs/>
          <w:color w:val="000000"/>
          <w:sz w:val="24"/>
          <w:szCs w:val="24"/>
          <w:lang w:eastAsia="bg-BG"/>
        </w:rPr>
        <w:t>10.1.   </w:t>
      </w:r>
      <w:r w:rsidRPr="007D063B">
        <w:rPr>
          <w:rFonts w:ascii="inherit" w:eastAsia="Times New Roman" w:hAnsi="inherit" w:cs="Times New Roman"/>
          <w:b/>
          <w:bCs/>
          <w:color w:val="000000"/>
          <w:sz w:val="24"/>
          <w:szCs w:val="24"/>
          <w:lang w:eastAsia="bg-BG"/>
        </w:rPr>
        <w:t>Големи проекти</w:t>
      </w:r>
    </w:p>
    <w:p w14:paraId="5C32FE15" w14:textId="77777777" w:rsidR="009C6F83" w:rsidRPr="007D063B" w:rsidRDefault="009C6F83" w:rsidP="009C6F83">
      <w:pPr>
        <w:shd w:val="clear" w:color="auto" w:fill="FFFFFF"/>
        <w:spacing w:before="240" w:after="120" w:line="240" w:lineRule="auto"/>
        <w:jc w:val="both"/>
        <w:rPr>
          <w:rFonts w:ascii="Times New Roman" w:eastAsia="Times New Roman" w:hAnsi="Times New Roman" w:cs="Times New Roman"/>
          <w:b/>
          <w:bCs/>
          <w:color w:val="000000"/>
          <w:sz w:val="24"/>
          <w:szCs w:val="24"/>
          <w:lang w:eastAsia="bg-BG"/>
        </w:rPr>
      </w:pPr>
      <w:r w:rsidRPr="007D063B">
        <w:rPr>
          <w:rFonts w:ascii="Times New Roman" w:eastAsia="Times New Roman" w:hAnsi="Times New Roman" w:cs="Times New Roman"/>
          <w:b/>
          <w:bCs/>
          <w:color w:val="000000"/>
          <w:sz w:val="24"/>
          <w:szCs w:val="24"/>
          <w:lang w:eastAsia="bg-BG"/>
        </w:rPr>
        <w:t>10.2.   </w:t>
      </w:r>
      <w:r w:rsidRPr="007D063B">
        <w:rPr>
          <w:rFonts w:ascii="inherit" w:eastAsia="Times New Roman" w:hAnsi="inherit" w:cs="Times New Roman"/>
          <w:b/>
          <w:bCs/>
          <w:color w:val="000000"/>
          <w:sz w:val="24"/>
          <w:szCs w:val="24"/>
          <w:lang w:eastAsia="bg-BG"/>
        </w:rPr>
        <w:t>Съвместни планове за действие</w:t>
      </w:r>
    </w:p>
    <w:p w14:paraId="4FD8639B" w14:textId="77777777" w:rsidR="00AB15FF" w:rsidRPr="007D063B" w:rsidRDefault="00AB15FF" w:rsidP="009C6F83">
      <w:pPr>
        <w:shd w:val="clear" w:color="auto" w:fill="FFFFFF"/>
        <w:spacing w:after="0" w:line="240" w:lineRule="auto"/>
        <w:rPr>
          <w:rFonts w:ascii="Times New Roman" w:eastAsia="Times New Roman" w:hAnsi="Times New Roman" w:cs="Times New Roman"/>
          <w:bCs/>
          <w:color w:val="000000"/>
          <w:sz w:val="24"/>
          <w:szCs w:val="24"/>
          <w:lang w:eastAsia="bg-BG"/>
        </w:rPr>
      </w:pPr>
    </w:p>
    <w:p w14:paraId="1A04A886" w14:textId="0D88B019" w:rsidR="00AB15FF" w:rsidRPr="007D063B" w:rsidRDefault="00AB15FF" w:rsidP="009C6F83">
      <w:pPr>
        <w:shd w:val="clear" w:color="auto" w:fill="FFFFFF"/>
        <w:spacing w:after="0" w:line="240" w:lineRule="auto"/>
        <w:rPr>
          <w:rFonts w:eastAsia="Times New Roman" w:cs="Times New Roman"/>
          <w:color w:val="000000"/>
          <w:sz w:val="24"/>
          <w:szCs w:val="24"/>
          <w:lang w:eastAsia="bg-BG"/>
        </w:rPr>
      </w:pPr>
      <w:r w:rsidRPr="007D063B">
        <w:rPr>
          <w:rFonts w:ascii="Times New Roman" w:eastAsia="Times New Roman" w:hAnsi="Times New Roman" w:cs="Times New Roman"/>
          <w:bCs/>
          <w:color w:val="000000"/>
          <w:sz w:val="24"/>
          <w:szCs w:val="24"/>
          <w:lang w:eastAsia="bg-BG"/>
        </w:rPr>
        <w:t>Неприложимо.</w:t>
      </w:r>
    </w:p>
    <w:p w14:paraId="3B2C6611" w14:textId="77777777" w:rsidR="009C6F83" w:rsidRPr="007D063B" w:rsidRDefault="00DC49EA" w:rsidP="009C6F83">
      <w:pPr>
        <w:spacing w:before="240" w:after="60" w:line="240" w:lineRule="auto"/>
        <w:rPr>
          <w:rFonts w:ascii="Times New Roman" w:eastAsia="Times New Roman" w:hAnsi="Times New Roman" w:cs="Times New Roman"/>
          <w:sz w:val="24"/>
          <w:szCs w:val="24"/>
          <w:lang w:eastAsia="bg-BG"/>
        </w:rPr>
      </w:pPr>
      <w:r w:rsidRPr="007D063B">
        <w:rPr>
          <w:rFonts w:ascii="Times New Roman" w:eastAsia="Times New Roman" w:hAnsi="Times New Roman" w:cs="Times New Roman"/>
          <w:sz w:val="24"/>
          <w:szCs w:val="24"/>
          <w:lang w:eastAsia="bg-BG"/>
        </w:rPr>
        <w:pict w14:anchorId="103640F3">
          <v:rect id="_x0000_i1025" style="width:277.65pt;height:.75pt" o:hrpct="0" o:hrstd="t" o:hrnoshade="t" o:hr="t" fillcolor="black" stroked="f"/>
        </w:pict>
      </w:r>
    </w:p>
    <w:p w14:paraId="736BF8D7" w14:textId="4A2A0929" w:rsidR="00816F06" w:rsidRPr="007D063B" w:rsidRDefault="00816F06">
      <w:r w:rsidRPr="007D063B">
        <w:br w:type="page"/>
      </w:r>
    </w:p>
    <w:p w14:paraId="49AE4648" w14:textId="09BF608D" w:rsidR="00C70436" w:rsidRPr="007D063B" w:rsidRDefault="00C70436"/>
    <w:p w14:paraId="02767B97" w14:textId="77777777" w:rsidR="00816F06" w:rsidRPr="007D063B" w:rsidRDefault="00816F06" w:rsidP="00816F06">
      <w:pPr>
        <w:shd w:val="clear" w:color="auto" w:fill="FFFFFF"/>
        <w:spacing w:before="240" w:after="120" w:line="312" w:lineRule="atLeast"/>
        <w:jc w:val="both"/>
        <w:textAlignment w:val="baseline"/>
        <w:rPr>
          <w:rFonts w:ascii="Times New Roman" w:eastAsia="Times New Roman" w:hAnsi="Times New Roman" w:cs="Times New Roman"/>
          <w:b/>
          <w:bCs/>
          <w:sz w:val="24"/>
          <w:szCs w:val="24"/>
          <w:lang w:eastAsia="bg-BG"/>
        </w:rPr>
      </w:pPr>
      <w:r w:rsidRPr="007D063B">
        <w:rPr>
          <w:rFonts w:ascii="Times New Roman" w:eastAsia="Times New Roman" w:hAnsi="Times New Roman" w:cs="Times New Roman"/>
          <w:b/>
          <w:bCs/>
          <w:sz w:val="24"/>
          <w:szCs w:val="24"/>
          <w:lang w:eastAsia="bg-BG"/>
        </w:rPr>
        <w:t>ЧАСТ Б</w:t>
      </w:r>
    </w:p>
    <w:p w14:paraId="1670079B" w14:textId="77777777" w:rsidR="00816F06" w:rsidRPr="007D063B" w:rsidRDefault="00816F06" w:rsidP="00816F06">
      <w:pPr>
        <w:shd w:val="clear" w:color="auto" w:fill="FFFFFF"/>
        <w:spacing w:after="0" w:line="312" w:lineRule="atLeast"/>
        <w:jc w:val="both"/>
        <w:textAlignment w:val="baseline"/>
        <w:rPr>
          <w:rFonts w:ascii="Times New Roman" w:eastAsia="Times New Roman" w:hAnsi="Times New Roman" w:cs="Times New Roman"/>
          <w:b/>
          <w:bCs/>
          <w:sz w:val="24"/>
          <w:szCs w:val="24"/>
          <w:lang w:eastAsia="bg-BG"/>
        </w:rPr>
      </w:pPr>
      <w:r w:rsidRPr="007D063B">
        <w:rPr>
          <w:rFonts w:ascii="inherit" w:eastAsia="Times New Roman" w:hAnsi="inherit" w:cs="Times New Roman" w:hint="eastAsia"/>
          <w:b/>
          <w:bCs/>
          <w:sz w:val="24"/>
          <w:szCs w:val="24"/>
          <w:bdr w:val="none" w:sz="0" w:space="0" w:color="auto" w:frame="1"/>
          <w:lang w:eastAsia="bg-BG"/>
        </w:rPr>
        <w:t>ДОКЛАДИ</w:t>
      </w:r>
      <w:r w:rsidRPr="007D063B">
        <w:rPr>
          <w:rFonts w:ascii="inherit" w:eastAsia="Times New Roman" w:hAnsi="inherit" w:cs="Times New Roman"/>
          <w:b/>
          <w:bCs/>
          <w:sz w:val="24"/>
          <w:szCs w:val="24"/>
          <w:bdr w:val="none" w:sz="0" w:space="0" w:color="auto" w:frame="1"/>
          <w:lang w:eastAsia="bg-BG"/>
        </w:rPr>
        <w:t xml:space="preserve">, </w:t>
      </w:r>
      <w:r w:rsidRPr="007D063B">
        <w:rPr>
          <w:rFonts w:ascii="inherit" w:eastAsia="Times New Roman" w:hAnsi="inherit" w:cs="Times New Roman" w:hint="eastAsia"/>
          <w:b/>
          <w:bCs/>
          <w:sz w:val="24"/>
          <w:szCs w:val="24"/>
          <w:bdr w:val="none" w:sz="0" w:space="0" w:color="auto" w:frame="1"/>
          <w:lang w:eastAsia="bg-BG"/>
        </w:rPr>
        <w:t>ПРЕДСТАВЕНИ</w:t>
      </w:r>
      <w:r w:rsidRPr="007D063B">
        <w:rPr>
          <w:rFonts w:ascii="inherit" w:eastAsia="Times New Roman" w:hAnsi="inherit" w:cs="Times New Roman"/>
          <w:b/>
          <w:bCs/>
          <w:sz w:val="24"/>
          <w:szCs w:val="24"/>
          <w:bdr w:val="none" w:sz="0" w:space="0" w:color="auto" w:frame="1"/>
          <w:lang w:eastAsia="bg-BG"/>
        </w:rPr>
        <w:t xml:space="preserve"> </w:t>
      </w:r>
      <w:r w:rsidRPr="007D063B">
        <w:rPr>
          <w:rFonts w:ascii="inherit" w:eastAsia="Times New Roman" w:hAnsi="inherit" w:cs="Times New Roman" w:hint="eastAsia"/>
          <w:b/>
          <w:bCs/>
          <w:sz w:val="24"/>
          <w:szCs w:val="24"/>
          <w:bdr w:val="none" w:sz="0" w:space="0" w:color="auto" w:frame="1"/>
          <w:lang w:eastAsia="bg-BG"/>
        </w:rPr>
        <w:t>ПРЕЗ</w:t>
      </w:r>
      <w:r w:rsidRPr="007D063B">
        <w:rPr>
          <w:rFonts w:ascii="inherit" w:eastAsia="Times New Roman" w:hAnsi="inherit" w:cs="Times New Roman"/>
          <w:b/>
          <w:bCs/>
          <w:sz w:val="24"/>
          <w:szCs w:val="24"/>
          <w:bdr w:val="none" w:sz="0" w:space="0" w:color="auto" w:frame="1"/>
          <w:lang w:eastAsia="bg-BG"/>
        </w:rPr>
        <w:t xml:space="preserve"> 2017, 2019 </w:t>
      </w:r>
      <w:r w:rsidRPr="007D063B">
        <w:rPr>
          <w:rFonts w:ascii="inherit" w:eastAsia="Times New Roman" w:hAnsi="inherit" w:cs="Times New Roman" w:hint="eastAsia"/>
          <w:b/>
          <w:bCs/>
          <w:sz w:val="24"/>
          <w:szCs w:val="24"/>
          <w:bdr w:val="none" w:sz="0" w:space="0" w:color="auto" w:frame="1"/>
          <w:lang w:eastAsia="bg-BG"/>
        </w:rPr>
        <w:t>Г</w:t>
      </w:r>
      <w:r w:rsidRPr="007D063B">
        <w:rPr>
          <w:rFonts w:ascii="inherit" w:eastAsia="Times New Roman" w:hAnsi="inherit" w:cs="Times New Roman"/>
          <w:b/>
          <w:bCs/>
          <w:sz w:val="24"/>
          <w:szCs w:val="24"/>
          <w:bdr w:val="none" w:sz="0" w:space="0" w:color="auto" w:frame="1"/>
          <w:lang w:eastAsia="bg-BG"/>
        </w:rPr>
        <w:t xml:space="preserve">. </w:t>
      </w:r>
      <w:r w:rsidRPr="007D063B">
        <w:rPr>
          <w:rFonts w:ascii="inherit" w:eastAsia="Times New Roman" w:hAnsi="inherit" w:cs="Times New Roman" w:hint="eastAsia"/>
          <w:b/>
          <w:bCs/>
          <w:sz w:val="24"/>
          <w:szCs w:val="24"/>
          <w:bdr w:val="none" w:sz="0" w:space="0" w:color="auto" w:frame="1"/>
          <w:lang w:eastAsia="bg-BG"/>
        </w:rPr>
        <w:t>И</w:t>
      </w:r>
      <w:r w:rsidRPr="007D063B">
        <w:rPr>
          <w:rFonts w:ascii="inherit" w:eastAsia="Times New Roman" w:hAnsi="inherit" w:cs="Times New Roman"/>
          <w:b/>
          <w:bCs/>
          <w:sz w:val="24"/>
          <w:szCs w:val="24"/>
          <w:bdr w:val="none" w:sz="0" w:space="0" w:color="auto" w:frame="1"/>
          <w:lang w:eastAsia="bg-BG"/>
        </w:rPr>
        <w:t xml:space="preserve"> </w:t>
      </w:r>
      <w:r w:rsidRPr="007D063B">
        <w:rPr>
          <w:rFonts w:ascii="inherit" w:eastAsia="Times New Roman" w:hAnsi="inherit" w:cs="Times New Roman" w:hint="eastAsia"/>
          <w:b/>
          <w:bCs/>
          <w:sz w:val="24"/>
          <w:szCs w:val="24"/>
          <w:bdr w:val="none" w:sz="0" w:space="0" w:color="auto" w:frame="1"/>
          <w:lang w:eastAsia="bg-BG"/>
        </w:rPr>
        <w:t>ОКОНЧАТЕЛЕН</w:t>
      </w:r>
      <w:r w:rsidRPr="007D063B">
        <w:rPr>
          <w:rFonts w:ascii="inherit" w:eastAsia="Times New Roman" w:hAnsi="inherit" w:cs="Times New Roman"/>
          <w:b/>
          <w:bCs/>
          <w:sz w:val="24"/>
          <w:szCs w:val="24"/>
          <w:bdr w:val="none" w:sz="0" w:space="0" w:color="auto" w:frame="1"/>
          <w:lang w:eastAsia="bg-BG"/>
        </w:rPr>
        <w:t xml:space="preserve"> </w:t>
      </w:r>
      <w:r w:rsidRPr="007D063B">
        <w:rPr>
          <w:rFonts w:ascii="inherit" w:eastAsia="Times New Roman" w:hAnsi="inherit" w:cs="Times New Roman" w:hint="eastAsia"/>
          <w:b/>
          <w:bCs/>
          <w:sz w:val="24"/>
          <w:szCs w:val="24"/>
          <w:bdr w:val="none" w:sz="0" w:space="0" w:color="auto" w:frame="1"/>
          <w:lang w:eastAsia="bg-BG"/>
        </w:rPr>
        <w:t>ДОКЛАД</w:t>
      </w:r>
      <w:r w:rsidRPr="007D063B">
        <w:rPr>
          <w:rFonts w:ascii="inherit" w:eastAsia="Times New Roman" w:hAnsi="inherit" w:cs="Times New Roman"/>
          <w:b/>
          <w:bCs/>
          <w:sz w:val="24"/>
          <w:szCs w:val="24"/>
          <w:bdr w:val="none" w:sz="0" w:space="0" w:color="auto" w:frame="1"/>
          <w:lang w:eastAsia="bg-BG"/>
        </w:rPr>
        <w:t xml:space="preserve"> </w:t>
      </w:r>
      <w:r w:rsidRPr="007D063B">
        <w:rPr>
          <w:rFonts w:ascii="inherit" w:eastAsia="Times New Roman" w:hAnsi="inherit" w:cs="Times New Roman" w:hint="eastAsia"/>
          <w:b/>
          <w:bCs/>
          <w:sz w:val="24"/>
          <w:szCs w:val="24"/>
          <w:bdr w:val="none" w:sz="0" w:space="0" w:color="auto" w:frame="1"/>
          <w:lang w:eastAsia="bg-BG"/>
        </w:rPr>
        <w:t>ЗА</w:t>
      </w:r>
      <w:r w:rsidRPr="007D063B">
        <w:rPr>
          <w:rFonts w:ascii="inherit" w:eastAsia="Times New Roman" w:hAnsi="inherit" w:cs="Times New Roman"/>
          <w:b/>
          <w:bCs/>
          <w:sz w:val="24"/>
          <w:szCs w:val="24"/>
          <w:bdr w:val="none" w:sz="0" w:space="0" w:color="auto" w:frame="1"/>
          <w:lang w:eastAsia="bg-BG"/>
        </w:rPr>
        <w:t xml:space="preserve"> </w:t>
      </w:r>
      <w:r w:rsidRPr="007D063B">
        <w:rPr>
          <w:rFonts w:ascii="inherit" w:eastAsia="Times New Roman" w:hAnsi="inherit" w:cs="Times New Roman" w:hint="eastAsia"/>
          <w:b/>
          <w:bCs/>
          <w:sz w:val="24"/>
          <w:szCs w:val="24"/>
          <w:bdr w:val="none" w:sz="0" w:space="0" w:color="auto" w:frame="1"/>
          <w:lang w:eastAsia="bg-BG"/>
        </w:rPr>
        <w:t>ИЗПЪЛНЕНИЕТО</w:t>
      </w:r>
    </w:p>
    <w:p w14:paraId="62E07E2E" w14:textId="77777777" w:rsidR="00816F06" w:rsidRPr="007D063B" w:rsidRDefault="00816F06" w:rsidP="00816F06">
      <w:pPr>
        <w:shd w:val="clear" w:color="auto" w:fill="FFFFFF"/>
        <w:spacing w:after="0" w:line="312" w:lineRule="atLeast"/>
        <w:jc w:val="both"/>
        <w:textAlignment w:val="baseline"/>
        <w:rPr>
          <w:rFonts w:ascii="Times New Roman" w:eastAsia="Times New Roman" w:hAnsi="Times New Roman" w:cs="Times New Roman"/>
          <w:b/>
          <w:bCs/>
          <w:sz w:val="24"/>
          <w:szCs w:val="24"/>
          <w:lang w:eastAsia="bg-BG"/>
        </w:rPr>
      </w:pPr>
      <w:r w:rsidRPr="007D063B">
        <w:rPr>
          <w:rFonts w:ascii="inherit" w:eastAsia="Times New Roman" w:hAnsi="inherit" w:cs="Times New Roman"/>
          <w:b/>
          <w:bCs/>
          <w:sz w:val="24"/>
          <w:szCs w:val="24"/>
          <w:bdr w:val="none" w:sz="0" w:space="0" w:color="auto" w:frame="1"/>
          <w:lang w:eastAsia="bg-BG"/>
        </w:rPr>
        <w:t>(</w:t>
      </w:r>
      <w:r w:rsidRPr="007D063B">
        <w:rPr>
          <w:rFonts w:ascii="inherit" w:eastAsia="Times New Roman" w:hAnsi="inherit" w:cs="Times New Roman" w:hint="eastAsia"/>
          <w:b/>
          <w:bCs/>
          <w:sz w:val="24"/>
          <w:szCs w:val="24"/>
          <w:bdr w:val="none" w:sz="0" w:space="0" w:color="auto" w:frame="1"/>
          <w:lang w:eastAsia="bg-BG"/>
        </w:rPr>
        <w:t>член </w:t>
      </w:r>
      <w:r w:rsidRPr="007D063B">
        <w:rPr>
          <w:rFonts w:ascii="inherit" w:eastAsia="Times New Roman" w:hAnsi="inherit" w:cs="Times New Roman"/>
          <w:b/>
          <w:bCs/>
          <w:sz w:val="24"/>
          <w:szCs w:val="24"/>
          <w:bdr w:val="none" w:sz="0" w:space="0" w:color="auto" w:frame="1"/>
          <w:lang w:eastAsia="bg-BG"/>
        </w:rPr>
        <w:t xml:space="preserve">50, </w:t>
      </w:r>
      <w:r w:rsidRPr="007D063B">
        <w:rPr>
          <w:rFonts w:ascii="inherit" w:eastAsia="Times New Roman" w:hAnsi="inherit" w:cs="Times New Roman" w:hint="eastAsia"/>
          <w:b/>
          <w:bCs/>
          <w:sz w:val="24"/>
          <w:szCs w:val="24"/>
          <w:bdr w:val="none" w:sz="0" w:space="0" w:color="auto" w:frame="1"/>
          <w:lang w:eastAsia="bg-BG"/>
        </w:rPr>
        <w:t>параграф </w:t>
      </w:r>
      <w:r w:rsidRPr="007D063B">
        <w:rPr>
          <w:rFonts w:ascii="inherit" w:eastAsia="Times New Roman" w:hAnsi="inherit" w:cs="Times New Roman"/>
          <w:b/>
          <w:bCs/>
          <w:sz w:val="24"/>
          <w:szCs w:val="24"/>
          <w:bdr w:val="none" w:sz="0" w:space="0" w:color="auto" w:frame="1"/>
          <w:lang w:eastAsia="bg-BG"/>
        </w:rPr>
        <w:t xml:space="preserve">4 </w:t>
      </w:r>
      <w:r w:rsidRPr="007D063B">
        <w:rPr>
          <w:rFonts w:ascii="inherit" w:eastAsia="Times New Roman" w:hAnsi="inherit" w:cs="Times New Roman" w:hint="eastAsia"/>
          <w:b/>
          <w:bCs/>
          <w:sz w:val="24"/>
          <w:szCs w:val="24"/>
          <w:bdr w:val="none" w:sz="0" w:space="0" w:color="auto" w:frame="1"/>
          <w:lang w:eastAsia="bg-BG"/>
        </w:rPr>
        <w:t>и</w:t>
      </w:r>
      <w:r w:rsidRPr="007D063B">
        <w:rPr>
          <w:rFonts w:ascii="inherit" w:eastAsia="Times New Roman" w:hAnsi="inherit" w:cs="Times New Roman"/>
          <w:b/>
          <w:bCs/>
          <w:sz w:val="24"/>
          <w:szCs w:val="24"/>
          <w:bdr w:val="none" w:sz="0" w:space="0" w:color="auto" w:frame="1"/>
          <w:lang w:eastAsia="bg-BG"/>
        </w:rPr>
        <w:t xml:space="preserve"> </w:t>
      </w:r>
      <w:r w:rsidRPr="007D063B">
        <w:rPr>
          <w:rFonts w:ascii="inherit" w:eastAsia="Times New Roman" w:hAnsi="inherit" w:cs="Times New Roman" w:hint="eastAsia"/>
          <w:b/>
          <w:bCs/>
          <w:sz w:val="24"/>
          <w:szCs w:val="24"/>
          <w:bdr w:val="none" w:sz="0" w:space="0" w:color="auto" w:frame="1"/>
          <w:lang w:eastAsia="bg-BG"/>
        </w:rPr>
        <w:t>член</w:t>
      </w:r>
      <w:r w:rsidRPr="007D063B">
        <w:rPr>
          <w:rFonts w:ascii="inherit" w:eastAsia="Times New Roman" w:hAnsi="inherit" w:cs="Times New Roman"/>
          <w:b/>
          <w:bCs/>
          <w:sz w:val="24"/>
          <w:szCs w:val="24"/>
          <w:bdr w:val="none" w:sz="0" w:space="0" w:color="auto" w:frame="1"/>
          <w:lang w:eastAsia="bg-BG"/>
        </w:rPr>
        <w:t xml:space="preserve"> 111, </w:t>
      </w:r>
      <w:r w:rsidRPr="007D063B">
        <w:rPr>
          <w:rFonts w:ascii="inherit" w:eastAsia="Times New Roman" w:hAnsi="inherit" w:cs="Times New Roman" w:hint="eastAsia"/>
          <w:b/>
          <w:bCs/>
          <w:sz w:val="24"/>
          <w:szCs w:val="24"/>
          <w:bdr w:val="none" w:sz="0" w:space="0" w:color="auto" w:frame="1"/>
          <w:lang w:eastAsia="bg-BG"/>
        </w:rPr>
        <w:t>параграфи</w:t>
      </w:r>
      <w:r w:rsidRPr="007D063B">
        <w:rPr>
          <w:rFonts w:ascii="inherit" w:eastAsia="Times New Roman" w:hAnsi="inherit" w:cs="Times New Roman"/>
          <w:b/>
          <w:bCs/>
          <w:sz w:val="24"/>
          <w:szCs w:val="24"/>
          <w:bdr w:val="none" w:sz="0" w:space="0" w:color="auto" w:frame="1"/>
          <w:lang w:eastAsia="bg-BG"/>
        </w:rPr>
        <w:t xml:space="preserve"> 3 </w:t>
      </w:r>
      <w:r w:rsidRPr="007D063B">
        <w:rPr>
          <w:rFonts w:ascii="inherit" w:eastAsia="Times New Roman" w:hAnsi="inherit" w:cs="Times New Roman" w:hint="eastAsia"/>
          <w:b/>
          <w:bCs/>
          <w:sz w:val="24"/>
          <w:szCs w:val="24"/>
          <w:bdr w:val="none" w:sz="0" w:space="0" w:color="auto" w:frame="1"/>
          <w:lang w:eastAsia="bg-BG"/>
        </w:rPr>
        <w:t>и</w:t>
      </w:r>
      <w:r w:rsidRPr="007D063B">
        <w:rPr>
          <w:rFonts w:ascii="inherit" w:eastAsia="Times New Roman" w:hAnsi="inherit" w:cs="Times New Roman"/>
          <w:b/>
          <w:bCs/>
          <w:sz w:val="24"/>
          <w:szCs w:val="24"/>
          <w:bdr w:val="none" w:sz="0" w:space="0" w:color="auto" w:frame="1"/>
          <w:lang w:eastAsia="bg-BG"/>
        </w:rPr>
        <w:t xml:space="preserve"> 4 </w:t>
      </w:r>
      <w:r w:rsidRPr="007D063B">
        <w:rPr>
          <w:rFonts w:ascii="inherit" w:eastAsia="Times New Roman" w:hAnsi="inherit" w:cs="Times New Roman" w:hint="eastAsia"/>
          <w:b/>
          <w:bCs/>
          <w:sz w:val="24"/>
          <w:szCs w:val="24"/>
          <w:bdr w:val="none" w:sz="0" w:space="0" w:color="auto" w:frame="1"/>
          <w:lang w:eastAsia="bg-BG"/>
        </w:rPr>
        <w:t>от</w:t>
      </w:r>
      <w:r w:rsidRPr="007D063B">
        <w:rPr>
          <w:rFonts w:ascii="inherit" w:eastAsia="Times New Roman" w:hAnsi="inherit" w:cs="Times New Roman"/>
          <w:b/>
          <w:bCs/>
          <w:sz w:val="24"/>
          <w:szCs w:val="24"/>
          <w:bdr w:val="none" w:sz="0" w:space="0" w:color="auto" w:frame="1"/>
          <w:lang w:eastAsia="bg-BG"/>
        </w:rPr>
        <w:t xml:space="preserve"> </w:t>
      </w:r>
      <w:r w:rsidRPr="007D063B">
        <w:rPr>
          <w:rFonts w:ascii="inherit" w:eastAsia="Times New Roman" w:hAnsi="inherit" w:cs="Times New Roman" w:hint="eastAsia"/>
          <w:b/>
          <w:bCs/>
          <w:sz w:val="24"/>
          <w:szCs w:val="24"/>
          <w:bdr w:val="none" w:sz="0" w:space="0" w:color="auto" w:frame="1"/>
          <w:lang w:eastAsia="bg-BG"/>
        </w:rPr>
        <w:t>Регламент</w:t>
      </w:r>
      <w:r w:rsidRPr="007D063B">
        <w:rPr>
          <w:rFonts w:ascii="inherit" w:eastAsia="Times New Roman" w:hAnsi="inherit" w:cs="Times New Roman"/>
          <w:b/>
          <w:bCs/>
          <w:sz w:val="24"/>
          <w:szCs w:val="24"/>
          <w:bdr w:val="none" w:sz="0" w:space="0" w:color="auto" w:frame="1"/>
          <w:lang w:eastAsia="bg-BG"/>
        </w:rPr>
        <w:t xml:space="preserve"> (</w:t>
      </w:r>
      <w:r w:rsidRPr="007D063B">
        <w:rPr>
          <w:rFonts w:ascii="inherit" w:eastAsia="Times New Roman" w:hAnsi="inherit" w:cs="Times New Roman" w:hint="eastAsia"/>
          <w:b/>
          <w:bCs/>
          <w:sz w:val="24"/>
          <w:szCs w:val="24"/>
          <w:bdr w:val="none" w:sz="0" w:space="0" w:color="auto" w:frame="1"/>
          <w:lang w:eastAsia="bg-BG"/>
        </w:rPr>
        <w:t>ЕС</w:t>
      </w:r>
      <w:r w:rsidRPr="007D063B">
        <w:rPr>
          <w:rFonts w:ascii="inherit" w:eastAsia="Times New Roman" w:hAnsi="inherit" w:cs="Times New Roman"/>
          <w:b/>
          <w:bCs/>
          <w:sz w:val="24"/>
          <w:szCs w:val="24"/>
          <w:bdr w:val="none" w:sz="0" w:space="0" w:color="auto" w:frame="1"/>
          <w:lang w:eastAsia="bg-BG"/>
        </w:rPr>
        <w:t xml:space="preserve">) </w:t>
      </w:r>
      <w:r w:rsidRPr="007D063B">
        <w:rPr>
          <w:rFonts w:ascii="inherit" w:eastAsia="Times New Roman" w:hAnsi="inherit" w:cs="Times New Roman" w:hint="eastAsia"/>
          <w:b/>
          <w:bCs/>
          <w:sz w:val="24"/>
          <w:szCs w:val="24"/>
          <w:bdr w:val="none" w:sz="0" w:space="0" w:color="auto" w:frame="1"/>
          <w:lang w:eastAsia="bg-BG"/>
        </w:rPr>
        <w:t>№ </w:t>
      </w:r>
      <w:r w:rsidRPr="007D063B">
        <w:rPr>
          <w:rFonts w:ascii="inherit" w:eastAsia="Times New Roman" w:hAnsi="inherit" w:cs="Times New Roman"/>
          <w:b/>
          <w:bCs/>
          <w:sz w:val="24"/>
          <w:szCs w:val="24"/>
          <w:bdr w:val="none" w:sz="0" w:space="0" w:color="auto" w:frame="1"/>
          <w:lang w:eastAsia="bg-BG"/>
        </w:rPr>
        <w:t>1303/2013)</w:t>
      </w:r>
    </w:p>
    <w:p w14:paraId="59559662" w14:textId="77777777" w:rsidR="00816F06" w:rsidRPr="007D063B" w:rsidRDefault="00816F06" w:rsidP="0080317D">
      <w:pPr>
        <w:pStyle w:val="Heading1"/>
        <w:rPr>
          <w:rFonts w:ascii="Times New Roman" w:eastAsia="Times New Roman" w:hAnsi="Times New Roman" w:cs="Times New Roman"/>
          <w:b/>
          <w:bCs/>
          <w:color w:val="auto"/>
          <w:sz w:val="24"/>
          <w:szCs w:val="24"/>
          <w:lang w:eastAsia="bg-BG"/>
        </w:rPr>
      </w:pPr>
      <w:bookmarkStart w:id="42" w:name="_Toc481594303"/>
      <w:r w:rsidRPr="007D063B">
        <w:rPr>
          <w:rFonts w:ascii="Times New Roman" w:eastAsia="Times New Roman" w:hAnsi="Times New Roman" w:cs="Times New Roman"/>
          <w:b/>
          <w:bCs/>
          <w:color w:val="auto"/>
          <w:sz w:val="24"/>
          <w:szCs w:val="24"/>
          <w:lang w:eastAsia="bg-BG"/>
        </w:rPr>
        <w:t>11.   ОЦЕНКА НА ИЗПЪЛНЕНИЕТО НА ОПЕРАТИВНАТА ПРОГРАМА (член 50, параграф 4 и член 111, параграф 4 от Регламент (ЕС) № 1303/2013)</w:t>
      </w:r>
      <w:bookmarkEnd w:id="42"/>
    </w:p>
    <w:p w14:paraId="4377081D" w14:textId="77777777" w:rsidR="00816F06" w:rsidRPr="007D063B" w:rsidRDefault="00816F06" w:rsidP="0080317D">
      <w:pPr>
        <w:pStyle w:val="Heading2"/>
        <w:rPr>
          <w:rFonts w:ascii="Times New Roman" w:eastAsia="Times New Roman" w:hAnsi="Times New Roman" w:cs="Times New Roman"/>
          <w:b/>
          <w:bCs/>
          <w:color w:val="auto"/>
          <w:sz w:val="24"/>
          <w:szCs w:val="24"/>
          <w:lang w:eastAsia="bg-BG"/>
        </w:rPr>
      </w:pPr>
      <w:bookmarkStart w:id="43" w:name="_Toc481594304"/>
      <w:r w:rsidRPr="007D063B">
        <w:rPr>
          <w:rFonts w:ascii="Times New Roman" w:eastAsia="Times New Roman" w:hAnsi="Times New Roman" w:cs="Times New Roman"/>
          <w:b/>
          <w:bCs/>
          <w:color w:val="auto"/>
          <w:sz w:val="24"/>
          <w:szCs w:val="24"/>
          <w:lang w:eastAsia="bg-BG"/>
        </w:rPr>
        <w:t>11.1   </w:t>
      </w:r>
      <w:r w:rsidRPr="007D063B">
        <w:rPr>
          <w:rFonts w:ascii="inherit" w:eastAsia="Times New Roman" w:hAnsi="inherit" w:cs="Times New Roman" w:hint="eastAsia"/>
          <w:b/>
          <w:bCs/>
          <w:color w:val="auto"/>
          <w:sz w:val="24"/>
          <w:szCs w:val="24"/>
          <w:bdr w:val="none" w:sz="0" w:space="0" w:color="auto" w:frame="1"/>
          <w:lang w:eastAsia="bg-BG"/>
        </w:rPr>
        <w:t>Информация</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в</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част</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постигане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целите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програмата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член </w:t>
      </w:r>
      <w:r w:rsidRPr="007D063B">
        <w:rPr>
          <w:rFonts w:ascii="inherit" w:eastAsia="Times New Roman" w:hAnsi="inherit" w:cs="Times New Roman"/>
          <w:b/>
          <w:bCs/>
          <w:color w:val="auto"/>
          <w:sz w:val="24"/>
          <w:szCs w:val="24"/>
          <w:bdr w:val="none" w:sz="0" w:space="0" w:color="auto" w:frame="1"/>
          <w:lang w:eastAsia="bg-BG"/>
        </w:rPr>
        <w:t xml:space="preserve">50, </w:t>
      </w:r>
      <w:r w:rsidRPr="007D063B">
        <w:rPr>
          <w:rFonts w:ascii="inherit" w:eastAsia="Times New Roman" w:hAnsi="inherit" w:cs="Times New Roman" w:hint="eastAsia"/>
          <w:b/>
          <w:bCs/>
          <w:color w:val="auto"/>
          <w:sz w:val="24"/>
          <w:szCs w:val="24"/>
          <w:bdr w:val="none" w:sz="0" w:space="0" w:color="auto" w:frame="1"/>
          <w:lang w:eastAsia="bg-BG"/>
        </w:rPr>
        <w:t>параграф </w:t>
      </w:r>
      <w:r w:rsidRPr="007D063B">
        <w:rPr>
          <w:rFonts w:ascii="inherit" w:eastAsia="Times New Roman" w:hAnsi="inherit" w:cs="Times New Roman"/>
          <w:b/>
          <w:bCs/>
          <w:color w:val="auto"/>
          <w:sz w:val="24"/>
          <w:szCs w:val="24"/>
          <w:bdr w:val="none" w:sz="0" w:space="0" w:color="auto" w:frame="1"/>
          <w:lang w:eastAsia="bg-BG"/>
        </w:rPr>
        <w:t xml:space="preserve">4 </w:t>
      </w:r>
      <w:r w:rsidRPr="007D063B">
        <w:rPr>
          <w:rFonts w:ascii="inherit" w:eastAsia="Times New Roman" w:hAnsi="inherit" w:cs="Times New Roman" w:hint="eastAsia"/>
          <w:b/>
          <w:bCs/>
          <w:color w:val="auto"/>
          <w:sz w:val="24"/>
          <w:szCs w:val="24"/>
          <w:bdr w:val="none" w:sz="0" w:space="0" w:color="auto" w:frame="1"/>
          <w:lang w:eastAsia="bg-BG"/>
        </w:rPr>
        <w:t>от</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Регламент</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ЕС</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 </w:t>
      </w:r>
      <w:r w:rsidRPr="007D063B">
        <w:rPr>
          <w:rFonts w:ascii="inherit" w:eastAsia="Times New Roman" w:hAnsi="inherit" w:cs="Times New Roman"/>
          <w:b/>
          <w:bCs/>
          <w:color w:val="auto"/>
          <w:sz w:val="24"/>
          <w:szCs w:val="24"/>
          <w:bdr w:val="none" w:sz="0" w:space="0" w:color="auto" w:frame="1"/>
          <w:lang w:eastAsia="bg-BG"/>
        </w:rPr>
        <w:t>1303/2013)</w:t>
      </w:r>
      <w:bookmarkEnd w:id="43"/>
    </w:p>
    <w:p w14:paraId="487F2A8F" w14:textId="77777777" w:rsidR="00816F06" w:rsidRPr="007D063B" w:rsidRDefault="00816F06" w:rsidP="00816F06">
      <w:pPr>
        <w:shd w:val="clear" w:color="auto" w:fill="FFFFFF"/>
        <w:spacing w:before="120" w:after="0" w:line="312" w:lineRule="atLeast"/>
        <w:jc w:val="both"/>
        <w:textAlignment w:val="baseline"/>
        <w:rPr>
          <w:rFonts w:ascii="Times New Roman" w:eastAsia="Times New Roman" w:hAnsi="Times New Roman" w:cs="Times New Roman"/>
          <w:color w:val="444444"/>
          <w:sz w:val="24"/>
          <w:szCs w:val="24"/>
          <w:lang w:eastAsia="bg-BG"/>
        </w:rPr>
      </w:pPr>
      <w:r w:rsidRPr="007D063B">
        <w:rPr>
          <w:rFonts w:ascii="Times New Roman" w:eastAsia="Times New Roman" w:hAnsi="Times New Roman" w:cs="Times New Roman"/>
          <w:color w:val="444444"/>
          <w:sz w:val="24"/>
          <w:szCs w:val="24"/>
          <w:lang w:eastAsia="bg-BG"/>
        </w:rPr>
        <w:t>ЗА ВСЯКА ПРИОРИТЕТНА ОС — оценка на информацията, предоставена по-горе, както и на напредъка в постигането на целите на програмата, включително приноса на европейските структурни и инвестиционни фондове за промените в стойността на показателите за резултатите в случаите, в които е налице доказателствен материал от оценките.</w:t>
      </w:r>
    </w:p>
    <w:p w14:paraId="51908A9D" w14:textId="3B7217D0" w:rsidR="00816F06" w:rsidRPr="007D063B" w:rsidRDefault="00816F06" w:rsidP="00816F06">
      <w:pPr>
        <w:shd w:val="clear" w:color="auto" w:fill="EEEEEE"/>
        <w:spacing w:line="240" w:lineRule="auto"/>
        <w:textAlignment w:val="baseline"/>
        <w:rPr>
          <w:rFonts w:eastAsia="Times New Roman" w:cs="Times New Roman"/>
          <w:i/>
          <w:iCs/>
          <w:color w:val="444444"/>
          <w:sz w:val="24"/>
          <w:szCs w:val="24"/>
          <w:bdr w:val="none" w:sz="0" w:space="0" w:color="auto" w:frame="1"/>
          <w:lang w:eastAsia="bg-BG"/>
        </w:rPr>
      </w:pPr>
      <w:r w:rsidRPr="007D063B">
        <w:rPr>
          <w:rFonts w:ascii="inherit" w:eastAsia="Times New Roman" w:hAnsi="inherit" w:cs="Times New Roman"/>
          <w:i/>
          <w:iCs/>
          <w:color w:val="444444"/>
          <w:sz w:val="24"/>
          <w:szCs w:val="24"/>
          <w:bdr w:val="none" w:sz="0" w:space="0" w:color="auto" w:frame="1"/>
          <w:lang w:eastAsia="bg-BG"/>
        </w:rPr>
        <w:t>&lt;type='S' maxlength=10500 input='M'&gt;</w:t>
      </w:r>
    </w:p>
    <w:p w14:paraId="5767A956" w14:textId="5E44B3D1" w:rsidR="00361792" w:rsidRPr="00361792" w:rsidRDefault="00FD2EBA" w:rsidP="00361792">
      <w:pPr>
        <w:rPr>
          <w:rFonts w:ascii="Times New Roman" w:eastAsia="Calibri" w:hAnsi="Times New Roman" w:cs="Times New Roman"/>
          <w:b/>
          <w:sz w:val="24"/>
          <w:u w:val="single"/>
        </w:rPr>
      </w:pPr>
      <w:bookmarkStart w:id="44" w:name="_Toc481594305"/>
      <w:r>
        <w:rPr>
          <w:rFonts w:ascii="Times New Roman" w:eastAsia="Calibri" w:hAnsi="Times New Roman" w:cs="Times New Roman"/>
          <w:b/>
          <w:sz w:val="24"/>
          <w:u w:val="single"/>
        </w:rPr>
        <w:t xml:space="preserve">Приоритетна ос </w:t>
      </w:r>
      <w:r w:rsidR="00361792" w:rsidRPr="00361792">
        <w:rPr>
          <w:rFonts w:ascii="Times New Roman" w:eastAsia="Calibri" w:hAnsi="Times New Roman" w:cs="Times New Roman"/>
          <w:b/>
          <w:sz w:val="24"/>
          <w:u w:val="single"/>
        </w:rPr>
        <w:t>1:</w:t>
      </w:r>
    </w:p>
    <w:p w14:paraId="3ED8265B"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ОПДУ е в начална фаза на изпълнението си, но по приоритетни оси 1, 2 и 4 финансира преобладаващата част от мерките от Националната програма за реформи (НПР) за подобряване на бизнес средата и публичната администрация за повишаване конкурентоспособността на икономиката. Изпълнението на идентифицираните по-долу мерки и проекти по ОПДУ ще допринесе значително към изпълнението на специфичните цели на ПО1 и ПО2, НПР и Националната програма за развитие: България 2020. Темпът на изпълнение на целите на програмата е добър, като се наблюдава известно забавяне в следствие на създаването през 2016 г. на ДАЕУ и политическата нестабилност в края на 2016 и началото на 2017 г. Напредък към постигане на целите на програмата ще може да бъде отчетен в края на 2018 г.</w:t>
      </w:r>
    </w:p>
    <w:p w14:paraId="05443566"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По ПО1 ОПДУ има принос към следните мерки, предвидени в ЕВРОПА 2020: Национална програма за реформи, актуализация 2016 г.:</w:t>
      </w:r>
    </w:p>
    <w:p w14:paraId="24C13058"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1.         Мерки в областта на бизнес средата за повишаване конкурентоспособността на икономиката:</w:t>
      </w:r>
    </w:p>
    <w:p w14:paraId="226872D7"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1.1.      Разширяване на ex ante контрола на АОП</w:t>
      </w:r>
    </w:p>
    <w:p w14:paraId="1C0A77E7"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1.2.      Укрепване на административния капацитет на АОП</w:t>
      </w:r>
    </w:p>
    <w:p w14:paraId="58A68B91"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lastRenderedPageBreak/>
        <w:t>1.3.      Електронна идентификация и автентификация на граждани за използване на електронни услуги – от 2017 г. в изпълнение по ОПДУ е проект „Развитие на пилотната система за електронна идентификация и внедряване в продуктивен режим“ (МВР)</w:t>
      </w:r>
    </w:p>
    <w:p w14:paraId="084531CA"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1.4.      Внедряване на услуги на принципа „Епизоди от живота“ и „Бизнес събития“ - от 2016 г. в изпълнение по ОПДУ е проект „Трансформация на модела на административно обслужване“ (АМС)</w:t>
      </w:r>
    </w:p>
    <w:p w14:paraId="6193CC60"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1.5.      Стандартизиране и опростяване на общински услуги - от 2016 г. в изпълнение по ОПДУ е проект „Трансформация на модела на административно обслужване“ (АМС)</w:t>
      </w:r>
    </w:p>
    <w:p w14:paraId="7E146F57"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2.         Мерки в областта на публичната администрация за повишаване конкурентоспособността на икономиката:</w:t>
      </w:r>
    </w:p>
    <w:p w14:paraId="71004F18"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2.1.      Институционализация на оценка на въздействието</w:t>
      </w:r>
    </w:p>
    <w:p w14:paraId="33E73A8A"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2.4.      Публикуване на публична информация в отворен, машинночетим формат</w:t>
      </w:r>
    </w:p>
    <w:p w14:paraId="48BD8C7C"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2.6.      Инвентаризация на ИКТ инфраструктура за нуждите на е-управление - от 2016 г. са в изпълнение по ОПДУ са проекти „Инвентаризация на информационно-комуникационната инфраструктура за нуждите на електронното управление“ (ДАЕУ).</w:t>
      </w:r>
    </w:p>
    <w:p w14:paraId="2AC34E69"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В ЕВРОПА 2020: НПР, актуализация 2017 г.  са заложени мерки в изпълнение на СП 4 „Да реформира правната уредба на несъстоятелността, за да се ускорят процедурите за възстановяване и преструктуриране и да се подобрят ефективността и прозрачността на тези процедури. Да увеличи капацитета на съдилищата по отношение на производствата по несъстоятелност. Да укрепи капацитета на Агенцията по обществени поръчки и на възлагащите органи и да подобри планирането и контрола на процедурите за възлагане на обществени поръчки, по- конкретно чрез цялостно изпълнение на Националната стратегия за развитие на сектора на обществените поръчки (2014—2020 г.). Да ускори въвеждането на електронни обществени поръчки.“</w:t>
      </w:r>
    </w:p>
    <w:p w14:paraId="21A3D20F"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ОПДУ има принос към следните мерки, предвидени в ЕВРОПА 2020: Национална програма за реформи, актуализация 2017 г.:</w:t>
      </w:r>
    </w:p>
    <w:p w14:paraId="24BE60F8"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1.         Мерки, адресиращи СП 4:</w:t>
      </w:r>
    </w:p>
    <w:p w14:paraId="369AC391"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1.1.      Оптимизиране на ex ante контрола на АОП</w:t>
      </w:r>
    </w:p>
    <w:p w14:paraId="6A4D515D"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1.2.      Укрепване на административния капацитет на АОП</w:t>
      </w:r>
    </w:p>
    <w:p w14:paraId="333745C3"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1.4.      Въвеждане на електронни обществени поръчки - от 2016 г. в изпълнение по ОПДУ е проект на АОП „Разработване, внедряване и поддръжка на единна национална електронна уеб-базирана платформа: Централизирана автоматизирана информационна система "Електронни обществени поръчки" (ЦАИС ЕОП)“.</w:t>
      </w:r>
    </w:p>
    <w:p w14:paraId="6A7C0FAC"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lastRenderedPageBreak/>
        <w:t>2.         Мерки в областта на публичната администрация за повишаване конкурентоспособността на икономиката:</w:t>
      </w:r>
    </w:p>
    <w:p w14:paraId="34721E6A"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2.1.      Инвентаризация на ИКТ инфраструктура за нуждите на е-управление (вж. 2.5 от НПР 2016)</w:t>
      </w:r>
    </w:p>
    <w:p w14:paraId="190595B0"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2.2.      Реализиране на ЦАИС ГР и ЦАИС АР – в края на 2016 г. за финансиране по ОПДУ е подаден проект „Реализиране на ЦАИС "Гражданска регистрация" и ЦАИС "Адресен регистър"“ (ДАЕУ)</w:t>
      </w:r>
    </w:p>
    <w:p w14:paraId="064C37DD"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2.3.      Изграждане и внедряване на пилотна система за дистанционно електронно гласуване – в края на 2016 г. за финансиране по ОПДУ е подаден проект „Изграждане и внедряване на пилотна система за дистанционно електронно гласуване“ (ДАЕУ)</w:t>
      </w:r>
    </w:p>
    <w:p w14:paraId="3507D23B"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2.4.      Създаване на Национален портал за пространствени данни (INSPIRE) – в края на 2016 г. за финансиране по ОПДУ е подаден проект „Създаване на Национален портал за пространствени данни“ (ДАЕУ)</w:t>
      </w:r>
    </w:p>
    <w:p w14:paraId="0818FD13"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2.5.      Извършване на ОВ на нормативни актове</w:t>
      </w:r>
    </w:p>
    <w:p w14:paraId="41B17AFF" w14:textId="4F06DEED"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2.6.      Публикуване на публична информация в отворен, машинно</w:t>
      </w:r>
      <w:r w:rsidR="0010350D">
        <w:rPr>
          <w:rFonts w:ascii="Times New Roman" w:eastAsia="Calibri" w:hAnsi="Times New Roman" w:cs="Times New Roman"/>
          <w:sz w:val="24"/>
          <w:szCs w:val="24"/>
        </w:rPr>
        <w:t>-</w:t>
      </w:r>
      <w:r w:rsidRPr="00361792">
        <w:rPr>
          <w:rFonts w:ascii="Times New Roman" w:eastAsia="Calibri" w:hAnsi="Times New Roman" w:cs="Times New Roman"/>
          <w:sz w:val="24"/>
          <w:szCs w:val="24"/>
        </w:rPr>
        <w:t>четим формат</w:t>
      </w:r>
    </w:p>
    <w:p w14:paraId="50C87236"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В изпълнение на мерки 1.1. и 1.2 от НПР 2016 и от НПР 2017, от 2016 г. в изпълнение по ПО1 на ОПДУ е проект на АОП „Реализиране на дейности и мерки, насочени към повишаване на професионализма при възлагането на обществени поръчки в България“, който включва разработване на стандартизирани образци на документи, практически ръководства/наръчници, методически насоки и анализи, оптимизиране на процесите при осъществяване на предварителния контрол, чрез разработване на специализиран софтуер за "Случаен избор на процедури", оптимизиране на функционалните възможности на Портала за обществени поръчки и привеждането му в съответствие с изискванията на Закона за обществените поръчки. Всички тези дейности са насочени към подпомагане и улесняване работата на експертите, ангажирани с процеса на възлагане на обществени поръчки в страната, както и повишаване професионализма на експертите, отговорни за предоставянето на методология, осъществяването на предварителен контрол, изготвянето на стандартизирани документи, електронно възлагане и мониторинг на пазара на обществените поръчки. Целта е да се постигне по-ефективно прилагане на правилата за възлагане на обществени поръчки, по-висока степен на законосъобразност на провежданите процедури, намаляване на риска от допускане на грешки и нередности в практиката.</w:t>
      </w:r>
    </w:p>
    <w:p w14:paraId="34D258D6"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 xml:space="preserve">В изпълнение на мярка 1.4 от НПР 2017 по проекта по ПО1 на ОПДУ ще бъде разработена и внедрена единна национална електронна уеб-базирана платформа ЦАИС ЕОП, за да бъде изпълнено изискването на чл. 40, ал.1 от ЗОП. ЦАИС ЕОП ще бъде реализирана на модулен принцип в рамките на два етапа. Първият етап обхваща изграждане на всички функционалности до и включително електронно подаване на оферти и автоматично оценяване на офертите, където е приложимо. Вторият етап ще покрива всички функционалности до сключване и проследяване изпълнението на договори, вкл. връзка със системи за електронно разплащане. Ще бъде осигурена висока </w:t>
      </w:r>
      <w:r w:rsidRPr="00361792">
        <w:rPr>
          <w:rFonts w:ascii="Times New Roman" w:eastAsia="Calibri" w:hAnsi="Times New Roman" w:cs="Times New Roman"/>
          <w:sz w:val="24"/>
          <w:szCs w:val="24"/>
        </w:rPr>
        <w:lastRenderedPageBreak/>
        <w:t>степен на сигурност по отношение на електронните оферти, както и оперативна съвместимост на ЦАИС ЕОП със съществуващите електронни системи на централните органи за обществени поръчки. Ще бъдат осигурени електронни наръчници и обучение на администратори и крайни потребители (възложители, контролни органи, бизнес и пр.). Ще бъде доставено и инсталирано хардуерно и комуникационно оборудване и базов системен софтуер, вкл. за Центъра за обслужване на клиенти.</w:t>
      </w:r>
    </w:p>
    <w:p w14:paraId="04A6CDB5"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В изпълнение на мерки 1.4. и 1.5 от НПР 2016 от началото на 2016 г. в изпълнение по ПО1 на ОПДУ е проект „Трансформация на модела на административно обслужване“. Трансформацията на административното обслужване се състои в превръщането на удостоверителните услуги за гражданите и бизнеса във вътрешно-административни; електронизиране на услугите, чиито краен ползвател са гражданите и бизнеса; групиране на услугите на принципа „Епизоди от живота“ и „Събития от бизнеса“ по начина, по който ги възприемат гражданите и бизнеса и осигуряване на комплексно административно обслужване. Текущият проект е първа фаза на трансформация на настоящия модел на обслужване, като в обхвата му се включват надграждане на две стратегически информационни системи и пилотно внедряване в 50 администрации на централизиран механизъм за служебно заявяване и издаване на удостоверения; инвентаризация на режими, услуги и регистри, участващи в административното обслужване с цел премахване на необходимостта гражданите и бизнеса да бъдат куриери между администрациите и намаляване на броя режими; идентифициране на възможности за консолидиране, преструктуриране, централизиране, електронизиране и отваряне на регистрите в държавната администрация; анализ, приоритизация и групиране на услугите на принципа „Епизоди от живота“ и „Събития от бизнеса“; опростяване и унифициране на процеси по предоставяне на минимум 17 услуги на общинско ниво. Основна цел на проекта е осигуряване на по-високо въздействие, устойчивост, ефективност и прозрачно приоритизиране на бъдещи проекти и инициативи, свързани с административната реформа, комплексното административно обслужване и е-управлението на централните и териториалните администрации и определени доставчици на обществени услуги, чрез пълен преглед на съществуващите регистри, режими и услуги, опростяване и рационализиране на работните процеси и дефиниране на конкретни мерки за подобряване на съответната нормативна уредба.</w:t>
      </w:r>
    </w:p>
    <w:p w14:paraId="1FBC75CA"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В изпълнение на мерки 2.1 от НПР 2016 и 2.5 от НПР 2017 от 2017 г. в изпълнение по ПО1 на ОПДУ е проект „Изграждане на капацитет за извършване на оценка на въздействието в държавната администрация“ (АМС).  През 2016 г. в Закона за нормативните актове е въведено задължение за извършване на оценка на въздействието на нормативните актове. Проектът ще даде възможност да бъдат извършени цялостни предварителни оценки на въздействието на проекти на закони или кодекси и последващи оценки на въздействието на действащи закони и кодекси. Това ще даде възможност за реализиране на ключови за администрацията политики. Заедно с това ще се повиши капацитета на администрацията за извършването на ОВ, което ще гарантира мултипликационен ефект в бъдеще. Проектът предвижда освен подкрепа за извършване на цялостни оценки на въздействието, но и анализ на вече извършени частични оценки.</w:t>
      </w:r>
    </w:p>
    <w:p w14:paraId="1BFF9A4E"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lastRenderedPageBreak/>
        <w:t xml:space="preserve">В изпълнение на мерки 2.4 от НПР 2016 и 2.6 от НПР 2017 от 2016 г. в изпълнение по ОПДУ е проект „Подобряване на процесите, свързани с предоставянето, достъпа и повторното използване на информацията от обществения сектор“ (АМС). Проектът е насочен към цялостното подобряване на процесите, свързани с поддържането и публикуването на публичната информация в отворен формат за повторна употреба, както и към създаване на нов механизъм за заявяване и получаване на достъп до обществена информация по електронен път и публикуването й в интернет. Изграждането на Портал за отворени данни и Платформа за достъп до обществена информация е предпоставка за улеснено повторно използване на обществената информация, чрез публикуването й в отворен формат и за подобряване на механизмите за достъп до информацията. </w:t>
      </w:r>
    </w:p>
    <w:p w14:paraId="2A9FC144" w14:textId="725BF8BA" w:rsidR="00361792" w:rsidRPr="00361792" w:rsidRDefault="00397777" w:rsidP="00FD2EBA">
      <w:pPr>
        <w:jc w:val="both"/>
        <w:rPr>
          <w:rFonts w:ascii="Times New Roman" w:eastAsia="Calibri" w:hAnsi="Times New Roman" w:cs="Times New Roman"/>
          <w:b/>
          <w:sz w:val="24"/>
          <w:szCs w:val="24"/>
          <w:u w:val="single"/>
        </w:rPr>
      </w:pPr>
      <w:r>
        <w:rPr>
          <w:rFonts w:ascii="Times New Roman" w:eastAsia="Calibri" w:hAnsi="Times New Roman" w:cs="Times New Roman"/>
          <w:b/>
          <w:sz w:val="24"/>
          <w:u w:val="single"/>
        </w:rPr>
        <w:t xml:space="preserve">Приоритетна ос </w:t>
      </w:r>
      <w:r w:rsidR="00361792" w:rsidRPr="00361792">
        <w:rPr>
          <w:rFonts w:ascii="Times New Roman" w:eastAsia="Calibri" w:hAnsi="Times New Roman" w:cs="Times New Roman"/>
          <w:b/>
          <w:sz w:val="24"/>
          <w:szCs w:val="24"/>
          <w:u w:val="single"/>
        </w:rPr>
        <w:t>2:</w:t>
      </w:r>
    </w:p>
    <w:p w14:paraId="4DC624B2"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ОПДУ е в начална фаза на изпълнението си, но по приоритетни оси 1, 2 и 4 финансира преобладаващата част от мерките от Националната програма за реформи (НПР) за подобряване на бизнес средата и публичната администрация за повишаване конкурентоспособността на икономиката. Изпълнението на идентифицираните по-долу мерки и проекти по ОПДУ ще допринесе значително към изпълнението на специфичните цели на ПО1 и ПО2, НПР и Националната програма за развитие: България 2020. Темпът на изпълнение на целите на програмата е добър, като се наблюдава известно забавяне в следствие на създаването през 2016 г. на ДАЕУ и политическата нестабилност в края на 2016 и началото на 2017 г. Напредък към постигане на целите на програмата ще може да бъде отчетен в края на 2018 г.</w:t>
      </w:r>
    </w:p>
    <w:p w14:paraId="457A9615"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ПО2 на ОПДУ има принос към следните мерки, предвидени в ЕВРОПА 2020: Национална програма за реформи, актуализация 2016 г.:</w:t>
      </w:r>
    </w:p>
    <w:p w14:paraId="0ADC802B" w14:textId="7086DEAA" w:rsidR="00361792" w:rsidRPr="00361792" w:rsidRDefault="00361792" w:rsidP="00FD2EBA">
      <w:pPr>
        <w:jc w:val="both"/>
        <w:rPr>
          <w:rFonts w:ascii="Times New Roman" w:eastAsia="Calibri" w:hAnsi="Times New Roman" w:cs="Times New Roman"/>
          <w:sz w:val="24"/>
          <w:szCs w:val="24"/>
        </w:rPr>
      </w:pPr>
      <w:r w:rsidRPr="00FD2EBA">
        <w:rPr>
          <w:rFonts w:ascii="Times New Roman" w:eastAsia="Calibri" w:hAnsi="Times New Roman" w:cs="Times New Roman"/>
          <w:sz w:val="24"/>
          <w:szCs w:val="24"/>
        </w:rPr>
        <w:t xml:space="preserve">1. </w:t>
      </w:r>
      <w:r w:rsidRPr="00361792">
        <w:rPr>
          <w:rFonts w:ascii="Times New Roman" w:eastAsia="Calibri" w:hAnsi="Times New Roman" w:cs="Times New Roman"/>
          <w:sz w:val="24"/>
          <w:szCs w:val="24"/>
        </w:rPr>
        <w:t>Мерки в областта на публичната администрация за повишаване конкурентоспособността на икономиката:</w:t>
      </w:r>
    </w:p>
    <w:p w14:paraId="482DB19C" w14:textId="1CAB3738" w:rsidR="00361792" w:rsidRPr="00361792" w:rsidRDefault="00361792" w:rsidP="00FD2EBA">
      <w:pPr>
        <w:jc w:val="both"/>
        <w:rPr>
          <w:rFonts w:ascii="Times New Roman" w:eastAsia="Calibri" w:hAnsi="Times New Roman" w:cs="Times New Roman"/>
          <w:sz w:val="24"/>
          <w:szCs w:val="24"/>
        </w:rPr>
      </w:pPr>
      <w:r w:rsidRPr="00FD2EBA">
        <w:rPr>
          <w:rFonts w:ascii="Times New Roman" w:eastAsia="Calibri" w:hAnsi="Times New Roman" w:cs="Times New Roman"/>
          <w:sz w:val="24"/>
          <w:szCs w:val="24"/>
        </w:rPr>
        <w:t xml:space="preserve">2.2. </w:t>
      </w:r>
      <w:r w:rsidRPr="00361792">
        <w:rPr>
          <w:rFonts w:ascii="Times New Roman" w:eastAsia="Calibri" w:hAnsi="Times New Roman" w:cs="Times New Roman"/>
          <w:sz w:val="24"/>
          <w:szCs w:val="24"/>
        </w:rPr>
        <w:t>Задължително провеждане на обществени консултации на Портала www.strategy.bg</w:t>
      </w:r>
    </w:p>
    <w:p w14:paraId="1C038C29" w14:textId="645A8E89" w:rsidR="00361792" w:rsidRPr="00361792" w:rsidRDefault="00361792" w:rsidP="00FD2EBA">
      <w:pPr>
        <w:jc w:val="both"/>
        <w:rPr>
          <w:rFonts w:ascii="Times New Roman" w:eastAsia="Calibri" w:hAnsi="Times New Roman" w:cs="Times New Roman"/>
          <w:sz w:val="24"/>
          <w:szCs w:val="24"/>
        </w:rPr>
      </w:pPr>
      <w:r w:rsidRPr="00FD2EBA">
        <w:rPr>
          <w:rFonts w:ascii="Times New Roman" w:eastAsia="Calibri" w:hAnsi="Times New Roman" w:cs="Times New Roman"/>
          <w:sz w:val="24"/>
          <w:szCs w:val="24"/>
        </w:rPr>
        <w:t xml:space="preserve">2.3. </w:t>
      </w:r>
      <w:r w:rsidRPr="00361792">
        <w:rPr>
          <w:rFonts w:ascii="Times New Roman" w:eastAsia="Calibri" w:hAnsi="Times New Roman" w:cs="Times New Roman"/>
          <w:sz w:val="24"/>
          <w:szCs w:val="24"/>
        </w:rPr>
        <w:t>Въвеждане на централизиран етап на конкурсите за държавни служители</w:t>
      </w:r>
    </w:p>
    <w:p w14:paraId="4F24B63E"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По ПО1 ОПДУ има принос към следните мерки, предвидени в ЕВРОПА 2020: Национална програма за реформи, актуализация 2017 г.:</w:t>
      </w:r>
    </w:p>
    <w:p w14:paraId="4E704EF3" w14:textId="165B8842" w:rsidR="00361792" w:rsidRPr="00361792" w:rsidRDefault="00361792" w:rsidP="00FD2EBA">
      <w:pPr>
        <w:jc w:val="both"/>
        <w:rPr>
          <w:rFonts w:ascii="Times New Roman" w:eastAsia="Calibri" w:hAnsi="Times New Roman" w:cs="Times New Roman"/>
          <w:sz w:val="24"/>
          <w:szCs w:val="24"/>
        </w:rPr>
      </w:pPr>
      <w:r w:rsidRPr="00FD2EBA">
        <w:rPr>
          <w:rFonts w:ascii="Times New Roman" w:eastAsia="Calibri" w:hAnsi="Times New Roman" w:cs="Times New Roman"/>
          <w:sz w:val="24"/>
          <w:szCs w:val="24"/>
        </w:rPr>
        <w:t xml:space="preserve">1. </w:t>
      </w:r>
      <w:r w:rsidRPr="00361792">
        <w:rPr>
          <w:rFonts w:ascii="Times New Roman" w:eastAsia="Calibri" w:hAnsi="Times New Roman" w:cs="Times New Roman"/>
          <w:sz w:val="24"/>
          <w:szCs w:val="24"/>
        </w:rPr>
        <w:t>Мерки, адресиращи СП 4:</w:t>
      </w:r>
    </w:p>
    <w:p w14:paraId="4591A5BB" w14:textId="24BAB94B" w:rsidR="00361792" w:rsidRPr="00361792" w:rsidRDefault="00361792" w:rsidP="00FD2EBA">
      <w:pPr>
        <w:jc w:val="both"/>
        <w:rPr>
          <w:rFonts w:ascii="Times New Roman" w:eastAsia="Calibri" w:hAnsi="Times New Roman" w:cs="Times New Roman"/>
          <w:sz w:val="24"/>
          <w:szCs w:val="24"/>
        </w:rPr>
      </w:pPr>
      <w:r w:rsidRPr="00FD2EBA">
        <w:rPr>
          <w:rFonts w:ascii="Times New Roman" w:eastAsia="Calibri" w:hAnsi="Times New Roman" w:cs="Times New Roman"/>
          <w:sz w:val="24"/>
          <w:szCs w:val="24"/>
        </w:rPr>
        <w:t xml:space="preserve">1.3. </w:t>
      </w:r>
      <w:r w:rsidRPr="00361792">
        <w:rPr>
          <w:rFonts w:ascii="Times New Roman" w:eastAsia="Calibri" w:hAnsi="Times New Roman" w:cs="Times New Roman"/>
          <w:sz w:val="24"/>
          <w:szCs w:val="24"/>
        </w:rPr>
        <w:t>Укрепване на капацитета на възлагащите органи – от 2016 г. в изпълнение по ОПДУ е проект „Работим за хората” – укрепване капацитета на институциите за посрещане на предизвикателствата на съвременните публични политики“ (ИПА)</w:t>
      </w:r>
    </w:p>
    <w:p w14:paraId="7F8FCE85" w14:textId="3BB6F8A6" w:rsidR="00361792" w:rsidRPr="00361792" w:rsidRDefault="00361792" w:rsidP="00FD2EBA">
      <w:pPr>
        <w:jc w:val="both"/>
        <w:rPr>
          <w:rFonts w:ascii="Times New Roman" w:eastAsia="Calibri" w:hAnsi="Times New Roman" w:cs="Times New Roman"/>
          <w:sz w:val="24"/>
          <w:szCs w:val="24"/>
        </w:rPr>
      </w:pPr>
      <w:r w:rsidRPr="00FD2EBA">
        <w:rPr>
          <w:rFonts w:ascii="Times New Roman" w:eastAsia="Calibri" w:hAnsi="Times New Roman" w:cs="Times New Roman"/>
          <w:sz w:val="24"/>
          <w:szCs w:val="24"/>
        </w:rPr>
        <w:t xml:space="preserve">2. </w:t>
      </w:r>
      <w:r w:rsidRPr="00361792">
        <w:rPr>
          <w:rFonts w:ascii="Times New Roman" w:eastAsia="Calibri" w:hAnsi="Times New Roman" w:cs="Times New Roman"/>
          <w:sz w:val="24"/>
          <w:szCs w:val="24"/>
        </w:rPr>
        <w:t>Мерки в областта на публичната администрация за повишаване конкурентоспособността на икономиката:</w:t>
      </w:r>
    </w:p>
    <w:p w14:paraId="4AF2D17B" w14:textId="0067B334" w:rsidR="00361792" w:rsidRPr="00361792" w:rsidRDefault="00361792" w:rsidP="00FD2EBA">
      <w:pPr>
        <w:jc w:val="both"/>
        <w:rPr>
          <w:rFonts w:ascii="Times New Roman" w:eastAsia="Calibri" w:hAnsi="Times New Roman" w:cs="Times New Roman"/>
          <w:sz w:val="24"/>
          <w:szCs w:val="24"/>
        </w:rPr>
      </w:pPr>
      <w:r w:rsidRPr="00FD2EBA">
        <w:rPr>
          <w:rFonts w:ascii="Times New Roman" w:eastAsia="Calibri" w:hAnsi="Times New Roman" w:cs="Times New Roman"/>
          <w:sz w:val="24"/>
          <w:szCs w:val="24"/>
        </w:rPr>
        <w:lastRenderedPageBreak/>
        <w:t xml:space="preserve">2.7. </w:t>
      </w:r>
      <w:r w:rsidRPr="00361792">
        <w:rPr>
          <w:rFonts w:ascii="Times New Roman" w:eastAsia="Calibri" w:hAnsi="Times New Roman" w:cs="Times New Roman"/>
          <w:sz w:val="24"/>
          <w:szCs w:val="24"/>
        </w:rPr>
        <w:t>Въвеждане на централизиран етап на конкурсите за държавни служители</w:t>
      </w:r>
    </w:p>
    <w:p w14:paraId="605B3D9D"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В изпълнение на мярка 2.2 от НПР 2016 от 2016 г. в изпълнение по ОПДУ е проект „Администрацията и гражданско общество - партньорство в управлението“ (АМС). Проектът насърчава и утвърждава проактивната роля на администрацията в привличането на заинтересованите страни в процеса на вземане на решения, при внедряването на нови и привлекателни за обществото инструменти за гражданско участие и при насърчаването на взаимодействието със заинтересованите страни при регулирането на икономическата активност. Проектът насърчава съвместното между администрацията и обществото формулиране на политики и изработване на нормативните актове. Основната група от интервенции по проекта ще се реализират чрез насърчаване на онлайн инструментите. Основа за това ще бъде извършването на актуализация на Портала за обществени консултации и развиването на качеството му на контактна точка между администрацията и обществото. Проектът предвижда улеснено представяне на необходимата информация при провеждането на обществени консултации и насърчаване на диалога между институциите и гражданското общество. Проектът ще се реализира чрез устойчиви и интегрирани подходи по изучаване на добри практики, изграждане на капацитет, включително чрез подхода “учене чрез правене”.</w:t>
      </w:r>
    </w:p>
    <w:p w14:paraId="27579963"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В изпълнение на мерки 2.3 от НПР 2016 и 2.7 от НПР 2017 от 2016 г. в изпълнение по ОПДУ е проект „Подобряване на ефективността на подбора на служителите в държавната администрация“ (АМС). С приетите изменения и допълнения на Закона за държавния служител (ДВ, бр. 57 от 22 юли 2016 г.) се въвеждат два етапа на конкурса за постъпване на държавна служба, първият от които централизиран, чрез който се осигурява прозрачност и обективност при установяване на необходимите компетентности за заемане на държавна служба, както и стандартизираност при оценката на компетенции на входа. Чрез промените е разширен обхватът и е надграден съществуващият до момента централизиран конкурс за младши експерти. Проектът цели както усъвършенстване на подбора на служители в държавната администрация, така и популяризиране на възможностите за работа в държавната администрация. В рамките на проекта ще бъдат разработени и/или закупени тестовете за централизирания етап на конкурса, ще бъде осигурена необходимата технологична платформа за електронното им провеждане. Ще бъде осъществена широка кампания за информиране на заинтересованите страни. С оглед привличането на висококвалифицирани кандидати за държавна служба ще бъде повишена информираността относно възможностите за работа в държавната администрация. Изграждането на модерен специализиран сайт за работа ще допринесе, от една страна за по-доброто позициониране на държавната администрация като работодател, а от друга за по-добра организация и координация при търсенето на кадри. Потребители на сайта ще бъдат както потенциалните кандидати за държавна служба, така и администрациите.</w:t>
      </w:r>
    </w:p>
    <w:p w14:paraId="4369CD1E" w14:textId="4F57F730" w:rsidR="00361792" w:rsidRPr="00361792" w:rsidRDefault="00397777" w:rsidP="00FD2EBA">
      <w:pPr>
        <w:jc w:val="both"/>
        <w:rPr>
          <w:rFonts w:ascii="Times New Roman" w:eastAsia="Calibri" w:hAnsi="Times New Roman" w:cs="Times New Roman"/>
          <w:b/>
          <w:sz w:val="24"/>
          <w:szCs w:val="24"/>
          <w:u w:val="single"/>
        </w:rPr>
      </w:pPr>
      <w:r>
        <w:rPr>
          <w:rFonts w:ascii="Times New Roman" w:eastAsia="Calibri" w:hAnsi="Times New Roman" w:cs="Times New Roman"/>
          <w:b/>
          <w:sz w:val="24"/>
          <w:u w:val="single"/>
        </w:rPr>
        <w:t xml:space="preserve">Приоритетна ос </w:t>
      </w:r>
      <w:r w:rsidR="00361792" w:rsidRPr="00361792">
        <w:rPr>
          <w:rFonts w:ascii="Times New Roman" w:eastAsia="Calibri" w:hAnsi="Times New Roman" w:cs="Times New Roman"/>
          <w:b/>
          <w:sz w:val="24"/>
          <w:szCs w:val="24"/>
          <w:u w:val="single"/>
        </w:rPr>
        <w:t>3:</w:t>
      </w:r>
    </w:p>
    <w:p w14:paraId="4CEEC6F3" w14:textId="6C8CD8FF"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ПО</w:t>
      </w:r>
      <w:r w:rsidRPr="00FD2EBA">
        <w:rPr>
          <w:rFonts w:ascii="Times New Roman" w:eastAsia="Calibri" w:hAnsi="Times New Roman" w:cs="Times New Roman"/>
          <w:sz w:val="24"/>
          <w:szCs w:val="24"/>
          <w:lang w:val="en-US"/>
        </w:rPr>
        <w:t xml:space="preserve"> </w:t>
      </w:r>
      <w:r w:rsidRPr="00361792">
        <w:rPr>
          <w:rFonts w:ascii="Times New Roman" w:eastAsia="Calibri" w:hAnsi="Times New Roman" w:cs="Times New Roman"/>
          <w:sz w:val="24"/>
          <w:szCs w:val="24"/>
        </w:rPr>
        <w:t>3 на ОПДУ има принос към следните мерки, предвидени в ЕВРОПА 2020: Национална програма за реформи, актуализация 2016 г.:</w:t>
      </w:r>
    </w:p>
    <w:p w14:paraId="7F5323F4" w14:textId="28D41DED" w:rsidR="00361792" w:rsidRPr="00361792" w:rsidRDefault="00361792" w:rsidP="00FD2EBA">
      <w:pPr>
        <w:jc w:val="both"/>
        <w:rPr>
          <w:rFonts w:ascii="Times New Roman" w:eastAsia="Calibri" w:hAnsi="Times New Roman" w:cs="Times New Roman"/>
          <w:sz w:val="24"/>
          <w:szCs w:val="24"/>
        </w:rPr>
      </w:pPr>
      <w:r w:rsidRPr="00FD2EBA">
        <w:rPr>
          <w:rFonts w:ascii="Times New Roman" w:eastAsia="Calibri" w:hAnsi="Times New Roman" w:cs="Times New Roman"/>
          <w:sz w:val="24"/>
          <w:szCs w:val="24"/>
        </w:rPr>
        <w:lastRenderedPageBreak/>
        <w:t xml:space="preserve">2. </w:t>
      </w:r>
      <w:r w:rsidRPr="00361792">
        <w:rPr>
          <w:rFonts w:ascii="Times New Roman" w:eastAsia="Calibri" w:hAnsi="Times New Roman" w:cs="Times New Roman"/>
          <w:sz w:val="24"/>
          <w:szCs w:val="24"/>
        </w:rPr>
        <w:t>Мерки в областта на публичната администрация за повишаване конкурентоспособността на икономиката:</w:t>
      </w:r>
    </w:p>
    <w:p w14:paraId="33973304" w14:textId="3DEBE959" w:rsidR="00361792" w:rsidRPr="00361792" w:rsidRDefault="00361792" w:rsidP="00FD2EBA">
      <w:pPr>
        <w:jc w:val="both"/>
        <w:rPr>
          <w:rFonts w:ascii="Times New Roman" w:eastAsia="Calibri" w:hAnsi="Times New Roman" w:cs="Times New Roman"/>
          <w:sz w:val="24"/>
          <w:szCs w:val="24"/>
        </w:rPr>
      </w:pPr>
      <w:r w:rsidRPr="00FD2EBA">
        <w:rPr>
          <w:rFonts w:ascii="Times New Roman" w:eastAsia="Calibri" w:hAnsi="Times New Roman" w:cs="Times New Roman"/>
          <w:sz w:val="24"/>
          <w:szCs w:val="24"/>
        </w:rPr>
        <w:t xml:space="preserve">2.1. </w:t>
      </w:r>
      <w:r w:rsidRPr="00361792">
        <w:rPr>
          <w:rFonts w:ascii="Times New Roman" w:eastAsia="Calibri" w:hAnsi="Times New Roman" w:cs="Times New Roman"/>
          <w:sz w:val="24"/>
          <w:szCs w:val="24"/>
        </w:rPr>
        <w:t>Инвентаризация на ИКТ инфраструктура за нуждите на е-управление - от 2016 г. в изпълнение по ПО3 на ОПДУ е проект „Инвентаризация и анализ на състоянието на информационната и комуникационната инфраструктура, информационните системи, услуги и регистри в сектор „Правосъдие“ (МП)</w:t>
      </w:r>
    </w:p>
    <w:p w14:paraId="4A8CDF2B"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ПО3 на ОПДУ има принос към следните мерки, предвидени в ЕВРОПА 2020: Национална програма за реформи, актуализация 2017 г.:</w:t>
      </w:r>
    </w:p>
    <w:p w14:paraId="195A4FBD" w14:textId="3038036B" w:rsidR="00361792" w:rsidRPr="00361792" w:rsidRDefault="00361792" w:rsidP="00FD2EBA">
      <w:pPr>
        <w:jc w:val="both"/>
        <w:rPr>
          <w:rFonts w:ascii="Times New Roman" w:eastAsia="Calibri" w:hAnsi="Times New Roman" w:cs="Times New Roman"/>
          <w:sz w:val="24"/>
          <w:szCs w:val="24"/>
        </w:rPr>
      </w:pPr>
      <w:r w:rsidRPr="00FD2EBA">
        <w:rPr>
          <w:rFonts w:ascii="Times New Roman" w:eastAsia="Calibri" w:hAnsi="Times New Roman" w:cs="Times New Roman"/>
          <w:sz w:val="24"/>
          <w:szCs w:val="24"/>
        </w:rPr>
        <w:t xml:space="preserve">2. </w:t>
      </w:r>
      <w:r w:rsidRPr="00361792">
        <w:rPr>
          <w:rFonts w:ascii="Times New Roman" w:eastAsia="Calibri" w:hAnsi="Times New Roman" w:cs="Times New Roman"/>
          <w:sz w:val="24"/>
          <w:szCs w:val="24"/>
        </w:rPr>
        <w:t>Мерки в областта на публичната администрация за повишаване конкурентоспособността на икономиката:</w:t>
      </w:r>
    </w:p>
    <w:p w14:paraId="38B1B457" w14:textId="0662D91D" w:rsidR="00361792" w:rsidRPr="00361792" w:rsidRDefault="00361792" w:rsidP="00FD2EBA">
      <w:pPr>
        <w:jc w:val="both"/>
        <w:rPr>
          <w:rFonts w:ascii="Times New Roman" w:eastAsia="Calibri" w:hAnsi="Times New Roman" w:cs="Times New Roman"/>
          <w:sz w:val="24"/>
          <w:szCs w:val="24"/>
        </w:rPr>
      </w:pPr>
      <w:r w:rsidRPr="00FD2EBA">
        <w:rPr>
          <w:rFonts w:ascii="Times New Roman" w:eastAsia="Calibri" w:hAnsi="Times New Roman" w:cs="Times New Roman"/>
          <w:sz w:val="24"/>
          <w:szCs w:val="24"/>
        </w:rPr>
        <w:t xml:space="preserve">2.1. </w:t>
      </w:r>
      <w:r w:rsidRPr="00361792">
        <w:rPr>
          <w:rFonts w:ascii="Times New Roman" w:eastAsia="Calibri" w:hAnsi="Times New Roman" w:cs="Times New Roman"/>
          <w:sz w:val="24"/>
          <w:szCs w:val="24"/>
        </w:rPr>
        <w:t>Инвентаризация на ИКТ инфраструктура за нуждите на е-управление (вж. 2.5 от НПР 2016)</w:t>
      </w:r>
    </w:p>
    <w:p w14:paraId="14604DAB"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Проектът предвижда извършването на първия цялостен и изчерпателен преглед (инвентаризация) чрез експертно обследване на място в използвания сграден фонд на структурите в сектора. Обобщените данни oт прегледа ще дадат пълна информация за статуса на ИКИ, информационните системи и услуги и свързаните с тях процеси и ще послужат за оценка на необходимия капацитет и ресурси за обслужване на наличните процеси, както и за сравнителна оценка относно желаното състояние в контекста на предвижданите реформи. Така ще се отговори и на потребността за осигуряване на допълнителна техника за дигитализация и централизация на информационните масиви с оглед въвеждане изискванията за е-правосъдие и е-управление. Необходим е и анализ на състоянието на регистрите в сектора. Следва да се анализират видовете регистри, вида информация, която се съхранява в тях, консистентността на информацията, както и степента на семантична съвместимост и възможността за свързване с други регистри в контекста на КАО. Прегледът на регистровата система ще даде систематизирана информация относно съществуващите регистри, необходимостта от създаване на нови и необходимостта от свързване между регистри с оглед по-лесен достъп и обмен на информация. Прегледът и анализът на техническата обезпеченост в сектор „Правосъдие“ е предпоставка за изпълнението и на други мерки, предвидени в националните стратегически документи за въвеждане на е-правосъдие, като различни регистри, системи, портали. Разработването им ще доведе до устойчивост на резултатите и изграждане на модерна система на е-правосъдие.</w:t>
      </w:r>
    </w:p>
    <w:p w14:paraId="4093B1A8" w14:textId="2D4D1030" w:rsidR="00361792" w:rsidRPr="00361792" w:rsidRDefault="00FD2EBA" w:rsidP="00FD2EBA">
      <w:pPr>
        <w:jc w:val="both"/>
        <w:rPr>
          <w:rFonts w:ascii="Times New Roman" w:eastAsia="Calibri" w:hAnsi="Times New Roman" w:cs="Times New Roman"/>
          <w:b/>
          <w:sz w:val="24"/>
          <w:szCs w:val="24"/>
          <w:u w:val="single"/>
        </w:rPr>
      </w:pPr>
      <w:r w:rsidRPr="00FD2EBA">
        <w:rPr>
          <w:rFonts w:ascii="Times New Roman" w:eastAsia="Calibri" w:hAnsi="Times New Roman" w:cs="Times New Roman"/>
          <w:b/>
          <w:sz w:val="24"/>
          <w:u w:val="single"/>
        </w:rPr>
        <w:t xml:space="preserve">Приоритетна ос </w:t>
      </w:r>
      <w:r w:rsidR="00361792" w:rsidRPr="00361792">
        <w:rPr>
          <w:rFonts w:ascii="Times New Roman" w:eastAsia="Calibri" w:hAnsi="Times New Roman" w:cs="Times New Roman"/>
          <w:b/>
          <w:sz w:val="24"/>
          <w:szCs w:val="24"/>
          <w:u w:val="single"/>
        </w:rPr>
        <w:t>4:</w:t>
      </w:r>
    </w:p>
    <w:p w14:paraId="7D135464"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 xml:space="preserve">ОПДУ е в начална фаза на изпълнението си, но по приоритетни оси 1, 2 и 4 финансира преобладаващата част от мерките от Националната програма за реформи (НПР) за подобряване на бизнес средата и публичната администрация за повишаване конкурентоспособността на икономиката. Изпълнението на идентифицираните по-долу мерки и проекти по ОПДУ ще допринесе значително към изпълнението на специфичните цели на ПО1 и ПО2, НПР и Националната програма за развитие: България 2020. Темпът на изпълнение на целите на програмата е добър, като се наблюдава известно забавяне в следствие на създаването през 2016 г. </w:t>
      </w:r>
      <w:r w:rsidRPr="00361792">
        <w:rPr>
          <w:rFonts w:ascii="Times New Roman" w:eastAsia="Calibri" w:hAnsi="Times New Roman" w:cs="Times New Roman"/>
          <w:sz w:val="24"/>
          <w:szCs w:val="24"/>
        </w:rPr>
        <w:lastRenderedPageBreak/>
        <w:t>на ДАЕУ и политическата нестабилност в края на 2016 и началото на 2017 г. Напредък към постигане на целите на програмата ще може да бъде отчетен в края на 2018 г.</w:t>
      </w:r>
    </w:p>
    <w:p w14:paraId="699982C7"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ПО4 на ОПДУ има принос към следните мерки, предвидени в ЕВРОПА 2020: Национална програма за реформи, актуализация 2016 г.:</w:t>
      </w:r>
    </w:p>
    <w:p w14:paraId="413AEF46" w14:textId="793A562E" w:rsidR="00361792" w:rsidRPr="00361792" w:rsidRDefault="00361792" w:rsidP="00FD2EBA">
      <w:pPr>
        <w:jc w:val="both"/>
        <w:rPr>
          <w:rFonts w:ascii="Times New Roman" w:eastAsia="Calibri" w:hAnsi="Times New Roman" w:cs="Times New Roman"/>
          <w:sz w:val="24"/>
          <w:szCs w:val="24"/>
        </w:rPr>
      </w:pPr>
      <w:r w:rsidRPr="00FD2EBA">
        <w:rPr>
          <w:rFonts w:ascii="Times New Roman" w:eastAsia="Calibri" w:hAnsi="Times New Roman" w:cs="Times New Roman"/>
          <w:sz w:val="24"/>
          <w:szCs w:val="24"/>
        </w:rPr>
        <w:t xml:space="preserve">3. </w:t>
      </w:r>
      <w:r w:rsidRPr="00361792">
        <w:rPr>
          <w:rFonts w:ascii="Times New Roman" w:eastAsia="Calibri" w:hAnsi="Times New Roman" w:cs="Times New Roman"/>
          <w:sz w:val="24"/>
          <w:szCs w:val="24"/>
        </w:rPr>
        <w:t>Мерки в областта на бизнес средата за повишаване конкурентоспособността на икономиката:</w:t>
      </w:r>
    </w:p>
    <w:p w14:paraId="0CFA2840" w14:textId="0424684F" w:rsidR="00361792" w:rsidRPr="00361792" w:rsidRDefault="00361792" w:rsidP="00FD2EBA">
      <w:pPr>
        <w:jc w:val="both"/>
        <w:rPr>
          <w:rFonts w:ascii="Times New Roman" w:eastAsia="Calibri" w:hAnsi="Times New Roman" w:cs="Times New Roman"/>
          <w:sz w:val="24"/>
          <w:szCs w:val="24"/>
        </w:rPr>
      </w:pPr>
      <w:r w:rsidRPr="00FD2EBA">
        <w:rPr>
          <w:rFonts w:ascii="Times New Roman" w:eastAsia="Calibri" w:hAnsi="Times New Roman" w:cs="Times New Roman"/>
          <w:sz w:val="24"/>
          <w:szCs w:val="24"/>
        </w:rPr>
        <w:t xml:space="preserve">1.1. </w:t>
      </w:r>
      <w:r w:rsidRPr="00361792">
        <w:rPr>
          <w:rFonts w:ascii="Times New Roman" w:eastAsia="Calibri" w:hAnsi="Times New Roman" w:cs="Times New Roman"/>
          <w:sz w:val="24"/>
          <w:szCs w:val="24"/>
        </w:rPr>
        <w:t>Разширяване на ex ante контрола на АОП</w:t>
      </w:r>
    </w:p>
    <w:p w14:paraId="73E6CE3A" w14:textId="66E49CAC" w:rsidR="00361792" w:rsidRPr="00361792" w:rsidRDefault="00361792" w:rsidP="00FD2EBA">
      <w:pPr>
        <w:jc w:val="both"/>
        <w:rPr>
          <w:rFonts w:ascii="Times New Roman" w:eastAsia="Calibri" w:hAnsi="Times New Roman" w:cs="Times New Roman"/>
          <w:sz w:val="24"/>
          <w:szCs w:val="24"/>
        </w:rPr>
      </w:pPr>
      <w:r w:rsidRPr="00FD2EBA">
        <w:rPr>
          <w:rFonts w:ascii="Times New Roman" w:eastAsia="Calibri" w:hAnsi="Times New Roman" w:cs="Times New Roman"/>
          <w:sz w:val="24"/>
          <w:szCs w:val="24"/>
        </w:rPr>
        <w:t xml:space="preserve">1.2. </w:t>
      </w:r>
      <w:r w:rsidRPr="00361792">
        <w:rPr>
          <w:rFonts w:ascii="Times New Roman" w:eastAsia="Calibri" w:hAnsi="Times New Roman" w:cs="Times New Roman"/>
          <w:sz w:val="24"/>
          <w:szCs w:val="24"/>
        </w:rPr>
        <w:t>Укрепване на административния капацитет на АОП</w:t>
      </w:r>
    </w:p>
    <w:p w14:paraId="78828300" w14:textId="01D454F7" w:rsidR="00361792" w:rsidRPr="00361792" w:rsidRDefault="000578FF" w:rsidP="00FD2EBA">
      <w:pPr>
        <w:jc w:val="both"/>
        <w:rPr>
          <w:rFonts w:ascii="Times New Roman" w:eastAsia="Calibri" w:hAnsi="Times New Roman" w:cs="Times New Roman"/>
          <w:sz w:val="24"/>
          <w:szCs w:val="24"/>
        </w:rPr>
      </w:pPr>
      <w:r>
        <w:rPr>
          <w:rFonts w:ascii="Times New Roman" w:eastAsia="Calibri" w:hAnsi="Times New Roman" w:cs="Times New Roman"/>
          <w:sz w:val="24"/>
          <w:szCs w:val="24"/>
        </w:rPr>
        <w:t>В ЕВРОПА 2020: НПР</w:t>
      </w:r>
      <w:r w:rsidR="00361792" w:rsidRPr="00361792">
        <w:rPr>
          <w:rFonts w:ascii="Times New Roman" w:eastAsia="Calibri" w:hAnsi="Times New Roman" w:cs="Times New Roman"/>
          <w:sz w:val="24"/>
          <w:szCs w:val="24"/>
        </w:rPr>
        <w:t>, актуализация 2017 г.</w:t>
      </w:r>
      <w:r>
        <w:rPr>
          <w:rFonts w:ascii="Times New Roman" w:eastAsia="Calibri" w:hAnsi="Times New Roman" w:cs="Times New Roman"/>
          <w:sz w:val="24"/>
          <w:szCs w:val="24"/>
        </w:rPr>
        <w:t>,</w:t>
      </w:r>
      <w:r w:rsidR="00361792" w:rsidRPr="00361792">
        <w:rPr>
          <w:rFonts w:ascii="Times New Roman" w:eastAsia="Calibri" w:hAnsi="Times New Roman" w:cs="Times New Roman"/>
          <w:sz w:val="24"/>
          <w:szCs w:val="24"/>
        </w:rPr>
        <w:t xml:space="preserve">  са заложени мерки в изпълнение на СП 4 „Да реформира правната уредба на несъстоятелността, за да се ускорят процедурите за възстановяване и преструктуриране и да се подобрят ефективността и прозрачността на тези процедури. Да увеличи капацитета на съдилищата по отношение на производствата по несъстоятелност. Да укрепи капацитета на Агенцията по обществени поръчки и на възлагащите органи и да подобри планирането и контрола на процедурите за възлагане на обществени поръчки, по- конкретно чрез цялостно изпълнение на Националната стратегия за развитие на сектора на обществените поръчки (2014—2020 г.). Да ускори въвеждането на електронни обществени поръчки.“</w:t>
      </w:r>
    </w:p>
    <w:p w14:paraId="11AC6811"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ПО4 на ОПДУ има принос към следните мерки, предвидени в ЕВРОПА 2020: Национална програма за реформи, актуализация 2017 г.:</w:t>
      </w:r>
    </w:p>
    <w:p w14:paraId="1E20FF1D" w14:textId="35163627" w:rsidR="00361792" w:rsidRPr="00361792" w:rsidRDefault="00361792" w:rsidP="00FD2EBA">
      <w:pPr>
        <w:jc w:val="both"/>
        <w:rPr>
          <w:rFonts w:ascii="Times New Roman" w:eastAsia="Calibri" w:hAnsi="Times New Roman" w:cs="Times New Roman"/>
          <w:sz w:val="24"/>
          <w:szCs w:val="24"/>
        </w:rPr>
      </w:pPr>
      <w:r w:rsidRPr="00FD2EBA">
        <w:rPr>
          <w:rFonts w:ascii="Times New Roman" w:eastAsia="Calibri" w:hAnsi="Times New Roman" w:cs="Times New Roman"/>
          <w:sz w:val="24"/>
          <w:szCs w:val="24"/>
        </w:rPr>
        <w:t xml:space="preserve">3. </w:t>
      </w:r>
      <w:r w:rsidRPr="00361792">
        <w:rPr>
          <w:rFonts w:ascii="Times New Roman" w:eastAsia="Calibri" w:hAnsi="Times New Roman" w:cs="Times New Roman"/>
          <w:sz w:val="24"/>
          <w:szCs w:val="24"/>
        </w:rPr>
        <w:t>Мерки, адресиращи СП 4:</w:t>
      </w:r>
    </w:p>
    <w:p w14:paraId="72E7B215"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1.1. Оптимизиране на ex ante контрола на АОП</w:t>
      </w:r>
    </w:p>
    <w:p w14:paraId="3DA7B276"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1.2. Укрепване на административния капацитет на АОП</w:t>
      </w:r>
    </w:p>
    <w:p w14:paraId="657622D2" w14:textId="77777777" w:rsidR="00361792" w:rsidRPr="00361792" w:rsidRDefault="00361792" w:rsidP="00FD2EBA">
      <w:pPr>
        <w:jc w:val="both"/>
        <w:rPr>
          <w:rFonts w:ascii="Times New Roman" w:eastAsia="Calibri" w:hAnsi="Times New Roman" w:cs="Times New Roman"/>
          <w:sz w:val="24"/>
          <w:szCs w:val="24"/>
        </w:rPr>
      </w:pPr>
      <w:r w:rsidRPr="00361792">
        <w:rPr>
          <w:rFonts w:ascii="Times New Roman" w:eastAsia="Calibri" w:hAnsi="Times New Roman" w:cs="Times New Roman"/>
          <w:sz w:val="24"/>
          <w:szCs w:val="24"/>
        </w:rPr>
        <w:t xml:space="preserve">В изпълнение на СП 5 от НПР 2015, мерки 1.1. и 1.2 от НПР 2016 и от НПР 2017, от началото на 2016 г. ОПДУ финансира по ПО4 финансов план на АОП с наименование „Финансиране на част от възнагражденията на служители на Агенцията по обществени поръчки, във връзка с изпълнение на дейности по ЕСИФ“. Общата цел на финансовия план е да се осигурят предпоставки за правилно провеждане на обществени поръчки, чиято законосъобразност е условие за постигане на добро финансово управление. Обществените поръчки съставляват част от хоризонталните политики, както на национално, така и на общоевропейско ниво. Правилата за провеждане на обществени поръчки са част от управлението на националните финансови средства и средствата, предоставени на страната по линия на Европейските структурни фондове. Предвид горното, в Споразумението за партньорство, очертаващо помощта, която ще се предостави на страната до 2020 г. е залегнало условие, България да разполага с ефективно действаща и отговаряща на европейските източници на право система в тази област. В него са посочени основните въпроси, подлежащи на решаване, а именно укрепване на </w:t>
      </w:r>
      <w:r w:rsidRPr="00361792">
        <w:rPr>
          <w:rFonts w:ascii="Times New Roman" w:eastAsia="Calibri" w:hAnsi="Times New Roman" w:cs="Times New Roman"/>
          <w:sz w:val="24"/>
          <w:szCs w:val="24"/>
        </w:rPr>
        <w:lastRenderedPageBreak/>
        <w:t>капацитета на АОП, разширяване обхвата на предварителния контрол и справяне със случаите на неправилно прилагане на законодателството / стр.54./. Чрез финансовия план се цели укрепването на капацитета за осъществяване на предварителен контрол, така че да се постигне превенция по отношение на нарушенията, върху процедури, финансирани със средства от ЕСИФ.</w:t>
      </w:r>
    </w:p>
    <w:p w14:paraId="15277D92" w14:textId="77777777" w:rsidR="00361792" w:rsidRPr="007D063B" w:rsidRDefault="00361792" w:rsidP="0080317D">
      <w:pPr>
        <w:pStyle w:val="Heading2"/>
        <w:rPr>
          <w:rFonts w:ascii="Times New Roman" w:eastAsia="Times New Roman" w:hAnsi="Times New Roman" w:cs="Times New Roman"/>
          <w:b/>
          <w:bCs/>
          <w:color w:val="auto"/>
          <w:sz w:val="24"/>
          <w:szCs w:val="24"/>
          <w:lang w:eastAsia="bg-BG"/>
        </w:rPr>
      </w:pPr>
    </w:p>
    <w:p w14:paraId="31227AA2" w14:textId="27091139" w:rsidR="00816F06" w:rsidRPr="007D063B" w:rsidRDefault="00816F06" w:rsidP="0010350D">
      <w:pPr>
        <w:pStyle w:val="Heading2"/>
        <w:jc w:val="both"/>
        <w:rPr>
          <w:rFonts w:ascii="Times New Roman" w:eastAsia="Times New Roman" w:hAnsi="Times New Roman" w:cs="Times New Roman"/>
          <w:b/>
          <w:bCs/>
          <w:color w:val="auto"/>
          <w:sz w:val="24"/>
          <w:szCs w:val="24"/>
          <w:lang w:eastAsia="bg-BG"/>
        </w:rPr>
      </w:pPr>
      <w:r w:rsidRPr="007D063B">
        <w:rPr>
          <w:rFonts w:ascii="Times New Roman" w:eastAsia="Times New Roman" w:hAnsi="Times New Roman" w:cs="Times New Roman"/>
          <w:b/>
          <w:bCs/>
          <w:color w:val="auto"/>
          <w:sz w:val="24"/>
          <w:szCs w:val="24"/>
          <w:lang w:eastAsia="bg-BG"/>
        </w:rPr>
        <w:t>11.2.   </w:t>
      </w:r>
      <w:r w:rsidRPr="007D063B">
        <w:rPr>
          <w:rFonts w:ascii="inherit" w:eastAsia="Times New Roman" w:hAnsi="inherit" w:cs="Times New Roman" w:hint="eastAsia"/>
          <w:b/>
          <w:bCs/>
          <w:color w:val="auto"/>
          <w:sz w:val="24"/>
          <w:szCs w:val="24"/>
          <w:bdr w:val="none" w:sz="0" w:space="0" w:color="auto" w:frame="1"/>
          <w:lang w:eastAsia="bg-BG"/>
        </w:rPr>
        <w:t>Специфичните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действия</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предприети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за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насърчаване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равенството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между</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мъжете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жените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за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предотвратяване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дискриминацията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по</w:t>
      </w:r>
      <w:r w:rsidRPr="007D063B">
        <w:rPr>
          <w:rFonts w:ascii="inherit" w:eastAsia="Times New Roman" w:hAnsi="inherit" w:cs="Times New Roman"/>
          <w:b/>
          <w:bCs/>
          <w:color w:val="auto"/>
          <w:sz w:val="24"/>
          <w:szCs w:val="24"/>
          <w:bdr w:val="none" w:sz="0" w:space="0" w:color="auto" w:frame="1"/>
          <w:lang w:eastAsia="bg-BG"/>
        </w:rPr>
        <w:t>-</w:t>
      </w:r>
      <w:r w:rsidRPr="007D063B">
        <w:rPr>
          <w:rFonts w:ascii="inherit" w:eastAsia="Times New Roman" w:hAnsi="inherit" w:cs="Times New Roman" w:hint="eastAsia"/>
          <w:b/>
          <w:bCs/>
          <w:color w:val="auto"/>
          <w:sz w:val="24"/>
          <w:szCs w:val="24"/>
          <w:bdr w:val="none" w:sz="0" w:space="0" w:color="auto" w:frame="1"/>
          <w:lang w:eastAsia="bg-BG"/>
        </w:rPr>
        <w:t>специално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насърчаване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достъпността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за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хората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с</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увреждания</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разпоредбите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въведени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за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да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се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гарантира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интегрирането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аспекта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за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равенството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между</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половете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в</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оперативната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програма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в</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операциите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член</w:t>
      </w:r>
      <w:r w:rsidRPr="007D063B">
        <w:rPr>
          <w:rFonts w:ascii="inherit" w:eastAsia="Times New Roman" w:hAnsi="inherit" w:cs="Times New Roman"/>
          <w:b/>
          <w:bCs/>
          <w:color w:val="auto"/>
          <w:sz w:val="24"/>
          <w:szCs w:val="24"/>
          <w:bdr w:val="none" w:sz="0" w:space="0" w:color="auto" w:frame="1"/>
          <w:lang w:eastAsia="bg-BG"/>
        </w:rPr>
        <w:t xml:space="preserve"> 50, </w:t>
      </w:r>
      <w:r w:rsidRPr="007D063B">
        <w:rPr>
          <w:rFonts w:ascii="inherit" w:eastAsia="Times New Roman" w:hAnsi="inherit" w:cs="Times New Roman" w:hint="eastAsia"/>
          <w:b/>
          <w:bCs/>
          <w:color w:val="auto"/>
          <w:sz w:val="24"/>
          <w:szCs w:val="24"/>
          <w:bdr w:val="none" w:sz="0" w:space="0" w:color="auto" w:frame="1"/>
          <w:lang w:eastAsia="bg-BG"/>
        </w:rPr>
        <w:t>параграф</w:t>
      </w:r>
      <w:r w:rsidRPr="007D063B">
        <w:rPr>
          <w:rFonts w:ascii="inherit" w:eastAsia="Times New Roman" w:hAnsi="inherit" w:cs="Times New Roman"/>
          <w:b/>
          <w:bCs/>
          <w:color w:val="auto"/>
          <w:sz w:val="24"/>
          <w:szCs w:val="24"/>
          <w:bdr w:val="none" w:sz="0" w:space="0" w:color="auto" w:frame="1"/>
          <w:lang w:eastAsia="bg-BG"/>
        </w:rPr>
        <w:t xml:space="preserve"> 4 </w:t>
      </w:r>
      <w:r w:rsidRPr="007D063B">
        <w:rPr>
          <w:rFonts w:ascii="inherit" w:eastAsia="Times New Roman" w:hAnsi="inherit" w:cs="Times New Roman" w:hint="eastAsia"/>
          <w:b/>
          <w:bCs/>
          <w:color w:val="auto"/>
          <w:sz w:val="24"/>
          <w:szCs w:val="24"/>
          <w:bdr w:val="none" w:sz="0" w:space="0" w:color="auto" w:frame="1"/>
          <w:lang w:eastAsia="bg-BG"/>
        </w:rPr>
        <w:t>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член</w:t>
      </w:r>
      <w:r w:rsidRPr="007D063B">
        <w:rPr>
          <w:rFonts w:ascii="inherit" w:eastAsia="Times New Roman" w:hAnsi="inherit" w:cs="Times New Roman"/>
          <w:b/>
          <w:bCs/>
          <w:color w:val="auto"/>
          <w:sz w:val="24"/>
          <w:szCs w:val="24"/>
          <w:bdr w:val="none" w:sz="0" w:space="0" w:color="auto" w:frame="1"/>
          <w:lang w:eastAsia="bg-BG"/>
        </w:rPr>
        <w:t xml:space="preserve"> 111, </w:t>
      </w:r>
      <w:r w:rsidRPr="007D063B">
        <w:rPr>
          <w:rFonts w:ascii="inherit" w:eastAsia="Times New Roman" w:hAnsi="inherit" w:cs="Times New Roman" w:hint="eastAsia"/>
          <w:b/>
          <w:bCs/>
          <w:color w:val="auto"/>
          <w:sz w:val="24"/>
          <w:szCs w:val="24"/>
          <w:bdr w:val="none" w:sz="0" w:space="0" w:color="auto" w:frame="1"/>
          <w:lang w:eastAsia="bg-BG"/>
        </w:rPr>
        <w:t>параграф</w:t>
      </w:r>
      <w:r w:rsidRPr="007D063B">
        <w:rPr>
          <w:rFonts w:ascii="inherit" w:eastAsia="Times New Roman" w:hAnsi="inherit" w:cs="Times New Roman"/>
          <w:b/>
          <w:bCs/>
          <w:color w:val="auto"/>
          <w:sz w:val="24"/>
          <w:szCs w:val="24"/>
          <w:bdr w:val="none" w:sz="0" w:space="0" w:color="auto" w:frame="1"/>
          <w:lang w:eastAsia="bg-BG"/>
        </w:rPr>
        <w:t xml:space="preserve"> 4, </w:t>
      </w:r>
      <w:r w:rsidRPr="007D063B">
        <w:rPr>
          <w:rFonts w:ascii="inherit" w:eastAsia="Times New Roman" w:hAnsi="inherit" w:cs="Times New Roman" w:hint="eastAsia"/>
          <w:b/>
          <w:bCs/>
          <w:color w:val="auto"/>
          <w:sz w:val="24"/>
          <w:szCs w:val="24"/>
          <w:bdr w:val="none" w:sz="0" w:space="0" w:color="auto" w:frame="1"/>
          <w:lang w:eastAsia="bg-BG"/>
        </w:rPr>
        <w:t>втора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алннея</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буква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д</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от</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Регламент</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ЕС</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 </w:t>
      </w:r>
      <w:r w:rsidRPr="007D063B">
        <w:rPr>
          <w:rFonts w:ascii="inherit" w:eastAsia="Times New Roman" w:hAnsi="inherit" w:cs="Times New Roman"/>
          <w:b/>
          <w:bCs/>
          <w:color w:val="auto"/>
          <w:sz w:val="24"/>
          <w:szCs w:val="24"/>
          <w:bdr w:val="none" w:sz="0" w:space="0" w:color="auto" w:frame="1"/>
          <w:lang w:eastAsia="bg-BG"/>
        </w:rPr>
        <w:t>1303/2013)</w:t>
      </w:r>
      <w:bookmarkEnd w:id="44"/>
    </w:p>
    <w:p w14:paraId="12C76B47" w14:textId="77777777" w:rsidR="00816F06" w:rsidRPr="007D063B" w:rsidRDefault="00816F06" w:rsidP="00816F06">
      <w:pPr>
        <w:shd w:val="clear" w:color="auto" w:fill="FFFFFF"/>
        <w:spacing w:before="120" w:after="0" w:line="312" w:lineRule="atLeast"/>
        <w:jc w:val="both"/>
        <w:textAlignment w:val="baseline"/>
        <w:rPr>
          <w:rFonts w:ascii="Times New Roman" w:eastAsia="Times New Roman" w:hAnsi="Times New Roman" w:cs="Times New Roman"/>
          <w:color w:val="444444"/>
          <w:sz w:val="24"/>
          <w:szCs w:val="24"/>
          <w:lang w:eastAsia="bg-BG"/>
        </w:rPr>
      </w:pPr>
      <w:r w:rsidRPr="007D063B">
        <w:rPr>
          <w:rFonts w:ascii="Times New Roman" w:eastAsia="Times New Roman" w:hAnsi="Times New Roman" w:cs="Times New Roman"/>
          <w:color w:val="444444"/>
          <w:sz w:val="24"/>
          <w:szCs w:val="24"/>
          <w:lang w:eastAsia="bg-BG"/>
        </w:rPr>
        <w:t>Оценка на изпълнението на специфичните действия за съобразяване с принципите, определени в член 7 от Регламент (ЕС) № 1303/2013, за насърчаване на равенството между мъжете и жените и недискриминацията, включително, в зависимост от съдържанието и целите на оперативната програма, конкретните действия, предприети за насърчаване на равенството между мъжете и жените и за предотвратяване на дискриминацията, по-специално достъпност за хора с увреждания, и разпоредбите, въведени, за да се гарантира интегрирането на аспекта за равенството между половете в оперативната програма и в операциите.</w:t>
      </w:r>
    </w:p>
    <w:p w14:paraId="076B2EC8" w14:textId="66FFA9CD" w:rsidR="00816F06" w:rsidRPr="007D063B" w:rsidRDefault="00816F06" w:rsidP="00816F06">
      <w:pPr>
        <w:shd w:val="clear" w:color="auto" w:fill="EEEEEE"/>
        <w:spacing w:line="240" w:lineRule="auto"/>
        <w:textAlignment w:val="baseline"/>
        <w:rPr>
          <w:rFonts w:eastAsia="Times New Roman" w:cs="Times New Roman"/>
          <w:i/>
          <w:iCs/>
          <w:color w:val="444444"/>
          <w:sz w:val="24"/>
          <w:szCs w:val="24"/>
          <w:bdr w:val="none" w:sz="0" w:space="0" w:color="auto" w:frame="1"/>
          <w:lang w:eastAsia="bg-BG"/>
        </w:rPr>
      </w:pPr>
      <w:r w:rsidRPr="007D063B">
        <w:rPr>
          <w:rFonts w:ascii="inherit" w:eastAsia="Times New Roman" w:hAnsi="inherit" w:cs="Times New Roman"/>
          <w:i/>
          <w:iCs/>
          <w:color w:val="444444"/>
          <w:sz w:val="24"/>
          <w:szCs w:val="24"/>
          <w:bdr w:val="none" w:sz="0" w:space="0" w:color="auto" w:frame="1"/>
          <w:lang w:eastAsia="bg-BG"/>
        </w:rPr>
        <w:t>&lt;type='S' maxlength=3500 input='M'&gt;</w:t>
      </w:r>
    </w:p>
    <w:p w14:paraId="3FF13774" w14:textId="01F0B401" w:rsidR="00AB15FF" w:rsidRPr="007D063B" w:rsidRDefault="00D16EB2" w:rsidP="0080317D">
      <w:pPr>
        <w:shd w:val="clear" w:color="auto" w:fill="EEEEEE"/>
        <w:spacing w:line="240" w:lineRule="auto"/>
        <w:jc w:val="both"/>
        <w:textAlignment w:val="baseline"/>
        <w:rPr>
          <w:rFonts w:ascii="Times New Roman" w:eastAsia="Times New Roman" w:hAnsi="Times New Roman" w:cs="Times New Roman"/>
          <w:iCs/>
          <w:color w:val="444444"/>
          <w:sz w:val="24"/>
          <w:szCs w:val="24"/>
          <w:bdr w:val="none" w:sz="0" w:space="0" w:color="auto" w:frame="1"/>
          <w:lang w:eastAsia="bg-BG"/>
        </w:rPr>
      </w:pPr>
      <w:r w:rsidRPr="007D063B">
        <w:rPr>
          <w:rFonts w:ascii="Times New Roman" w:eastAsia="Times New Roman" w:hAnsi="Times New Roman" w:cs="Times New Roman"/>
          <w:iCs/>
          <w:color w:val="444444"/>
          <w:sz w:val="24"/>
          <w:szCs w:val="24"/>
          <w:bdr w:val="none" w:sz="0" w:space="0" w:color="auto" w:frame="1"/>
          <w:lang w:eastAsia="bg-BG"/>
        </w:rPr>
        <w:t xml:space="preserve">Изпълняваните от бенефициентите проекти създават подходящи условия за подпомагане на провежданите хоризонтални политики на Европейския съюз за спазване на принципите на равенство между половете и превенция на </w:t>
      </w:r>
      <w:r w:rsidR="002C5BE8" w:rsidRPr="007D063B">
        <w:rPr>
          <w:rFonts w:ascii="Times New Roman" w:eastAsia="Times New Roman" w:hAnsi="Times New Roman" w:cs="Times New Roman"/>
          <w:iCs/>
          <w:color w:val="444444"/>
          <w:sz w:val="24"/>
          <w:szCs w:val="24"/>
          <w:bdr w:val="none" w:sz="0" w:space="0" w:color="auto" w:frame="1"/>
          <w:lang w:eastAsia="bg-BG"/>
        </w:rPr>
        <w:t>дискриминацията</w:t>
      </w:r>
      <w:r w:rsidRPr="007D063B">
        <w:rPr>
          <w:rFonts w:ascii="Times New Roman" w:eastAsia="Times New Roman" w:hAnsi="Times New Roman" w:cs="Times New Roman"/>
          <w:iCs/>
          <w:color w:val="444444"/>
          <w:sz w:val="24"/>
          <w:szCs w:val="24"/>
          <w:bdr w:val="none" w:sz="0" w:space="0" w:color="auto" w:frame="1"/>
          <w:lang w:eastAsia="bg-BG"/>
        </w:rPr>
        <w:t xml:space="preserve">, като не нарушава принципа на равните възможности. </w:t>
      </w:r>
      <w:r w:rsidR="002C5BE8" w:rsidRPr="007D063B">
        <w:rPr>
          <w:rFonts w:ascii="Times New Roman" w:eastAsia="Times New Roman" w:hAnsi="Times New Roman" w:cs="Times New Roman"/>
          <w:iCs/>
          <w:color w:val="444444"/>
          <w:sz w:val="24"/>
          <w:szCs w:val="24"/>
          <w:bdr w:val="none" w:sz="0" w:space="0" w:color="auto" w:frame="1"/>
          <w:lang w:eastAsia="bg-BG"/>
        </w:rPr>
        <w:t>При изпълнението на дейности</w:t>
      </w:r>
      <w:r w:rsidR="00754F8A" w:rsidRPr="007D063B">
        <w:rPr>
          <w:rFonts w:ascii="Times New Roman" w:eastAsia="Times New Roman" w:hAnsi="Times New Roman" w:cs="Times New Roman"/>
          <w:iCs/>
          <w:color w:val="444444"/>
          <w:sz w:val="24"/>
          <w:szCs w:val="24"/>
          <w:bdr w:val="none" w:sz="0" w:space="0" w:color="auto" w:frame="1"/>
          <w:lang w:eastAsia="bg-BG"/>
        </w:rPr>
        <w:t>те</w:t>
      </w:r>
      <w:r w:rsidR="002C5BE8" w:rsidRPr="007D063B">
        <w:rPr>
          <w:rFonts w:ascii="Times New Roman" w:eastAsia="Times New Roman" w:hAnsi="Times New Roman" w:cs="Times New Roman"/>
          <w:iCs/>
          <w:color w:val="444444"/>
          <w:sz w:val="24"/>
          <w:szCs w:val="24"/>
          <w:bdr w:val="none" w:sz="0" w:space="0" w:color="auto" w:frame="1"/>
          <w:lang w:eastAsia="bg-BG"/>
        </w:rPr>
        <w:t xml:space="preserve"> се</w:t>
      </w:r>
      <w:r w:rsidRPr="007D063B">
        <w:rPr>
          <w:rFonts w:ascii="Times New Roman" w:eastAsia="Times New Roman" w:hAnsi="Times New Roman" w:cs="Times New Roman"/>
          <w:iCs/>
          <w:color w:val="444444"/>
          <w:sz w:val="24"/>
          <w:szCs w:val="24"/>
          <w:bdr w:val="none" w:sz="0" w:space="0" w:color="auto" w:frame="1"/>
          <w:lang w:eastAsia="bg-BG"/>
        </w:rPr>
        <w:t xml:space="preserve"> отчита</w:t>
      </w:r>
      <w:r w:rsidR="002C5BE8" w:rsidRPr="007D063B">
        <w:rPr>
          <w:rFonts w:ascii="Times New Roman" w:eastAsia="Times New Roman" w:hAnsi="Times New Roman" w:cs="Times New Roman"/>
          <w:iCs/>
          <w:color w:val="444444"/>
          <w:sz w:val="24"/>
          <w:szCs w:val="24"/>
          <w:bdr w:val="none" w:sz="0" w:space="0" w:color="auto" w:frame="1"/>
          <w:lang w:eastAsia="bg-BG"/>
        </w:rPr>
        <w:t>т</w:t>
      </w:r>
      <w:r w:rsidRPr="007D063B">
        <w:rPr>
          <w:rFonts w:ascii="Times New Roman" w:eastAsia="Times New Roman" w:hAnsi="Times New Roman" w:cs="Times New Roman"/>
          <w:iCs/>
          <w:color w:val="444444"/>
          <w:sz w:val="24"/>
          <w:szCs w:val="24"/>
          <w:bdr w:val="none" w:sz="0" w:space="0" w:color="auto" w:frame="1"/>
          <w:lang w:eastAsia="bg-BG"/>
        </w:rPr>
        <w:t xml:space="preserve"> неутралност по отношение на принадлежн</w:t>
      </w:r>
      <w:r w:rsidR="002C5BE8" w:rsidRPr="007D063B">
        <w:rPr>
          <w:rFonts w:ascii="Times New Roman" w:eastAsia="Times New Roman" w:hAnsi="Times New Roman" w:cs="Times New Roman"/>
          <w:iCs/>
          <w:color w:val="444444"/>
          <w:sz w:val="24"/>
          <w:szCs w:val="24"/>
          <w:bdr w:val="none" w:sz="0" w:space="0" w:color="auto" w:frame="1"/>
          <w:lang w:eastAsia="bg-BG"/>
        </w:rPr>
        <w:t>о</w:t>
      </w:r>
      <w:r w:rsidRPr="007D063B">
        <w:rPr>
          <w:rFonts w:ascii="Times New Roman" w:eastAsia="Times New Roman" w:hAnsi="Times New Roman" w:cs="Times New Roman"/>
          <w:iCs/>
          <w:color w:val="444444"/>
          <w:sz w:val="24"/>
          <w:szCs w:val="24"/>
          <w:bdr w:val="none" w:sz="0" w:space="0" w:color="auto" w:frame="1"/>
          <w:lang w:eastAsia="bg-BG"/>
        </w:rPr>
        <w:t>стта на участниците в проектите към каквато и да е група по какъвто и да е признак. Не са поставени ограничения по пол, народност, етнос, гражданство, раса, религия или вяра, образование, убеждения, политическа принадлежност, увреждане, възраст, личностно или обществено положение, сексуална ориентация, семейно положение, имуществена ориентация и други.</w:t>
      </w:r>
      <w:r w:rsidR="002C5BE8" w:rsidRPr="007D063B">
        <w:rPr>
          <w:rFonts w:ascii="Times New Roman" w:eastAsia="Times New Roman" w:hAnsi="Times New Roman" w:cs="Times New Roman"/>
          <w:iCs/>
          <w:color w:val="444444"/>
          <w:sz w:val="24"/>
          <w:szCs w:val="24"/>
          <w:bdr w:val="none" w:sz="0" w:space="0" w:color="auto" w:frame="1"/>
          <w:lang w:eastAsia="bg-BG"/>
        </w:rPr>
        <w:t xml:space="preserve"> </w:t>
      </w:r>
      <w:r w:rsidR="00A71BE4" w:rsidRPr="007D063B">
        <w:rPr>
          <w:rFonts w:ascii="Times New Roman" w:eastAsia="Times New Roman" w:hAnsi="Times New Roman" w:cs="Times New Roman"/>
          <w:iCs/>
          <w:color w:val="444444"/>
          <w:sz w:val="24"/>
          <w:szCs w:val="24"/>
          <w:bdr w:val="none" w:sz="0" w:space="0" w:color="auto" w:frame="1"/>
          <w:lang w:eastAsia="bg-BG"/>
        </w:rPr>
        <w:t xml:space="preserve"> </w:t>
      </w:r>
      <w:r w:rsidR="002C5BE8" w:rsidRPr="007D063B">
        <w:rPr>
          <w:rFonts w:ascii="Times New Roman" w:eastAsia="Times New Roman" w:hAnsi="Times New Roman" w:cs="Times New Roman"/>
          <w:iCs/>
          <w:color w:val="444444"/>
          <w:sz w:val="24"/>
          <w:szCs w:val="24"/>
          <w:bdr w:val="none" w:sz="0" w:space="0" w:color="auto" w:frame="1"/>
          <w:lang w:eastAsia="bg-BG"/>
        </w:rPr>
        <w:t>При</w:t>
      </w:r>
      <w:r w:rsidR="00A71BE4" w:rsidRPr="007D063B">
        <w:rPr>
          <w:rFonts w:ascii="Times New Roman" w:eastAsia="Times New Roman" w:hAnsi="Times New Roman" w:cs="Times New Roman"/>
          <w:iCs/>
          <w:color w:val="444444"/>
          <w:sz w:val="24"/>
          <w:szCs w:val="24"/>
          <w:bdr w:val="none" w:sz="0" w:space="0" w:color="auto" w:frame="1"/>
          <w:lang w:eastAsia="bg-BG"/>
        </w:rPr>
        <w:t xml:space="preserve"> </w:t>
      </w:r>
      <w:r w:rsidR="002C5BE8" w:rsidRPr="007D063B">
        <w:rPr>
          <w:rFonts w:ascii="Times New Roman" w:eastAsia="Times New Roman" w:hAnsi="Times New Roman" w:cs="Times New Roman"/>
          <w:iCs/>
          <w:color w:val="444444"/>
          <w:sz w:val="24"/>
          <w:szCs w:val="24"/>
          <w:bdr w:val="none" w:sz="0" w:space="0" w:color="auto" w:frame="1"/>
          <w:lang w:eastAsia="bg-BG"/>
        </w:rPr>
        <w:t>избор на</w:t>
      </w:r>
      <w:r w:rsidR="00A71BE4" w:rsidRPr="007D063B">
        <w:rPr>
          <w:rFonts w:ascii="Times New Roman" w:eastAsia="Times New Roman" w:hAnsi="Times New Roman" w:cs="Times New Roman"/>
          <w:iCs/>
          <w:color w:val="444444"/>
          <w:sz w:val="24"/>
          <w:szCs w:val="24"/>
          <w:bdr w:val="none" w:sz="0" w:space="0" w:color="auto" w:frame="1"/>
          <w:lang w:eastAsia="bg-BG"/>
        </w:rPr>
        <w:t xml:space="preserve"> </w:t>
      </w:r>
      <w:r w:rsidR="007E19E5" w:rsidRPr="007D063B">
        <w:rPr>
          <w:rFonts w:ascii="Times New Roman" w:eastAsia="Times New Roman" w:hAnsi="Times New Roman" w:cs="Times New Roman"/>
          <w:iCs/>
          <w:color w:val="444444"/>
          <w:sz w:val="24"/>
          <w:szCs w:val="24"/>
          <w:bdr w:val="none" w:sz="0" w:space="0" w:color="auto" w:frame="1"/>
          <w:lang w:eastAsia="bg-BG"/>
        </w:rPr>
        <w:t xml:space="preserve">членове на </w:t>
      </w:r>
      <w:r w:rsidR="00A71BE4" w:rsidRPr="007D063B">
        <w:rPr>
          <w:rFonts w:ascii="Times New Roman" w:eastAsia="Times New Roman" w:hAnsi="Times New Roman" w:cs="Times New Roman"/>
          <w:iCs/>
          <w:color w:val="444444"/>
          <w:sz w:val="24"/>
          <w:szCs w:val="24"/>
          <w:bdr w:val="none" w:sz="0" w:space="0" w:color="auto" w:frame="1"/>
          <w:lang w:eastAsia="bg-BG"/>
        </w:rPr>
        <w:t>екипите за управление, както и на изпълнителите се предприемат действия за насърчаване на равенството между мъжете и жените и за предотвратяване на дискриминацията, по-специално достъпност за хора с увреждания, като същите се избират на база тяхната експертиза, познания и опит, без оглед на други признаци или конкретна принадлежност, извън професионалната.</w:t>
      </w:r>
      <w:r w:rsidR="007E19E5" w:rsidRPr="007D063B">
        <w:rPr>
          <w:rFonts w:ascii="Times New Roman" w:eastAsia="Times New Roman" w:hAnsi="Times New Roman" w:cs="Times New Roman"/>
          <w:iCs/>
          <w:color w:val="444444"/>
          <w:sz w:val="24"/>
          <w:szCs w:val="24"/>
          <w:bdr w:val="none" w:sz="0" w:space="0" w:color="auto" w:frame="1"/>
          <w:lang w:eastAsia="bg-BG"/>
        </w:rPr>
        <w:t xml:space="preserve"> С изпълнението на дейности за публичност и визуализация се реализира равен достъп на гражданите и бизнеса до информация. При изготвянето на документацията свързана с провеждане на обществени поръчки и изисквания към участниците се спазват принципите по насърчаване на равенството между мъжете и жените и недопускане на дискриминация.</w:t>
      </w:r>
    </w:p>
    <w:p w14:paraId="42B026B9" w14:textId="77777777" w:rsidR="00AB15FF" w:rsidRPr="007D063B" w:rsidRDefault="00AB15FF" w:rsidP="00816F06">
      <w:pPr>
        <w:shd w:val="clear" w:color="auto" w:fill="EEEEEE"/>
        <w:spacing w:line="240" w:lineRule="auto"/>
        <w:textAlignment w:val="baseline"/>
        <w:rPr>
          <w:rFonts w:ascii="Times New Roman" w:eastAsia="Times New Roman" w:hAnsi="Times New Roman" w:cs="Times New Roman"/>
          <w:color w:val="444444"/>
          <w:sz w:val="24"/>
          <w:szCs w:val="24"/>
          <w:lang w:eastAsia="bg-BG"/>
        </w:rPr>
      </w:pPr>
    </w:p>
    <w:p w14:paraId="35EE53AC" w14:textId="77777777" w:rsidR="00816F06" w:rsidRPr="007D063B" w:rsidRDefault="00816F06" w:rsidP="0084070C">
      <w:pPr>
        <w:pStyle w:val="Heading2"/>
        <w:rPr>
          <w:rFonts w:ascii="Times New Roman" w:eastAsia="Times New Roman" w:hAnsi="Times New Roman" w:cs="Times New Roman"/>
          <w:b/>
          <w:bCs/>
          <w:color w:val="auto"/>
          <w:sz w:val="24"/>
          <w:szCs w:val="24"/>
          <w:lang w:eastAsia="bg-BG"/>
        </w:rPr>
      </w:pPr>
      <w:bookmarkStart w:id="45" w:name="_Toc481594306"/>
      <w:r w:rsidRPr="007D063B">
        <w:rPr>
          <w:rFonts w:ascii="Times New Roman" w:eastAsia="Times New Roman" w:hAnsi="Times New Roman" w:cs="Times New Roman"/>
          <w:b/>
          <w:bCs/>
          <w:color w:val="auto"/>
          <w:sz w:val="24"/>
          <w:szCs w:val="24"/>
          <w:lang w:eastAsia="bg-BG"/>
        </w:rPr>
        <w:lastRenderedPageBreak/>
        <w:t>11.3.   </w:t>
      </w:r>
      <w:r w:rsidRPr="007D063B">
        <w:rPr>
          <w:rFonts w:ascii="inherit" w:eastAsia="Times New Roman" w:hAnsi="inherit" w:cs="Times New Roman" w:hint="eastAsia"/>
          <w:b/>
          <w:bCs/>
          <w:color w:val="auto"/>
          <w:sz w:val="24"/>
          <w:szCs w:val="24"/>
          <w:bdr w:val="none" w:sz="0" w:space="0" w:color="auto" w:frame="1"/>
          <w:lang w:eastAsia="bg-BG"/>
        </w:rPr>
        <w:t>Устойчиво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развитие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член</w:t>
      </w:r>
      <w:r w:rsidRPr="007D063B">
        <w:rPr>
          <w:rFonts w:ascii="inherit" w:eastAsia="Times New Roman" w:hAnsi="inherit" w:cs="Times New Roman"/>
          <w:b/>
          <w:bCs/>
          <w:color w:val="auto"/>
          <w:sz w:val="24"/>
          <w:szCs w:val="24"/>
          <w:bdr w:val="none" w:sz="0" w:space="0" w:color="auto" w:frame="1"/>
          <w:lang w:eastAsia="bg-BG"/>
        </w:rPr>
        <w:t xml:space="preserve"> 50, </w:t>
      </w:r>
      <w:r w:rsidRPr="007D063B">
        <w:rPr>
          <w:rFonts w:ascii="inherit" w:eastAsia="Times New Roman" w:hAnsi="inherit" w:cs="Times New Roman" w:hint="eastAsia"/>
          <w:b/>
          <w:bCs/>
          <w:color w:val="auto"/>
          <w:sz w:val="24"/>
          <w:szCs w:val="24"/>
          <w:bdr w:val="none" w:sz="0" w:space="0" w:color="auto" w:frame="1"/>
          <w:lang w:eastAsia="bg-BG"/>
        </w:rPr>
        <w:t>параграф</w:t>
      </w:r>
      <w:r w:rsidRPr="007D063B">
        <w:rPr>
          <w:rFonts w:ascii="inherit" w:eastAsia="Times New Roman" w:hAnsi="inherit" w:cs="Times New Roman"/>
          <w:b/>
          <w:bCs/>
          <w:color w:val="auto"/>
          <w:sz w:val="24"/>
          <w:szCs w:val="24"/>
          <w:bdr w:val="none" w:sz="0" w:space="0" w:color="auto" w:frame="1"/>
          <w:lang w:eastAsia="bg-BG"/>
        </w:rPr>
        <w:t xml:space="preserve"> 4 </w:t>
      </w:r>
      <w:r w:rsidRPr="007D063B">
        <w:rPr>
          <w:rFonts w:ascii="inherit" w:eastAsia="Times New Roman" w:hAnsi="inherit" w:cs="Times New Roman" w:hint="eastAsia"/>
          <w:b/>
          <w:bCs/>
          <w:color w:val="auto"/>
          <w:sz w:val="24"/>
          <w:szCs w:val="24"/>
          <w:bdr w:val="none" w:sz="0" w:space="0" w:color="auto" w:frame="1"/>
          <w:lang w:eastAsia="bg-BG"/>
        </w:rPr>
        <w:t>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член</w:t>
      </w:r>
      <w:r w:rsidRPr="007D063B">
        <w:rPr>
          <w:rFonts w:ascii="inherit" w:eastAsia="Times New Roman" w:hAnsi="inherit" w:cs="Times New Roman"/>
          <w:b/>
          <w:bCs/>
          <w:color w:val="auto"/>
          <w:sz w:val="24"/>
          <w:szCs w:val="24"/>
          <w:bdr w:val="none" w:sz="0" w:space="0" w:color="auto" w:frame="1"/>
          <w:lang w:eastAsia="bg-BG"/>
        </w:rPr>
        <w:t xml:space="preserve"> 111, </w:t>
      </w:r>
      <w:r w:rsidRPr="007D063B">
        <w:rPr>
          <w:rFonts w:ascii="inherit" w:eastAsia="Times New Roman" w:hAnsi="inherit" w:cs="Times New Roman" w:hint="eastAsia"/>
          <w:b/>
          <w:bCs/>
          <w:color w:val="auto"/>
          <w:sz w:val="24"/>
          <w:szCs w:val="24"/>
          <w:bdr w:val="none" w:sz="0" w:space="0" w:color="auto" w:frame="1"/>
          <w:lang w:eastAsia="bg-BG"/>
        </w:rPr>
        <w:t>параграф</w:t>
      </w:r>
      <w:r w:rsidRPr="007D063B">
        <w:rPr>
          <w:rFonts w:ascii="inherit" w:eastAsia="Times New Roman" w:hAnsi="inherit" w:cs="Times New Roman"/>
          <w:b/>
          <w:bCs/>
          <w:color w:val="auto"/>
          <w:sz w:val="24"/>
          <w:szCs w:val="24"/>
          <w:bdr w:val="none" w:sz="0" w:space="0" w:color="auto" w:frame="1"/>
          <w:lang w:eastAsia="bg-BG"/>
        </w:rPr>
        <w:t xml:space="preserve"> 4, </w:t>
      </w:r>
      <w:r w:rsidRPr="007D063B">
        <w:rPr>
          <w:rFonts w:ascii="inherit" w:eastAsia="Times New Roman" w:hAnsi="inherit" w:cs="Times New Roman" w:hint="eastAsia"/>
          <w:b/>
          <w:bCs/>
          <w:color w:val="auto"/>
          <w:sz w:val="24"/>
          <w:szCs w:val="24"/>
          <w:bdr w:val="none" w:sz="0" w:space="0" w:color="auto" w:frame="1"/>
          <w:lang w:eastAsia="bg-BG"/>
        </w:rPr>
        <w:t>втора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алинея</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буква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от</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Регламент</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ЕС</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w:t>
      </w:r>
      <w:r w:rsidRPr="007D063B">
        <w:rPr>
          <w:rFonts w:ascii="inherit" w:eastAsia="Times New Roman" w:hAnsi="inherit" w:cs="Times New Roman"/>
          <w:b/>
          <w:bCs/>
          <w:color w:val="auto"/>
          <w:sz w:val="24"/>
          <w:szCs w:val="24"/>
          <w:bdr w:val="none" w:sz="0" w:space="0" w:color="auto" w:frame="1"/>
          <w:lang w:eastAsia="bg-BG"/>
        </w:rPr>
        <w:t xml:space="preserve"> 1303/2013)</w:t>
      </w:r>
      <w:bookmarkEnd w:id="45"/>
    </w:p>
    <w:p w14:paraId="130CBCFD" w14:textId="77777777" w:rsidR="00816F06" w:rsidRPr="007D063B" w:rsidRDefault="00816F06" w:rsidP="00816F06">
      <w:pPr>
        <w:shd w:val="clear" w:color="auto" w:fill="FFFFFF"/>
        <w:spacing w:before="120" w:after="0" w:line="312" w:lineRule="atLeast"/>
        <w:jc w:val="both"/>
        <w:textAlignment w:val="baseline"/>
        <w:rPr>
          <w:rFonts w:ascii="Times New Roman" w:eastAsia="Times New Roman" w:hAnsi="Times New Roman" w:cs="Times New Roman"/>
          <w:color w:val="444444"/>
          <w:sz w:val="24"/>
          <w:szCs w:val="24"/>
          <w:lang w:eastAsia="bg-BG"/>
        </w:rPr>
      </w:pPr>
      <w:r w:rsidRPr="007D063B">
        <w:rPr>
          <w:rFonts w:ascii="Times New Roman" w:eastAsia="Times New Roman" w:hAnsi="Times New Roman" w:cs="Times New Roman"/>
          <w:color w:val="444444"/>
          <w:sz w:val="24"/>
          <w:szCs w:val="24"/>
          <w:lang w:eastAsia="bg-BG"/>
        </w:rPr>
        <w:t>Оценка на изпълнението на специфичните действия за съобразяване с принципите, определени в член 8 от Регламент (ЕС) № 1303/2013, относно устойчивото развитие, включително, в зависимост от съдържанието и целите на оперативната програма, преглед на действията, предприети за насърчаване на устойчивото развитие в съответствие с този член.</w:t>
      </w:r>
    </w:p>
    <w:p w14:paraId="6ABADEAB" w14:textId="16763805" w:rsidR="00816F06" w:rsidRPr="007D063B" w:rsidRDefault="00816F06" w:rsidP="00816F06">
      <w:pPr>
        <w:shd w:val="clear" w:color="auto" w:fill="EEEEEE"/>
        <w:spacing w:line="240" w:lineRule="auto"/>
        <w:textAlignment w:val="baseline"/>
        <w:rPr>
          <w:rFonts w:eastAsia="Times New Roman" w:cs="Times New Roman"/>
          <w:i/>
          <w:iCs/>
          <w:color w:val="444444"/>
          <w:sz w:val="24"/>
          <w:szCs w:val="24"/>
          <w:bdr w:val="none" w:sz="0" w:space="0" w:color="auto" w:frame="1"/>
          <w:lang w:eastAsia="bg-BG"/>
        </w:rPr>
      </w:pPr>
      <w:r w:rsidRPr="007D063B">
        <w:rPr>
          <w:rFonts w:ascii="inherit" w:eastAsia="Times New Roman" w:hAnsi="inherit" w:cs="Times New Roman"/>
          <w:i/>
          <w:iCs/>
          <w:color w:val="444444"/>
          <w:sz w:val="24"/>
          <w:szCs w:val="24"/>
          <w:bdr w:val="none" w:sz="0" w:space="0" w:color="auto" w:frame="1"/>
          <w:lang w:eastAsia="bg-BG"/>
        </w:rPr>
        <w:t>&lt;type='S' maxlength=3500 input='M'&gt;</w:t>
      </w:r>
    </w:p>
    <w:p w14:paraId="5A977670" w14:textId="70888494" w:rsidR="003054B3" w:rsidRPr="007D063B" w:rsidRDefault="0084070C" w:rsidP="00060218">
      <w:pPr>
        <w:shd w:val="clear" w:color="auto" w:fill="EEEEEE"/>
        <w:spacing w:line="240" w:lineRule="auto"/>
        <w:jc w:val="both"/>
        <w:textAlignment w:val="baseline"/>
        <w:rPr>
          <w:rFonts w:ascii="Times New Roman" w:eastAsia="Times New Roman" w:hAnsi="Times New Roman" w:cs="Times New Roman"/>
          <w:iCs/>
          <w:sz w:val="24"/>
          <w:szCs w:val="24"/>
          <w:bdr w:val="none" w:sz="0" w:space="0" w:color="auto" w:frame="1"/>
          <w:lang w:eastAsia="bg-BG"/>
        </w:rPr>
      </w:pPr>
      <w:r w:rsidRPr="007D063B">
        <w:rPr>
          <w:rFonts w:ascii="Times New Roman" w:eastAsia="Times New Roman" w:hAnsi="Times New Roman" w:cs="Times New Roman"/>
          <w:iCs/>
          <w:sz w:val="24"/>
          <w:szCs w:val="24"/>
          <w:bdr w:val="none" w:sz="0" w:space="0" w:color="auto" w:frame="1"/>
          <w:lang w:eastAsia="bg-BG"/>
        </w:rPr>
        <w:t>За спазването на хоризонталния принцип за Устойчиво развитие по програмата се отчитат дейности за подпомагане развитието на екологосъобразна администрация (работа без използване на хартия), изграждане на по-конкурентоспособна нисковъглеродна икономика, в която ресурсите се използват по ефикасен и устойчив начин, подобряване на условията за бизнес. Процесите по к</w:t>
      </w:r>
      <w:r w:rsidR="00060218" w:rsidRPr="007D063B">
        <w:rPr>
          <w:rFonts w:ascii="Times New Roman" w:eastAsia="Times New Roman" w:hAnsi="Times New Roman" w:cs="Times New Roman"/>
          <w:iCs/>
          <w:sz w:val="24"/>
          <w:szCs w:val="24"/>
          <w:bdr w:val="none" w:sz="0" w:space="0" w:color="auto" w:frame="1"/>
          <w:lang w:eastAsia="bg-BG"/>
        </w:rPr>
        <w:t>андидатстване</w:t>
      </w:r>
      <w:r w:rsidRPr="007D063B">
        <w:rPr>
          <w:rFonts w:ascii="Times New Roman" w:eastAsia="Times New Roman" w:hAnsi="Times New Roman" w:cs="Times New Roman"/>
          <w:iCs/>
          <w:sz w:val="24"/>
          <w:szCs w:val="24"/>
          <w:bdr w:val="none" w:sz="0" w:space="0" w:color="auto" w:frame="1"/>
          <w:lang w:eastAsia="bg-BG"/>
        </w:rPr>
        <w:t xml:space="preserve"> по оперативната програма</w:t>
      </w:r>
      <w:r w:rsidR="00060218" w:rsidRPr="007D063B">
        <w:rPr>
          <w:rFonts w:ascii="Times New Roman" w:eastAsia="Times New Roman" w:hAnsi="Times New Roman" w:cs="Times New Roman"/>
          <w:iCs/>
          <w:sz w:val="24"/>
          <w:szCs w:val="24"/>
          <w:bdr w:val="none" w:sz="0" w:space="0" w:color="auto" w:frame="1"/>
          <w:lang w:eastAsia="bg-BG"/>
        </w:rPr>
        <w:t xml:space="preserve">, </w:t>
      </w:r>
      <w:r w:rsidRPr="007D063B">
        <w:rPr>
          <w:rFonts w:ascii="Times New Roman" w:eastAsia="Times New Roman" w:hAnsi="Times New Roman" w:cs="Times New Roman"/>
          <w:iCs/>
          <w:sz w:val="24"/>
          <w:szCs w:val="24"/>
          <w:bdr w:val="none" w:sz="0" w:space="0" w:color="auto" w:frame="1"/>
          <w:lang w:eastAsia="bg-BG"/>
        </w:rPr>
        <w:t xml:space="preserve">както и </w:t>
      </w:r>
      <w:r w:rsidR="00060218" w:rsidRPr="007D063B">
        <w:rPr>
          <w:rFonts w:ascii="Times New Roman" w:eastAsia="Times New Roman" w:hAnsi="Times New Roman" w:cs="Times New Roman"/>
          <w:iCs/>
          <w:sz w:val="24"/>
          <w:szCs w:val="24"/>
          <w:bdr w:val="none" w:sz="0" w:space="0" w:color="auto" w:frame="1"/>
          <w:lang w:eastAsia="bg-BG"/>
        </w:rPr>
        <w:t xml:space="preserve">комуникацията </w:t>
      </w:r>
      <w:r w:rsidRPr="007D063B">
        <w:rPr>
          <w:rFonts w:ascii="Times New Roman" w:eastAsia="Times New Roman" w:hAnsi="Times New Roman" w:cs="Times New Roman"/>
          <w:iCs/>
          <w:sz w:val="24"/>
          <w:szCs w:val="24"/>
          <w:bdr w:val="none" w:sz="0" w:space="0" w:color="auto" w:frame="1"/>
          <w:lang w:eastAsia="bg-BG"/>
        </w:rPr>
        <w:t xml:space="preserve">и отчитането след сключването на договори/подписването на заповеди за предоставяне на БФП се </w:t>
      </w:r>
      <w:r w:rsidR="00060218" w:rsidRPr="007D063B">
        <w:rPr>
          <w:rFonts w:ascii="Times New Roman" w:eastAsia="Times New Roman" w:hAnsi="Times New Roman" w:cs="Times New Roman"/>
          <w:iCs/>
          <w:sz w:val="24"/>
          <w:szCs w:val="24"/>
          <w:bdr w:val="none" w:sz="0" w:space="0" w:color="auto" w:frame="1"/>
          <w:lang w:eastAsia="bg-BG"/>
        </w:rPr>
        <w:t>осъществява</w:t>
      </w:r>
      <w:r w:rsidR="003054B3" w:rsidRPr="007D063B">
        <w:rPr>
          <w:rFonts w:ascii="Times New Roman" w:eastAsia="Times New Roman" w:hAnsi="Times New Roman" w:cs="Times New Roman"/>
          <w:iCs/>
          <w:sz w:val="24"/>
          <w:szCs w:val="24"/>
          <w:bdr w:val="none" w:sz="0" w:space="0" w:color="auto" w:frame="1"/>
          <w:lang w:eastAsia="bg-BG"/>
        </w:rPr>
        <w:t>т</w:t>
      </w:r>
      <w:r w:rsidR="00060218" w:rsidRPr="007D063B">
        <w:rPr>
          <w:rFonts w:ascii="Times New Roman" w:eastAsia="Times New Roman" w:hAnsi="Times New Roman" w:cs="Times New Roman"/>
          <w:iCs/>
          <w:sz w:val="24"/>
          <w:szCs w:val="24"/>
          <w:bdr w:val="none" w:sz="0" w:space="0" w:color="auto" w:frame="1"/>
          <w:lang w:eastAsia="bg-BG"/>
        </w:rPr>
        <w:t xml:space="preserve"> изцяло по електронен път чрез Информационната система за управление и наблюдение на средствата от ЕС 2020. </w:t>
      </w:r>
      <w:r w:rsidR="003054B3" w:rsidRPr="007D063B">
        <w:rPr>
          <w:rFonts w:ascii="Times New Roman" w:eastAsia="Times New Roman" w:hAnsi="Times New Roman" w:cs="Times New Roman"/>
          <w:iCs/>
          <w:sz w:val="24"/>
          <w:szCs w:val="24"/>
          <w:bdr w:val="none" w:sz="0" w:space="0" w:color="auto" w:frame="1"/>
          <w:lang w:eastAsia="bg-BG"/>
        </w:rPr>
        <w:t>Това</w:t>
      </w:r>
      <w:r w:rsidRPr="007D063B">
        <w:rPr>
          <w:rFonts w:ascii="Times New Roman" w:eastAsia="Times New Roman" w:hAnsi="Times New Roman" w:cs="Times New Roman"/>
          <w:iCs/>
          <w:sz w:val="24"/>
          <w:szCs w:val="24"/>
          <w:bdr w:val="none" w:sz="0" w:space="0" w:color="auto" w:frame="1"/>
          <w:lang w:eastAsia="bg-BG"/>
        </w:rPr>
        <w:t xml:space="preserve"> елиминира трансферирането на </w:t>
      </w:r>
      <w:r w:rsidR="003054B3" w:rsidRPr="007D063B">
        <w:rPr>
          <w:rFonts w:ascii="Times New Roman" w:eastAsia="Times New Roman" w:hAnsi="Times New Roman" w:cs="Times New Roman"/>
          <w:iCs/>
          <w:sz w:val="24"/>
          <w:szCs w:val="24"/>
          <w:bdr w:val="none" w:sz="0" w:space="0" w:color="auto" w:frame="1"/>
          <w:lang w:eastAsia="bg-BG"/>
        </w:rPr>
        <w:t xml:space="preserve">голям обем </w:t>
      </w:r>
      <w:r w:rsidRPr="007D063B">
        <w:rPr>
          <w:rFonts w:ascii="Times New Roman" w:eastAsia="Times New Roman" w:hAnsi="Times New Roman" w:cs="Times New Roman"/>
          <w:iCs/>
          <w:sz w:val="24"/>
          <w:szCs w:val="24"/>
          <w:bdr w:val="none" w:sz="0" w:space="0" w:color="auto" w:frame="1"/>
          <w:lang w:eastAsia="bg-BG"/>
        </w:rPr>
        <w:t>документи</w:t>
      </w:r>
      <w:r w:rsidR="003054B3" w:rsidRPr="007D063B">
        <w:rPr>
          <w:rFonts w:ascii="Times New Roman" w:eastAsia="Times New Roman" w:hAnsi="Times New Roman" w:cs="Times New Roman"/>
          <w:iCs/>
          <w:sz w:val="24"/>
          <w:szCs w:val="24"/>
          <w:bdr w:val="none" w:sz="0" w:space="0" w:color="auto" w:frame="1"/>
          <w:lang w:eastAsia="bg-BG"/>
        </w:rPr>
        <w:t xml:space="preserve"> на хартия</w:t>
      </w:r>
      <w:r w:rsidRPr="007D063B">
        <w:rPr>
          <w:rFonts w:ascii="Times New Roman" w:eastAsia="Times New Roman" w:hAnsi="Times New Roman" w:cs="Times New Roman"/>
          <w:iCs/>
          <w:sz w:val="24"/>
          <w:szCs w:val="24"/>
          <w:bdr w:val="none" w:sz="0" w:space="0" w:color="auto" w:frame="1"/>
          <w:lang w:eastAsia="bg-BG"/>
        </w:rPr>
        <w:t xml:space="preserve"> между кандидатите/бенефициентите и УО</w:t>
      </w:r>
      <w:r w:rsidR="003054B3" w:rsidRPr="007D063B">
        <w:rPr>
          <w:rFonts w:ascii="Times New Roman" w:eastAsia="Times New Roman" w:hAnsi="Times New Roman" w:cs="Times New Roman"/>
          <w:iCs/>
          <w:sz w:val="24"/>
          <w:szCs w:val="24"/>
          <w:bdr w:val="none" w:sz="0" w:space="0" w:color="auto" w:frame="1"/>
          <w:lang w:eastAsia="bg-BG"/>
        </w:rPr>
        <w:t>,</w:t>
      </w:r>
      <w:r w:rsidRPr="007D063B">
        <w:rPr>
          <w:rFonts w:ascii="Times New Roman" w:eastAsia="Times New Roman" w:hAnsi="Times New Roman" w:cs="Times New Roman"/>
          <w:iCs/>
          <w:sz w:val="24"/>
          <w:szCs w:val="24"/>
          <w:bdr w:val="none" w:sz="0" w:space="0" w:color="auto" w:frame="1"/>
          <w:lang w:eastAsia="bg-BG"/>
        </w:rPr>
        <w:t xml:space="preserve"> </w:t>
      </w:r>
      <w:r w:rsidR="003054B3" w:rsidRPr="007D063B">
        <w:rPr>
          <w:rFonts w:ascii="Times New Roman" w:eastAsia="Times New Roman" w:hAnsi="Times New Roman" w:cs="Times New Roman"/>
          <w:iCs/>
          <w:sz w:val="24"/>
          <w:szCs w:val="24"/>
          <w:bdr w:val="none" w:sz="0" w:space="0" w:color="auto" w:frame="1"/>
          <w:lang w:eastAsia="bg-BG"/>
        </w:rPr>
        <w:t xml:space="preserve">пести ресурси и оптимизира процесите. </w:t>
      </w:r>
    </w:p>
    <w:p w14:paraId="02E7B9A7" w14:textId="129807E6" w:rsidR="00310248" w:rsidRPr="007D063B" w:rsidRDefault="003054B3" w:rsidP="00060218">
      <w:pPr>
        <w:shd w:val="clear" w:color="auto" w:fill="EEEEEE"/>
        <w:spacing w:line="240" w:lineRule="auto"/>
        <w:jc w:val="both"/>
        <w:textAlignment w:val="baseline"/>
        <w:rPr>
          <w:rFonts w:ascii="Times New Roman" w:eastAsia="Times New Roman" w:hAnsi="Times New Roman" w:cs="Times New Roman"/>
          <w:iCs/>
          <w:sz w:val="24"/>
          <w:szCs w:val="24"/>
          <w:bdr w:val="none" w:sz="0" w:space="0" w:color="auto" w:frame="1"/>
          <w:lang w:eastAsia="bg-BG"/>
        </w:rPr>
      </w:pPr>
      <w:r w:rsidRPr="007D063B">
        <w:rPr>
          <w:rFonts w:ascii="Times New Roman" w:eastAsia="Times New Roman" w:hAnsi="Times New Roman" w:cs="Times New Roman"/>
          <w:iCs/>
          <w:sz w:val="24"/>
          <w:szCs w:val="24"/>
          <w:bdr w:val="none" w:sz="0" w:space="0" w:color="auto" w:frame="1"/>
          <w:lang w:eastAsia="bg-BG"/>
        </w:rPr>
        <w:t>Всички проекти по ПО 1</w:t>
      </w:r>
      <w:r w:rsidR="00A82135" w:rsidRPr="007D063B">
        <w:rPr>
          <w:rFonts w:ascii="Times New Roman" w:eastAsia="Times New Roman" w:hAnsi="Times New Roman" w:cs="Times New Roman"/>
          <w:iCs/>
          <w:sz w:val="24"/>
          <w:szCs w:val="24"/>
          <w:bdr w:val="none" w:sz="0" w:space="0" w:color="auto" w:frame="1"/>
          <w:lang w:eastAsia="bg-BG"/>
        </w:rPr>
        <w:t>, както и някои по ПО 2</w:t>
      </w:r>
      <w:r w:rsidR="00270F12" w:rsidRPr="007D063B">
        <w:rPr>
          <w:rFonts w:ascii="Times New Roman" w:eastAsia="Times New Roman" w:hAnsi="Times New Roman" w:cs="Times New Roman"/>
          <w:iCs/>
          <w:sz w:val="24"/>
          <w:szCs w:val="24"/>
          <w:bdr w:val="none" w:sz="0" w:space="0" w:color="auto" w:frame="1"/>
          <w:lang w:eastAsia="bg-BG"/>
        </w:rPr>
        <w:t>,</w:t>
      </w:r>
      <w:r w:rsidR="00A82135" w:rsidRPr="007D063B">
        <w:rPr>
          <w:rFonts w:ascii="Times New Roman" w:eastAsia="Times New Roman" w:hAnsi="Times New Roman" w:cs="Times New Roman"/>
          <w:iCs/>
          <w:sz w:val="24"/>
          <w:szCs w:val="24"/>
          <w:bdr w:val="none" w:sz="0" w:space="0" w:color="auto" w:frame="1"/>
          <w:lang w:eastAsia="bg-BG"/>
        </w:rPr>
        <w:t xml:space="preserve"> 3</w:t>
      </w:r>
      <w:r w:rsidR="00270F12" w:rsidRPr="007D063B">
        <w:rPr>
          <w:rFonts w:ascii="Times New Roman" w:eastAsia="Times New Roman" w:hAnsi="Times New Roman" w:cs="Times New Roman"/>
          <w:iCs/>
          <w:sz w:val="24"/>
          <w:szCs w:val="24"/>
          <w:bdr w:val="none" w:sz="0" w:space="0" w:color="auto" w:frame="1"/>
          <w:lang w:eastAsia="bg-BG"/>
        </w:rPr>
        <w:t xml:space="preserve"> и 4</w:t>
      </w:r>
      <w:r w:rsidR="00A82135" w:rsidRPr="007D063B">
        <w:rPr>
          <w:rFonts w:ascii="Times New Roman" w:eastAsia="Times New Roman" w:hAnsi="Times New Roman" w:cs="Times New Roman"/>
          <w:iCs/>
          <w:sz w:val="24"/>
          <w:szCs w:val="24"/>
          <w:bdr w:val="none" w:sz="0" w:space="0" w:color="auto" w:frame="1"/>
          <w:lang w:eastAsia="bg-BG"/>
        </w:rPr>
        <w:t xml:space="preserve"> (свързани с изграждане на нови/ надграждане на съществуващи информационни системи/портали/платформи, с въвеждане на е-правосъдие) са в изпълнение на целта за </w:t>
      </w:r>
      <w:r w:rsidRPr="007D063B">
        <w:rPr>
          <w:rFonts w:ascii="Times New Roman" w:eastAsia="Times New Roman" w:hAnsi="Times New Roman" w:cs="Times New Roman"/>
          <w:iCs/>
          <w:sz w:val="24"/>
          <w:szCs w:val="24"/>
          <w:bdr w:val="none" w:sz="0" w:space="0" w:color="auto" w:frame="1"/>
          <w:lang w:eastAsia="bg-BG"/>
        </w:rPr>
        <w:t>развитие на електронни услуги</w:t>
      </w:r>
      <w:r w:rsidR="00A82135" w:rsidRPr="007D063B">
        <w:rPr>
          <w:rFonts w:ascii="Times New Roman" w:eastAsia="Times New Roman" w:hAnsi="Times New Roman" w:cs="Times New Roman"/>
          <w:iCs/>
          <w:sz w:val="24"/>
          <w:szCs w:val="24"/>
          <w:bdr w:val="none" w:sz="0" w:space="0" w:color="auto" w:frame="1"/>
          <w:lang w:eastAsia="bg-BG"/>
        </w:rPr>
        <w:t xml:space="preserve"> и цялостно подобряване на административното обслужване</w:t>
      </w:r>
      <w:r w:rsidRPr="007D063B">
        <w:rPr>
          <w:rFonts w:ascii="Times New Roman" w:eastAsia="Times New Roman" w:hAnsi="Times New Roman" w:cs="Times New Roman"/>
          <w:iCs/>
          <w:sz w:val="24"/>
          <w:szCs w:val="24"/>
          <w:bdr w:val="none" w:sz="0" w:space="0" w:color="auto" w:frame="1"/>
          <w:lang w:eastAsia="bg-BG"/>
        </w:rPr>
        <w:t xml:space="preserve">, </w:t>
      </w:r>
      <w:r w:rsidR="00A82135" w:rsidRPr="007D063B">
        <w:rPr>
          <w:rFonts w:ascii="Times New Roman" w:eastAsia="Times New Roman" w:hAnsi="Times New Roman" w:cs="Times New Roman"/>
          <w:iCs/>
          <w:sz w:val="24"/>
          <w:szCs w:val="24"/>
          <w:bdr w:val="none" w:sz="0" w:space="0" w:color="auto" w:frame="1"/>
          <w:lang w:eastAsia="bg-BG"/>
        </w:rPr>
        <w:t xml:space="preserve">което </w:t>
      </w:r>
      <w:r w:rsidR="00170E85" w:rsidRPr="007D063B">
        <w:rPr>
          <w:rFonts w:ascii="Times New Roman" w:eastAsia="Times New Roman" w:hAnsi="Times New Roman" w:cs="Times New Roman"/>
          <w:iCs/>
          <w:sz w:val="24"/>
          <w:szCs w:val="24"/>
          <w:bdr w:val="none" w:sz="0" w:space="0" w:color="auto" w:frame="1"/>
          <w:lang w:eastAsia="bg-BG"/>
        </w:rPr>
        <w:t>се очаква</w:t>
      </w:r>
      <w:r w:rsidR="00A82135" w:rsidRPr="007D063B">
        <w:rPr>
          <w:rFonts w:ascii="Times New Roman" w:eastAsia="Times New Roman" w:hAnsi="Times New Roman" w:cs="Times New Roman"/>
          <w:iCs/>
          <w:sz w:val="24"/>
          <w:szCs w:val="24"/>
          <w:bdr w:val="none" w:sz="0" w:space="0" w:color="auto" w:frame="1"/>
          <w:lang w:eastAsia="bg-BG"/>
        </w:rPr>
        <w:t xml:space="preserve"> да създаде по-добри условия за бизнес и ефективно използване на ресурсите. </w:t>
      </w:r>
    </w:p>
    <w:p w14:paraId="25E54DB8" w14:textId="4BC7A8F2" w:rsidR="00170E85" w:rsidRPr="007D063B" w:rsidRDefault="00576133" w:rsidP="00170E85">
      <w:pPr>
        <w:shd w:val="clear" w:color="auto" w:fill="EEEEEE"/>
        <w:spacing w:line="240" w:lineRule="auto"/>
        <w:jc w:val="both"/>
        <w:textAlignment w:val="baseline"/>
        <w:rPr>
          <w:rFonts w:ascii="Times New Roman" w:eastAsia="Times New Roman" w:hAnsi="Times New Roman" w:cs="Times New Roman"/>
          <w:iCs/>
          <w:sz w:val="24"/>
          <w:szCs w:val="24"/>
          <w:bdr w:val="none" w:sz="0" w:space="0" w:color="auto" w:frame="1"/>
          <w:lang w:eastAsia="bg-BG"/>
        </w:rPr>
      </w:pPr>
      <w:r w:rsidRPr="007D063B">
        <w:rPr>
          <w:rFonts w:ascii="Times New Roman" w:eastAsia="Times New Roman" w:hAnsi="Times New Roman" w:cs="Times New Roman"/>
          <w:iCs/>
          <w:sz w:val="24"/>
          <w:szCs w:val="24"/>
          <w:bdr w:val="none" w:sz="0" w:space="0" w:color="auto" w:frame="1"/>
          <w:lang w:eastAsia="bg-BG"/>
        </w:rPr>
        <w:t xml:space="preserve">По </w:t>
      </w:r>
      <w:r w:rsidR="00170E85" w:rsidRPr="007D063B">
        <w:rPr>
          <w:rFonts w:ascii="Times New Roman" w:eastAsia="Times New Roman" w:hAnsi="Times New Roman" w:cs="Times New Roman"/>
          <w:iCs/>
          <w:sz w:val="24"/>
          <w:szCs w:val="24"/>
          <w:bdr w:val="none" w:sz="0" w:space="0" w:color="auto" w:frame="1"/>
          <w:lang w:eastAsia="bg-BG"/>
        </w:rPr>
        <w:t>ПО 2 на ОПДУ са сключени договори за предоставяне на БФП, по които се финансират обучения на служителите в общинската администрация в областта на екологията и управлението на водите, както и превенцията на бедствия</w:t>
      </w:r>
      <w:r w:rsidR="00513C94" w:rsidRPr="007D063B">
        <w:rPr>
          <w:rFonts w:ascii="Times New Roman" w:eastAsia="Times New Roman" w:hAnsi="Times New Roman" w:cs="Times New Roman"/>
          <w:iCs/>
          <w:sz w:val="24"/>
          <w:szCs w:val="24"/>
          <w:bdr w:val="none" w:sz="0" w:space="0" w:color="auto" w:frame="1"/>
          <w:lang w:eastAsia="bg-BG"/>
        </w:rPr>
        <w:t xml:space="preserve"> (по проект на НСОРБ)</w:t>
      </w:r>
      <w:r w:rsidR="00170E85" w:rsidRPr="007D063B">
        <w:rPr>
          <w:rFonts w:ascii="Times New Roman" w:eastAsia="Times New Roman" w:hAnsi="Times New Roman" w:cs="Times New Roman"/>
          <w:iCs/>
          <w:sz w:val="24"/>
          <w:szCs w:val="24"/>
          <w:bdr w:val="none" w:sz="0" w:space="0" w:color="auto" w:frame="1"/>
          <w:lang w:eastAsia="bg-BG"/>
        </w:rPr>
        <w:t xml:space="preserve">. </w:t>
      </w:r>
      <w:r w:rsidR="00513C94" w:rsidRPr="007D063B">
        <w:rPr>
          <w:rFonts w:ascii="Times New Roman" w:eastAsia="Times New Roman" w:hAnsi="Times New Roman" w:cs="Times New Roman"/>
          <w:iCs/>
          <w:sz w:val="24"/>
          <w:szCs w:val="24"/>
          <w:bdr w:val="none" w:sz="0" w:space="0" w:color="auto" w:frame="1"/>
          <w:lang w:eastAsia="bg-BG"/>
        </w:rPr>
        <w:t xml:space="preserve">По проект на Академията на МВР са предвидени специализирани обучения на служителите на Главна дирекция „Пожарна безопасност и защита на населението“ (ГД ПБЗН) за </w:t>
      </w:r>
      <w:r w:rsidR="00170E85" w:rsidRPr="007D063B">
        <w:rPr>
          <w:rFonts w:ascii="Times New Roman" w:eastAsia="Times New Roman" w:hAnsi="Times New Roman" w:cs="Times New Roman"/>
          <w:iCs/>
          <w:sz w:val="24"/>
          <w:szCs w:val="24"/>
          <w:bdr w:val="none" w:sz="0" w:space="0" w:color="auto" w:frame="1"/>
          <w:lang w:eastAsia="bg-BG"/>
        </w:rPr>
        <w:t>прилагане на оперативни процедури за реагиране при транспортни инциденти с отделяне на опасни вещества и материали</w:t>
      </w:r>
      <w:r w:rsidR="00513C94" w:rsidRPr="007D063B">
        <w:rPr>
          <w:rFonts w:ascii="Times New Roman" w:eastAsia="Times New Roman" w:hAnsi="Times New Roman" w:cs="Times New Roman"/>
          <w:iCs/>
          <w:sz w:val="24"/>
          <w:szCs w:val="24"/>
          <w:bdr w:val="none" w:sz="0" w:space="0" w:color="auto" w:frame="1"/>
          <w:lang w:eastAsia="bg-BG"/>
        </w:rPr>
        <w:t>, както и</w:t>
      </w:r>
      <w:r w:rsidR="00170E85" w:rsidRPr="007D063B">
        <w:rPr>
          <w:rFonts w:ascii="Times New Roman" w:eastAsia="Times New Roman" w:hAnsi="Times New Roman" w:cs="Times New Roman"/>
          <w:iCs/>
          <w:sz w:val="24"/>
          <w:szCs w:val="24"/>
          <w:bdr w:val="none" w:sz="0" w:space="0" w:color="auto" w:frame="1"/>
          <w:lang w:eastAsia="bg-BG"/>
        </w:rPr>
        <w:t xml:space="preserve"> за управление на силите и средствата на ГД</w:t>
      </w:r>
      <w:r w:rsidR="00513C94" w:rsidRPr="007D063B">
        <w:rPr>
          <w:rFonts w:ascii="Times New Roman" w:eastAsia="Times New Roman" w:hAnsi="Times New Roman" w:cs="Times New Roman"/>
          <w:iCs/>
          <w:sz w:val="24"/>
          <w:szCs w:val="24"/>
          <w:bdr w:val="none" w:sz="0" w:space="0" w:color="auto" w:frame="1"/>
          <w:lang w:eastAsia="bg-BG"/>
        </w:rPr>
        <w:t xml:space="preserve"> </w:t>
      </w:r>
      <w:r w:rsidR="00170E85" w:rsidRPr="007D063B">
        <w:rPr>
          <w:rFonts w:ascii="Times New Roman" w:eastAsia="Times New Roman" w:hAnsi="Times New Roman" w:cs="Times New Roman"/>
          <w:iCs/>
          <w:sz w:val="24"/>
          <w:szCs w:val="24"/>
          <w:bdr w:val="none" w:sz="0" w:space="0" w:color="auto" w:frame="1"/>
          <w:lang w:eastAsia="bg-BG"/>
        </w:rPr>
        <w:t>ПБЗН при ликвидиране на пожари, бедствия и извънредни ситуации</w:t>
      </w:r>
      <w:r w:rsidR="00513C94" w:rsidRPr="007D063B">
        <w:rPr>
          <w:rFonts w:ascii="Times New Roman" w:eastAsia="Times New Roman" w:hAnsi="Times New Roman" w:cs="Times New Roman"/>
          <w:iCs/>
          <w:sz w:val="24"/>
          <w:szCs w:val="24"/>
          <w:bdr w:val="none" w:sz="0" w:space="0" w:color="auto" w:frame="1"/>
          <w:lang w:eastAsia="bg-BG"/>
        </w:rPr>
        <w:t>.</w:t>
      </w:r>
    </w:p>
    <w:p w14:paraId="5FF4B59B" w14:textId="1AD937A8" w:rsidR="00310248" w:rsidRPr="007D063B" w:rsidRDefault="00310248" w:rsidP="00310248">
      <w:pPr>
        <w:shd w:val="clear" w:color="auto" w:fill="EEEEEE"/>
        <w:spacing w:line="240" w:lineRule="auto"/>
        <w:jc w:val="both"/>
        <w:textAlignment w:val="baseline"/>
        <w:rPr>
          <w:rFonts w:ascii="Times New Roman" w:eastAsia="Times New Roman" w:hAnsi="Times New Roman" w:cs="Times New Roman"/>
          <w:iCs/>
          <w:sz w:val="24"/>
          <w:szCs w:val="24"/>
          <w:bdr w:val="none" w:sz="0" w:space="0" w:color="auto" w:frame="1"/>
          <w:lang w:eastAsia="bg-BG"/>
        </w:rPr>
      </w:pPr>
      <w:r w:rsidRPr="007D063B">
        <w:rPr>
          <w:rFonts w:ascii="Times New Roman" w:eastAsia="Times New Roman" w:hAnsi="Times New Roman" w:cs="Times New Roman"/>
          <w:iCs/>
          <w:sz w:val="24"/>
          <w:szCs w:val="24"/>
          <w:bdr w:val="none" w:sz="0" w:space="0" w:color="auto" w:frame="1"/>
          <w:lang w:eastAsia="bg-BG"/>
        </w:rPr>
        <w:t>По повод на мерките, свързани със смекчаването на изменението на климата и адаптацията към него</w:t>
      </w:r>
      <w:r w:rsidR="00D42A49" w:rsidRPr="007D063B">
        <w:rPr>
          <w:rFonts w:ascii="Times New Roman" w:eastAsia="Times New Roman" w:hAnsi="Times New Roman" w:cs="Times New Roman"/>
          <w:iCs/>
          <w:sz w:val="24"/>
          <w:szCs w:val="24"/>
          <w:bdr w:val="none" w:sz="0" w:space="0" w:color="auto" w:frame="1"/>
          <w:lang w:eastAsia="bg-BG"/>
        </w:rPr>
        <w:t>,</w:t>
      </w:r>
      <w:r w:rsidRPr="007D063B">
        <w:rPr>
          <w:rFonts w:ascii="Times New Roman" w:eastAsia="Times New Roman" w:hAnsi="Times New Roman" w:cs="Times New Roman"/>
          <w:iCs/>
          <w:sz w:val="24"/>
          <w:szCs w:val="24"/>
          <w:bdr w:val="none" w:sz="0" w:space="0" w:color="auto" w:frame="1"/>
          <w:lang w:eastAsia="bg-BG"/>
        </w:rPr>
        <w:t xml:space="preserve"> по-долу в т. 11.4 от настоящия доклад е представено проектното предложение „Национална стратегия за адаптация към изменението на климата и План за действие“ на МОСВ.</w:t>
      </w:r>
    </w:p>
    <w:p w14:paraId="1DFD3F22" w14:textId="7779D259" w:rsidR="00816F06" w:rsidRPr="007D063B" w:rsidRDefault="00816F06" w:rsidP="0084070C">
      <w:pPr>
        <w:pStyle w:val="Heading2"/>
        <w:rPr>
          <w:rFonts w:ascii="Times New Roman" w:eastAsia="Times New Roman" w:hAnsi="Times New Roman" w:cs="Times New Roman"/>
          <w:b/>
          <w:bCs/>
          <w:color w:val="auto"/>
          <w:sz w:val="24"/>
          <w:szCs w:val="24"/>
          <w:lang w:eastAsia="bg-BG"/>
        </w:rPr>
      </w:pPr>
      <w:bookmarkStart w:id="46" w:name="_Toc481594307"/>
      <w:r w:rsidRPr="007D063B">
        <w:rPr>
          <w:rFonts w:ascii="Times New Roman" w:eastAsia="Times New Roman" w:hAnsi="Times New Roman" w:cs="Times New Roman"/>
          <w:b/>
          <w:bCs/>
          <w:color w:val="auto"/>
          <w:sz w:val="24"/>
          <w:szCs w:val="24"/>
          <w:lang w:eastAsia="bg-BG"/>
        </w:rPr>
        <w:t>11.4.   </w:t>
      </w:r>
      <w:r w:rsidRPr="007D063B">
        <w:rPr>
          <w:rFonts w:ascii="inherit" w:eastAsia="Times New Roman" w:hAnsi="inherit" w:cs="Times New Roman" w:hint="eastAsia"/>
          <w:b/>
          <w:bCs/>
          <w:color w:val="auto"/>
          <w:sz w:val="24"/>
          <w:szCs w:val="24"/>
          <w:bdr w:val="none" w:sz="0" w:space="0" w:color="auto" w:frame="1"/>
          <w:lang w:eastAsia="bg-BG"/>
        </w:rPr>
        <w:t>Докладване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относно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подкрепата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използвана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за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целите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във</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връзка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с</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изменението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климата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член </w:t>
      </w:r>
      <w:r w:rsidRPr="007D063B">
        <w:rPr>
          <w:rFonts w:ascii="inherit" w:eastAsia="Times New Roman" w:hAnsi="inherit" w:cs="Times New Roman"/>
          <w:b/>
          <w:bCs/>
          <w:color w:val="auto"/>
          <w:sz w:val="24"/>
          <w:szCs w:val="24"/>
          <w:bdr w:val="none" w:sz="0" w:space="0" w:color="auto" w:frame="1"/>
          <w:lang w:eastAsia="bg-BG"/>
        </w:rPr>
        <w:t xml:space="preserve">50, </w:t>
      </w:r>
      <w:r w:rsidRPr="007D063B">
        <w:rPr>
          <w:rFonts w:ascii="inherit" w:eastAsia="Times New Roman" w:hAnsi="inherit" w:cs="Times New Roman" w:hint="eastAsia"/>
          <w:b/>
          <w:bCs/>
          <w:color w:val="auto"/>
          <w:sz w:val="24"/>
          <w:szCs w:val="24"/>
          <w:bdr w:val="none" w:sz="0" w:space="0" w:color="auto" w:frame="1"/>
          <w:lang w:eastAsia="bg-BG"/>
        </w:rPr>
        <w:t>параграф </w:t>
      </w:r>
      <w:r w:rsidRPr="007D063B">
        <w:rPr>
          <w:rFonts w:ascii="inherit" w:eastAsia="Times New Roman" w:hAnsi="inherit" w:cs="Times New Roman"/>
          <w:b/>
          <w:bCs/>
          <w:color w:val="auto"/>
          <w:sz w:val="24"/>
          <w:szCs w:val="24"/>
          <w:bdr w:val="none" w:sz="0" w:space="0" w:color="auto" w:frame="1"/>
          <w:lang w:eastAsia="bg-BG"/>
        </w:rPr>
        <w:t xml:space="preserve">4 </w:t>
      </w:r>
      <w:r w:rsidRPr="007D063B">
        <w:rPr>
          <w:rFonts w:ascii="inherit" w:eastAsia="Times New Roman" w:hAnsi="inherit" w:cs="Times New Roman" w:hint="eastAsia"/>
          <w:b/>
          <w:bCs/>
          <w:color w:val="auto"/>
          <w:sz w:val="24"/>
          <w:szCs w:val="24"/>
          <w:bdr w:val="none" w:sz="0" w:space="0" w:color="auto" w:frame="1"/>
          <w:lang w:eastAsia="bg-BG"/>
        </w:rPr>
        <w:t>от</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Регламент</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ЕС</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 </w:t>
      </w:r>
      <w:r w:rsidRPr="007D063B">
        <w:rPr>
          <w:rFonts w:ascii="inherit" w:eastAsia="Times New Roman" w:hAnsi="inherit" w:cs="Times New Roman"/>
          <w:b/>
          <w:bCs/>
          <w:color w:val="auto"/>
          <w:sz w:val="24"/>
          <w:szCs w:val="24"/>
          <w:bdr w:val="none" w:sz="0" w:space="0" w:color="auto" w:frame="1"/>
          <w:lang w:eastAsia="bg-BG"/>
        </w:rPr>
        <w:t>1303/2013)</w:t>
      </w:r>
      <w:bookmarkEnd w:id="46"/>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14109"/>
      </w:tblGrid>
      <w:tr w:rsidR="00816F06" w:rsidRPr="007D063B" w14:paraId="68DB5FC1" w14:textId="77777777" w:rsidTr="00816F06">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76BBC3E" w14:textId="77777777" w:rsidR="00816F06" w:rsidRPr="007D063B" w:rsidRDefault="00816F06" w:rsidP="00816F06">
            <w:pPr>
              <w:spacing w:before="120" w:after="0" w:line="312" w:lineRule="atLeast"/>
              <w:jc w:val="both"/>
              <w:textAlignment w:val="baseline"/>
              <w:rPr>
                <w:rFonts w:ascii="inherit" w:eastAsia="Times New Roman" w:hAnsi="inherit" w:cs="Times New Roman"/>
                <w:sz w:val="24"/>
                <w:szCs w:val="24"/>
                <w:lang w:eastAsia="bg-BG"/>
              </w:rPr>
            </w:pPr>
            <w:r w:rsidRPr="007D063B">
              <w:rPr>
                <w:rFonts w:ascii="inherit" w:eastAsia="Times New Roman" w:hAnsi="inherit" w:cs="Times New Roman"/>
                <w:sz w:val="24"/>
                <w:szCs w:val="24"/>
                <w:lang w:eastAsia="bg-BG"/>
              </w:rPr>
              <w:t xml:space="preserve">Стойностите са изчислени автоматично от SFC2014 въз основа на данни за категоризация. Незадължително: пояснения относно </w:t>
            </w:r>
            <w:r w:rsidRPr="007D063B">
              <w:rPr>
                <w:rFonts w:ascii="inherit" w:eastAsia="Times New Roman" w:hAnsi="inherit" w:cs="Times New Roman"/>
                <w:sz w:val="24"/>
                <w:szCs w:val="24"/>
                <w:lang w:eastAsia="bg-BG"/>
              </w:rPr>
              <w:lastRenderedPageBreak/>
              <w:t>дадените стойности</w:t>
            </w:r>
          </w:p>
          <w:p w14:paraId="186A66C7" w14:textId="77777777" w:rsidR="00816F06" w:rsidRPr="007D063B" w:rsidRDefault="00816F06" w:rsidP="00816F06">
            <w:pPr>
              <w:spacing w:after="0" w:line="312" w:lineRule="atLeast"/>
              <w:jc w:val="both"/>
              <w:textAlignment w:val="baseline"/>
              <w:rPr>
                <w:rFonts w:eastAsia="Times New Roman" w:cs="Times New Roman"/>
                <w:i/>
                <w:iCs/>
                <w:sz w:val="24"/>
                <w:szCs w:val="24"/>
                <w:bdr w:val="none" w:sz="0" w:space="0" w:color="auto" w:frame="1"/>
                <w:lang w:eastAsia="bg-BG"/>
              </w:rPr>
            </w:pPr>
            <w:r w:rsidRPr="007D063B">
              <w:rPr>
                <w:rFonts w:ascii="inherit" w:eastAsia="Times New Roman" w:hAnsi="inherit" w:cs="Times New Roman"/>
                <w:i/>
                <w:iCs/>
                <w:sz w:val="24"/>
                <w:szCs w:val="24"/>
                <w:bdr w:val="none" w:sz="0" w:space="0" w:color="auto" w:frame="1"/>
                <w:lang w:eastAsia="bg-BG"/>
              </w:rPr>
              <w:t>&lt;type='S' maxlength=3500 input='M'&gt;</w:t>
            </w:r>
          </w:p>
          <w:p w14:paraId="00482E3F" w14:textId="77777777" w:rsidR="00B6419C" w:rsidRPr="007D063B" w:rsidRDefault="00B6419C" w:rsidP="003C564C">
            <w:pPr>
              <w:spacing w:after="0" w:line="312" w:lineRule="atLeast"/>
              <w:jc w:val="both"/>
              <w:textAlignment w:val="baseline"/>
              <w:rPr>
                <w:rFonts w:ascii="Times New Roman" w:eastAsia="Times New Roman" w:hAnsi="Times New Roman" w:cs="Times New Roman"/>
                <w:iCs/>
                <w:sz w:val="24"/>
                <w:szCs w:val="24"/>
                <w:bdr w:val="none" w:sz="0" w:space="0" w:color="auto" w:frame="1"/>
                <w:lang w:eastAsia="bg-BG"/>
              </w:rPr>
            </w:pPr>
          </w:p>
          <w:p w14:paraId="68261DF9" w14:textId="614C3BFA" w:rsidR="004809E5" w:rsidRPr="007D063B" w:rsidRDefault="004809E5" w:rsidP="003C564C">
            <w:pPr>
              <w:spacing w:after="0" w:line="312" w:lineRule="atLeast"/>
              <w:jc w:val="both"/>
              <w:textAlignment w:val="baseline"/>
              <w:rPr>
                <w:rFonts w:ascii="Times New Roman" w:eastAsia="Times New Roman" w:hAnsi="Times New Roman" w:cs="Times New Roman"/>
                <w:iCs/>
                <w:sz w:val="24"/>
                <w:szCs w:val="24"/>
                <w:bdr w:val="none" w:sz="0" w:space="0" w:color="auto" w:frame="1"/>
                <w:lang w:eastAsia="bg-BG"/>
              </w:rPr>
            </w:pPr>
            <w:r w:rsidRPr="007D063B">
              <w:rPr>
                <w:rFonts w:ascii="Times New Roman" w:eastAsia="Times New Roman" w:hAnsi="Times New Roman" w:cs="Times New Roman"/>
                <w:iCs/>
                <w:sz w:val="24"/>
                <w:szCs w:val="24"/>
                <w:bdr w:val="none" w:sz="0" w:space="0" w:color="auto" w:frame="1"/>
                <w:lang w:eastAsia="bg-BG"/>
              </w:rPr>
              <w:t>На 01.12.2016 г. МОСВ подаде проектно предложение</w:t>
            </w:r>
            <w:r w:rsidR="00754F8A" w:rsidRPr="007D063B">
              <w:rPr>
                <w:rFonts w:ascii="Times New Roman" w:eastAsia="Times New Roman" w:hAnsi="Times New Roman" w:cs="Times New Roman"/>
                <w:iCs/>
                <w:sz w:val="24"/>
                <w:szCs w:val="24"/>
                <w:bdr w:val="none" w:sz="0" w:space="0" w:color="auto" w:frame="1"/>
                <w:lang w:eastAsia="bg-BG"/>
              </w:rPr>
              <w:t xml:space="preserve"> </w:t>
            </w:r>
            <w:r w:rsidRPr="007D063B">
              <w:rPr>
                <w:rFonts w:ascii="Times New Roman" w:eastAsia="Times New Roman" w:hAnsi="Times New Roman" w:cs="Times New Roman"/>
                <w:iCs/>
                <w:sz w:val="24"/>
                <w:szCs w:val="24"/>
                <w:bdr w:val="none" w:sz="0" w:space="0" w:color="auto" w:frame="1"/>
                <w:lang w:eastAsia="bg-BG"/>
              </w:rPr>
              <w:t xml:space="preserve">„Национална стратегия за адаптация към изменението на климата и План за действие“. Проектът </w:t>
            </w:r>
            <w:r w:rsidR="00B6419C" w:rsidRPr="007D063B">
              <w:rPr>
                <w:rFonts w:ascii="Times New Roman" w:eastAsia="Times New Roman" w:hAnsi="Times New Roman" w:cs="Times New Roman"/>
                <w:iCs/>
                <w:sz w:val="24"/>
                <w:szCs w:val="24"/>
                <w:bdr w:val="none" w:sz="0" w:space="0" w:color="auto" w:frame="1"/>
                <w:lang w:eastAsia="bg-BG"/>
              </w:rPr>
              <w:t>предвижда</w:t>
            </w:r>
            <w:r w:rsidRPr="007D063B">
              <w:rPr>
                <w:rFonts w:ascii="Times New Roman" w:eastAsia="Times New Roman" w:hAnsi="Times New Roman" w:cs="Times New Roman"/>
                <w:iCs/>
                <w:sz w:val="24"/>
                <w:szCs w:val="24"/>
                <w:bdr w:val="none" w:sz="0" w:space="0" w:color="auto" w:frame="1"/>
                <w:lang w:eastAsia="bg-BG"/>
              </w:rPr>
              <w:t xml:space="preserve"> разработване на Национална стратегия за адаптация към изменението на климата и План за действие, ко</w:t>
            </w:r>
            <w:r w:rsidR="00B6419C" w:rsidRPr="007D063B">
              <w:rPr>
                <w:rFonts w:ascii="Times New Roman" w:eastAsia="Times New Roman" w:hAnsi="Times New Roman" w:cs="Times New Roman"/>
                <w:iCs/>
                <w:sz w:val="24"/>
                <w:szCs w:val="24"/>
                <w:bdr w:val="none" w:sz="0" w:space="0" w:color="auto" w:frame="1"/>
                <w:lang w:eastAsia="bg-BG"/>
              </w:rPr>
              <w:t>и</w:t>
            </w:r>
            <w:r w:rsidRPr="007D063B">
              <w:rPr>
                <w:rFonts w:ascii="Times New Roman" w:eastAsia="Times New Roman" w:hAnsi="Times New Roman" w:cs="Times New Roman"/>
                <w:iCs/>
                <w:sz w:val="24"/>
                <w:szCs w:val="24"/>
                <w:bdr w:val="none" w:sz="0" w:space="0" w:color="auto" w:frame="1"/>
                <w:lang w:eastAsia="bg-BG"/>
              </w:rPr>
              <w:t>то обхваща</w:t>
            </w:r>
            <w:r w:rsidR="00B6419C" w:rsidRPr="007D063B">
              <w:rPr>
                <w:rFonts w:ascii="Times New Roman" w:eastAsia="Times New Roman" w:hAnsi="Times New Roman" w:cs="Times New Roman"/>
                <w:iCs/>
                <w:sz w:val="24"/>
                <w:szCs w:val="24"/>
                <w:bdr w:val="none" w:sz="0" w:space="0" w:color="auto" w:frame="1"/>
                <w:lang w:eastAsia="bg-BG"/>
              </w:rPr>
              <w:t>т</w:t>
            </w:r>
            <w:r w:rsidRPr="007D063B">
              <w:rPr>
                <w:rFonts w:ascii="Times New Roman" w:eastAsia="Times New Roman" w:hAnsi="Times New Roman" w:cs="Times New Roman"/>
                <w:iCs/>
                <w:sz w:val="24"/>
                <w:szCs w:val="24"/>
                <w:bdr w:val="none" w:sz="0" w:space="0" w:color="auto" w:frame="1"/>
                <w:lang w:eastAsia="bg-BG"/>
              </w:rPr>
              <w:t xml:space="preserve"> периода до 2030 г. Стратегията ще служи като референтен документ, който ще очертае стратегическата рамка и приоритетни направления за адаптация към изменението на климата, като идентифицира и потвърждава необходимостта от предприемането на конкретни действия за адаптация на национално и секторно равнище. Стратегията ще бъде базирана на събраните и оценени данни в рамковия документ „Анализ и оценка на риска и уязвимостта на секторите в българската икономика от климатичните промени“, приет през месец юни 2014 г., като първи етап от разработването на стратегията. Стратегията за адаптация към изменението на климата предвижда:</w:t>
            </w:r>
          </w:p>
          <w:p w14:paraId="4A4880A8" w14:textId="2026359D" w:rsidR="004809E5" w:rsidRPr="007D063B" w:rsidRDefault="004809E5" w:rsidP="004809E5">
            <w:pPr>
              <w:spacing w:after="0" w:line="312" w:lineRule="atLeast"/>
              <w:jc w:val="both"/>
              <w:textAlignment w:val="baseline"/>
              <w:rPr>
                <w:rFonts w:ascii="Times New Roman" w:eastAsia="Times New Roman" w:hAnsi="Times New Roman" w:cs="Times New Roman"/>
                <w:iCs/>
                <w:sz w:val="24"/>
                <w:szCs w:val="24"/>
                <w:bdr w:val="none" w:sz="0" w:space="0" w:color="auto" w:frame="1"/>
                <w:lang w:eastAsia="bg-BG"/>
              </w:rPr>
            </w:pPr>
            <w:r w:rsidRPr="007D063B">
              <w:rPr>
                <w:rFonts w:ascii="Times New Roman" w:eastAsia="Times New Roman" w:hAnsi="Times New Roman" w:cs="Times New Roman"/>
                <w:iCs/>
                <w:sz w:val="24"/>
                <w:szCs w:val="24"/>
                <w:bdr w:val="none" w:sz="0" w:space="0" w:color="auto" w:frame="1"/>
                <w:lang w:eastAsia="bg-BG"/>
              </w:rPr>
              <w:t>1) Анализ на текущото състояние на секторите: селско стопанство, горско стопанство, биоразнообразие и екосистеми, води, енергетика, транспорт, инфраструктура и строителство, градоустройство, човешко здраве, и туризъм;</w:t>
            </w:r>
          </w:p>
          <w:p w14:paraId="77FB3769" w14:textId="566D9D9B" w:rsidR="004809E5" w:rsidRPr="007D063B" w:rsidRDefault="004809E5" w:rsidP="004809E5">
            <w:pPr>
              <w:spacing w:after="0" w:line="312" w:lineRule="atLeast"/>
              <w:jc w:val="both"/>
              <w:textAlignment w:val="baseline"/>
              <w:rPr>
                <w:rFonts w:ascii="Times New Roman" w:eastAsia="Times New Roman" w:hAnsi="Times New Roman" w:cs="Times New Roman"/>
                <w:iCs/>
                <w:sz w:val="24"/>
                <w:szCs w:val="24"/>
                <w:bdr w:val="none" w:sz="0" w:space="0" w:color="auto" w:frame="1"/>
                <w:lang w:eastAsia="bg-BG"/>
              </w:rPr>
            </w:pPr>
            <w:r w:rsidRPr="007D063B">
              <w:rPr>
                <w:rFonts w:ascii="Times New Roman" w:eastAsia="Times New Roman" w:hAnsi="Times New Roman" w:cs="Times New Roman"/>
                <w:iCs/>
                <w:sz w:val="24"/>
                <w:szCs w:val="24"/>
                <w:bdr w:val="none" w:sz="0" w:space="0" w:color="auto" w:frame="1"/>
                <w:lang w:eastAsia="bg-BG"/>
              </w:rPr>
              <w:t>2) Поставяне на цели и приоритети за подобряване капацитета за адаптиране, представени по сектори;</w:t>
            </w:r>
          </w:p>
          <w:p w14:paraId="7B89B6AB" w14:textId="77777777" w:rsidR="004809E5" w:rsidRPr="007D063B" w:rsidRDefault="004809E5" w:rsidP="004809E5">
            <w:pPr>
              <w:spacing w:after="0" w:line="312" w:lineRule="atLeast"/>
              <w:jc w:val="both"/>
              <w:textAlignment w:val="baseline"/>
              <w:rPr>
                <w:rFonts w:ascii="Times New Roman" w:eastAsia="Times New Roman" w:hAnsi="Times New Roman" w:cs="Times New Roman"/>
                <w:iCs/>
                <w:sz w:val="24"/>
                <w:szCs w:val="24"/>
                <w:bdr w:val="none" w:sz="0" w:space="0" w:color="auto" w:frame="1"/>
                <w:lang w:eastAsia="bg-BG"/>
              </w:rPr>
            </w:pPr>
            <w:r w:rsidRPr="007D063B">
              <w:rPr>
                <w:rFonts w:ascii="Times New Roman" w:eastAsia="Times New Roman" w:hAnsi="Times New Roman" w:cs="Times New Roman"/>
                <w:iCs/>
                <w:sz w:val="24"/>
                <w:szCs w:val="24"/>
                <w:bdr w:val="none" w:sz="0" w:space="0" w:color="auto" w:frame="1"/>
                <w:lang w:eastAsia="bg-BG"/>
              </w:rPr>
              <w:t>3) Определяне на конкретни мерки за постигане на заложените цели.</w:t>
            </w:r>
          </w:p>
          <w:p w14:paraId="1CDF367B" w14:textId="670AA88C" w:rsidR="00AB15FF" w:rsidRPr="007D063B" w:rsidRDefault="004809E5" w:rsidP="004809E5">
            <w:pPr>
              <w:spacing w:after="0" w:line="312" w:lineRule="atLeast"/>
              <w:jc w:val="both"/>
              <w:textAlignment w:val="baseline"/>
              <w:rPr>
                <w:rFonts w:ascii="Times New Roman" w:eastAsia="Times New Roman" w:hAnsi="Times New Roman" w:cs="Times New Roman"/>
                <w:iCs/>
                <w:sz w:val="24"/>
                <w:szCs w:val="24"/>
                <w:bdr w:val="none" w:sz="0" w:space="0" w:color="auto" w:frame="1"/>
                <w:lang w:eastAsia="bg-BG"/>
              </w:rPr>
            </w:pPr>
            <w:r w:rsidRPr="007D063B">
              <w:rPr>
                <w:rFonts w:ascii="Times New Roman" w:eastAsia="Times New Roman" w:hAnsi="Times New Roman" w:cs="Times New Roman"/>
                <w:iCs/>
                <w:sz w:val="24"/>
                <w:szCs w:val="24"/>
                <w:bdr w:val="none" w:sz="0" w:space="0" w:color="auto" w:frame="1"/>
                <w:lang w:eastAsia="bg-BG"/>
              </w:rPr>
              <w:t>Планът за действие следва да обобщи мерките за адаптация към изменението на климата за всички сектори включени в стратегията, с оглед постигане на заложените в стратегическата част цели, като се постави акцент върху изпълнението на приоритетните мерки, включително необходими ресурси, отговорни институции и срок за изпълнение на мерките, и индикатори за наблюдение.</w:t>
            </w:r>
          </w:p>
          <w:p w14:paraId="11641F0D" w14:textId="3C54A5AA" w:rsidR="003C564C" w:rsidRPr="007D063B" w:rsidRDefault="003C564C" w:rsidP="00F600B2">
            <w:pPr>
              <w:spacing w:after="0" w:line="312" w:lineRule="atLeast"/>
              <w:jc w:val="both"/>
              <w:textAlignment w:val="baseline"/>
              <w:rPr>
                <w:rFonts w:ascii="Times New Roman" w:eastAsia="Times New Roman" w:hAnsi="Times New Roman" w:cs="Times New Roman"/>
                <w:iCs/>
                <w:sz w:val="24"/>
                <w:szCs w:val="24"/>
                <w:bdr w:val="none" w:sz="0" w:space="0" w:color="auto" w:frame="1"/>
                <w:lang w:eastAsia="bg-BG"/>
              </w:rPr>
            </w:pPr>
            <w:r w:rsidRPr="007D063B">
              <w:rPr>
                <w:rFonts w:ascii="Times New Roman" w:eastAsia="Times New Roman" w:hAnsi="Times New Roman" w:cs="Times New Roman"/>
                <w:iCs/>
                <w:sz w:val="24"/>
                <w:szCs w:val="24"/>
                <w:bdr w:val="none" w:sz="0" w:space="0" w:color="auto" w:frame="1"/>
                <w:lang w:eastAsia="bg-BG"/>
              </w:rPr>
              <w:t>Международната банка за възстановяване и развитие (МБВР) ще предостави на МОСВ консултантски услуги относно разработването на Националната стратегия за адаптация към изменението на климата (НСА) и План за действие.</w:t>
            </w:r>
            <w:r w:rsidR="00F600B2" w:rsidRPr="007D063B">
              <w:rPr>
                <w:rFonts w:ascii="Times New Roman" w:eastAsia="Times New Roman" w:hAnsi="Times New Roman" w:cs="Times New Roman"/>
                <w:iCs/>
                <w:sz w:val="24"/>
                <w:szCs w:val="24"/>
                <w:bdr w:val="none" w:sz="0" w:space="0" w:color="auto" w:frame="1"/>
                <w:lang w:eastAsia="bg-BG"/>
              </w:rPr>
              <w:t xml:space="preserve"> Изпълнението е възложено на МБВР посредством Споразумение за предоставяне на консултантски услуги между МОСВ </w:t>
            </w:r>
            <w:r w:rsidR="00570580" w:rsidRPr="007D063B">
              <w:rPr>
                <w:rFonts w:ascii="Times New Roman" w:eastAsia="Times New Roman" w:hAnsi="Times New Roman" w:cs="Times New Roman"/>
                <w:iCs/>
                <w:sz w:val="24"/>
                <w:szCs w:val="24"/>
                <w:bdr w:val="none" w:sz="0" w:space="0" w:color="auto" w:frame="1"/>
                <w:lang w:eastAsia="bg-BG"/>
              </w:rPr>
              <w:t xml:space="preserve">и МБВР, </w:t>
            </w:r>
            <w:r w:rsidR="00F600B2" w:rsidRPr="007D063B">
              <w:rPr>
                <w:rFonts w:ascii="Times New Roman" w:eastAsia="Times New Roman" w:hAnsi="Times New Roman" w:cs="Times New Roman"/>
                <w:iCs/>
                <w:sz w:val="24"/>
                <w:szCs w:val="24"/>
                <w:bdr w:val="none" w:sz="0" w:space="0" w:color="auto" w:frame="1"/>
                <w:lang w:eastAsia="bg-BG"/>
              </w:rPr>
              <w:t xml:space="preserve">в сила </w:t>
            </w:r>
            <w:r w:rsidR="00570580" w:rsidRPr="007D063B">
              <w:rPr>
                <w:rFonts w:ascii="Times New Roman" w:eastAsia="Times New Roman" w:hAnsi="Times New Roman" w:cs="Times New Roman"/>
                <w:iCs/>
                <w:sz w:val="24"/>
                <w:szCs w:val="24"/>
                <w:bdr w:val="none" w:sz="0" w:space="0" w:color="auto" w:frame="1"/>
                <w:lang w:eastAsia="bg-BG"/>
              </w:rPr>
              <w:t>от</w:t>
            </w:r>
            <w:r w:rsidR="00F600B2" w:rsidRPr="007D063B">
              <w:rPr>
                <w:rFonts w:ascii="Times New Roman" w:eastAsia="Times New Roman" w:hAnsi="Times New Roman" w:cs="Times New Roman"/>
                <w:iCs/>
                <w:sz w:val="24"/>
                <w:szCs w:val="24"/>
                <w:bdr w:val="none" w:sz="0" w:space="0" w:color="auto" w:frame="1"/>
                <w:lang w:eastAsia="bg-BG"/>
              </w:rPr>
              <w:t xml:space="preserve"> 4.01.2017 г.</w:t>
            </w:r>
          </w:p>
          <w:p w14:paraId="5061B180" w14:textId="1FD03267" w:rsidR="003C564C" w:rsidRPr="007D063B" w:rsidRDefault="00803FCD" w:rsidP="00570580">
            <w:pPr>
              <w:spacing w:after="0" w:line="312" w:lineRule="atLeast"/>
              <w:jc w:val="both"/>
              <w:textAlignment w:val="baseline"/>
              <w:rPr>
                <w:rFonts w:ascii="Times New Roman" w:eastAsia="Times New Roman" w:hAnsi="Times New Roman" w:cs="Times New Roman"/>
                <w:iCs/>
                <w:sz w:val="24"/>
                <w:szCs w:val="24"/>
                <w:bdr w:val="none" w:sz="0" w:space="0" w:color="auto" w:frame="1"/>
                <w:lang w:eastAsia="bg-BG"/>
              </w:rPr>
            </w:pPr>
            <w:r w:rsidRPr="007D063B">
              <w:rPr>
                <w:rFonts w:ascii="Times New Roman" w:eastAsia="Times New Roman" w:hAnsi="Times New Roman" w:cs="Times New Roman"/>
                <w:iCs/>
                <w:sz w:val="24"/>
                <w:szCs w:val="24"/>
                <w:bdr w:val="none" w:sz="0" w:space="0" w:color="auto" w:frame="1"/>
                <w:lang w:eastAsia="bg-BG"/>
              </w:rPr>
              <w:t xml:space="preserve">Адаптацията към изменението на климата като процес налага иновативни подходи, мерки и дейности, които да бъдат изпълнявани не само на национално и секторно ниво, но и на общинско/местно равнище, които следва да допринесат за устойчивостта на местната територия и икономическо развитие. В тази връзка </w:t>
            </w:r>
            <w:r w:rsidR="00570580" w:rsidRPr="007D063B">
              <w:rPr>
                <w:rFonts w:ascii="Times New Roman" w:eastAsia="Times New Roman" w:hAnsi="Times New Roman" w:cs="Times New Roman"/>
                <w:iCs/>
                <w:sz w:val="24"/>
                <w:szCs w:val="24"/>
                <w:bdr w:val="none" w:sz="0" w:space="0" w:color="auto" w:frame="1"/>
                <w:lang w:eastAsia="bg-BG"/>
              </w:rPr>
              <w:t>проектът</w:t>
            </w:r>
            <w:r w:rsidRPr="007D063B">
              <w:rPr>
                <w:rFonts w:ascii="Times New Roman" w:eastAsia="Times New Roman" w:hAnsi="Times New Roman" w:cs="Times New Roman"/>
                <w:iCs/>
                <w:sz w:val="24"/>
                <w:szCs w:val="24"/>
                <w:bdr w:val="none" w:sz="0" w:space="0" w:color="auto" w:frame="1"/>
                <w:lang w:eastAsia="bg-BG"/>
              </w:rPr>
              <w:t xml:space="preserve"> предвижда организирането и провеждането на информационни събития в избрани пилотни общини</w:t>
            </w:r>
            <w:r w:rsidR="00570580" w:rsidRPr="007D063B">
              <w:rPr>
                <w:rFonts w:ascii="Times New Roman" w:eastAsia="Times New Roman" w:hAnsi="Times New Roman" w:cs="Times New Roman"/>
                <w:iCs/>
                <w:sz w:val="24"/>
                <w:szCs w:val="24"/>
                <w:bdr w:val="none" w:sz="0" w:space="0" w:color="auto" w:frame="1"/>
                <w:lang w:eastAsia="bg-BG"/>
              </w:rPr>
              <w:t xml:space="preserve"> в конкретна климатична зона: Черноморски регион, Северна България, Южна България, планинска област</w:t>
            </w:r>
            <w:r w:rsidRPr="007D063B">
              <w:rPr>
                <w:rFonts w:ascii="Times New Roman" w:eastAsia="Times New Roman" w:hAnsi="Times New Roman" w:cs="Times New Roman"/>
                <w:iCs/>
                <w:sz w:val="24"/>
                <w:szCs w:val="24"/>
                <w:bdr w:val="none" w:sz="0" w:space="0" w:color="auto" w:frame="1"/>
                <w:lang w:eastAsia="bg-BG"/>
              </w:rPr>
              <w:t xml:space="preserve">, които имат за цел да популяризират проектните цели и резултати с цел интегрирането на мерките за адаптация в местната политика и подпомагането на общините за изпълнение на местно ниво на политиките и дейностите за адаптация. Съгласно чл. 13, т. 9 от Закона за регионалното развитие, общинските планове за развитие съдържат мерки за ограничаване изменението на климата и за адаптацията </w:t>
            </w:r>
            <w:r w:rsidRPr="007D063B">
              <w:rPr>
                <w:rFonts w:ascii="Times New Roman" w:eastAsia="Times New Roman" w:hAnsi="Times New Roman" w:cs="Times New Roman"/>
                <w:iCs/>
                <w:sz w:val="24"/>
                <w:szCs w:val="24"/>
                <w:bdr w:val="none" w:sz="0" w:space="0" w:color="auto" w:frame="1"/>
                <w:lang w:eastAsia="bg-BG"/>
              </w:rPr>
              <w:lastRenderedPageBreak/>
              <w:t>към вече настъпилите промени. В тази връзка прове</w:t>
            </w:r>
            <w:r w:rsidR="00570580" w:rsidRPr="007D063B">
              <w:rPr>
                <w:rFonts w:ascii="Times New Roman" w:eastAsia="Times New Roman" w:hAnsi="Times New Roman" w:cs="Times New Roman"/>
                <w:iCs/>
                <w:sz w:val="24"/>
                <w:szCs w:val="24"/>
                <w:bdr w:val="none" w:sz="0" w:space="0" w:color="auto" w:frame="1"/>
                <w:lang w:eastAsia="bg-BG"/>
              </w:rPr>
              <w:t>ждането на информационни събития</w:t>
            </w:r>
            <w:r w:rsidRPr="007D063B">
              <w:rPr>
                <w:rFonts w:ascii="Times New Roman" w:eastAsia="Times New Roman" w:hAnsi="Times New Roman" w:cs="Times New Roman"/>
                <w:iCs/>
                <w:sz w:val="24"/>
                <w:szCs w:val="24"/>
                <w:bdr w:val="none" w:sz="0" w:space="0" w:color="auto" w:frame="1"/>
                <w:lang w:eastAsia="bg-BG"/>
              </w:rPr>
              <w:t xml:space="preserve"> ще подпомогне интегрирането на мерките за адаптация в общинските планове за развитие. От друга страна интегрирането на мерки за адаптация в местната политика ще допринесе за успешното им изпълнение, улесняване на адаптирането към изменението на климата на общинско ниво и ефективното ангажиране на всички заинтересовани страни в процеса по адаптация към изменящия се климат.</w:t>
            </w:r>
          </w:p>
          <w:p w14:paraId="51DB9F07" w14:textId="4907EED1" w:rsidR="00AB15FF" w:rsidRPr="007D063B" w:rsidRDefault="003C564C" w:rsidP="00816F06">
            <w:pPr>
              <w:spacing w:after="0" w:line="312" w:lineRule="atLeast"/>
              <w:jc w:val="both"/>
              <w:textAlignment w:val="baseline"/>
              <w:rPr>
                <w:rFonts w:ascii="Times New Roman" w:eastAsia="Times New Roman" w:hAnsi="Times New Roman" w:cs="Times New Roman"/>
                <w:iCs/>
                <w:sz w:val="24"/>
                <w:szCs w:val="24"/>
                <w:bdr w:val="none" w:sz="0" w:space="0" w:color="auto" w:frame="1"/>
                <w:lang w:eastAsia="bg-BG"/>
              </w:rPr>
            </w:pPr>
            <w:r w:rsidRPr="007D063B">
              <w:rPr>
                <w:rFonts w:ascii="Times New Roman" w:eastAsia="Times New Roman" w:hAnsi="Times New Roman" w:cs="Times New Roman"/>
                <w:iCs/>
                <w:sz w:val="24"/>
                <w:szCs w:val="24"/>
                <w:bdr w:val="none" w:sz="0" w:space="0" w:color="auto" w:frame="1"/>
                <w:lang w:eastAsia="bg-BG"/>
              </w:rPr>
              <w:t>Проектът е одобрен за финансиране през 2017 г., като подкрепата, използвана за целите във връзка с изменението на климата възлиза на 3 307 829,74 лв.</w:t>
            </w:r>
          </w:p>
          <w:p w14:paraId="1B21558A" w14:textId="44F59844" w:rsidR="00AB15FF" w:rsidRPr="007D063B" w:rsidRDefault="00AB15FF" w:rsidP="00816F06">
            <w:pPr>
              <w:spacing w:after="0" w:line="312" w:lineRule="atLeast"/>
              <w:jc w:val="both"/>
              <w:textAlignment w:val="baseline"/>
              <w:rPr>
                <w:rFonts w:eastAsia="Times New Roman" w:cs="Times New Roman"/>
                <w:color w:val="444444"/>
                <w:sz w:val="24"/>
                <w:szCs w:val="24"/>
                <w:lang w:eastAsia="bg-BG"/>
              </w:rPr>
            </w:pPr>
          </w:p>
        </w:tc>
      </w:tr>
    </w:tbl>
    <w:p w14:paraId="42F55A09" w14:textId="77777777" w:rsidR="00816F06" w:rsidRPr="007D063B" w:rsidRDefault="00816F06" w:rsidP="0080317D">
      <w:pPr>
        <w:pStyle w:val="Heading2"/>
        <w:rPr>
          <w:rFonts w:ascii="Times New Roman" w:eastAsia="Times New Roman" w:hAnsi="Times New Roman" w:cs="Times New Roman"/>
          <w:b/>
          <w:bCs/>
          <w:color w:val="auto"/>
          <w:sz w:val="24"/>
          <w:szCs w:val="24"/>
          <w:lang w:eastAsia="bg-BG"/>
        </w:rPr>
      </w:pPr>
      <w:bookmarkStart w:id="47" w:name="_Toc481594308"/>
      <w:r w:rsidRPr="007D063B">
        <w:rPr>
          <w:rFonts w:ascii="Times New Roman" w:eastAsia="Times New Roman" w:hAnsi="Times New Roman" w:cs="Times New Roman"/>
          <w:b/>
          <w:bCs/>
          <w:color w:val="auto"/>
          <w:sz w:val="24"/>
          <w:szCs w:val="24"/>
          <w:lang w:eastAsia="bg-BG"/>
        </w:rPr>
        <w:lastRenderedPageBreak/>
        <w:t>11.5   </w:t>
      </w:r>
      <w:r w:rsidRPr="007D063B">
        <w:rPr>
          <w:rFonts w:ascii="inherit" w:eastAsia="Times New Roman" w:hAnsi="inherit" w:cs="Times New Roman" w:hint="eastAsia"/>
          <w:b/>
          <w:bCs/>
          <w:color w:val="auto"/>
          <w:sz w:val="24"/>
          <w:szCs w:val="24"/>
          <w:bdr w:val="none" w:sz="0" w:space="0" w:color="auto" w:frame="1"/>
          <w:lang w:eastAsia="bg-BG"/>
        </w:rPr>
        <w:t>Роля</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партньорите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в</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изпълнението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програмата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член</w:t>
      </w:r>
      <w:r w:rsidRPr="007D063B">
        <w:rPr>
          <w:rFonts w:ascii="inherit" w:eastAsia="Times New Roman" w:hAnsi="inherit" w:cs="Times New Roman"/>
          <w:b/>
          <w:bCs/>
          <w:color w:val="auto"/>
          <w:sz w:val="24"/>
          <w:szCs w:val="24"/>
          <w:bdr w:val="none" w:sz="0" w:space="0" w:color="auto" w:frame="1"/>
          <w:lang w:eastAsia="bg-BG"/>
        </w:rPr>
        <w:t xml:space="preserve"> 50, </w:t>
      </w:r>
      <w:r w:rsidRPr="007D063B">
        <w:rPr>
          <w:rFonts w:ascii="inherit" w:eastAsia="Times New Roman" w:hAnsi="inherit" w:cs="Times New Roman" w:hint="eastAsia"/>
          <w:b/>
          <w:bCs/>
          <w:color w:val="auto"/>
          <w:sz w:val="24"/>
          <w:szCs w:val="24"/>
          <w:bdr w:val="none" w:sz="0" w:space="0" w:color="auto" w:frame="1"/>
          <w:lang w:eastAsia="bg-BG"/>
        </w:rPr>
        <w:t>параграф</w:t>
      </w:r>
      <w:r w:rsidRPr="007D063B">
        <w:rPr>
          <w:rFonts w:ascii="inherit" w:eastAsia="Times New Roman" w:hAnsi="inherit" w:cs="Times New Roman"/>
          <w:b/>
          <w:bCs/>
          <w:color w:val="auto"/>
          <w:sz w:val="24"/>
          <w:szCs w:val="24"/>
          <w:bdr w:val="none" w:sz="0" w:space="0" w:color="auto" w:frame="1"/>
          <w:lang w:eastAsia="bg-BG"/>
        </w:rPr>
        <w:t xml:space="preserve"> 4 </w:t>
      </w:r>
      <w:r w:rsidRPr="007D063B">
        <w:rPr>
          <w:rFonts w:ascii="inherit" w:eastAsia="Times New Roman" w:hAnsi="inherit" w:cs="Times New Roman" w:hint="eastAsia"/>
          <w:b/>
          <w:bCs/>
          <w:color w:val="auto"/>
          <w:sz w:val="24"/>
          <w:szCs w:val="24"/>
          <w:bdr w:val="none" w:sz="0" w:space="0" w:color="auto" w:frame="1"/>
          <w:lang w:eastAsia="bg-BG"/>
        </w:rPr>
        <w:t>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член</w:t>
      </w:r>
      <w:r w:rsidRPr="007D063B">
        <w:rPr>
          <w:rFonts w:ascii="inherit" w:eastAsia="Times New Roman" w:hAnsi="inherit" w:cs="Times New Roman"/>
          <w:b/>
          <w:bCs/>
          <w:color w:val="auto"/>
          <w:sz w:val="24"/>
          <w:szCs w:val="24"/>
          <w:bdr w:val="none" w:sz="0" w:space="0" w:color="auto" w:frame="1"/>
          <w:lang w:eastAsia="bg-BG"/>
        </w:rPr>
        <w:t xml:space="preserve"> 111, </w:t>
      </w:r>
      <w:r w:rsidRPr="007D063B">
        <w:rPr>
          <w:rFonts w:ascii="inherit" w:eastAsia="Times New Roman" w:hAnsi="inherit" w:cs="Times New Roman" w:hint="eastAsia"/>
          <w:b/>
          <w:bCs/>
          <w:color w:val="auto"/>
          <w:sz w:val="24"/>
          <w:szCs w:val="24"/>
          <w:bdr w:val="none" w:sz="0" w:space="0" w:color="auto" w:frame="1"/>
          <w:lang w:eastAsia="bg-BG"/>
        </w:rPr>
        <w:t>параграф</w:t>
      </w:r>
      <w:r w:rsidRPr="007D063B">
        <w:rPr>
          <w:rFonts w:ascii="inherit" w:eastAsia="Times New Roman" w:hAnsi="inherit" w:cs="Times New Roman"/>
          <w:b/>
          <w:bCs/>
          <w:color w:val="auto"/>
          <w:sz w:val="24"/>
          <w:szCs w:val="24"/>
          <w:bdr w:val="none" w:sz="0" w:space="0" w:color="auto" w:frame="1"/>
          <w:lang w:eastAsia="bg-BG"/>
        </w:rPr>
        <w:t xml:space="preserve"> 4, </w:t>
      </w:r>
      <w:r w:rsidRPr="007D063B">
        <w:rPr>
          <w:rFonts w:ascii="inherit" w:eastAsia="Times New Roman" w:hAnsi="inherit" w:cs="Times New Roman" w:hint="eastAsia"/>
          <w:b/>
          <w:bCs/>
          <w:color w:val="auto"/>
          <w:sz w:val="24"/>
          <w:szCs w:val="24"/>
          <w:bdr w:val="none" w:sz="0" w:space="0" w:color="auto" w:frame="1"/>
          <w:lang w:eastAsia="bg-BG"/>
        </w:rPr>
        <w:t>първа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алинея</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буква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в</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от</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Регламент</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ЕС</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 </w:t>
      </w:r>
      <w:r w:rsidRPr="007D063B">
        <w:rPr>
          <w:rFonts w:ascii="inherit" w:eastAsia="Times New Roman" w:hAnsi="inherit" w:cs="Times New Roman"/>
          <w:b/>
          <w:bCs/>
          <w:color w:val="auto"/>
          <w:sz w:val="24"/>
          <w:szCs w:val="24"/>
          <w:bdr w:val="none" w:sz="0" w:space="0" w:color="auto" w:frame="1"/>
          <w:lang w:eastAsia="bg-BG"/>
        </w:rPr>
        <w:t>1303/2013)</w:t>
      </w:r>
      <w:bookmarkEnd w:id="47"/>
    </w:p>
    <w:p w14:paraId="598BECD3" w14:textId="77777777" w:rsidR="00816F06" w:rsidRPr="007D063B" w:rsidRDefault="00816F06" w:rsidP="00816F06">
      <w:pPr>
        <w:shd w:val="clear" w:color="auto" w:fill="FFFFFF"/>
        <w:spacing w:before="120" w:after="0" w:line="312" w:lineRule="atLeast"/>
        <w:jc w:val="both"/>
        <w:textAlignment w:val="baseline"/>
        <w:rPr>
          <w:rFonts w:ascii="Times New Roman" w:eastAsia="Times New Roman" w:hAnsi="Times New Roman" w:cs="Times New Roman"/>
          <w:color w:val="444444"/>
          <w:sz w:val="24"/>
          <w:szCs w:val="24"/>
          <w:lang w:eastAsia="bg-BG"/>
        </w:rPr>
      </w:pPr>
      <w:r w:rsidRPr="007D063B">
        <w:rPr>
          <w:rFonts w:ascii="Times New Roman" w:eastAsia="Times New Roman" w:hAnsi="Times New Roman" w:cs="Times New Roman"/>
          <w:color w:val="444444"/>
          <w:sz w:val="24"/>
          <w:szCs w:val="24"/>
          <w:lang w:eastAsia="bg-BG"/>
        </w:rPr>
        <w:t>Оценка на изпълнението на действията, при която се взема предвид ролята на партньорите, посочени в член 5 от Регламент (ЕС) № 1303/2013, включително участието на партньорите в изпълнението, мониторинга и оценката на оперативната програма.</w:t>
      </w:r>
    </w:p>
    <w:p w14:paraId="68094785" w14:textId="7170A70E" w:rsidR="00816F06" w:rsidRPr="007D063B" w:rsidRDefault="00816F06" w:rsidP="00816F06">
      <w:pPr>
        <w:shd w:val="clear" w:color="auto" w:fill="EEEEEE"/>
        <w:spacing w:line="240" w:lineRule="auto"/>
        <w:textAlignment w:val="baseline"/>
        <w:rPr>
          <w:rFonts w:eastAsia="Times New Roman" w:cs="Times New Roman"/>
          <w:i/>
          <w:iCs/>
          <w:color w:val="444444"/>
          <w:sz w:val="24"/>
          <w:szCs w:val="24"/>
          <w:bdr w:val="none" w:sz="0" w:space="0" w:color="auto" w:frame="1"/>
          <w:lang w:eastAsia="bg-BG"/>
        </w:rPr>
      </w:pPr>
      <w:r w:rsidRPr="007D063B">
        <w:rPr>
          <w:rFonts w:ascii="inherit" w:eastAsia="Times New Roman" w:hAnsi="inherit" w:cs="Times New Roman"/>
          <w:i/>
          <w:iCs/>
          <w:color w:val="444444"/>
          <w:sz w:val="24"/>
          <w:szCs w:val="24"/>
          <w:bdr w:val="none" w:sz="0" w:space="0" w:color="auto" w:frame="1"/>
          <w:lang w:eastAsia="bg-BG"/>
        </w:rPr>
        <w:t>&lt;type='S' maxlength=3500 input='M'&gt;</w:t>
      </w:r>
    </w:p>
    <w:p w14:paraId="5A8035A0" w14:textId="00860313" w:rsidR="00F511C3" w:rsidRPr="007D063B" w:rsidRDefault="00F511C3" w:rsidP="008A4B45">
      <w:pPr>
        <w:jc w:val="both"/>
        <w:rPr>
          <w:rFonts w:ascii="Times New Roman" w:hAnsi="Times New Roman"/>
          <w:sz w:val="24"/>
          <w:szCs w:val="24"/>
        </w:rPr>
      </w:pPr>
      <w:r w:rsidRPr="007D063B">
        <w:rPr>
          <w:rFonts w:ascii="Times New Roman" w:hAnsi="Times New Roman"/>
          <w:sz w:val="24"/>
          <w:szCs w:val="24"/>
        </w:rPr>
        <w:t>В КН на ОПДУ са включени представители на следните партнь</w:t>
      </w:r>
      <w:r w:rsidR="008A4B45" w:rsidRPr="007D063B">
        <w:rPr>
          <w:rFonts w:ascii="Times New Roman" w:hAnsi="Times New Roman"/>
          <w:sz w:val="24"/>
          <w:szCs w:val="24"/>
        </w:rPr>
        <w:t>о</w:t>
      </w:r>
      <w:r w:rsidRPr="007D063B">
        <w:rPr>
          <w:rFonts w:ascii="Times New Roman" w:hAnsi="Times New Roman"/>
          <w:sz w:val="24"/>
          <w:szCs w:val="24"/>
        </w:rPr>
        <w:t>рски организации:</w:t>
      </w:r>
    </w:p>
    <w:p w14:paraId="497C8B9D" w14:textId="77777777" w:rsidR="00F511C3" w:rsidRPr="007D063B" w:rsidRDefault="00F511C3" w:rsidP="0010350D">
      <w:pPr>
        <w:pStyle w:val="ListParagraph"/>
        <w:numPr>
          <w:ilvl w:val="0"/>
          <w:numId w:val="35"/>
        </w:numPr>
        <w:spacing w:after="0" w:line="240" w:lineRule="auto"/>
        <w:ind w:left="714" w:hanging="357"/>
        <w:rPr>
          <w:rFonts w:ascii="Times New Roman" w:hAnsi="Times New Roman"/>
          <w:szCs w:val="24"/>
        </w:rPr>
      </w:pPr>
      <w:r w:rsidRPr="007D063B">
        <w:rPr>
          <w:rFonts w:ascii="Times New Roman" w:hAnsi="Times New Roman"/>
          <w:szCs w:val="24"/>
        </w:rPr>
        <w:t>НСОРБ</w:t>
      </w:r>
    </w:p>
    <w:p w14:paraId="7F7605A3" w14:textId="565993CD" w:rsidR="00F511C3" w:rsidRPr="007D063B" w:rsidRDefault="00F511C3" w:rsidP="0010350D">
      <w:pPr>
        <w:pStyle w:val="ListParagraph"/>
        <w:numPr>
          <w:ilvl w:val="0"/>
          <w:numId w:val="35"/>
        </w:numPr>
        <w:spacing w:after="0" w:line="240" w:lineRule="auto"/>
        <w:ind w:left="714" w:hanging="357"/>
        <w:rPr>
          <w:rFonts w:ascii="Times New Roman" w:hAnsi="Times New Roman"/>
          <w:szCs w:val="24"/>
        </w:rPr>
      </w:pPr>
      <w:r w:rsidRPr="007D063B">
        <w:rPr>
          <w:rFonts w:ascii="Times New Roman" w:hAnsi="Times New Roman"/>
          <w:szCs w:val="24"/>
        </w:rPr>
        <w:t>КНСБ и КТ „Подкрепа“</w:t>
      </w:r>
      <w:r w:rsidR="0017151F" w:rsidRPr="007D063B">
        <w:rPr>
          <w:rFonts w:ascii="Times New Roman" w:hAnsi="Times New Roman"/>
          <w:szCs w:val="24"/>
        </w:rPr>
        <w:t xml:space="preserve">, </w:t>
      </w:r>
      <w:r w:rsidRPr="007D063B">
        <w:rPr>
          <w:rFonts w:ascii="Times New Roman" w:hAnsi="Times New Roman"/>
          <w:szCs w:val="24"/>
        </w:rPr>
        <w:t>АИКБ, КРИБ, БТПП, БСК и ССИ</w:t>
      </w:r>
    </w:p>
    <w:p w14:paraId="711B55C2" w14:textId="2DC3E93F" w:rsidR="00F511C3" w:rsidRPr="007D063B" w:rsidRDefault="00F511C3" w:rsidP="0010350D">
      <w:pPr>
        <w:pStyle w:val="ListParagraph"/>
        <w:numPr>
          <w:ilvl w:val="0"/>
          <w:numId w:val="35"/>
        </w:numPr>
        <w:spacing w:after="0" w:line="240" w:lineRule="auto"/>
        <w:ind w:left="714" w:hanging="357"/>
        <w:rPr>
          <w:rFonts w:ascii="Times New Roman" w:hAnsi="Times New Roman"/>
          <w:szCs w:val="24"/>
        </w:rPr>
      </w:pPr>
      <w:r w:rsidRPr="007D063B">
        <w:rPr>
          <w:rFonts w:ascii="Times New Roman" w:hAnsi="Times New Roman"/>
          <w:szCs w:val="24"/>
        </w:rPr>
        <w:t>Националния съвет за интеграция на хората с увреждания – ССБ, ЦПИ, СИБ, АРДЕ</w:t>
      </w:r>
    </w:p>
    <w:p w14:paraId="1FE93F3E" w14:textId="7A9EC4D7" w:rsidR="00F511C3" w:rsidRPr="007D063B" w:rsidRDefault="00F511C3" w:rsidP="0010350D">
      <w:pPr>
        <w:pStyle w:val="ListParagraph"/>
        <w:numPr>
          <w:ilvl w:val="0"/>
          <w:numId w:val="35"/>
        </w:numPr>
        <w:spacing w:after="0" w:line="240" w:lineRule="auto"/>
        <w:ind w:left="714" w:hanging="357"/>
        <w:rPr>
          <w:rFonts w:ascii="Times New Roman" w:hAnsi="Times New Roman"/>
          <w:szCs w:val="24"/>
        </w:rPr>
      </w:pPr>
      <w:r w:rsidRPr="007D063B">
        <w:rPr>
          <w:rFonts w:ascii="Times New Roman" w:hAnsi="Times New Roman"/>
          <w:szCs w:val="24"/>
        </w:rPr>
        <w:t>три НПО в Сфера „Организации, работещи в сферата на равенството между мъжете и жените, недискриминацията и равните възможности“</w:t>
      </w:r>
    </w:p>
    <w:p w14:paraId="150B4568" w14:textId="106E945C" w:rsidR="00F511C3" w:rsidRPr="007D063B" w:rsidRDefault="00F511C3" w:rsidP="0010350D">
      <w:pPr>
        <w:pStyle w:val="ListParagraph"/>
        <w:numPr>
          <w:ilvl w:val="0"/>
          <w:numId w:val="35"/>
        </w:numPr>
        <w:spacing w:after="0" w:line="240" w:lineRule="auto"/>
        <w:ind w:left="714" w:hanging="357"/>
        <w:rPr>
          <w:rFonts w:ascii="Times New Roman" w:hAnsi="Times New Roman"/>
          <w:szCs w:val="24"/>
        </w:rPr>
      </w:pPr>
      <w:r w:rsidRPr="007D063B">
        <w:rPr>
          <w:rFonts w:ascii="Times New Roman" w:hAnsi="Times New Roman"/>
          <w:szCs w:val="24"/>
        </w:rPr>
        <w:t>по едно НПО в сфери: „Организации, работещи в сферата на социалното включване и интегрирането на маргинализираните групи“, „Екологични организации“ и „Организации, работещи в сферата на образованието, науката и културата“</w:t>
      </w:r>
    </w:p>
    <w:p w14:paraId="735B53E3" w14:textId="1771F555" w:rsidR="00F511C3" w:rsidRPr="007D063B" w:rsidRDefault="00F511C3" w:rsidP="0010350D">
      <w:pPr>
        <w:pStyle w:val="ListParagraph"/>
        <w:numPr>
          <w:ilvl w:val="0"/>
          <w:numId w:val="35"/>
        </w:numPr>
        <w:spacing w:after="0" w:line="240" w:lineRule="auto"/>
        <w:ind w:left="714" w:hanging="357"/>
        <w:rPr>
          <w:rFonts w:ascii="Times New Roman" w:hAnsi="Times New Roman"/>
          <w:szCs w:val="24"/>
        </w:rPr>
      </w:pPr>
      <w:r w:rsidRPr="007D063B">
        <w:rPr>
          <w:rFonts w:ascii="Times New Roman" w:hAnsi="Times New Roman"/>
          <w:szCs w:val="24"/>
        </w:rPr>
        <w:t>две НПО в Сфера „Организации, работещи за подобряване на административното обслужване“</w:t>
      </w:r>
    </w:p>
    <w:p w14:paraId="09DD867D" w14:textId="0FE79474" w:rsidR="00F511C3" w:rsidRPr="007D063B" w:rsidRDefault="00F511C3" w:rsidP="008A4B45">
      <w:pPr>
        <w:pStyle w:val="ListParagraph"/>
        <w:numPr>
          <w:ilvl w:val="0"/>
          <w:numId w:val="35"/>
        </w:numPr>
        <w:rPr>
          <w:rFonts w:ascii="Times New Roman" w:hAnsi="Times New Roman"/>
          <w:szCs w:val="24"/>
        </w:rPr>
      </w:pPr>
      <w:r w:rsidRPr="007D063B">
        <w:rPr>
          <w:rFonts w:ascii="Times New Roman" w:hAnsi="Times New Roman"/>
          <w:szCs w:val="24"/>
        </w:rPr>
        <w:t>четири НПО в Сфера „Организации, работещи в сферата на политики за развитие, включително на регионално и местно ниво“</w:t>
      </w:r>
    </w:p>
    <w:p w14:paraId="13858D4A" w14:textId="42F94C98" w:rsidR="001179A0" w:rsidRPr="007D063B" w:rsidRDefault="001179A0" w:rsidP="008A4B45">
      <w:pPr>
        <w:jc w:val="both"/>
        <w:rPr>
          <w:rFonts w:ascii="Times New Roman" w:hAnsi="Times New Roman"/>
          <w:sz w:val="24"/>
          <w:szCs w:val="24"/>
        </w:rPr>
      </w:pPr>
      <w:r w:rsidRPr="007D063B">
        <w:rPr>
          <w:rFonts w:ascii="Times New Roman" w:hAnsi="Times New Roman"/>
          <w:sz w:val="24"/>
          <w:szCs w:val="24"/>
        </w:rPr>
        <w:t xml:space="preserve">През 2015 и 2016 г. </w:t>
      </w:r>
      <w:r w:rsidR="008A4B45" w:rsidRPr="007D063B">
        <w:rPr>
          <w:rFonts w:ascii="Times New Roman" w:hAnsi="Times New Roman"/>
          <w:sz w:val="24"/>
          <w:szCs w:val="24"/>
        </w:rPr>
        <w:t>п</w:t>
      </w:r>
      <w:r w:rsidRPr="007D063B">
        <w:rPr>
          <w:rFonts w:ascii="Times New Roman" w:hAnsi="Times New Roman"/>
          <w:sz w:val="24"/>
          <w:szCs w:val="24"/>
        </w:rPr>
        <w:t>артньорите участват изключително активно в управлението, мониторинга и оценката на ОПДУ чрез Комитета за наблюдение на ОПДУ:</w:t>
      </w:r>
    </w:p>
    <w:p w14:paraId="5855ED76" w14:textId="77777777" w:rsidR="00043835" w:rsidRPr="007D063B" w:rsidRDefault="00043835" w:rsidP="00043835">
      <w:pPr>
        <w:pStyle w:val="ListParagraph"/>
        <w:numPr>
          <w:ilvl w:val="0"/>
          <w:numId w:val="27"/>
        </w:numPr>
        <w:rPr>
          <w:rFonts w:ascii="Times New Roman" w:hAnsi="Times New Roman"/>
          <w:b/>
          <w:i/>
          <w:szCs w:val="24"/>
        </w:rPr>
      </w:pPr>
      <w:r w:rsidRPr="007D063B">
        <w:rPr>
          <w:rFonts w:ascii="Times New Roman" w:hAnsi="Times New Roman"/>
          <w:b/>
          <w:i/>
          <w:szCs w:val="24"/>
        </w:rPr>
        <w:t>Проведени са общо 5 редовни заседания на КН на ОПДУ</w:t>
      </w:r>
      <w:r w:rsidRPr="007D063B">
        <w:rPr>
          <w:rFonts w:ascii="Times New Roman" w:hAnsi="Times New Roman"/>
          <w:b/>
          <w:i/>
          <w:szCs w:val="24"/>
          <w:lang w:val="ru-RU"/>
        </w:rPr>
        <w:t xml:space="preserve"> - 2</w:t>
      </w:r>
      <w:r w:rsidRPr="007D063B">
        <w:rPr>
          <w:rFonts w:ascii="Times New Roman" w:hAnsi="Times New Roman"/>
          <w:b/>
          <w:i/>
          <w:szCs w:val="24"/>
        </w:rPr>
        <w:t xml:space="preserve"> през 2015 г. и </w:t>
      </w:r>
      <w:r w:rsidRPr="007D063B">
        <w:rPr>
          <w:rFonts w:ascii="Times New Roman" w:hAnsi="Times New Roman"/>
          <w:b/>
          <w:i/>
          <w:szCs w:val="24"/>
          <w:lang w:val="ru-RU"/>
        </w:rPr>
        <w:t>3</w:t>
      </w:r>
      <w:r w:rsidRPr="007D063B">
        <w:rPr>
          <w:rFonts w:ascii="Times New Roman" w:hAnsi="Times New Roman"/>
          <w:b/>
          <w:i/>
          <w:szCs w:val="24"/>
        </w:rPr>
        <w:t xml:space="preserve"> през 2016 г., на които бяха обсъдени следните теми/документи, както следва:</w:t>
      </w:r>
    </w:p>
    <w:p w14:paraId="1251BEFE" w14:textId="5613F0E5" w:rsidR="001179A0" w:rsidRPr="007D063B" w:rsidRDefault="001179A0" w:rsidP="008A4B45">
      <w:pPr>
        <w:jc w:val="both"/>
        <w:rPr>
          <w:rFonts w:ascii="Times New Roman" w:hAnsi="Times New Roman"/>
          <w:sz w:val="24"/>
          <w:szCs w:val="24"/>
        </w:rPr>
      </w:pPr>
      <w:r w:rsidRPr="007D063B">
        <w:rPr>
          <w:rFonts w:ascii="Times New Roman" w:hAnsi="Times New Roman"/>
          <w:sz w:val="24"/>
          <w:szCs w:val="24"/>
        </w:rPr>
        <w:lastRenderedPageBreak/>
        <w:t xml:space="preserve">26.06.2015 г. - Първо заседание - ИГРП по ОПДУ за 2015 г., критерии за подбор на операции, наръчник на индикаторите по ОПДУ. </w:t>
      </w:r>
    </w:p>
    <w:p w14:paraId="6518C4BA" w14:textId="5D322324" w:rsidR="001179A0" w:rsidRPr="007D063B" w:rsidRDefault="001179A0" w:rsidP="008A4B45">
      <w:pPr>
        <w:jc w:val="both"/>
        <w:rPr>
          <w:rFonts w:ascii="Times New Roman" w:hAnsi="Times New Roman"/>
          <w:sz w:val="24"/>
          <w:szCs w:val="24"/>
        </w:rPr>
      </w:pPr>
      <w:r w:rsidRPr="007D063B">
        <w:rPr>
          <w:rFonts w:ascii="Times New Roman" w:hAnsi="Times New Roman"/>
          <w:sz w:val="24"/>
          <w:szCs w:val="24"/>
        </w:rPr>
        <w:t>20.11.2015 г. - Второ заседание – Разгледани: напредък по ОП „Добро управление“, ОП „Техническа помощ“ и ОП „Административен капацитет“, резултати от проведената през м. ноември писмена процедура, напредък в изпълнението на ИГРП 2015 и възможностите за финансиране съгласно предложената ИГРП за 2016 г., представен Годишн</w:t>
      </w:r>
      <w:r w:rsidR="00043835" w:rsidRPr="007D063B">
        <w:rPr>
          <w:rFonts w:ascii="Times New Roman" w:hAnsi="Times New Roman"/>
          <w:sz w:val="24"/>
          <w:szCs w:val="24"/>
        </w:rPr>
        <w:t xml:space="preserve">ен </w:t>
      </w:r>
      <w:r w:rsidRPr="007D063B">
        <w:rPr>
          <w:rFonts w:ascii="Times New Roman" w:hAnsi="Times New Roman"/>
          <w:sz w:val="24"/>
          <w:szCs w:val="24"/>
        </w:rPr>
        <w:t>план за действие</w:t>
      </w:r>
      <w:r w:rsidR="00043835" w:rsidRPr="007D063B">
        <w:rPr>
          <w:rFonts w:ascii="Times New Roman" w:hAnsi="Times New Roman"/>
          <w:sz w:val="24"/>
          <w:szCs w:val="24"/>
        </w:rPr>
        <w:t xml:space="preserve"> </w:t>
      </w:r>
      <w:r w:rsidR="00043835" w:rsidRPr="007D063B">
        <w:rPr>
          <w:rFonts w:ascii="Times New Roman" w:hAnsi="Times New Roman"/>
          <w:sz w:val="24"/>
          <w:szCs w:val="24"/>
          <w:lang w:val="ru-RU"/>
        </w:rPr>
        <w:t>(</w:t>
      </w:r>
      <w:r w:rsidR="00043835" w:rsidRPr="007D063B">
        <w:rPr>
          <w:rFonts w:ascii="Times New Roman" w:hAnsi="Times New Roman"/>
          <w:sz w:val="24"/>
          <w:szCs w:val="24"/>
        </w:rPr>
        <w:t>ГПД</w:t>
      </w:r>
      <w:r w:rsidR="00043835" w:rsidRPr="007D063B">
        <w:rPr>
          <w:rFonts w:ascii="Times New Roman" w:hAnsi="Times New Roman"/>
          <w:sz w:val="24"/>
          <w:szCs w:val="24"/>
          <w:lang w:val="ru-RU"/>
        </w:rPr>
        <w:t>)</w:t>
      </w:r>
      <w:r w:rsidR="00043835" w:rsidRPr="007D063B">
        <w:rPr>
          <w:rFonts w:ascii="Times New Roman" w:hAnsi="Times New Roman"/>
          <w:sz w:val="24"/>
          <w:szCs w:val="24"/>
        </w:rPr>
        <w:t xml:space="preserve"> за информация и </w:t>
      </w:r>
      <w:r w:rsidRPr="007D063B">
        <w:rPr>
          <w:rFonts w:ascii="Times New Roman" w:hAnsi="Times New Roman"/>
          <w:sz w:val="24"/>
          <w:szCs w:val="24"/>
        </w:rPr>
        <w:t xml:space="preserve">комуникация </w:t>
      </w:r>
      <w:r w:rsidR="00043835" w:rsidRPr="007D063B">
        <w:rPr>
          <w:rFonts w:ascii="Times New Roman" w:hAnsi="Times New Roman"/>
          <w:sz w:val="24"/>
          <w:szCs w:val="24"/>
        </w:rPr>
        <w:t>на ОПДУ за</w:t>
      </w:r>
      <w:r w:rsidRPr="007D063B">
        <w:rPr>
          <w:rFonts w:ascii="Times New Roman" w:hAnsi="Times New Roman"/>
          <w:sz w:val="24"/>
          <w:szCs w:val="24"/>
        </w:rPr>
        <w:t xml:space="preserve"> 2016 г., изготвени: брошура за представяне на ОПДУ и брошура за проекти-добри практики по ОПАК.</w:t>
      </w:r>
    </w:p>
    <w:p w14:paraId="6D0FFDF2" w14:textId="77777777" w:rsidR="001179A0" w:rsidRPr="007D063B" w:rsidRDefault="001179A0" w:rsidP="008A4B45">
      <w:pPr>
        <w:jc w:val="both"/>
        <w:rPr>
          <w:rFonts w:ascii="Times New Roman" w:hAnsi="Times New Roman"/>
          <w:sz w:val="24"/>
          <w:szCs w:val="24"/>
        </w:rPr>
      </w:pPr>
      <w:r w:rsidRPr="007D063B">
        <w:rPr>
          <w:rFonts w:ascii="Times New Roman" w:eastAsia="Times New Roman" w:hAnsi="Times New Roman" w:cs="Times New Roman"/>
          <w:iCs/>
          <w:color w:val="444444"/>
          <w:sz w:val="24"/>
          <w:szCs w:val="24"/>
          <w:bdr w:val="none" w:sz="0" w:space="0" w:color="auto" w:frame="1"/>
          <w:lang w:eastAsia="bg-BG"/>
        </w:rPr>
        <w:t>1.</w:t>
      </w:r>
      <w:r w:rsidRPr="007D063B">
        <w:rPr>
          <w:rFonts w:ascii="Times New Roman" w:hAnsi="Times New Roman"/>
          <w:sz w:val="24"/>
          <w:szCs w:val="24"/>
        </w:rPr>
        <w:t>06.2016 г. - Трето заседание - представяне изпълнението на ОПДУ, ОПАК и ОПТП и изпълнението на приложимите предварителни условия;</w:t>
      </w:r>
    </w:p>
    <w:p w14:paraId="198E2EC5" w14:textId="77777777" w:rsidR="001179A0" w:rsidRPr="007D063B" w:rsidRDefault="001179A0" w:rsidP="008A4B45">
      <w:pPr>
        <w:jc w:val="both"/>
        <w:rPr>
          <w:rFonts w:ascii="Times New Roman" w:hAnsi="Times New Roman"/>
          <w:sz w:val="24"/>
          <w:szCs w:val="24"/>
        </w:rPr>
      </w:pPr>
      <w:r w:rsidRPr="007D063B">
        <w:rPr>
          <w:rFonts w:ascii="Times New Roman" w:hAnsi="Times New Roman"/>
          <w:sz w:val="24"/>
          <w:szCs w:val="24"/>
        </w:rPr>
        <w:t>12.09.2016 г. - Четвърто заседание - одобрени промени в ИГРП 2016, КПО по процедура „Подобряване на ефективността, ефикасността и прозрачността на системата за обществените поръчки” и по процедура „Граждански контрол върху реформата в съдебната система”. Одобрени промени във Вътрешните правила за работа на КН на ОПДУ, Кодекса за поведение и декларацията за конфликт на интереси, както и измененията в Наръчника на индикаторите по ОПДУ;</w:t>
      </w:r>
    </w:p>
    <w:p w14:paraId="7EA4FDB9" w14:textId="7740FB9D" w:rsidR="001179A0" w:rsidRPr="007D063B" w:rsidRDefault="001179A0" w:rsidP="008A4B45">
      <w:pPr>
        <w:jc w:val="both"/>
        <w:rPr>
          <w:rFonts w:ascii="Times New Roman" w:hAnsi="Times New Roman"/>
          <w:sz w:val="24"/>
          <w:szCs w:val="24"/>
        </w:rPr>
      </w:pPr>
      <w:r w:rsidRPr="007D063B">
        <w:rPr>
          <w:rFonts w:ascii="Times New Roman" w:hAnsi="Times New Roman"/>
          <w:sz w:val="24"/>
          <w:szCs w:val="24"/>
        </w:rPr>
        <w:t xml:space="preserve">12.12.2016 г. – Пето заседание - одобрени изменение на КПО по процедура BG05SFOP001-4.002; КПО по процедура „Укрепване капацитета на НСОРБ за подкрепа на разработването и изпълнението на проекти, финансирани от ЕСИФ“; Предложение на УО за изпълнение на интервенциите за НПО по СЦ 3 на ПО 2 на ОПДУ без междинно звено и глобална субсидия; Отчет </w:t>
      </w:r>
      <w:r w:rsidR="00043835" w:rsidRPr="007D063B">
        <w:rPr>
          <w:rFonts w:ascii="Times New Roman" w:hAnsi="Times New Roman"/>
          <w:sz w:val="24"/>
          <w:szCs w:val="24"/>
        </w:rPr>
        <w:t xml:space="preserve">на ГПД </w:t>
      </w:r>
      <w:r w:rsidRPr="007D063B">
        <w:rPr>
          <w:rFonts w:ascii="Times New Roman" w:hAnsi="Times New Roman"/>
          <w:sz w:val="24"/>
          <w:szCs w:val="24"/>
        </w:rPr>
        <w:t xml:space="preserve">за информация и комуникация на ОПДУ за 2016 г.; </w:t>
      </w:r>
      <w:r w:rsidR="00043835" w:rsidRPr="007D063B">
        <w:rPr>
          <w:rFonts w:ascii="Times New Roman" w:hAnsi="Times New Roman"/>
          <w:sz w:val="24"/>
          <w:szCs w:val="24"/>
        </w:rPr>
        <w:t xml:space="preserve">ГПД </w:t>
      </w:r>
      <w:r w:rsidRPr="007D063B">
        <w:rPr>
          <w:rFonts w:ascii="Times New Roman" w:hAnsi="Times New Roman"/>
          <w:sz w:val="24"/>
          <w:szCs w:val="24"/>
        </w:rPr>
        <w:t>за информация и комуникация на ОПДУ за 2017 г. На заседанието бяха представени и Окончателните доклади за изпълнението на ОПАК и ОПТП.</w:t>
      </w:r>
    </w:p>
    <w:p w14:paraId="1AA6B153" w14:textId="643A6E11" w:rsidR="001179A0" w:rsidRPr="007D063B" w:rsidRDefault="00043835" w:rsidP="008A4B45">
      <w:pPr>
        <w:pStyle w:val="ListParagraph"/>
        <w:numPr>
          <w:ilvl w:val="0"/>
          <w:numId w:val="27"/>
        </w:numPr>
        <w:rPr>
          <w:rFonts w:ascii="Times New Roman" w:hAnsi="Times New Roman"/>
          <w:b/>
          <w:i/>
          <w:szCs w:val="24"/>
        </w:rPr>
      </w:pPr>
      <w:r w:rsidRPr="007D063B">
        <w:rPr>
          <w:rFonts w:ascii="Times New Roman" w:hAnsi="Times New Roman"/>
          <w:b/>
          <w:i/>
          <w:szCs w:val="24"/>
        </w:rPr>
        <w:t xml:space="preserve">Проведени са общо </w:t>
      </w:r>
      <w:r w:rsidR="001179A0" w:rsidRPr="007D063B">
        <w:rPr>
          <w:rFonts w:ascii="Times New Roman" w:hAnsi="Times New Roman"/>
          <w:b/>
          <w:i/>
          <w:szCs w:val="24"/>
        </w:rPr>
        <w:t>7 процедури за неприсъствено приемане на решение от КН на ОПДУ</w:t>
      </w:r>
      <w:r w:rsidR="00692D02" w:rsidRPr="007D063B">
        <w:rPr>
          <w:rFonts w:ascii="Times New Roman" w:hAnsi="Times New Roman"/>
          <w:b/>
          <w:i/>
          <w:szCs w:val="24"/>
        </w:rPr>
        <w:t xml:space="preserve"> – 1 през 2015 и 6 през 2016 г.</w:t>
      </w:r>
    </w:p>
    <w:p w14:paraId="184D0761" w14:textId="1301A023" w:rsidR="001179A0" w:rsidRPr="007D063B" w:rsidRDefault="00043835" w:rsidP="008A4B45">
      <w:pPr>
        <w:pStyle w:val="ListParagraph"/>
        <w:numPr>
          <w:ilvl w:val="0"/>
          <w:numId w:val="27"/>
        </w:numPr>
        <w:rPr>
          <w:rFonts w:ascii="Times New Roman" w:eastAsiaTheme="minorHAnsi" w:hAnsi="Times New Roman" w:cstheme="minorBidi"/>
          <w:b/>
          <w:i/>
          <w:szCs w:val="24"/>
        </w:rPr>
      </w:pPr>
      <w:r w:rsidRPr="007D063B">
        <w:rPr>
          <w:rFonts w:ascii="Times New Roman" w:hAnsi="Times New Roman"/>
          <w:b/>
          <w:i/>
          <w:szCs w:val="24"/>
        </w:rPr>
        <w:t xml:space="preserve">Проведено е </w:t>
      </w:r>
      <w:r w:rsidR="001179A0" w:rsidRPr="007D063B">
        <w:rPr>
          <w:rFonts w:ascii="Times New Roman" w:hAnsi="Times New Roman"/>
          <w:b/>
          <w:i/>
          <w:szCs w:val="24"/>
        </w:rPr>
        <w:t xml:space="preserve">1 обучение на членовете на КН на ОПДУ </w:t>
      </w:r>
      <w:r w:rsidRPr="007D063B">
        <w:rPr>
          <w:rFonts w:ascii="Times New Roman" w:hAnsi="Times New Roman"/>
          <w:b/>
          <w:i/>
          <w:szCs w:val="24"/>
        </w:rPr>
        <w:t xml:space="preserve">на </w:t>
      </w:r>
      <w:r w:rsidR="001179A0" w:rsidRPr="007D063B">
        <w:rPr>
          <w:rFonts w:ascii="Times New Roman" w:hAnsi="Times New Roman"/>
          <w:b/>
          <w:i/>
          <w:szCs w:val="24"/>
        </w:rPr>
        <w:t xml:space="preserve">1.06.2016 г. </w:t>
      </w:r>
    </w:p>
    <w:p w14:paraId="5E20D2BA" w14:textId="6DFDA2A8" w:rsidR="001179A0" w:rsidRPr="007D063B" w:rsidRDefault="00043835" w:rsidP="008A4B45">
      <w:pPr>
        <w:pStyle w:val="ListParagraph"/>
        <w:numPr>
          <w:ilvl w:val="0"/>
          <w:numId w:val="27"/>
        </w:numPr>
        <w:rPr>
          <w:rFonts w:ascii="Times New Roman" w:eastAsiaTheme="minorHAnsi" w:hAnsi="Times New Roman" w:cstheme="minorBidi"/>
          <w:b/>
          <w:i/>
          <w:szCs w:val="24"/>
        </w:rPr>
      </w:pPr>
      <w:r w:rsidRPr="007D063B">
        <w:rPr>
          <w:rFonts w:ascii="Times New Roman" w:hAnsi="Times New Roman"/>
          <w:b/>
          <w:i/>
          <w:szCs w:val="24"/>
        </w:rPr>
        <w:t xml:space="preserve">Проведени са </w:t>
      </w:r>
      <w:r w:rsidR="001179A0" w:rsidRPr="007D063B">
        <w:rPr>
          <w:rFonts w:ascii="Times New Roman" w:hAnsi="Times New Roman"/>
          <w:b/>
          <w:i/>
          <w:szCs w:val="24"/>
        </w:rPr>
        <w:t>2 процедури за включване на представители на две групи юридически лица с нестопанска цел за общественополезна дейност в КН на ОПДУ</w:t>
      </w:r>
      <w:r w:rsidRPr="007D063B">
        <w:rPr>
          <w:rFonts w:ascii="Times New Roman" w:hAnsi="Times New Roman"/>
          <w:b/>
          <w:i/>
          <w:szCs w:val="24"/>
        </w:rPr>
        <w:t>, както следва</w:t>
      </w:r>
      <w:r w:rsidRPr="007D063B">
        <w:rPr>
          <w:rFonts w:ascii="Times New Roman" w:hAnsi="Times New Roman"/>
          <w:b/>
          <w:i/>
          <w:szCs w:val="24"/>
          <w:lang w:val="ru-RU"/>
        </w:rPr>
        <w:t>:</w:t>
      </w:r>
      <w:r w:rsidR="001179A0" w:rsidRPr="007D063B">
        <w:rPr>
          <w:rFonts w:ascii="Times New Roman" w:hAnsi="Times New Roman"/>
          <w:b/>
          <w:i/>
          <w:szCs w:val="24"/>
        </w:rPr>
        <w:t xml:space="preserve"> </w:t>
      </w:r>
    </w:p>
    <w:p w14:paraId="2C411625" w14:textId="7AFA9049" w:rsidR="001179A0" w:rsidRPr="007D063B" w:rsidRDefault="001179A0" w:rsidP="008A4B45">
      <w:pPr>
        <w:jc w:val="both"/>
        <w:rPr>
          <w:rFonts w:ascii="Times New Roman" w:hAnsi="Times New Roman"/>
          <w:sz w:val="24"/>
          <w:szCs w:val="24"/>
        </w:rPr>
      </w:pPr>
      <w:r w:rsidRPr="007D063B">
        <w:rPr>
          <w:rFonts w:ascii="Times New Roman" w:hAnsi="Times New Roman"/>
          <w:sz w:val="24"/>
          <w:szCs w:val="24"/>
        </w:rPr>
        <w:t>14.07.2016 г. – Първа процедура във връзка с изменение на ПМС № 79/2014, в сила от 17.06.2016 г.</w:t>
      </w:r>
      <w:r w:rsidR="00517FFD" w:rsidRPr="007D063B">
        <w:rPr>
          <w:rFonts w:ascii="Times New Roman" w:hAnsi="Times New Roman"/>
          <w:sz w:val="24"/>
          <w:szCs w:val="24"/>
        </w:rPr>
        <w:t>,</w:t>
      </w:r>
      <w:r w:rsidRPr="007D063B">
        <w:rPr>
          <w:rFonts w:ascii="Times New Roman" w:hAnsi="Times New Roman"/>
          <w:sz w:val="24"/>
          <w:szCs w:val="24"/>
        </w:rPr>
        <w:t xml:space="preserve"> завърш</w:t>
      </w:r>
      <w:r w:rsidR="00517FFD" w:rsidRPr="007D063B">
        <w:rPr>
          <w:rFonts w:ascii="Times New Roman" w:hAnsi="Times New Roman"/>
          <w:sz w:val="24"/>
          <w:szCs w:val="24"/>
        </w:rPr>
        <w:t xml:space="preserve">ила </w:t>
      </w:r>
      <w:r w:rsidRPr="007D063B">
        <w:rPr>
          <w:rFonts w:ascii="Times New Roman" w:hAnsi="Times New Roman"/>
          <w:sz w:val="24"/>
          <w:szCs w:val="24"/>
        </w:rPr>
        <w:t>без избор.</w:t>
      </w:r>
    </w:p>
    <w:p w14:paraId="57FB447C" w14:textId="77777777" w:rsidR="001179A0" w:rsidRPr="007D063B" w:rsidRDefault="001179A0" w:rsidP="008A4B45">
      <w:pPr>
        <w:jc w:val="both"/>
        <w:rPr>
          <w:rFonts w:ascii="Times New Roman" w:hAnsi="Times New Roman"/>
          <w:sz w:val="24"/>
          <w:szCs w:val="24"/>
        </w:rPr>
      </w:pPr>
      <w:r w:rsidRPr="007D063B">
        <w:rPr>
          <w:rFonts w:ascii="Times New Roman" w:hAnsi="Times New Roman"/>
          <w:sz w:val="24"/>
          <w:szCs w:val="24"/>
        </w:rPr>
        <w:t>02.11-27.12.2016 г. – Нова процедура. Завършва с избор на представители на две организации в заповедта за състава на КН на ОПДУ, осигурявайки представителство на всички групи ЮЛНЦ за общественополезна дейност, посочени в чл. 12, ал. 3, т. 9 от ПМС № 79 от 2014 г.</w:t>
      </w:r>
    </w:p>
    <w:p w14:paraId="4709B699" w14:textId="77777777" w:rsidR="00816F06" w:rsidRPr="007D063B" w:rsidRDefault="00816F06" w:rsidP="0080317D">
      <w:pPr>
        <w:pStyle w:val="Heading1"/>
        <w:rPr>
          <w:rFonts w:ascii="Times New Roman" w:eastAsia="Times New Roman" w:hAnsi="Times New Roman" w:cs="Times New Roman"/>
          <w:b/>
          <w:bCs/>
          <w:color w:val="auto"/>
          <w:sz w:val="24"/>
          <w:szCs w:val="24"/>
          <w:lang w:eastAsia="bg-BG"/>
        </w:rPr>
      </w:pPr>
      <w:bookmarkStart w:id="48" w:name="_Toc481594309"/>
      <w:r w:rsidRPr="007D063B">
        <w:rPr>
          <w:rFonts w:ascii="Times New Roman" w:eastAsia="Times New Roman" w:hAnsi="Times New Roman" w:cs="Times New Roman"/>
          <w:b/>
          <w:bCs/>
          <w:color w:val="auto"/>
          <w:sz w:val="24"/>
          <w:szCs w:val="24"/>
          <w:lang w:eastAsia="bg-BG"/>
        </w:rPr>
        <w:lastRenderedPageBreak/>
        <w:t>12.   ЗАДЪЛЖИТЕЛНА ИНФОРМАЦИЯ И ОЦЕНКА СЪГЛАСНО ЧЛЕН 111, ПАРАГРАФ 4, ПЪРВА АЛИНЕЯ, БУКВИ а) и б) ОТ РЕГЛАМЕНТ (ЕС) № 1303/2013</w:t>
      </w:r>
      <w:bookmarkEnd w:id="48"/>
    </w:p>
    <w:p w14:paraId="5AAEDA08" w14:textId="77777777" w:rsidR="00816F06" w:rsidRPr="007D063B" w:rsidRDefault="00816F06" w:rsidP="0080317D">
      <w:pPr>
        <w:pStyle w:val="Heading2"/>
        <w:rPr>
          <w:rFonts w:ascii="Times New Roman" w:eastAsia="Times New Roman" w:hAnsi="Times New Roman" w:cs="Times New Roman"/>
          <w:b/>
          <w:bCs/>
          <w:color w:val="auto"/>
          <w:sz w:val="24"/>
          <w:szCs w:val="24"/>
          <w:lang w:eastAsia="bg-BG"/>
        </w:rPr>
      </w:pPr>
      <w:bookmarkStart w:id="49" w:name="_Toc481594310"/>
      <w:r w:rsidRPr="007D063B">
        <w:rPr>
          <w:rFonts w:ascii="Times New Roman" w:eastAsia="Times New Roman" w:hAnsi="Times New Roman" w:cs="Times New Roman"/>
          <w:b/>
          <w:bCs/>
          <w:color w:val="auto"/>
          <w:sz w:val="24"/>
          <w:szCs w:val="24"/>
          <w:lang w:eastAsia="bg-BG"/>
        </w:rPr>
        <w:t>12.1   </w:t>
      </w:r>
      <w:r w:rsidRPr="007D063B">
        <w:rPr>
          <w:rFonts w:ascii="inherit" w:eastAsia="Times New Roman" w:hAnsi="inherit" w:cs="Times New Roman" w:hint="eastAsia"/>
          <w:b/>
          <w:bCs/>
          <w:color w:val="auto"/>
          <w:sz w:val="24"/>
          <w:szCs w:val="24"/>
          <w:bdr w:val="none" w:sz="0" w:space="0" w:color="auto" w:frame="1"/>
          <w:lang w:eastAsia="bg-BG"/>
        </w:rPr>
        <w:t>Напредък</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по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изпълнението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плана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за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оценка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предприетите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действия</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във</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връзка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с</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констатациите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от</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извършените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оценки</w:t>
      </w:r>
      <w:bookmarkEnd w:id="49"/>
    </w:p>
    <w:p w14:paraId="00EF4591" w14:textId="1DB6E77C" w:rsidR="00816F06" w:rsidRPr="007D063B" w:rsidRDefault="00816F06" w:rsidP="00816F06">
      <w:pPr>
        <w:shd w:val="clear" w:color="auto" w:fill="EEEEEE"/>
        <w:spacing w:line="240" w:lineRule="auto"/>
        <w:textAlignment w:val="baseline"/>
        <w:rPr>
          <w:rFonts w:eastAsia="Times New Roman" w:cs="Times New Roman"/>
          <w:i/>
          <w:iCs/>
          <w:color w:val="444444"/>
          <w:sz w:val="24"/>
          <w:szCs w:val="24"/>
          <w:bdr w:val="none" w:sz="0" w:space="0" w:color="auto" w:frame="1"/>
          <w:lang w:eastAsia="bg-BG"/>
        </w:rPr>
      </w:pPr>
      <w:r w:rsidRPr="007D063B">
        <w:rPr>
          <w:rFonts w:ascii="inherit" w:eastAsia="Times New Roman" w:hAnsi="inherit" w:cs="Times New Roman"/>
          <w:i/>
          <w:iCs/>
          <w:color w:val="444444"/>
          <w:sz w:val="24"/>
          <w:szCs w:val="24"/>
          <w:bdr w:val="none" w:sz="0" w:space="0" w:color="auto" w:frame="1"/>
          <w:lang w:eastAsia="bg-BG"/>
        </w:rPr>
        <w:t>&lt;type='S' maxlength=7000 input='M'&gt;</w:t>
      </w:r>
    </w:p>
    <w:p w14:paraId="2EC554A0" w14:textId="77777777" w:rsidR="00D2528D" w:rsidRPr="007D063B" w:rsidRDefault="00D2528D" w:rsidP="00D2528D">
      <w:pPr>
        <w:jc w:val="both"/>
        <w:rPr>
          <w:rFonts w:ascii="Times New Roman" w:hAnsi="Times New Roman"/>
          <w:sz w:val="24"/>
          <w:szCs w:val="24"/>
        </w:rPr>
      </w:pPr>
      <w:r w:rsidRPr="007D063B">
        <w:rPr>
          <w:rFonts w:ascii="Times New Roman" w:hAnsi="Times New Roman"/>
          <w:sz w:val="24"/>
          <w:szCs w:val="24"/>
        </w:rPr>
        <w:t>Планът за оценка на ОПДУ беше представен за одобрение от КН на ОПДУ чрез процедура за неприсъствено вземане на решение от 16.02.2016 г. След като УО на ОПДУ отрази предложенията, получени от членове на КН, Планът за оценка на ОПДУ беше одобрен на 29.02.2016 г.</w:t>
      </w:r>
    </w:p>
    <w:p w14:paraId="0CDB2F37" w14:textId="4E414C9A" w:rsidR="00AB15FF" w:rsidRPr="007D063B" w:rsidRDefault="00D2528D" w:rsidP="008D0733">
      <w:pPr>
        <w:jc w:val="both"/>
        <w:rPr>
          <w:rFonts w:ascii="Times New Roman" w:hAnsi="Times New Roman"/>
          <w:sz w:val="24"/>
          <w:szCs w:val="24"/>
        </w:rPr>
      </w:pPr>
      <w:r w:rsidRPr="007D063B">
        <w:rPr>
          <w:rFonts w:ascii="Times New Roman" w:hAnsi="Times New Roman"/>
          <w:sz w:val="24"/>
          <w:szCs w:val="24"/>
        </w:rPr>
        <w:t>Направляващата група за оценка на ОПДУ беше създадена със Заповед № Р-126/ 30.08.2016 г. на ръководителя на УО на ОПДУ</w:t>
      </w:r>
      <w:r w:rsidR="00A25FB9" w:rsidRPr="007D063B">
        <w:rPr>
          <w:rFonts w:ascii="Times New Roman" w:hAnsi="Times New Roman"/>
          <w:sz w:val="24"/>
          <w:szCs w:val="24"/>
        </w:rPr>
        <w:t xml:space="preserve"> и проведе първото си заседание на 14.10.2016 г</w:t>
      </w:r>
      <w:r w:rsidRPr="007D063B">
        <w:rPr>
          <w:rFonts w:ascii="Times New Roman" w:hAnsi="Times New Roman"/>
          <w:sz w:val="24"/>
          <w:szCs w:val="24"/>
        </w:rPr>
        <w:t>.</w:t>
      </w:r>
    </w:p>
    <w:p w14:paraId="773A963B" w14:textId="6022A2D5" w:rsidR="00A25FB9" w:rsidRPr="007D063B" w:rsidRDefault="00A25FB9" w:rsidP="00A25FB9">
      <w:pPr>
        <w:jc w:val="both"/>
        <w:rPr>
          <w:rFonts w:ascii="Times New Roman" w:eastAsia="Times New Roman" w:hAnsi="Times New Roman" w:cs="Times New Roman"/>
          <w:bCs/>
          <w:color w:val="000000"/>
          <w:sz w:val="24"/>
          <w:szCs w:val="24"/>
          <w:lang w:eastAsia="bg-BG"/>
        </w:rPr>
      </w:pPr>
      <w:r w:rsidRPr="007D063B">
        <w:rPr>
          <w:rFonts w:ascii="Times New Roman" w:eastAsia="Times New Roman" w:hAnsi="Times New Roman" w:cs="Times New Roman"/>
          <w:bCs/>
          <w:color w:val="000000"/>
          <w:sz w:val="24"/>
          <w:szCs w:val="24"/>
          <w:lang w:eastAsia="bg-BG"/>
        </w:rPr>
        <w:t>На</w:t>
      </w:r>
      <w:r w:rsidRPr="007D063B">
        <w:rPr>
          <w:rFonts w:ascii="Times New Roman" w:eastAsia="Times New Roman" w:hAnsi="Times New Roman" w:cs="Times New Roman"/>
          <w:bCs/>
          <w:color w:val="000000"/>
          <w:sz w:val="24"/>
          <w:szCs w:val="24"/>
          <w:lang w:val="ru-RU" w:eastAsia="bg-BG"/>
        </w:rPr>
        <w:t xml:space="preserve"> 15.08.2016 </w:t>
      </w:r>
      <w:r w:rsidRPr="007D063B">
        <w:rPr>
          <w:rFonts w:ascii="Times New Roman" w:eastAsia="Times New Roman" w:hAnsi="Times New Roman" w:cs="Times New Roman"/>
          <w:bCs/>
          <w:color w:val="000000"/>
          <w:sz w:val="24"/>
          <w:szCs w:val="24"/>
          <w:lang w:eastAsia="bg-BG"/>
        </w:rPr>
        <w:t xml:space="preserve">г. беше публикувана обществена поръчка с предмет „Анализ на изпълнението на Оперативна програма „Административен капацитет“ и Оперативна програма „Техническа помощ“ във връзка с изготвянето на окончателните доклади по двете програми“. Договор с изпълнител беше сключен на 11.11.2016 г. Препоръките от оценката са представени в т.4 от този доклад. </w:t>
      </w:r>
    </w:p>
    <w:p w14:paraId="53B7C25D" w14:textId="6CB1A6DE" w:rsidR="00A25FB9" w:rsidRPr="007D063B" w:rsidRDefault="00A25FB9" w:rsidP="00A25FB9">
      <w:pPr>
        <w:jc w:val="both"/>
        <w:rPr>
          <w:rFonts w:ascii="Times New Roman" w:eastAsia="Times New Roman" w:hAnsi="Times New Roman" w:cs="Times New Roman"/>
          <w:bCs/>
          <w:color w:val="000000"/>
          <w:sz w:val="24"/>
          <w:szCs w:val="24"/>
          <w:lang w:eastAsia="bg-BG"/>
        </w:rPr>
      </w:pPr>
      <w:r w:rsidRPr="007D063B">
        <w:rPr>
          <w:rFonts w:ascii="Times New Roman" w:eastAsia="Times New Roman" w:hAnsi="Times New Roman" w:cs="Times New Roman"/>
          <w:bCs/>
          <w:color w:val="000000"/>
          <w:sz w:val="24"/>
          <w:szCs w:val="24"/>
          <w:lang w:eastAsia="bg-BG"/>
        </w:rPr>
        <w:t xml:space="preserve">Във връзка с препоръката за „надграждащи мерки по отношение на оптимизиране на структурата на администрацията, подобряване на управлението на човешките ресурси и развитието на ПЧП“ в ИГРП 2016 са включени </w:t>
      </w:r>
      <w:r w:rsidR="006D01C6" w:rsidRPr="007D063B">
        <w:rPr>
          <w:rFonts w:ascii="Times New Roman" w:eastAsia="Times New Roman" w:hAnsi="Times New Roman" w:cs="Times New Roman"/>
          <w:bCs/>
          <w:color w:val="000000"/>
          <w:sz w:val="24"/>
          <w:szCs w:val="24"/>
          <w:lang w:eastAsia="bg-BG"/>
        </w:rPr>
        <w:t>п</w:t>
      </w:r>
      <w:r w:rsidR="00913C0E" w:rsidRPr="007D063B">
        <w:rPr>
          <w:rFonts w:ascii="Times New Roman" w:eastAsia="Times New Roman" w:hAnsi="Times New Roman" w:cs="Times New Roman"/>
          <w:bCs/>
          <w:color w:val="000000"/>
          <w:sz w:val="24"/>
          <w:szCs w:val="24"/>
          <w:lang w:eastAsia="bg-BG"/>
        </w:rPr>
        <w:t>роце</w:t>
      </w:r>
      <w:r w:rsidR="006D01C6" w:rsidRPr="007D063B">
        <w:rPr>
          <w:rFonts w:ascii="Times New Roman" w:eastAsia="Times New Roman" w:hAnsi="Times New Roman" w:cs="Times New Roman"/>
          <w:bCs/>
          <w:color w:val="000000"/>
          <w:sz w:val="24"/>
          <w:szCs w:val="24"/>
          <w:lang w:eastAsia="bg-BG"/>
        </w:rPr>
        <w:t>дури 3 и</w:t>
      </w:r>
      <w:r w:rsidR="00913C0E" w:rsidRPr="007D063B">
        <w:rPr>
          <w:rFonts w:ascii="Times New Roman" w:eastAsia="Times New Roman" w:hAnsi="Times New Roman" w:cs="Times New Roman"/>
          <w:bCs/>
          <w:color w:val="000000"/>
          <w:sz w:val="24"/>
          <w:szCs w:val="24"/>
          <w:lang w:eastAsia="bg-BG"/>
        </w:rPr>
        <w:t xml:space="preserve"> </w:t>
      </w:r>
      <w:r w:rsidRPr="007D063B">
        <w:rPr>
          <w:rFonts w:ascii="Times New Roman" w:eastAsia="Times New Roman" w:hAnsi="Times New Roman" w:cs="Times New Roman"/>
          <w:bCs/>
          <w:color w:val="000000"/>
          <w:sz w:val="24"/>
          <w:szCs w:val="24"/>
          <w:lang w:eastAsia="bg-BG"/>
        </w:rPr>
        <w:t xml:space="preserve">5. </w:t>
      </w:r>
    </w:p>
    <w:p w14:paraId="692C222B" w14:textId="0B6BB081" w:rsidR="00A25FB9" w:rsidRPr="007D063B" w:rsidRDefault="00A25FB9" w:rsidP="00A25FB9">
      <w:pPr>
        <w:jc w:val="both"/>
        <w:rPr>
          <w:rFonts w:ascii="Times New Roman" w:eastAsia="Times New Roman" w:hAnsi="Times New Roman" w:cs="Times New Roman"/>
          <w:bCs/>
          <w:color w:val="000000"/>
          <w:sz w:val="24"/>
          <w:szCs w:val="24"/>
          <w:lang w:eastAsia="bg-BG"/>
        </w:rPr>
      </w:pPr>
      <w:r w:rsidRPr="007D063B">
        <w:rPr>
          <w:rFonts w:ascii="Times New Roman" w:eastAsia="Times New Roman" w:hAnsi="Times New Roman" w:cs="Times New Roman"/>
          <w:bCs/>
          <w:color w:val="000000"/>
          <w:sz w:val="24"/>
          <w:szCs w:val="24"/>
          <w:lang w:eastAsia="bg-BG"/>
        </w:rPr>
        <w:t xml:space="preserve">Във връзка с препоръката за „осигуряване на ресурси за поддържане и повишаване на квалификацията на човешките ресурси както в системата на администрацията, така и в съдебната система, а в тази връзка и мерки за повишаване на капацитета и престижа на ИПА и НИП като основни обучителни институции съответно за администрацията и за съдебната система. </w:t>
      </w:r>
      <w:r w:rsidR="00651D12" w:rsidRPr="007D063B">
        <w:rPr>
          <w:rFonts w:ascii="Times New Roman" w:eastAsia="Times New Roman" w:hAnsi="Times New Roman" w:cs="Times New Roman"/>
          <w:bCs/>
          <w:color w:val="000000"/>
          <w:sz w:val="24"/>
          <w:szCs w:val="24"/>
          <w:lang w:eastAsia="bg-BG"/>
        </w:rPr>
        <w:t>…</w:t>
      </w:r>
      <w:r w:rsidRPr="007D063B">
        <w:rPr>
          <w:rFonts w:ascii="Times New Roman" w:eastAsia="Times New Roman" w:hAnsi="Times New Roman" w:cs="Times New Roman"/>
          <w:bCs/>
          <w:color w:val="000000"/>
          <w:sz w:val="24"/>
          <w:szCs w:val="24"/>
          <w:lang w:eastAsia="bg-BG"/>
        </w:rPr>
        <w:t xml:space="preserve"> подкрепа за предоставяне на обучения и развитие на капацитет може да бъде насочена и към други институции, които предоставят централизирани обучения за администрацията …“ в ИГРП 2015 е включена </w:t>
      </w:r>
      <w:r w:rsidR="00913C0E" w:rsidRPr="007D063B">
        <w:rPr>
          <w:rFonts w:ascii="Times New Roman" w:eastAsia="Times New Roman" w:hAnsi="Times New Roman" w:cs="Times New Roman"/>
          <w:bCs/>
          <w:color w:val="000000"/>
          <w:sz w:val="24"/>
          <w:szCs w:val="24"/>
          <w:lang w:eastAsia="bg-BG"/>
        </w:rPr>
        <w:t>Процедура 5</w:t>
      </w:r>
      <w:r w:rsidRPr="007D063B">
        <w:rPr>
          <w:rFonts w:ascii="Times New Roman" w:eastAsia="Times New Roman" w:hAnsi="Times New Roman" w:cs="Times New Roman"/>
          <w:bCs/>
          <w:color w:val="000000"/>
          <w:sz w:val="24"/>
          <w:szCs w:val="24"/>
          <w:lang w:eastAsia="bg-BG"/>
        </w:rPr>
        <w:t>„</w:t>
      </w:r>
      <w:r w:rsidR="00913C0E" w:rsidRPr="007D063B">
        <w:rPr>
          <w:rFonts w:ascii="Times New Roman" w:eastAsia="Times New Roman" w:hAnsi="Times New Roman" w:cs="Times New Roman"/>
          <w:bCs/>
          <w:color w:val="000000"/>
          <w:sz w:val="24"/>
          <w:szCs w:val="24"/>
          <w:lang w:eastAsia="bg-BG"/>
        </w:rPr>
        <w:t>Повишаване на компетентността на магистратите и съдебните служители чрез ефективно обучение в Националния институт на правосъдието</w:t>
      </w:r>
      <w:r w:rsidRPr="007D063B">
        <w:rPr>
          <w:rFonts w:ascii="Times New Roman" w:eastAsia="Times New Roman" w:hAnsi="Times New Roman" w:cs="Times New Roman"/>
          <w:bCs/>
          <w:color w:val="000000"/>
          <w:sz w:val="24"/>
          <w:szCs w:val="24"/>
          <w:lang w:eastAsia="bg-BG"/>
        </w:rPr>
        <w:t>“</w:t>
      </w:r>
      <w:r w:rsidR="00913C0E" w:rsidRPr="007D063B">
        <w:rPr>
          <w:rFonts w:ascii="Times New Roman" w:eastAsia="Times New Roman" w:hAnsi="Times New Roman" w:cs="Times New Roman"/>
          <w:bCs/>
          <w:color w:val="000000"/>
          <w:sz w:val="24"/>
          <w:szCs w:val="24"/>
          <w:lang w:eastAsia="bg-BG"/>
        </w:rPr>
        <w:t>, а в ИГРП 2016 е включена Процедура 4 „Повишаване на експертния капацитет на служителите в администрацията“.</w:t>
      </w:r>
    </w:p>
    <w:p w14:paraId="5D27A8D5" w14:textId="48270C7A" w:rsidR="00A25FB9" w:rsidRPr="007D063B" w:rsidRDefault="00913C0E" w:rsidP="00A25FB9">
      <w:pPr>
        <w:jc w:val="both"/>
        <w:rPr>
          <w:rFonts w:ascii="Times New Roman" w:eastAsia="Times New Roman" w:hAnsi="Times New Roman" w:cs="Times New Roman"/>
          <w:bCs/>
          <w:color w:val="000000"/>
          <w:sz w:val="24"/>
          <w:szCs w:val="24"/>
          <w:lang w:eastAsia="bg-BG"/>
        </w:rPr>
      </w:pPr>
      <w:r w:rsidRPr="007D063B">
        <w:rPr>
          <w:rFonts w:ascii="Times New Roman" w:eastAsia="Times New Roman" w:hAnsi="Times New Roman" w:cs="Times New Roman"/>
          <w:bCs/>
          <w:color w:val="000000"/>
          <w:sz w:val="24"/>
          <w:szCs w:val="24"/>
          <w:lang w:eastAsia="bg-BG"/>
        </w:rPr>
        <w:t>Във връзка с препоръката</w:t>
      </w:r>
      <w:r w:rsidR="00A25FB9" w:rsidRPr="007D063B">
        <w:rPr>
          <w:rFonts w:ascii="Times New Roman" w:eastAsia="Times New Roman" w:hAnsi="Times New Roman" w:cs="Times New Roman"/>
          <w:bCs/>
          <w:color w:val="000000"/>
          <w:sz w:val="24"/>
          <w:szCs w:val="24"/>
          <w:lang w:eastAsia="bg-BG"/>
        </w:rPr>
        <w:t xml:space="preserve"> </w:t>
      </w:r>
      <w:r w:rsidRPr="007D063B">
        <w:rPr>
          <w:rFonts w:ascii="Times New Roman" w:eastAsia="Times New Roman" w:hAnsi="Times New Roman" w:cs="Times New Roman"/>
          <w:bCs/>
          <w:color w:val="000000"/>
          <w:sz w:val="24"/>
          <w:szCs w:val="24"/>
          <w:lang w:eastAsia="bg-BG"/>
        </w:rPr>
        <w:t>„</w:t>
      </w:r>
      <w:r w:rsidR="00A25FB9" w:rsidRPr="007D063B">
        <w:rPr>
          <w:rFonts w:ascii="Times New Roman" w:eastAsia="Times New Roman" w:hAnsi="Times New Roman" w:cs="Times New Roman"/>
          <w:bCs/>
          <w:color w:val="000000"/>
          <w:sz w:val="24"/>
          <w:szCs w:val="24"/>
          <w:lang w:eastAsia="bg-BG"/>
        </w:rPr>
        <w:t>устойчивостта на направените инвестиции по двете програми е свързана както с изградения капацитет, умението за анализ на нуждите, ясно целеполагане, стратегическо планиране, мониторинг и оценка на въздействието, така и с изградените и внедрени системи за електронно управление и електронно обслужване</w:t>
      </w:r>
      <w:r w:rsidRPr="007D063B">
        <w:rPr>
          <w:rFonts w:ascii="Times New Roman" w:eastAsia="Times New Roman" w:hAnsi="Times New Roman" w:cs="Times New Roman"/>
          <w:bCs/>
          <w:color w:val="000000"/>
          <w:sz w:val="24"/>
          <w:szCs w:val="24"/>
          <w:lang w:eastAsia="bg-BG"/>
        </w:rPr>
        <w:t xml:space="preserve">“ в ИГРП 2015 са включени процедури </w:t>
      </w:r>
      <w:r w:rsidR="00203346" w:rsidRPr="007D063B">
        <w:rPr>
          <w:rFonts w:ascii="Times New Roman" w:eastAsia="Times New Roman" w:hAnsi="Times New Roman" w:cs="Times New Roman"/>
          <w:bCs/>
          <w:color w:val="000000"/>
          <w:sz w:val="24"/>
          <w:szCs w:val="24"/>
          <w:lang w:val="ru-RU" w:eastAsia="bg-BG"/>
        </w:rPr>
        <w:t xml:space="preserve">1 „Структуриране на данни и аналитични дейности в изпълнение на стратегическите документи за развитие на държавната администрация, развитие на електронното управление и въвеждане на електронното управление в сектор „Правосъдие“ </w:t>
      </w:r>
      <w:r w:rsidR="00203346" w:rsidRPr="007D063B">
        <w:rPr>
          <w:rFonts w:ascii="Times New Roman" w:eastAsia="Times New Roman" w:hAnsi="Times New Roman" w:cs="Times New Roman"/>
          <w:bCs/>
          <w:color w:val="000000"/>
          <w:sz w:val="24"/>
          <w:szCs w:val="24"/>
          <w:lang w:eastAsia="bg-BG"/>
        </w:rPr>
        <w:t xml:space="preserve">и 4 </w:t>
      </w:r>
      <w:r w:rsidR="00203346" w:rsidRPr="007D063B">
        <w:rPr>
          <w:rFonts w:ascii="Times New Roman" w:eastAsia="Times New Roman" w:hAnsi="Times New Roman" w:cs="Times New Roman"/>
          <w:bCs/>
          <w:color w:val="000000"/>
          <w:sz w:val="24"/>
          <w:szCs w:val="24"/>
          <w:lang w:eastAsia="bg-BG"/>
        </w:rPr>
        <w:lastRenderedPageBreak/>
        <w:t xml:space="preserve">„Стратегически проекти в изпълнение на Актуализирана стратегия за продължаване на реформата в съдебната система и Стратегията за въвеждане на електронно управление и електронно правосъдие в сектор „Правосъдие“ 2014- 2020 г.“, в </w:t>
      </w:r>
      <w:r w:rsidRPr="007D063B">
        <w:rPr>
          <w:rFonts w:ascii="Times New Roman" w:eastAsia="Times New Roman" w:hAnsi="Times New Roman" w:cs="Times New Roman"/>
          <w:bCs/>
          <w:color w:val="000000"/>
          <w:sz w:val="24"/>
          <w:szCs w:val="24"/>
          <w:lang w:eastAsia="bg-BG"/>
        </w:rPr>
        <w:t xml:space="preserve">ИГРП 2016 </w:t>
      </w:r>
      <w:r w:rsidR="00203346" w:rsidRPr="007D063B">
        <w:rPr>
          <w:rFonts w:ascii="Times New Roman" w:eastAsia="Times New Roman" w:hAnsi="Times New Roman" w:cs="Times New Roman"/>
          <w:bCs/>
          <w:color w:val="000000"/>
          <w:sz w:val="24"/>
          <w:szCs w:val="24"/>
          <w:lang w:eastAsia="bg-BG"/>
        </w:rPr>
        <w:t xml:space="preserve">са включени процедури 1, 2 и 3, а в ИГРП 2017 е включена процедура „Подобряване на системата за обратна връзка от потребителите на административни услуги и повишаване качеството на административното обслужване“. </w:t>
      </w:r>
    </w:p>
    <w:p w14:paraId="1DE3C008" w14:textId="0BE15607" w:rsidR="00A25FB9" w:rsidRPr="007D063B" w:rsidRDefault="00203346" w:rsidP="00203346">
      <w:pPr>
        <w:jc w:val="both"/>
        <w:rPr>
          <w:rFonts w:ascii="Times New Roman" w:eastAsia="Times New Roman" w:hAnsi="Times New Roman" w:cs="Times New Roman"/>
          <w:bCs/>
          <w:color w:val="000000"/>
          <w:sz w:val="24"/>
          <w:szCs w:val="24"/>
          <w:lang w:eastAsia="bg-BG"/>
        </w:rPr>
      </w:pPr>
      <w:r w:rsidRPr="007D063B">
        <w:rPr>
          <w:rFonts w:ascii="Times New Roman" w:eastAsia="Times New Roman" w:hAnsi="Times New Roman" w:cs="Times New Roman"/>
          <w:bCs/>
          <w:color w:val="000000"/>
          <w:sz w:val="24"/>
          <w:szCs w:val="24"/>
          <w:lang w:eastAsia="bg-BG"/>
        </w:rPr>
        <w:t>Във връзка с препоръка „</w:t>
      </w:r>
      <w:r w:rsidR="00A25FB9" w:rsidRPr="007D063B">
        <w:rPr>
          <w:rFonts w:ascii="Times New Roman" w:eastAsia="Times New Roman" w:hAnsi="Times New Roman" w:cs="Times New Roman"/>
          <w:bCs/>
          <w:color w:val="000000"/>
          <w:sz w:val="24"/>
          <w:szCs w:val="24"/>
          <w:lang w:eastAsia="bg-BG"/>
        </w:rPr>
        <w:t>ОПДУ следва да възприеме проактивна и водеща роля на най-ранен етап от проектния цикъл - програмиране и планиране на мерките, на базата на сериозни анализи на нуждите и в координация с бенефициентите.</w:t>
      </w:r>
      <w:r w:rsidRPr="007D063B">
        <w:rPr>
          <w:rFonts w:ascii="Times New Roman" w:eastAsia="Times New Roman" w:hAnsi="Times New Roman" w:cs="Times New Roman"/>
          <w:bCs/>
          <w:color w:val="000000"/>
          <w:sz w:val="24"/>
          <w:szCs w:val="24"/>
          <w:lang w:eastAsia="bg-BG"/>
        </w:rPr>
        <w:t>“</w:t>
      </w:r>
      <w:r w:rsidR="00A25FB9" w:rsidRPr="007D063B">
        <w:rPr>
          <w:rFonts w:ascii="Times New Roman" w:eastAsia="Times New Roman" w:hAnsi="Times New Roman" w:cs="Times New Roman"/>
          <w:bCs/>
          <w:color w:val="000000"/>
          <w:sz w:val="24"/>
          <w:szCs w:val="24"/>
          <w:lang w:eastAsia="bg-BG"/>
        </w:rPr>
        <w:t xml:space="preserve"> </w:t>
      </w:r>
      <w:r w:rsidRPr="007D063B">
        <w:rPr>
          <w:rFonts w:ascii="Times New Roman" w:eastAsia="Times New Roman" w:hAnsi="Times New Roman" w:cs="Times New Roman"/>
          <w:bCs/>
          <w:color w:val="000000"/>
          <w:sz w:val="24"/>
          <w:szCs w:val="24"/>
          <w:lang w:eastAsia="bg-BG"/>
        </w:rPr>
        <w:t>През 2016 и 2017 г. УО проведе редица срещи с кандидатите и бенефициентите с цел да бъде скъсен периода от оформяне на проектна идея до реално изпълнение на проекта.</w:t>
      </w:r>
    </w:p>
    <w:p w14:paraId="454AB9A3" w14:textId="39467A4A" w:rsidR="00A25FB9" w:rsidRPr="007D063B" w:rsidRDefault="00203346" w:rsidP="00A25FB9">
      <w:pPr>
        <w:jc w:val="both"/>
        <w:rPr>
          <w:rFonts w:ascii="Times New Roman" w:eastAsia="Times New Roman" w:hAnsi="Times New Roman" w:cs="Times New Roman"/>
          <w:bCs/>
          <w:color w:val="000000"/>
          <w:sz w:val="24"/>
          <w:szCs w:val="24"/>
          <w:lang w:eastAsia="bg-BG"/>
        </w:rPr>
      </w:pPr>
      <w:r w:rsidRPr="007D063B">
        <w:rPr>
          <w:rFonts w:ascii="Times New Roman" w:eastAsia="Times New Roman" w:hAnsi="Times New Roman" w:cs="Times New Roman"/>
          <w:bCs/>
          <w:color w:val="000000"/>
          <w:sz w:val="24"/>
          <w:szCs w:val="24"/>
          <w:lang w:eastAsia="bg-BG"/>
        </w:rPr>
        <w:t>Във връзка с препоръка „</w:t>
      </w:r>
      <w:r w:rsidR="00A25FB9" w:rsidRPr="007D063B">
        <w:rPr>
          <w:rFonts w:ascii="Times New Roman" w:eastAsia="Times New Roman" w:hAnsi="Times New Roman" w:cs="Times New Roman"/>
          <w:bCs/>
          <w:color w:val="000000"/>
          <w:sz w:val="24"/>
          <w:szCs w:val="24"/>
          <w:lang w:eastAsia="bg-BG"/>
        </w:rPr>
        <w:t>Да продължат информационните кампании и обученията на бенефициенти във всички фази на проектния цикъл</w:t>
      </w:r>
      <w:r w:rsidR="00AF083F" w:rsidRPr="007D063B">
        <w:rPr>
          <w:rFonts w:ascii="Times New Roman" w:eastAsia="Times New Roman" w:hAnsi="Times New Roman" w:cs="Times New Roman"/>
          <w:bCs/>
          <w:color w:val="000000"/>
          <w:sz w:val="24"/>
          <w:szCs w:val="24"/>
          <w:lang w:eastAsia="bg-BG"/>
        </w:rPr>
        <w:t>,</w:t>
      </w:r>
      <w:r w:rsidR="00A25FB9" w:rsidRPr="007D063B">
        <w:rPr>
          <w:rFonts w:ascii="Times New Roman" w:eastAsia="Times New Roman" w:hAnsi="Times New Roman" w:cs="Times New Roman"/>
          <w:bCs/>
          <w:color w:val="000000"/>
          <w:sz w:val="24"/>
          <w:szCs w:val="24"/>
          <w:lang w:eastAsia="bg-BG"/>
        </w:rPr>
        <w:t xml:space="preserve"> включително и разширени и подробни обучения във връзка с прилагане на ЗОП, опростени разходи, използване на ИСУН 2020</w:t>
      </w:r>
      <w:r w:rsidRPr="007D063B">
        <w:rPr>
          <w:rFonts w:ascii="Times New Roman" w:eastAsia="Times New Roman" w:hAnsi="Times New Roman" w:cs="Times New Roman"/>
          <w:bCs/>
          <w:color w:val="000000"/>
          <w:sz w:val="24"/>
          <w:szCs w:val="24"/>
          <w:lang w:eastAsia="bg-BG"/>
        </w:rPr>
        <w:t xml:space="preserve">“ </w:t>
      </w:r>
      <w:r w:rsidR="00AF083F" w:rsidRPr="007D063B">
        <w:rPr>
          <w:rFonts w:ascii="Times New Roman" w:eastAsia="Times New Roman" w:hAnsi="Times New Roman" w:cs="Times New Roman"/>
          <w:bCs/>
          <w:color w:val="000000"/>
          <w:sz w:val="24"/>
          <w:szCs w:val="24"/>
          <w:lang w:eastAsia="bg-BG"/>
        </w:rPr>
        <w:t xml:space="preserve">дейността </w:t>
      </w:r>
      <w:r w:rsidRPr="007D063B">
        <w:rPr>
          <w:rFonts w:ascii="Times New Roman" w:eastAsia="Times New Roman" w:hAnsi="Times New Roman" w:cs="Times New Roman"/>
          <w:bCs/>
          <w:color w:val="000000"/>
          <w:sz w:val="24"/>
          <w:szCs w:val="24"/>
          <w:lang w:eastAsia="bg-BG"/>
        </w:rPr>
        <w:t>на УО е описана в т. 12.2 от този доклад.</w:t>
      </w:r>
    </w:p>
    <w:p w14:paraId="0D018FA1" w14:textId="610B288D" w:rsidR="00A25FB9" w:rsidRPr="007D063B" w:rsidRDefault="00203346" w:rsidP="00A25FB9">
      <w:pPr>
        <w:jc w:val="both"/>
        <w:rPr>
          <w:rFonts w:ascii="Times New Roman" w:eastAsia="Times New Roman" w:hAnsi="Times New Roman" w:cs="Times New Roman"/>
          <w:bCs/>
          <w:color w:val="000000"/>
          <w:sz w:val="24"/>
          <w:szCs w:val="24"/>
          <w:lang w:eastAsia="bg-BG"/>
        </w:rPr>
      </w:pPr>
      <w:r w:rsidRPr="007D063B">
        <w:rPr>
          <w:rFonts w:ascii="Times New Roman" w:eastAsia="Times New Roman" w:hAnsi="Times New Roman" w:cs="Times New Roman"/>
          <w:bCs/>
          <w:color w:val="000000"/>
          <w:sz w:val="24"/>
          <w:szCs w:val="24"/>
          <w:lang w:eastAsia="bg-BG"/>
        </w:rPr>
        <w:t>Във връзка с препоръка „</w:t>
      </w:r>
      <w:r w:rsidR="00A25FB9" w:rsidRPr="007D063B">
        <w:rPr>
          <w:rFonts w:ascii="Times New Roman" w:eastAsia="Times New Roman" w:hAnsi="Times New Roman" w:cs="Times New Roman"/>
          <w:bCs/>
          <w:color w:val="000000"/>
          <w:sz w:val="24"/>
          <w:szCs w:val="24"/>
          <w:lang w:eastAsia="bg-BG"/>
        </w:rPr>
        <w:t>Одобряването на рамкови проекти/ бюджетни линии, които да обхващат максимално продължителни периоди (целия програмен период), ще доведе до гъвкавост при изпълнение на дейностите и намаляване на административната тежест както за УО, так</w:t>
      </w:r>
      <w:r w:rsidRPr="007D063B">
        <w:rPr>
          <w:rFonts w:ascii="Times New Roman" w:eastAsia="Times New Roman" w:hAnsi="Times New Roman" w:cs="Times New Roman"/>
          <w:bCs/>
          <w:color w:val="000000"/>
          <w:sz w:val="24"/>
          <w:szCs w:val="24"/>
          <w:lang w:eastAsia="bg-BG"/>
        </w:rPr>
        <w:t>а и за конкретните бенефициенти“</w:t>
      </w:r>
      <w:r w:rsidR="00A61F12" w:rsidRPr="007D063B">
        <w:rPr>
          <w:rFonts w:ascii="Times New Roman" w:eastAsia="Times New Roman" w:hAnsi="Times New Roman" w:cs="Times New Roman"/>
          <w:bCs/>
          <w:color w:val="000000"/>
          <w:sz w:val="24"/>
          <w:szCs w:val="24"/>
          <w:lang w:eastAsia="bg-BG"/>
        </w:rPr>
        <w:t>, УО финансира хоризонталните структури за ЕСИФ чрез тригодишни финансови планове в рамките на ПО4, както и дейността на УО чрез два финансови плана по ПО5, единият от които е със срок за изпълнение до края на програмния период. Ще бъде обмислена възможността финансирането за областните информационни центрове за периода 2019-2023 г. също да бъде под формата на финансови планове.</w:t>
      </w:r>
    </w:p>
    <w:p w14:paraId="032C5E3F" w14:textId="2B3838D1" w:rsidR="00A61F12" w:rsidRPr="007D063B" w:rsidRDefault="00A61F12" w:rsidP="00A61F12">
      <w:pPr>
        <w:jc w:val="both"/>
        <w:rPr>
          <w:rFonts w:ascii="Times New Roman" w:eastAsia="Times New Roman" w:hAnsi="Times New Roman" w:cs="Times New Roman"/>
          <w:bCs/>
          <w:color w:val="000000"/>
          <w:sz w:val="24"/>
          <w:szCs w:val="24"/>
          <w:lang w:eastAsia="bg-BG"/>
        </w:rPr>
      </w:pPr>
      <w:r w:rsidRPr="007D063B">
        <w:rPr>
          <w:rFonts w:ascii="Times New Roman" w:eastAsia="Times New Roman" w:hAnsi="Times New Roman" w:cs="Times New Roman"/>
          <w:bCs/>
          <w:color w:val="000000"/>
          <w:sz w:val="24"/>
          <w:szCs w:val="24"/>
          <w:lang w:eastAsia="bg-BG"/>
        </w:rPr>
        <w:t>Във връзка с препоръка „</w:t>
      </w:r>
      <w:r w:rsidR="00A25FB9" w:rsidRPr="007D063B">
        <w:rPr>
          <w:rFonts w:ascii="Times New Roman" w:eastAsia="Times New Roman" w:hAnsi="Times New Roman" w:cs="Times New Roman"/>
          <w:bCs/>
          <w:color w:val="000000"/>
          <w:sz w:val="24"/>
          <w:szCs w:val="24"/>
          <w:lang w:eastAsia="bg-BG"/>
        </w:rPr>
        <w:t>Следва да продължи подкрепата на всички нива за постигане на целите и резултатите и извършване на необходимите законодателни и организационни предпоставки за създаване на работеща и прозрачна система за управление и контрол на средствата от ЕСИФ</w:t>
      </w:r>
      <w:r w:rsidRPr="007D063B">
        <w:rPr>
          <w:rFonts w:ascii="Times New Roman" w:eastAsia="Times New Roman" w:hAnsi="Times New Roman" w:cs="Times New Roman"/>
          <w:bCs/>
          <w:color w:val="000000"/>
          <w:sz w:val="24"/>
          <w:szCs w:val="24"/>
          <w:lang w:eastAsia="bg-BG"/>
        </w:rPr>
        <w:t>“</w:t>
      </w:r>
      <w:r w:rsidR="00A25FB9" w:rsidRPr="007D063B">
        <w:rPr>
          <w:rFonts w:ascii="Times New Roman" w:eastAsia="Times New Roman" w:hAnsi="Times New Roman" w:cs="Times New Roman"/>
          <w:bCs/>
          <w:color w:val="000000"/>
          <w:sz w:val="24"/>
          <w:szCs w:val="24"/>
          <w:lang w:eastAsia="bg-BG"/>
        </w:rPr>
        <w:t xml:space="preserve"> </w:t>
      </w:r>
      <w:r w:rsidRPr="007D063B">
        <w:rPr>
          <w:rFonts w:ascii="Times New Roman" w:eastAsia="Times New Roman" w:hAnsi="Times New Roman" w:cs="Times New Roman"/>
          <w:bCs/>
          <w:color w:val="000000"/>
          <w:sz w:val="24"/>
          <w:szCs w:val="24"/>
          <w:lang w:eastAsia="bg-BG"/>
        </w:rPr>
        <w:t>в допълнение към програмен период 2007-2013, в рамките на ПО4 УО ще финансира и Националната структура за координация и контрол по изпълнение на мерки от Националната приоритетна рамка за действие (НПРД) за НАТУРА 2000, както и Изпълнителна агенция „Сертификационен одит на средствата от европейските земеделски фондове“.</w:t>
      </w:r>
    </w:p>
    <w:p w14:paraId="66431FA2" w14:textId="58C1C11A" w:rsidR="00A61F12" w:rsidRPr="007D063B" w:rsidRDefault="00A61F12" w:rsidP="00A25FB9">
      <w:pPr>
        <w:jc w:val="both"/>
        <w:rPr>
          <w:rFonts w:ascii="Times New Roman" w:eastAsia="Times New Roman" w:hAnsi="Times New Roman" w:cs="Times New Roman"/>
          <w:bCs/>
          <w:color w:val="000000"/>
          <w:sz w:val="24"/>
          <w:szCs w:val="24"/>
          <w:lang w:eastAsia="bg-BG"/>
        </w:rPr>
      </w:pPr>
      <w:r w:rsidRPr="007D063B">
        <w:rPr>
          <w:rFonts w:ascii="Times New Roman" w:eastAsia="Times New Roman" w:hAnsi="Times New Roman" w:cs="Times New Roman"/>
          <w:bCs/>
          <w:color w:val="000000"/>
          <w:sz w:val="24"/>
          <w:szCs w:val="24"/>
          <w:lang w:eastAsia="bg-BG"/>
        </w:rPr>
        <w:t>По препоръка „</w:t>
      </w:r>
      <w:r w:rsidR="00A25FB9" w:rsidRPr="007D063B">
        <w:rPr>
          <w:rFonts w:ascii="Times New Roman" w:eastAsia="Times New Roman" w:hAnsi="Times New Roman" w:cs="Times New Roman"/>
          <w:bCs/>
          <w:color w:val="000000"/>
          <w:sz w:val="24"/>
          <w:szCs w:val="24"/>
          <w:lang w:eastAsia="bg-BG"/>
        </w:rPr>
        <w:t>Необходимо е включването на нови мерки, приоритетно в областта на обществените поръчки и държавните помощи.</w:t>
      </w:r>
      <w:r w:rsidRPr="007D063B">
        <w:rPr>
          <w:rFonts w:ascii="Times New Roman" w:eastAsia="Times New Roman" w:hAnsi="Times New Roman" w:cs="Times New Roman"/>
          <w:bCs/>
          <w:color w:val="000000"/>
          <w:sz w:val="24"/>
          <w:szCs w:val="24"/>
          <w:lang w:eastAsia="bg-BG"/>
        </w:rPr>
        <w:t>“ в ИГРП 2016 е включена процедура 2 „Подобряване на ефективността, ефикасността и прозрачността на системата за обществените поръчки“, а в ИГРП 2017 предстои включването на нова процедура за АОП.</w:t>
      </w:r>
      <w:r w:rsidR="00A25FB9" w:rsidRPr="007D063B">
        <w:rPr>
          <w:rFonts w:ascii="Times New Roman" w:eastAsia="Times New Roman" w:hAnsi="Times New Roman" w:cs="Times New Roman"/>
          <w:bCs/>
          <w:color w:val="000000"/>
          <w:sz w:val="24"/>
          <w:szCs w:val="24"/>
          <w:lang w:eastAsia="bg-BG"/>
        </w:rPr>
        <w:t xml:space="preserve"> </w:t>
      </w:r>
    </w:p>
    <w:p w14:paraId="300BCF83" w14:textId="72A92B4F" w:rsidR="00A25FB9" w:rsidRPr="007D063B" w:rsidRDefault="007F2594" w:rsidP="00A25FB9">
      <w:pPr>
        <w:jc w:val="both"/>
        <w:rPr>
          <w:rFonts w:ascii="Times New Roman" w:eastAsia="Times New Roman" w:hAnsi="Times New Roman" w:cs="Times New Roman"/>
          <w:bCs/>
          <w:color w:val="000000"/>
          <w:sz w:val="24"/>
          <w:szCs w:val="24"/>
          <w:lang w:eastAsia="bg-BG"/>
        </w:rPr>
      </w:pPr>
      <w:r w:rsidRPr="007D063B">
        <w:rPr>
          <w:rFonts w:ascii="Times New Roman" w:eastAsia="Times New Roman" w:hAnsi="Times New Roman" w:cs="Times New Roman"/>
          <w:bCs/>
          <w:color w:val="000000"/>
          <w:sz w:val="24"/>
          <w:szCs w:val="24"/>
          <w:lang w:eastAsia="bg-BG"/>
        </w:rPr>
        <w:t>УО прилага принципа на партньорство и изпълнява препоръка „</w:t>
      </w:r>
      <w:r w:rsidR="00A25FB9" w:rsidRPr="007D063B">
        <w:rPr>
          <w:rFonts w:ascii="Times New Roman" w:eastAsia="Times New Roman" w:hAnsi="Times New Roman" w:cs="Times New Roman"/>
          <w:bCs/>
          <w:color w:val="000000"/>
          <w:sz w:val="24"/>
          <w:szCs w:val="24"/>
          <w:lang w:eastAsia="bg-BG"/>
        </w:rPr>
        <w:t xml:space="preserve">Планиране и изпълнение на мерките и постигане на заложените цели в реално партньорство с всички заинтересовани страни – публична администрация, бизнес, социално-икономически партньори, </w:t>
      </w:r>
      <w:r w:rsidR="00A25FB9" w:rsidRPr="007D063B">
        <w:rPr>
          <w:rFonts w:ascii="Times New Roman" w:eastAsia="Times New Roman" w:hAnsi="Times New Roman" w:cs="Times New Roman"/>
          <w:bCs/>
          <w:color w:val="000000"/>
          <w:sz w:val="24"/>
          <w:szCs w:val="24"/>
          <w:lang w:eastAsia="bg-BG"/>
        </w:rPr>
        <w:lastRenderedPageBreak/>
        <w:t>неправителствен сектор. Принципът на партньорство следва да продължи да се прилага успешно към всички основни процеси, които гарантират управлението на средствата от ЕС.</w:t>
      </w:r>
      <w:r w:rsidRPr="007D063B">
        <w:rPr>
          <w:rFonts w:ascii="Times New Roman" w:eastAsia="Times New Roman" w:hAnsi="Times New Roman" w:cs="Times New Roman"/>
          <w:bCs/>
          <w:color w:val="000000"/>
          <w:sz w:val="24"/>
          <w:szCs w:val="24"/>
          <w:lang w:eastAsia="bg-BG"/>
        </w:rPr>
        <w:t>“ чрез работата на КН на ОПДУ (вкл. създадения през 2017 г. постоянен Подкомитет „Увеличаване на гражданското участие в процеса на формиране и контрол на изпълнението на политики“), чрез задължителното включване на обосновка във всяко проектно предложение по какъв начин ще бъдат спазени хоризонталните принципи на ЕС (вкл. принципа на партньорство), както и чрез провеждането на обществени консултации по проектите на Насоки за кандидатстване при процедури чрез подбор на проектни предложения.</w:t>
      </w:r>
    </w:p>
    <w:p w14:paraId="5024AAD5" w14:textId="7442C0CC" w:rsidR="00A25FB9" w:rsidRPr="007D063B" w:rsidRDefault="00651D12" w:rsidP="00A25FB9">
      <w:pPr>
        <w:jc w:val="both"/>
        <w:rPr>
          <w:rFonts w:ascii="Times New Roman" w:eastAsia="Times New Roman" w:hAnsi="Times New Roman" w:cs="Times New Roman"/>
          <w:bCs/>
          <w:color w:val="000000"/>
          <w:sz w:val="24"/>
          <w:szCs w:val="24"/>
          <w:lang w:eastAsia="bg-BG"/>
        </w:rPr>
      </w:pPr>
      <w:r w:rsidRPr="007D063B">
        <w:rPr>
          <w:rFonts w:ascii="Times New Roman" w:eastAsia="Times New Roman" w:hAnsi="Times New Roman" w:cs="Times New Roman"/>
          <w:bCs/>
          <w:color w:val="000000"/>
          <w:sz w:val="24"/>
          <w:szCs w:val="24"/>
          <w:lang w:eastAsia="bg-BG"/>
        </w:rPr>
        <w:t>УО изпълнява препоръките по</w:t>
      </w:r>
      <w:r w:rsidR="00A25FB9" w:rsidRPr="007D063B">
        <w:rPr>
          <w:rFonts w:ascii="Times New Roman" w:eastAsia="Times New Roman" w:hAnsi="Times New Roman" w:cs="Times New Roman"/>
          <w:bCs/>
          <w:color w:val="000000"/>
          <w:sz w:val="24"/>
          <w:szCs w:val="24"/>
          <w:lang w:eastAsia="bg-BG"/>
        </w:rPr>
        <w:t xml:space="preserve"> </w:t>
      </w:r>
      <w:r w:rsidRPr="007D063B">
        <w:rPr>
          <w:rFonts w:ascii="Times New Roman" w:eastAsia="Times New Roman" w:hAnsi="Times New Roman" w:cs="Times New Roman"/>
          <w:bCs/>
          <w:color w:val="000000"/>
          <w:sz w:val="24"/>
          <w:szCs w:val="24"/>
          <w:lang w:eastAsia="bg-BG"/>
        </w:rPr>
        <w:t>отношение на ОИЦ в рамките на финансирате проекти по ПО4 на ОПДУ „</w:t>
      </w:r>
      <w:r w:rsidR="00A25FB9" w:rsidRPr="007D063B">
        <w:rPr>
          <w:rFonts w:ascii="Times New Roman" w:eastAsia="Times New Roman" w:hAnsi="Times New Roman" w:cs="Times New Roman"/>
          <w:bCs/>
          <w:color w:val="000000"/>
          <w:sz w:val="24"/>
          <w:szCs w:val="24"/>
          <w:lang w:eastAsia="bg-BG"/>
        </w:rPr>
        <w:t>Изграденият административен капацитет в рамките на областните информационни центрове следва да бъде запазен и надграден</w:t>
      </w:r>
      <w:r w:rsidRPr="007D063B">
        <w:rPr>
          <w:rFonts w:ascii="Times New Roman" w:eastAsia="Times New Roman" w:hAnsi="Times New Roman" w:cs="Times New Roman"/>
          <w:bCs/>
          <w:color w:val="000000"/>
          <w:sz w:val="24"/>
          <w:szCs w:val="24"/>
          <w:lang w:eastAsia="bg-BG"/>
        </w:rPr>
        <w:t>“</w:t>
      </w:r>
    </w:p>
    <w:p w14:paraId="18C6DACB" w14:textId="038F783E" w:rsidR="00811AA8" w:rsidRPr="007D063B" w:rsidRDefault="00651D12" w:rsidP="00A25FB9">
      <w:pPr>
        <w:jc w:val="both"/>
        <w:rPr>
          <w:rFonts w:ascii="Times New Roman" w:eastAsia="Times New Roman" w:hAnsi="Times New Roman" w:cs="Times New Roman"/>
          <w:bCs/>
          <w:color w:val="000000"/>
          <w:sz w:val="24"/>
          <w:szCs w:val="24"/>
          <w:lang w:eastAsia="bg-BG"/>
        </w:rPr>
      </w:pPr>
      <w:r w:rsidRPr="007D063B">
        <w:rPr>
          <w:rFonts w:ascii="Times New Roman" w:eastAsia="Times New Roman" w:hAnsi="Times New Roman" w:cs="Times New Roman"/>
          <w:bCs/>
          <w:color w:val="000000"/>
          <w:sz w:val="24"/>
          <w:szCs w:val="24"/>
          <w:lang w:eastAsia="bg-BG"/>
        </w:rPr>
        <w:t>УО изпълнява препоръка „</w:t>
      </w:r>
      <w:r w:rsidR="00A25FB9" w:rsidRPr="007D063B">
        <w:rPr>
          <w:rFonts w:ascii="Times New Roman" w:eastAsia="Times New Roman" w:hAnsi="Times New Roman" w:cs="Times New Roman"/>
          <w:bCs/>
          <w:color w:val="000000"/>
          <w:sz w:val="24"/>
          <w:szCs w:val="24"/>
          <w:lang w:eastAsia="bg-BG"/>
        </w:rPr>
        <w:t>Специализиране и задълбочаване на познанията и разбирането на служителите на ОИЦ за оперативните програми чрез провеждане н</w:t>
      </w:r>
      <w:r w:rsidRPr="007D063B">
        <w:rPr>
          <w:rFonts w:ascii="Times New Roman" w:eastAsia="Times New Roman" w:hAnsi="Times New Roman" w:cs="Times New Roman"/>
          <w:bCs/>
          <w:color w:val="000000"/>
          <w:sz w:val="24"/>
          <w:szCs w:val="24"/>
          <w:lang w:eastAsia="bg-BG"/>
        </w:rPr>
        <w:t>а иновативни форми на обучение“ чрез финансов план „Повишаване на ефективността и ефикасността на ЦКЗ“, където са включени такив</w:t>
      </w:r>
      <w:r w:rsidR="00C4448C" w:rsidRPr="007D063B">
        <w:rPr>
          <w:rFonts w:ascii="Times New Roman" w:eastAsia="Times New Roman" w:hAnsi="Times New Roman" w:cs="Times New Roman"/>
          <w:bCs/>
          <w:color w:val="000000"/>
          <w:sz w:val="24"/>
          <w:szCs w:val="24"/>
          <w:lang w:eastAsia="bg-BG"/>
        </w:rPr>
        <w:t xml:space="preserve">а обучения за служителите в ОИЦ. </w:t>
      </w:r>
      <w:r w:rsidR="00811AA8" w:rsidRPr="007D063B">
        <w:rPr>
          <w:rFonts w:ascii="Times New Roman" w:eastAsia="Times New Roman" w:hAnsi="Times New Roman" w:cs="Times New Roman"/>
          <w:bCs/>
          <w:color w:val="000000"/>
          <w:sz w:val="24"/>
          <w:szCs w:val="24"/>
          <w:lang w:eastAsia="bg-BG"/>
        </w:rPr>
        <w:t xml:space="preserve">През м. октомври 2016 г. започна подготовката на техническа спецификация за обществена поръчка с предмет „Оценка на изпълнението на ОПДУ в периода 2015-2016 г. и проучвания, подпомагащи изготвянето на годишния доклад за изпълнението на ОПДУ през 2016 г. и процесът по планиране събирането на данни за всички оценки след 2016 г., включени в плана за оценка на ОПДУ“, </w:t>
      </w:r>
      <w:r w:rsidR="000A54F3" w:rsidRPr="007D063B">
        <w:rPr>
          <w:rFonts w:ascii="Times New Roman" w:eastAsia="Times New Roman" w:hAnsi="Times New Roman" w:cs="Times New Roman"/>
          <w:bCs/>
          <w:color w:val="000000"/>
          <w:sz w:val="24"/>
          <w:szCs w:val="24"/>
          <w:lang w:eastAsia="bg-BG"/>
        </w:rPr>
        <w:t xml:space="preserve">като </w:t>
      </w:r>
      <w:r w:rsidR="00811AA8" w:rsidRPr="007D063B">
        <w:rPr>
          <w:rFonts w:ascii="Times New Roman" w:eastAsia="Times New Roman" w:hAnsi="Times New Roman" w:cs="Times New Roman"/>
          <w:bCs/>
          <w:color w:val="000000"/>
          <w:sz w:val="24"/>
          <w:szCs w:val="24"/>
          <w:lang w:eastAsia="bg-BG"/>
        </w:rPr>
        <w:t>процедурата беше открита през 2017 г.</w:t>
      </w:r>
    </w:p>
    <w:p w14:paraId="764C8B49" w14:textId="77777777" w:rsidR="00816F06" w:rsidRPr="007D063B" w:rsidRDefault="00816F06" w:rsidP="00290D9E">
      <w:pPr>
        <w:pStyle w:val="Heading2"/>
        <w:rPr>
          <w:rFonts w:ascii="Times New Roman" w:eastAsia="Times New Roman" w:hAnsi="Times New Roman" w:cs="Times New Roman"/>
          <w:b/>
          <w:bCs/>
          <w:color w:val="auto"/>
          <w:sz w:val="24"/>
          <w:szCs w:val="24"/>
          <w:lang w:eastAsia="bg-BG"/>
        </w:rPr>
      </w:pPr>
      <w:bookmarkStart w:id="50" w:name="_Toc481594311"/>
      <w:r w:rsidRPr="007D063B">
        <w:rPr>
          <w:rFonts w:ascii="Times New Roman" w:eastAsia="Times New Roman" w:hAnsi="Times New Roman" w:cs="Times New Roman"/>
          <w:b/>
          <w:bCs/>
          <w:color w:val="auto"/>
          <w:sz w:val="24"/>
          <w:szCs w:val="24"/>
          <w:lang w:eastAsia="bg-BG"/>
        </w:rPr>
        <w:t>12.2   </w:t>
      </w:r>
      <w:r w:rsidRPr="007D063B">
        <w:rPr>
          <w:rFonts w:ascii="inherit" w:eastAsia="Times New Roman" w:hAnsi="inherit" w:cs="Times New Roman" w:hint="eastAsia"/>
          <w:b/>
          <w:bCs/>
          <w:color w:val="auto"/>
          <w:sz w:val="24"/>
          <w:szCs w:val="24"/>
          <w:bdr w:val="none" w:sz="0" w:space="0" w:color="auto" w:frame="1"/>
          <w:lang w:eastAsia="bg-BG"/>
        </w:rPr>
        <w:t>Резултати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от</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мерките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за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информиране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публичност</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относно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фондовете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провеждани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в</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рамките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комуникационната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стратегия</w:t>
      </w:r>
      <w:bookmarkEnd w:id="50"/>
    </w:p>
    <w:p w14:paraId="18E27F29" w14:textId="77777777" w:rsidR="008D0733" w:rsidRPr="007D063B" w:rsidRDefault="00816F06" w:rsidP="0002385E">
      <w:pPr>
        <w:spacing w:after="0" w:line="240" w:lineRule="auto"/>
        <w:jc w:val="both"/>
        <w:rPr>
          <w:rFonts w:eastAsia="Times New Roman" w:cs="Times New Roman"/>
          <w:i/>
          <w:iCs/>
          <w:color w:val="444444"/>
          <w:sz w:val="24"/>
          <w:szCs w:val="24"/>
          <w:bdr w:val="none" w:sz="0" w:space="0" w:color="auto" w:frame="1"/>
          <w:lang w:eastAsia="bg-BG"/>
        </w:rPr>
      </w:pPr>
      <w:r w:rsidRPr="007D063B">
        <w:rPr>
          <w:rFonts w:ascii="inherit" w:eastAsia="Times New Roman" w:hAnsi="inherit" w:cs="Times New Roman"/>
          <w:i/>
          <w:iCs/>
          <w:color w:val="444444"/>
          <w:sz w:val="24"/>
          <w:szCs w:val="24"/>
          <w:bdr w:val="none" w:sz="0" w:space="0" w:color="auto" w:frame="1"/>
          <w:lang w:eastAsia="bg-BG"/>
        </w:rPr>
        <w:t>&lt;type='S' maxlength=7000 input='M'&gt;</w:t>
      </w:r>
      <w:bookmarkStart w:id="51" w:name="_Toc481594312"/>
    </w:p>
    <w:p w14:paraId="4422A911" w14:textId="77777777" w:rsidR="008D0733" w:rsidRPr="007D063B" w:rsidRDefault="008D0733" w:rsidP="0002385E">
      <w:pPr>
        <w:spacing w:after="0" w:line="240" w:lineRule="auto"/>
        <w:jc w:val="both"/>
        <w:rPr>
          <w:rFonts w:eastAsia="Times New Roman" w:cs="Times New Roman"/>
          <w:i/>
          <w:iCs/>
          <w:color w:val="444444"/>
          <w:sz w:val="24"/>
          <w:szCs w:val="24"/>
          <w:bdr w:val="none" w:sz="0" w:space="0" w:color="auto" w:frame="1"/>
          <w:lang w:eastAsia="bg-BG"/>
        </w:rPr>
      </w:pPr>
    </w:p>
    <w:p w14:paraId="362BC9F0" w14:textId="44351991" w:rsidR="0002385E" w:rsidRPr="007D063B" w:rsidRDefault="0002385E" w:rsidP="0002385E">
      <w:pPr>
        <w:spacing w:after="0" w:line="240" w:lineRule="auto"/>
        <w:jc w:val="both"/>
        <w:rPr>
          <w:rFonts w:ascii="Times New Roman" w:eastAsia="Calibri" w:hAnsi="Times New Roman" w:cs="Times New Roman"/>
          <w:bCs/>
          <w:sz w:val="24"/>
          <w:lang w:val="ru-RU"/>
        </w:rPr>
      </w:pPr>
      <w:r w:rsidRPr="007D063B">
        <w:rPr>
          <w:rFonts w:ascii="Times New Roman" w:eastAsia="Calibri" w:hAnsi="Times New Roman" w:cs="Times New Roman"/>
          <w:sz w:val="24"/>
        </w:rPr>
        <w:t xml:space="preserve">В изпълнение на Националната комуникационна стратегия и Годишните планове за действие по </w:t>
      </w:r>
      <w:r w:rsidRPr="007D063B">
        <w:rPr>
          <w:rFonts w:ascii="Times New Roman" w:eastAsia="Calibri" w:hAnsi="Times New Roman" w:cs="Times New Roman"/>
          <w:sz w:val="24"/>
          <w:lang w:val="ru-RU"/>
        </w:rPr>
        <w:t>Оперативна програма „Добро управление” (</w:t>
      </w:r>
      <w:r w:rsidRPr="007D063B">
        <w:rPr>
          <w:rFonts w:ascii="Times New Roman" w:eastAsia="Calibri" w:hAnsi="Times New Roman" w:cs="Times New Roman"/>
          <w:sz w:val="24"/>
        </w:rPr>
        <w:t xml:space="preserve">ОПДУ) </w:t>
      </w:r>
      <w:r w:rsidRPr="007D063B">
        <w:rPr>
          <w:rFonts w:ascii="Times New Roman" w:eastAsia="Calibri" w:hAnsi="Times New Roman" w:cs="Times New Roman"/>
          <w:sz w:val="24"/>
          <w:u w:val="single"/>
        </w:rPr>
        <w:t>през 2015 и 2016 г.</w:t>
      </w:r>
      <w:r w:rsidRPr="007D063B">
        <w:rPr>
          <w:rFonts w:ascii="Times New Roman" w:eastAsia="Calibri" w:hAnsi="Times New Roman" w:cs="Times New Roman"/>
          <w:sz w:val="24"/>
        </w:rPr>
        <w:t xml:space="preserve"> Управляващият орган </w:t>
      </w:r>
      <w:r w:rsidRPr="007D063B">
        <w:rPr>
          <w:rFonts w:ascii="Times New Roman" w:eastAsia="Calibri" w:hAnsi="Times New Roman" w:cs="Times New Roman"/>
          <w:bCs/>
          <w:sz w:val="24"/>
          <w:lang w:val="ru-RU"/>
        </w:rPr>
        <w:t>осъществява проактивна комуникационна политика по отношение на всички заинтересовани страни.</w:t>
      </w:r>
    </w:p>
    <w:p w14:paraId="0EF72C50" w14:textId="77777777" w:rsidR="0002385E" w:rsidRPr="007D063B" w:rsidRDefault="0002385E" w:rsidP="0002385E">
      <w:pPr>
        <w:spacing w:after="0" w:line="240" w:lineRule="auto"/>
        <w:jc w:val="both"/>
        <w:rPr>
          <w:rFonts w:ascii="Times New Roman" w:eastAsia="Calibri" w:hAnsi="Times New Roman" w:cs="Times New Roman"/>
          <w:sz w:val="24"/>
        </w:rPr>
      </w:pPr>
      <w:r w:rsidRPr="007D063B">
        <w:rPr>
          <w:rFonts w:ascii="Times New Roman" w:eastAsia="Calibri" w:hAnsi="Times New Roman" w:cs="Times New Roman"/>
          <w:sz w:val="24"/>
        </w:rPr>
        <w:t xml:space="preserve">Изпълнение на </w:t>
      </w:r>
      <w:r w:rsidRPr="007D063B">
        <w:rPr>
          <w:rFonts w:ascii="Times New Roman" w:eastAsia="Calibri" w:hAnsi="Times New Roman" w:cs="Times New Roman"/>
          <w:sz w:val="24"/>
          <w:u w:val="single"/>
        </w:rPr>
        <w:t>индикаторите</w:t>
      </w:r>
      <w:r w:rsidRPr="007D063B">
        <w:rPr>
          <w:rFonts w:ascii="Times New Roman" w:eastAsia="Calibri" w:hAnsi="Times New Roman" w:cs="Times New Roman"/>
          <w:sz w:val="24"/>
        </w:rPr>
        <w:t xml:space="preserve"> към Националната комуникационна стратегия 2014 – 2020:</w:t>
      </w:r>
    </w:p>
    <w:p w14:paraId="3B6BA3EC" w14:textId="12244838" w:rsidR="0002385E" w:rsidRPr="007D063B" w:rsidRDefault="0002385E" w:rsidP="0002385E">
      <w:pPr>
        <w:numPr>
          <w:ilvl w:val="0"/>
          <w:numId w:val="30"/>
        </w:numPr>
        <w:spacing w:after="0" w:line="240" w:lineRule="auto"/>
        <w:contextualSpacing/>
        <w:jc w:val="both"/>
        <w:rPr>
          <w:rFonts w:ascii="Times New Roman" w:eastAsia="Calibri" w:hAnsi="Times New Roman" w:cs="Times New Roman"/>
          <w:i/>
          <w:sz w:val="24"/>
        </w:rPr>
      </w:pPr>
      <w:r w:rsidRPr="007D063B">
        <w:rPr>
          <w:rFonts w:ascii="Times New Roman" w:eastAsia="Calibri" w:hAnsi="Times New Roman" w:cs="Times New Roman"/>
          <w:b/>
          <w:sz w:val="24"/>
          <w:lang w:val="ru-RU"/>
        </w:rPr>
        <w:t xml:space="preserve">29 </w:t>
      </w:r>
      <w:r w:rsidRPr="007D063B">
        <w:rPr>
          <w:rFonts w:ascii="Times New Roman" w:eastAsia="Calibri" w:hAnsi="Times New Roman" w:cs="Times New Roman"/>
          <w:b/>
          <w:sz w:val="24"/>
        </w:rPr>
        <w:t>ИНФОРМАЦИОННИ СЪБИТИЯ</w:t>
      </w:r>
      <w:r w:rsidRPr="007D063B">
        <w:rPr>
          <w:rFonts w:ascii="Times New Roman" w:eastAsia="Calibri" w:hAnsi="Times New Roman" w:cs="Times New Roman"/>
          <w:sz w:val="24"/>
        </w:rPr>
        <w:t xml:space="preserve"> </w:t>
      </w:r>
      <w:r w:rsidRPr="007D063B">
        <w:rPr>
          <w:rFonts w:ascii="Times New Roman" w:eastAsia="Calibri" w:hAnsi="Times New Roman" w:cs="Times New Roman"/>
          <w:i/>
          <w:sz w:val="24"/>
        </w:rPr>
        <w:t>(информационни дни по процедури за кандидатстване, обучения за бенефициенти и други</w:t>
      </w:r>
      <w:r w:rsidRPr="007D063B">
        <w:rPr>
          <w:rFonts w:ascii="Times New Roman" w:eastAsia="Calibri" w:hAnsi="Times New Roman" w:cs="Times New Roman"/>
          <w:i/>
          <w:sz w:val="24"/>
          <w:lang w:val="ru-RU"/>
        </w:rPr>
        <w:t>)</w:t>
      </w:r>
      <w:r w:rsidRPr="007D063B">
        <w:rPr>
          <w:rFonts w:ascii="Times New Roman" w:eastAsia="Calibri" w:hAnsi="Times New Roman" w:cs="Times New Roman"/>
          <w:i/>
          <w:sz w:val="24"/>
        </w:rPr>
        <w:t>;</w:t>
      </w:r>
    </w:p>
    <w:p w14:paraId="2B7C6AAE" w14:textId="5331A299" w:rsidR="0002385E" w:rsidRPr="007D063B" w:rsidRDefault="0002385E" w:rsidP="00712E7E">
      <w:pPr>
        <w:numPr>
          <w:ilvl w:val="0"/>
          <w:numId w:val="30"/>
        </w:numPr>
        <w:spacing w:after="0" w:line="240" w:lineRule="auto"/>
        <w:contextualSpacing/>
        <w:jc w:val="both"/>
        <w:rPr>
          <w:rFonts w:ascii="Times New Roman" w:eastAsia="Calibri" w:hAnsi="Times New Roman" w:cs="Times New Roman"/>
          <w:i/>
          <w:sz w:val="24"/>
        </w:rPr>
      </w:pPr>
      <w:r w:rsidRPr="007D063B">
        <w:rPr>
          <w:rFonts w:ascii="Times New Roman" w:eastAsia="Calibri" w:hAnsi="Times New Roman" w:cs="Times New Roman"/>
          <w:b/>
          <w:sz w:val="24"/>
        </w:rPr>
        <w:t>551</w:t>
      </w:r>
      <w:r w:rsidRPr="007D063B">
        <w:rPr>
          <w:rFonts w:ascii="Times New Roman" w:eastAsia="Calibri" w:hAnsi="Times New Roman" w:cs="Times New Roman"/>
          <w:sz w:val="24"/>
        </w:rPr>
        <w:t xml:space="preserve"> </w:t>
      </w:r>
      <w:r w:rsidRPr="007D063B">
        <w:rPr>
          <w:rFonts w:ascii="Times New Roman" w:eastAsia="Calibri" w:hAnsi="Times New Roman" w:cs="Times New Roman"/>
          <w:b/>
          <w:sz w:val="24"/>
        </w:rPr>
        <w:t>УЧАСТНИЦИ</w:t>
      </w:r>
      <w:r w:rsidRPr="007D063B">
        <w:rPr>
          <w:rFonts w:ascii="Times New Roman" w:eastAsia="Calibri" w:hAnsi="Times New Roman" w:cs="Times New Roman"/>
          <w:sz w:val="24"/>
        </w:rPr>
        <w:t xml:space="preserve"> в събития </w:t>
      </w:r>
      <w:r w:rsidRPr="007D063B">
        <w:rPr>
          <w:rFonts w:ascii="Times New Roman" w:eastAsia="Calibri" w:hAnsi="Times New Roman" w:cs="Times New Roman"/>
          <w:i/>
          <w:sz w:val="24"/>
        </w:rPr>
        <w:t>(</w:t>
      </w:r>
      <w:r w:rsidR="00712E7E" w:rsidRPr="007D063B">
        <w:rPr>
          <w:rFonts w:ascii="Times New Roman" w:eastAsia="Calibri" w:hAnsi="Times New Roman" w:cs="Times New Roman"/>
          <w:i/>
          <w:sz w:val="24"/>
        </w:rPr>
        <w:t>*отчетените цифри са на база брой участия в събития по регистрационни списъци</w:t>
      </w:r>
      <w:r w:rsidRPr="007D063B">
        <w:rPr>
          <w:rFonts w:ascii="Times New Roman" w:eastAsia="Calibri" w:hAnsi="Times New Roman" w:cs="Times New Roman"/>
          <w:i/>
          <w:sz w:val="24"/>
        </w:rPr>
        <w:t>);</w:t>
      </w:r>
    </w:p>
    <w:p w14:paraId="5F1555CC" w14:textId="55DB0AD1" w:rsidR="0002385E" w:rsidRPr="007D063B" w:rsidRDefault="0002385E" w:rsidP="0002385E">
      <w:pPr>
        <w:numPr>
          <w:ilvl w:val="0"/>
          <w:numId w:val="30"/>
        </w:numPr>
        <w:spacing w:after="0" w:line="240" w:lineRule="auto"/>
        <w:contextualSpacing/>
        <w:jc w:val="both"/>
        <w:rPr>
          <w:rFonts w:ascii="Times New Roman" w:eastAsia="Calibri" w:hAnsi="Times New Roman" w:cs="Times New Roman"/>
          <w:sz w:val="24"/>
        </w:rPr>
      </w:pPr>
      <w:r w:rsidRPr="007D063B">
        <w:rPr>
          <w:rFonts w:ascii="Times New Roman" w:eastAsia="Calibri" w:hAnsi="Times New Roman" w:cs="Times New Roman"/>
          <w:sz w:val="24"/>
        </w:rPr>
        <w:t>Брой уникални посещения на месец на интернет сайта на УО – неприложимо. ОПДУ няма собствен сайт поради общо решение на оперативните програми и Централното координационно звено (ЦКЗ) за използване на единен информационен портал за ЕСИФ (</w:t>
      </w:r>
      <w:hyperlink r:id="rId74" w:history="1">
        <w:r w:rsidRPr="007D063B">
          <w:rPr>
            <w:rFonts w:ascii="Times New Roman" w:eastAsia="Calibri" w:hAnsi="Times New Roman" w:cs="Times New Roman"/>
            <w:color w:val="0563C1"/>
            <w:sz w:val="24"/>
            <w:u w:val="single"/>
            <w:lang w:val="en-US"/>
          </w:rPr>
          <w:t>www</w:t>
        </w:r>
        <w:r w:rsidRPr="007D063B">
          <w:rPr>
            <w:rFonts w:ascii="Times New Roman" w:eastAsia="Calibri" w:hAnsi="Times New Roman" w:cs="Times New Roman"/>
            <w:color w:val="0563C1"/>
            <w:sz w:val="24"/>
            <w:u w:val="single"/>
            <w:lang w:val="ru-RU"/>
          </w:rPr>
          <w:t>.</w:t>
        </w:r>
        <w:r w:rsidRPr="007D063B">
          <w:rPr>
            <w:rFonts w:ascii="Times New Roman" w:eastAsia="Calibri" w:hAnsi="Times New Roman" w:cs="Times New Roman"/>
            <w:color w:val="0563C1"/>
            <w:sz w:val="24"/>
            <w:u w:val="single"/>
            <w:lang w:val="en-US"/>
          </w:rPr>
          <w:t>eufunds</w:t>
        </w:r>
        <w:r w:rsidRPr="007D063B">
          <w:rPr>
            <w:rFonts w:ascii="Times New Roman" w:eastAsia="Calibri" w:hAnsi="Times New Roman" w:cs="Times New Roman"/>
            <w:color w:val="0563C1"/>
            <w:sz w:val="24"/>
            <w:u w:val="single"/>
            <w:lang w:val="ru-RU"/>
          </w:rPr>
          <w:t>.</w:t>
        </w:r>
        <w:r w:rsidRPr="007D063B">
          <w:rPr>
            <w:rFonts w:ascii="Times New Roman" w:eastAsia="Calibri" w:hAnsi="Times New Roman" w:cs="Times New Roman"/>
            <w:color w:val="0563C1"/>
            <w:sz w:val="24"/>
            <w:u w:val="single"/>
            <w:lang w:val="en-US"/>
          </w:rPr>
          <w:t>bg</w:t>
        </w:r>
      </w:hyperlink>
      <w:r w:rsidRPr="007D063B">
        <w:rPr>
          <w:rFonts w:ascii="Times New Roman" w:eastAsia="Calibri" w:hAnsi="Times New Roman" w:cs="Times New Roman"/>
          <w:sz w:val="24"/>
        </w:rPr>
        <w:t>).</w:t>
      </w:r>
    </w:p>
    <w:p w14:paraId="41A6F1ED" w14:textId="77777777" w:rsidR="0002385E" w:rsidRPr="007D063B" w:rsidRDefault="0002385E" w:rsidP="0002385E">
      <w:pPr>
        <w:spacing w:after="0" w:line="240" w:lineRule="auto"/>
        <w:ind w:right="-62"/>
        <w:jc w:val="both"/>
        <w:rPr>
          <w:rFonts w:ascii="Times New Roman" w:eastAsia="Calibri" w:hAnsi="Times New Roman" w:cs="Times New Roman"/>
          <w:sz w:val="24"/>
        </w:rPr>
      </w:pPr>
      <w:r w:rsidRPr="007D063B">
        <w:rPr>
          <w:rFonts w:ascii="Times New Roman" w:eastAsia="Calibri" w:hAnsi="Times New Roman" w:cs="Times New Roman"/>
          <w:sz w:val="24"/>
        </w:rPr>
        <w:lastRenderedPageBreak/>
        <w:t xml:space="preserve">През отчетния период дейностите по комуникация на Управляващия орган бяха насочени основно към </w:t>
      </w:r>
      <w:r w:rsidRPr="007D063B">
        <w:rPr>
          <w:rFonts w:ascii="Times New Roman" w:eastAsia="Calibri" w:hAnsi="Times New Roman" w:cs="Times New Roman"/>
          <w:b/>
          <w:i/>
          <w:sz w:val="24"/>
        </w:rPr>
        <w:t xml:space="preserve">повишаване на информираността на основните целеви групи, </w:t>
      </w:r>
      <w:r w:rsidRPr="007D063B">
        <w:rPr>
          <w:rFonts w:ascii="Times New Roman" w:eastAsia="Calibri" w:hAnsi="Times New Roman" w:cs="Times New Roman"/>
          <w:sz w:val="24"/>
        </w:rPr>
        <w:t>а именно – подпомагане на потенциалните и настоящи бенефициенти по ОПДУ в процеса на подготовка на проектни предложения и изпълнение на вече сключени договори с цел качествено изпълнение на самата оперативна програма и намаляване на риска от загуба на средства, включително чрез разясняване на задълженията и отговорностите на всички страни в процеса на комуникация, в това число и задълженията им за осигуряване на публичност.</w:t>
      </w:r>
    </w:p>
    <w:p w14:paraId="46E6AFF6" w14:textId="3237B427" w:rsidR="0002385E" w:rsidRPr="007D063B" w:rsidRDefault="0002385E" w:rsidP="0002385E">
      <w:pPr>
        <w:spacing w:after="0" w:line="240" w:lineRule="auto"/>
        <w:ind w:right="-62"/>
        <w:jc w:val="both"/>
        <w:rPr>
          <w:rFonts w:ascii="Times New Roman" w:eastAsia="Calibri" w:hAnsi="Times New Roman" w:cs="Times New Roman"/>
          <w:sz w:val="24"/>
        </w:rPr>
      </w:pPr>
      <w:r w:rsidRPr="007D063B">
        <w:rPr>
          <w:rFonts w:ascii="Times New Roman" w:eastAsia="Calibri" w:hAnsi="Times New Roman" w:cs="Times New Roman"/>
          <w:sz w:val="24"/>
        </w:rPr>
        <w:t xml:space="preserve">По всички процедури за кандидатстване бяха организирани </w:t>
      </w:r>
      <w:r w:rsidRPr="007D063B">
        <w:rPr>
          <w:rFonts w:ascii="Times New Roman" w:eastAsia="Calibri" w:hAnsi="Times New Roman" w:cs="Times New Roman"/>
          <w:b/>
          <w:sz w:val="24"/>
        </w:rPr>
        <w:t>информационни дни</w:t>
      </w:r>
      <w:r w:rsidRPr="007D063B">
        <w:rPr>
          <w:rFonts w:ascii="Times New Roman" w:eastAsia="Calibri" w:hAnsi="Times New Roman" w:cs="Times New Roman"/>
          <w:sz w:val="24"/>
        </w:rPr>
        <w:t xml:space="preserve"> за запознаване с изискванията за кандидатстване, методиката за оценка, условията за допустимост и процеса на електронно </w:t>
      </w:r>
      <w:r w:rsidR="00BC2F46" w:rsidRPr="007D063B">
        <w:rPr>
          <w:rFonts w:ascii="Times New Roman" w:eastAsia="Calibri" w:hAnsi="Times New Roman" w:cs="Times New Roman"/>
          <w:sz w:val="24"/>
        </w:rPr>
        <w:t>кандидатстване</w:t>
      </w:r>
      <w:r w:rsidRPr="007D063B">
        <w:rPr>
          <w:rFonts w:ascii="Times New Roman" w:eastAsia="Calibri" w:hAnsi="Times New Roman" w:cs="Times New Roman"/>
          <w:sz w:val="24"/>
        </w:rPr>
        <w:t xml:space="preserve"> чрез информационната система ИСУН 2020. </w:t>
      </w:r>
    </w:p>
    <w:p w14:paraId="66957C76" w14:textId="12066F57" w:rsidR="0002385E" w:rsidRPr="007D063B" w:rsidRDefault="0002385E" w:rsidP="0002385E">
      <w:pPr>
        <w:spacing w:after="0" w:line="240" w:lineRule="auto"/>
        <w:ind w:right="-62"/>
        <w:jc w:val="both"/>
        <w:rPr>
          <w:rFonts w:ascii="Times New Roman" w:eastAsia="Calibri" w:hAnsi="Times New Roman" w:cs="Times New Roman"/>
          <w:sz w:val="24"/>
        </w:rPr>
      </w:pPr>
      <w:r w:rsidRPr="007D063B">
        <w:rPr>
          <w:rFonts w:ascii="Times New Roman" w:eastAsia="Calibri" w:hAnsi="Times New Roman" w:cs="Times New Roman"/>
          <w:sz w:val="24"/>
        </w:rPr>
        <w:t xml:space="preserve">За всички бенефициенти със сключени договори бяха организирани </w:t>
      </w:r>
      <w:r w:rsidRPr="007D063B">
        <w:rPr>
          <w:rFonts w:ascii="Times New Roman" w:eastAsia="Calibri" w:hAnsi="Times New Roman" w:cs="Times New Roman"/>
          <w:b/>
          <w:sz w:val="24"/>
        </w:rPr>
        <w:t>встъпителни</w:t>
      </w:r>
      <w:r w:rsidRPr="007D063B">
        <w:rPr>
          <w:rFonts w:ascii="Times New Roman" w:eastAsia="Calibri" w:hAnsi="Times New Roman" w:cs="Times New Roman"/>
          <w:sz w:val="24"/>
        </w:rPr>
        <w:t xml:space="preserve"> </w:t>
      </w:r>
      <w:r w:rsidRPr="007D063B">
        <w:rPr>
          <w:rFonts w:ascii="Times New Roman" w:eastAsia="Calibri" w:hAnsi="Times New Roman" w:cs="Times New Roman"/>
          <w:b/>
          <w:sz w:val="24"/>
        </w:rPr>
        <w:t>обучения.</w:t>
      </w:r>
      <w:r w:rsidRPr="007D063B">
        <w:rPr>
          <w:rFonts w:ascii="Times New Roman" w:eastAsia="Calibri" w:hAnsi="Times New Roman" w:cs="Times New Roman"/>
          <w:sz w:val="24"/>
        </w:rPr>
        <w:t xml:space="preserve"> Целта е бенефициентите да бъдат подготвени за правилното управление на проектите, включително и </w:t>
      </w:r>
      <w:r w:rsidR="00BC2F46" w:rsidRPr="007D063B">
        <w:rPr>
          <w:rFonts w:ascii="Times New Roman" w:eastAsia="Calibri" w:hAnsi="Times New Roman" w:cs="Times New Roman"/>
          <w:sz w:val="24"/>
        </w:rPr>
        <w:t>тяхното</w:t>
      </w:r>
      <w:r w:rsidRPr="007D063B">
        <w:rPr>
          <w:rFonts w:ascii="Times New Roman" w:eastAsia="Calibri" w:hAnsi="Times New Roman" w:cs="Times New Roman"/>
          <w:sz w:val="24"/>
        </w:rPr>
        <w:t xml:space="preserve"> отчитане в ИСУН 2020, където се осъществява цялата комуникация през новия програмен период. Експертите от екипите за управление на проектите бяха запознати със задълженията си при изпълнението на дейностите, включително за деклариране на нередности, с процеса на мониторинг и финансов контрол от страна на УО</w:t>
      </w:r>
      <w:r w:rsidR="00BC2F46" w:rsidRPr="007D063B">
        <w:rPr>
          <w:rFonts w:ascii="Times New Roman" w:eastAsia="Calibri" w:hAnsi="Times New Roman" w:cs="Times New Roman"/>
          <w:sz w:val="24"/>
        </w:rPr>
        <w:t xml:space="preserve"> </w:t>
      </w:r>
      <w:r w:rsidRPr="007D063B">
        <w:rPr>
          <w:rFonts w:ascii="Times New Roman" w:eastAsia="Calibri" w:hAnsi="Times New Roman" w:cs="Times New Roman"/>
          <w:sz w:val="24"/>
        </w:rPr>
        <w:t xml:space="preserve"> и със задълженията си за осигуряване на публичност. </w:t>
      </w:r>
    </w:p>
    <w:p w14:paraId="6C7311BB" w14:textId="545CBEC8" w:rsidR="0002385E" w:rsidRPr="007D063B" w:rsidRDefault="0002385E" w:rsidP="0002385E">
      <w:pPr>
        <w:shd w:val="clear" w:color="auto" w:fill="FFFFFF"/>
        <w:spacing w:after="0" w:line="240" w:lineRule="auto"/>
        <w:jc w:val="both"/>
        <w:rPr>
          <w:rFonts w:ascii="Times New Roman" w:eastAsia="Calibri" w:hAnsi="Times New Roman" w:cs="Times New Roman"/>
          <w:bCs/>
          <w:sz w:val="24"/>
          <w:lang w:val="ru-RU"/>
        </w:rPr>
      </w:pPr>
      <w:r w:rsidRPr="007D063B">
        <w:rPr>
          <w:rFonts w:ascii="Times New Roman" w:eastAsia="Calibri" w:hAnsi="Times New Roman" w:cs="Times New Roman"/>
          <w:bCs/>
          <w:sz w:val="24"/>
          <w:lang w:val="ru-RU"/>
        </w:rPr>
        <w:t xml:space="preserve">Информация за </w:t>
      </w:r>
      <w:r w:rsidR="00EC0951" w:rsidRPr="007D063B">
        <w:rPr>
          <w:rFonts w:ascii="Times New Roman" w:eastAsia="Calibri" w:hAnsi="Times New Roman" w:cs="Times New Roman"/>
          <w:bCs/>
          <w:sz w:val="24"/>
          <w:lang w:val="ru-RU"/>
        </w:rPr>
        <w:t>ОПДУ</w:t>
      </w:r>
      <w:r w:rsidRPr="007D063B">
        <w:rPr>
          <w:rFonts w:ascii="Times New Roman" w:eastAsia="Calibri" w:hAnsi="Times New Roman" w:cs="Times New Roman"/>
          <w:bCs/>
          <w:sz w:val="24"/>
          <w:lang w:val="ru-RU"/>
        </w:rPr>
        <w:t xml:space="preserve"> се публикува в </w:t>
      </w:r>
      <w:r w:rsidRPr="007D063B">
        <w:rPr>
          <w:rFonts w:ascii="Times New Roman" w:eastAsia="Calibri" w:hAnsi="Times New Roman" w:cs="Times New Roman"/>
          <w:b/>
          <w:bCs/>
          <w:sz w:val="24"/>
          <w:lang w:val="ru-RU"/>
        </w:rPr>
        <w:t>обособена секция на Единния информационен портал</w:t>
      </w:r>
      <w:r w:rsidR="009740FF" w:rsidRPr="007D063B">
        <w:rPr>
          <w:rFonts w:ascii="Times New Roman" w:eastAsia="Calibri" w:hAnsi="Times New Roman" w:cs="Times New Roman"/>
          <w:b/>
          <w:bCs/>
          <w:sz w:val="24"/>
        </w:rPr>
        <w:t>:</w:t>
      </w:r>
      <w:r w:rsidRPr="007D063B">
        <w:rPr>
          <w:rFonts w:ascii="Times New Roman" w:eastAsia="Calibri" w:hAnsi="Times New Roman" w:cs="Times New Roman"/>
          <w:bCs/>
          <w:sz w:val="24"/>
          <w:lang w:val="ru-RU"/>
        </w:rPr>
        <w:t xml:space="preserve"> </w:t>
      </w:r>
      <w:r w:rsidR="00EC0F41" w:rsidRPr="007D063B">
        <w:rPr>
          <w:rFonts w:ascii="Times New Roman" w:eastAsia="Calibri" w:hAnsi="Times New Roman" w:cs="Times New Roman"/>
          <w:bCs/>
          <w:sz w:val="24"/>
          <w:lang w:val="ru-RU"/>
        </w:rPr>
        <w:t>https://www.eufunds.bg/programen-period-2014-2020/operativni-programi-2014-2020/operativna-programa-dobro-upravlenie-2014-2020</w:t>
      </w:r>
      <w:r w:rsidRPr="007D063B">
        <w:rPr>
          <w:rFonts w:ascii="Times New Roman" w:eastAsia="Calibri" w:hAnsi="Times New Roman" w:cs="Times New Roman"/>
          <w:bCs/>
          <w:sz w:val="24"/>
          <w:lang w:val="ru-RU"/>
        </w:rPr>
        <w:t>. УО регулярно публикува актуални новини и документи, предоставящи информация за изпълнението на програмата, вкл</w:t>
      </w:r>
      <w:r w:rsidR="005C320B" w:rsidRPr="007D063B">
        <w:rPr>
          <w:rFonts w:ascii="Times New Roman" w:eastAsia="Calibri" w:hAnsi="Times New Roman" w:cs="Times New Roman"/>
          <w:bCs/>
          <w:sz w:val="24"/>
          <w:lang w:val="ru-RU"/>
        </w:rPr>
        <w:t>обяви</w:t>
      </w:r>
      <w:r w:rsidR="0054530B" w:rsidRPr="007D063B">
        <w:rPr>
          <w:rFonts w:ascii="Times New Roman" w:eastAsia="Calibri" w:hAnsi="Times New Roman" w:cs="Times New Roman"/>
          <w:bCs/>
          <w:sz w:val="24"/>
        </w:rPr>
        <w:t xml:space="preserve"> за кандидатстване, насоки за кандидатстване и цялата необходима документация </w:t>
      </w:r>
      <w:r w:rsidR="005C320B" w:rsidRPr="007D063B">
        <w:rPr>
          <w:rFonts w:ascii="Times New Roman" w:eastAsia="Calibri" w:hAnsi="Times New Roman" w:cs="Times New Roman"/>
          <w:bCs/>
          <w:sz w:val="24"/>
        </w:rPr>
        <w:t>към тях</w:t>
      </w:r>
      <w:r w:rsidR="0054530B" w:rsidRPr="007D063B">
        <w:rPr>
          <w:rFonts w:ascii="Times New Roman" w:eastAsia="Calibri" w:hAnsi="Times New Roman" w:cs="Times New Roman"/>
          <w:bCs/>
          <w:sz w:val="24"/>
        </w:rPr>
        <w:t xml:space="preserve">; </w:t>
      </w:r>
      <w:r w:rsidRPr="007D063B">
        <w:rPr>
          <w:rFonts w:ascii="Times New Roman" w:eastAsia="Calibri" w:hAnsi="Times New Roman" w:cs="Times New Roman"/>
          <w:bCs/>
          <w:sz w:val="24"/>
          <w:lang w:val="ru-RU"/>
        </w:rPr>
        <w:t>доклади за оценка; правила за изпълнение и указания на УО за управление на проектите. Публикува се и цялата документация, свързана с работата на К</w:t>
      </w:r>
      <w:r w:rsidR="005C320B" w:rsidRPr="007D063B">
        <w:rPr>
          <w:rFonts w:ascii="Times New Roman" w:eastAsia="Calibri" w:hAnsi="Times New Roman" w:cs="Times New Roman"/>
          <w:bCs/>
          <w:sz w:val="24"/>
          <w:lang w:val="ru-RU"/>
        </w:rPr>
        <w:t xml:space="preserve">Н </w:t>
      </w:r>
      <w:r w:rsidRPr="007D063B">
        <w:rPr>
          <w:rFonts w:ascii="Times New Roman" w:eastAsia="Calibri" w:hAnsi="Times New Roman" w:cs="Times New Roman"/>
          <w:bCs/>
          <w:sz w:val="24"/>
          <w:lang w:val="ru-RU"/>
        </w:rPr>
        <w:t xml:space="preserve"> по ОПДУ.</w:t>
      </w:r>
    </w:p>
    <w:p w14:paraId="157C19D0" w14:textId="77777777" w:rsidR="0002385E" w:rsidRPr="007D063B" w:rsidRDefault="0002385E" w:rsidP="0002385E">
      <w:pPr>
        <w:shd w:val="clear" w:color="auto" w:fill="FFFFFF"/>
        <w:spacing w:after="0" w:line="240" w:lineRule="auto"/>
        <w:ind w:firstLine="567"/>
        <w:jc w:val="both"/>
        <w:rPr>
          <w:rFonts w:ascii="Times New Roman" w:eastAsia="Calibri" w:hAnsi="Times New Roman" w:cs="Times New Roman"/>
          <w:bCs/>
          <w:sz w:val="24"/>
          <w:lang w:val="ru-RU"/>
        </w:rPr>
      </w:pPr>
      <w:r w:rsidRPr="007D063B">
        <w:rPr>
          <w:rFonts w:ascii="Times New Roman" w:eastAsia="Calibri" w:hAnsi="Times New Roman" w:cs="Times New Roman"/>
          <w:sz w:val="24"/>
        </w:rPr>
        <w:t xml:space="preserve">През 2015 и 2016 г. работата на УО на ОПДУ е отразявана с </w:t>
      </w:r>
      <w:r w:rsidRPr="007D063B">
        <w:rPr>
          <w:rFonts w:ascii="Times New Roman" w:eastAsia="Calibri" w:hAnsi="Times New Roman" w:cs="Times New Roman"/>
          <w:b/>
          <w:sz w:val="24"/>
        </w:rPr>
        <w:t xml:space="preserve">регулярни прессъобщения </w:t>
      </w:r>
      <w:r w:rsidRPr="007D063B">
        <w:rPr>
          <w:rFonts w:ascii="Times New Roman" w:eastAsia="Calibri" w:hAnsi="Times New Roman" w:cs="Times New Roman"/>
          <w:sz w:val="24"/>
        </w:rPr>
        <w:t>до медиите с актуална информация за напредъка:</w:t>
      </w:r>
    </w:p>
    <w:p w14:paraId="23419B2F" w14:textId="0DE31FAE" w:rsidR="0002385E" w:rsidRPr="007D063B" w:rsidRDefault="00BC2F46" w:rsidP="0002385E">
      <w:pPr>
        <w:numPr>
          <w:ilvl w:val="0"/>
          <w:numId w:val="31"/>
        </w:numPr>
        <w:shd w:val="clear" w:color="auto" w:fill="FFFFFF"/>
        <w:spacing w:after="0" w:line="240" w:lineRule="auto"/>
        <w:ind w:left="1134" w:hanging="283"/>
        <w:contextualSpacing/>
        <w:jc w:val="both"/>
        <w:rPr>
          <w:rFonts w:ascii="Times New Roman" w:eastAsia="Calibri" w:hAnsi="Times New Roman" w:cs="Times New Roman"/>
          <w:b/>
          <w:bCs/>
          <w:sz w:val="24"/>
          <w:lang w:val="ru-RU"/>
        </w:rPr>
      </w:pPr>
      <w:r w:rsidRPr="007D063B">
        <w:rPr>
          <w:rFonts w:ascii="Times New Roman" w:eastAsia="Calibri" w:hAnsi="Times New Roman" w:cs="Times New Roman"/>
          <w:bCs/>
          <w:sz w:val="24"/>
          <w:lang w:val="ru-RU"/>
        </w:rPr>
        <w:t>Б</w:t>
      </w:r>
      <w:r w:rsidR="0002385E" w:rsidRPr="007D063B">
        <w:rPr>
          <w:rFonts w:ascii="Times New Roman" w:eastAsia="Calibri" w:hAnsi="Times New Roman" w:cs="Times New Roman"/>
          <w:bCs/>
          <w:sz w:val="24"/>
          <w:lang w:val="ru-RU"/>
        </w:rPr>
        <w:t xml:space="preserve">рой разпространени </w:t>
      </w:r>
      <w:r w:rsidR="0002385E" w:rsidRPr="007D063B">
        <w:rPr>
          <w:rFonts w:ascii="Times New Roman" w:eastAsia="Calibri" w:hAnsi="Times New Roman" w:cs="Times New Roman"/>
          <w:b/>
          <w:bCs/>
          <w:sz w:val="24"/>
          <w:lang w:val="ru-RU"/>
        </w:rPr>
        <w:t xml:space="preserve">ПРЕССЪОБЩЕНИЯ </w:t>
      </w:r>
      <w:r w:rsidR="0002385E" w:rsidRPr="007D063B">
        <w:rPr>
          <w:rFonts w:ascii="Times New Roman" w:eastAsia="Calibri" w:hAnsi="Times New Roman" w:cs="Times New Roman"/>
          <w:bCs/>
          <w:sz w:val="24"/>
          <w:lang w:val="ru-RU"/>
        </w:rPr>
        <w:t>–</w:t>
      </w:r>
      <w:r w:rsidR="0002385E" w:rsidRPr="007D063B">
        <w:rPr>
          <w:rFonts w:ascii="Times New Roman" w:eastAsia="Calibri" w:hAnsi="Times New Roman" w:cs="Times New Roman"/>
          <w:b/>
          <w:bCs/>
          <w:sz w:val="24"/>
          <w:lang w:val="ru-RU"/>
        </w:rPr>
        <w:t xml:space="preserve"> 51</w:t>
      </w:r>
    </w:p>
    <w:p w14:paraId="26EB18A4" w14:textId="5D431F31" w:rsidR="0002385E" w:rsidRPr="007D063B" w:rsidRDefault="00BC2F46" w:rsidP="0002385E">
      <w:pPr>
        <w:numPr>
          <w:ilvl w:val="0"/>
          <w:numId w:val="31"/>
        </w:numPr>
        <w:shd w:val="clear" w:color="auto" w:fill="FFFFFF"/>
        <w:spacing w:after="0" w:line="240" w:lineRule="auto"/>
        <w:ind w:left="1134" w:hanging="283"/>
        <w:contextualSpacing/>
        <w:jc w:val="both"/>
        <w:rPr>
          <w:rFonts w:ascii="Times New Roman" w:eastAsia="Calibri" w:hAnsi="Times New Roman" w:cs="Times New Roman"/>
          <w:b/>
          <w:bCs/>
          <w:sz w:val="24"/>
          <w:lang w:val="ru-RU"/>
        </w:rPr>
      </w:pPr>
      <w:r w:rsidRPr="007D063B">
        <w:rPr>
          <w:rFonts w:ascii="Times New Roman" w:eastAsia="Calibri" w:hAnsi="Times New Roman" w:cs="Times New Roman"/>
          <w:bCs/>
          <w:sz w:val="24"/>
          <w:lang w:val="ru-RU"/>
        </w:rPr>
        <w:t>Б</w:t>
      </w:r>
      <w:r w:rsidR="0002385E" w:rsidRPr="007D063B">
        <w:rPr>
          <w:rFonts w:ascii="Times New Roman" w:eastAsia="Calibri" w:hAnsi="Times New Roman" w:cs="Times New Roman"/>
          <w:bCs/>
          <w:sz w:val="24"/>
          <w:lang w:val="ru-RU"/>
        </w:rPr>
        <w:t xml:space="preserve">рой </w:t>
      </w:r>
      <w:r w:rsidR="0002385E" w:rsidRPr="007D063B">
        <w:rPr>
          <w:rFonts w:ascii="Times New Roman" w:eastAsia="Calibri" w:hAnsi="Times New Roman" w:cs="Times New Roman"/>
          <w:b/>
          <w:bCs/>
          <w:sz w:val="24"/>
          <w:lang w:val="ru-RU"/>
        </w:rPr>
        <w:t>ПУБЛИКАЦИИ</w:t>
      </w:r>
      <w:r w:rsidR="0002385E" w:rsidRPr="007D063B">
        <w:rPr>
          <w:rFonts w:ascii="Times New Roman" w:eastAsia="Calibri" w:hAnsi="Times New Roman" w:cs="Times New Roman"/>
          <w:bCs/>
          <w:sz w:val="24"/>
          <w:lang w:val="ru-RU"/>
        </w:rPr>
        <w:t xml:space="preserve"> за ОПДУ в медиите</w:t>
      </w:r>
      <w:r w:rsidR="006B40C2" w:rsidRPr="007D063B">
        <w:rPr>
          <w:rFonts w:ascii="Times New Roman" w:eastAsia="Calibri" w:hAnsi="Times New Roman" w:cs="Times New Roman"/>
          <w:bCs/>
          <w:sz w:val="24"/>
          <w:lang w:val="ru-RU"/>
        </w:rPr>
        <w:t>, вкл. електронни</w:t>
      </w:r>
      <w:r w:rsidR="0002385E" w:rsidRPr="007D063B">
        <w:rPr>
          <w:rFonts w:ascii="Times New Roman" w:eastAsia="Calibri" w:hAnsi="Times New Roman" w:cs="Times New Roman"/>
          <w:bCs/>
          <w:sz w:val="24"/>
          <w:lang w:val="ru-RU"/>
        </w:rPr>
        <w:t xml:space="preserve"> –</w:t>
      </w:r>
      <w:r w:rsidR="0002385E" w:rsidRPr="007D063B">
        <w:rPr>
          <w:rFonts w:ascii="Times New Roman" w:eastAsia="Calibri" w:hAnsi="Times New Roman" w:cs="Times New Roman"/>
          <w:b/>
          <w:bCs/>
          <w:sz w:val="24"/>
          <w:lang w:val="ru-RU"/>
        </w:rPr>
        <w:t xml:space="preserve"> 1658</w:t>
      </w:r>
    </w:p>
    <w:p w14:paraId="241D18C2" w14:textId="77777777" w:rsidR="0002385E" w:rsidRPr="007D063B" w:rsidRDefault="0002385E" w:rsidP="0002385E">
      <w:pPr>
        <w:shd w:val="clear" w:color="auto" w:fill="FFFFFF"/>
        <w:spacing w:after="0" w:line="240" w:lineRule="auto"/>
        <w:ind w:firstLine="567"/>
        <w:jc w:val="both"/>
        <w:rPr>
          <w:rFonts w:ascii="Times New Roman" w:eastAsia="Calibri" w:hAnsi="Times New Roman" w:cs="Times New Roman"/>
          <w:b/>
          <w:sz w:val="24"/>
          <w:u w:val="single"/>
        </w:rPr>
      </w:pPr>
    </w:p>
    <w:p w14:paraId="0B4B8167" w14:textId="77777777" w:rsidR="0002385E" w:rsidRPr="007D063B" w:rsidRDefault="0002385E" w:rsidP="0002385E">
      <w:pPr>
        <w:shd w:val="clear" w:color="auto" w:fill="FFFFFF"/>
        <w:spacing w:after="0" w:line="240" w:lineRule="auto"/>
        <w:ind w:firstLine="567"/>
        <w:jc w:val="both"/>
        <w:rPr>
          <w:rFonts w:ascii="Times New Roman" w:eastAsia="Calibri" w:hAnsi="Times New Roman" w:cs="Times New Roman"/>
          <w:b/>
          <w:sz w:val="24"/>
          <w:u w:val="single"/>
        </w:rPr>
      </w:pPr>
      <w:r w:rsidRPr="007D063B">
        <w:rPr>
          <w:rFonts w:ascii="Times New Roman" w:eastAsia="Calibri" w:hAnsi="Times New Roman" w:cs="Times New Roman"/>
          <w:b/>
          <w:sz w:val="24"/>
          <w:u w:val="single"/>
        </w:rPr>
        <w:t>Комуникационни дейности за 2015 г.</w:t>
      </w:r>
    </w:p>
    <w:p w14:paraId="7DCA9C6B" w14:textId="77777777" w:rsidR="0002385E" w:rsidRPr="007D063B" w:rsidRDefault="0002385E" w:rsidP="0002385E">
      <w:pPr>
        <w:numPr>
          <w:ilvl w:val="0"/>
          <w:numId w:val="32"/>
        </w:numPr>
        <w:spacing w:after="0" w:line="240" w:lineRule="auto"/>
        <w:ind w:left="1134" w:hanging="425"/>
        <w:contextualSpacing/>
        <w:jc w:val="both"/>
        <w:rPr>
          <w:rFonts w:ascii="Times New Roman" w:eastAsia="Calibri" w:hAnsi="Times New Roman" w:cs="Times New Roman"/>
          <w:b/>
          <w:sz w:val="24"/>
        </w:rPr>
      </w:pPr>
      <w:r w:rsidRPr="007D063B">
        <w:rPr>
          <w:rFonts w:ascii="Times New Roman" w:eastAsia="Times New Roman" w:hAnsi="Times New Roman" w:cs="Times New Roman"/>
          <w:sz w:val="24"/>
          <w:szCs w:val="20"/>
        </w:rPr>
        <w:t xml:space="preserve">Организирани </w:t>
      </w:r>
      <w:r w:rsidRPr="007D063B">
        <w:rPr>
          <w:rFonts w:ascii="Times New Roman" w:eastAsia="Times New Roman" w:hAnsi="Times New Roman" w:cs="Times New Roman"/>
          <w:b/>
          <w:sz w:val="24"/>
          <w:szCs w:val="20"/>
        </w:rPr>
        <w:t>4 ИНФОРМАЦИОННИ ДНИ</w:t>
      </w:r>
      <w:r w:rsidRPr="007D063B">
        <w:rPr>
          <w:rFonts w:ascii="Times New Roman" w:eastAsia="Times New Roman" w:hAnsi="Times New Roman" w:cs="Times New Roman"/>
          <w:sz w:val="24"/>
          <w:szCs w:val="20"/>
        </w:rPr>
        <w:t xml:space="preserve"> (на 27.08, 05.11, 01.12 и 16.12) за представяне на нови процедури за кандидатстване по ОПДУ. </w:t>
      </w:r>
      <w:r w:rsidRPr="007D063B">
        <w:rPr>
          <w:rFonts w:ascii="Times New Roman" w:eastAsia="Calibri" w:hAnsi="Times New Roman" w:cs="Times New Roman"/>
          <w:sz w:val="24"/>
        </w:rPr>
        <w:t xml:space="preserve">В събитията се включиха общо </w:t>
      </w:r>
      <w:r w:rsidRPr="007D063B">
        <w:rPr>
          <w:rFonts w:ascii="Times New Roman" w:eastAsia="Calibri" w:hAnsi="Times New Roman" w:cs="Times New Roman"/>
          <w:b/>
          <w:sz w:val="24"/>
        </w:rPr>
        <w:t xml:space="preserve">115 участници. </w:t>
      </w:r>
      <w:r w:rsidRPr="007D063B">
        <w:rPr>
          <w:rFonts w:ascii="Times New Roman" w:eastAsia="Calibri" w:hAnsi="Times New Roman" w:cs="Times New Roman"/>
          <w:sz w:val="24"/>
        </w:rPr>
        <w:t xml:space="preserve">За всяка информационна среща беше изработена </w:t>
      </w:r>
      <w:r w:rsidRPr="007D063B">
        <w:rPr>
          <w:rFonts w:ascii="Times New Roman" w:eastAsia="Calibri" w:hAnsi="Times New Roman" w:cs="Times New Roman"/>
          <w:b/>
          <w:sz w:val="24"/>
        </w:rPr>
        <w:t>информационна книжка.</w:t>
      </w:r>
    </w:p>
    <w:p w14:paraId="60DFBAB1" w14:textId="77777777" w:rsidR="0002385E" w:rsidRPr="007D063B" w:rsidRDefault="0002385E" w:rsidP="0002385E">
      <w:pPr>
        <w:numPr>
          <w:ilvl w:val="0"/>
          <w:numId w:val="32"/>
        </w:numPr>
        <w:spacing w:after="0" w:line="240" w:lineRule="auto"/>
        <w:ind w:left="1134" w:hanging="425"/>
        <w:contextualSpacing/>
        <w:jc w:val="both"/>
        <w:rPr>
          <w:rFonts w:ascii="Times New Roman" w:eastAsia="Calibri" w:hAnsi="Times New Roman" w:cs="Times New Roman"/>
          <w:sz w:val="24"/>
        </w:rPr>
      </w:pPr>
      <w:r w:rsidRPr="007D063B">
        <w:rPr>
          <w:rFonts w:ascii="Times New Roman" w:eastAsia="Calibri" w:hAnsi="Times New Roman" w:cs="Times New Roman"/>
          <w:sz w:val="24"/>
        </w:rPr>
        <w:t xml:space="preserve">Разпространени </w:t>
      </w:r>
      <w:r w:rsidRPr="007D063B">
        <w:rPr>
          <w:rFonts w:ascii="Times New Roman" w:eastAsia="Calibri" w:hAnsi="Times New Roman" w:cs="Times New Roman"/>
          <w:b/>
          <w:sz w:val="24"/>
        </w:rPr>
        <w:t>31 ПРЕССЪОБЩЕНИЯ</w:t>
      </w:r>
      <w:r w:rsidRPr="007D063B">
        <w:rPr>
          <w:rFonts w:ascii="Times New Roman" w:eastAsia="Calibri" w:hAnsi="Times New Roman" w:cs="Times New Roman"/>
          <w:sz w:val="24"/>
        </w:rPr>
        <w:t xml:space="preserve"> </w:t>
      </w:r>
      <w:r w:rsidRPr="007D063B">
        <w:rPr>
          <w:rFonts w:ascii="Times New Roman" w:eastAsia="Calibri" w:hAnsi="Times New Roman" w:cs="Times New Roman"/>
          <w:i/>
          <w:sz w:val="24"/>
        </w:rPr>
        <w:t>(при целева стойност от 10 бр. съгласно Годишния план за действие за 2015 г.).</w:t>
      </w:r>
      <w:r w:rsidRPr="007D063B">
        <w:rPr>
          <w:rFonts w:ascii="Times New Roman" w:eastAsia="Calibri" w:hAnsi="Times New Roman" w:cs="Times New Roman"/>
          <w:sz w:val="24"/>
        </w:rPr>
        <w:t xml:space="preserve"> Продължи постоянният мониторинг на медиите: в ежедневници и седмичници с национално и регионално покритие и в информационни агенции и сайтове са публикувани </w:t>
      </w:r>
      <w:r w:rsidRPr="007D063B">
        <w:rPr>
          <w:rFonts w:ascii="Times New Roman" w:eastAsia="Calibri" w:hAnsi="Times New Roman" w:cs="Times New Roman"/>
          <w:b/>
          <w:sz w:val="24"/>
        </w:rPr>
        <w:t xml:space="preserve">296 материала, </w:t>
      </w:r>
      <w:r w:rsidRPr="007D063B">
        <w:rPr>
          <w:rFonts w:ascii="Times New Roman" w:eastAsia="Calibri" w:hAnsi="Times New Roman" w:cs="Times New Roman"/>
          <w:sz w:val="24"/>
        </w:rPr>
        <w:t>в които се споменава програмата</w:t>
      </w:r>
      <w:r w:rsidRPr="007D063B">
        <w:rPr>
          <w:rFonts w:ascii="Times New Roman" w:eastAsia="Calibri" w:hAnsi="Times New Roman" w:cs="Times New Roman"/>
          <w:i/>
          <w:sz w:val="24"/>
        </w:rPr>
        <w:t xml:space="preserve"> (при целева стойност – над 20 реализирани публикации в печатни медии и Интернет)</w:t>
      </w:r>
      <w:r w:rsidRPr="007D063B">
        <w:rPr>
          <w:rFonts w:ascii="Times New Roman" w:eastAsia="Calibri" w:hAnsi="Times New Roman" w:cs="Times New Roman"/>
          <w:sz w:val="24"/>
        </w:rPr>
        <w:t xml:space="preserve">. </w:t>
      </w:r>
    </w:p>
    <w:p w14:paraId="27AC42D3" w14:textId="77777777" w:rsidR="0010350D" w:rsidRDefault="0010350D" w:rsidP="005C320B">
      <w:pPr>
        <w:shd w:val="clear" w:color="auto" w:fill="FFFFFF"/>
        <w:spacing w:after="0" w:line="240" w:lineRule="auto"/>
        <w:jc w:val="both"/>
        <w:rPr>
          <w:rFonts w:ascii="Times New Roman" w:eastAsia="Calibri" w:hAnsi="Times New Roman" w:cs="Times New Roman"/>
          <w:sz w:val="24"/>
        </w:rPr>
      </w:pPr>
    </w:p>
    <w:p w14:paraId="54FC8555" w14:textId="059E5EEC" w:rsidR="0002385E" w:rsidRPr="007D063B" w:rsidRDefault="0002385E" w:rsidP="005C320B">
      <w:pPr>
        <w:shd w:val="clear" w:color="auto" w:fill="FFFFFF"/>
        <w:spacing w:after="0" w:line="240" w:lineRule="auto"/>
        <w:jc w:val="both"/>
        <w:rPr>
          <w:rFonts w:ascii="Times New Roman" w:eastAsia="Calibri" w:hAnsi="Times New Roman" w:cs="Times New Roman"/>
          <w:sz w:val="24"/>
        </w:rPr>
      </w:pPr>
      <w:r w:rsidRPr="007D063B">
        <w:rPr>
          <w:rFonts w:ascii="Times New Roman" w:eastAsia="Calibri" w:hAnsi="Times New Roman" w:cs="Times New Roman"/>
          <w:sz w:val="24"/>
        </w:rPr>
        <w:lastRenderedPageBreak/>
        <w:t xml:space="preserve">На </w:t>
      </w:r>
      <w:r w:rsidRPr="007D063B">
        <w:rPr>
          <w:rFonts w:ascii="Times New Roman" w:eastAsia="Calibri" w:hAnsi="Times New Roman" w:cs="Times New Roman"/>
          <w:b/>
          <w:sz w:val="24"/>
        </w:rPr>
        <w:t xml:space="preserve">28 май </w:t>
      </w:r>
      <w:r w:rsidRPr="007D063B">
        <w:rPr>
          <w:rFonts w:ascii="Times New Roman" w:eastAsia="Calibri" w:hAnsi="Times New Roman" w:cs="Times New Roman"/>
          <w:sz w:val="24"/>
        </w:rPr>
        <w:t xml:space="preserve">в София се проведе общо </w:t>
      </w:r>
      <w:r w:rsidRPr="007D063B">
        <w:rPr>
          <w:rFonts w:ascii="Times New Roman" w:eastAsia="Calibri" w:hAnsi="Times New Roman" w:cs="Times New Roman"/>
          <w:b/>
          <w:sz w:val="24"/>
        </w:rPr>
        <w:t>ОТКРИВАЩО СЪБИТИЕ</w:t>
      </w:r>
      <w:r w:rsidRPr="007D063B">
        <w:rPr>
          <w:rFonts w:ascii="Times New Roman" w:eastAsia="Calibri" w:hAnsi="Times New Roman" w:cs="Times New Roman"/>
          <w:sz w:val="24"/>
        </w:rPr>
        <w:t xml:space="preserve"> за представяне на новите оперативни програми и възможностите за кандидатстване. Изложението под наслов </w:t>
      </w:r>
      <w:r w:rsidRPr="007D063B">
        <w:rPr>
          <w:rFonts w:ascii="Times New Roman" w:eastAsia="Calibri" w:hAnsi="Times New Roman" w:cs="Times New Roman"/>
          <w:i/>
          <w:sz w:val="24"/>
        </w:rPr>
        <w:t>„Една посока, много възможности“</w:t>
      </w:r>
      <w:r w:rsidRPr="007D063B">
        <w:rPr>
          <w:rFonts w:ascii="Times New Roman" w:eastAsia="Calibri" w:hAnsi="Times New Roman" w:cs="Times New Roman"/>
          <w:sz w:val="24"/>
        </w:rPr>
        <w:t xml:space="preserve"> събра на едно място експерти от всички програми за периода 2014 – 2020 г., които предоставяха на посетителите информация за актуалните процедури за кандидатстване, за добри практики по старите оперативни програми, както и рекламни материали. Организатори на събитието бяха ЦКЗ и Управляващите органи на програмите за периода 2014 – 2020 г. </w:t>
      </w:r>
    </w:p>
    <w:p w14:paraId="7693EFF6" w14:textId="347D2753" w:rsidR="0002385E" w:rsidRPr="007D063B" w:rsidRDefault="0002385E" w:rsidP="005C320B">
      <w:pPr>
        <w:shd w:val="clear" w:color="auto" w:fill="FFFFFF"/>
        <w:spacing w:after="0" w:line="240" w:lineRule="auto"/>
        <w:jc w:val="both"/>
        <w:rPr>
          <w:rFonts w:ascii="Times New Roman" w:eastAsia="Calibri" w:hAnsi="Times New Roman" w:cs="Times New Roman"/>
          <w:sz w:val="24"/>
        </w:rPr>
      </w:pPr>
      <w:r w:rsidRPr="007D063B">
        <w:rPr>
          <w:rFonts w:ascii="Times New Roman" w:eastAsia="Calibri" w:hAnsi="Times New Roman" w:cs="Times New Roman"/>
          <w:sz w:val="24"/>
        </w:rPr>
        <w:t xml:space="preserve">На </w:t>
      </w:r>
      <w:r w:rsidRPr="007D063B">
        <w:rPr>
          <w:rFonts w:ascii="Times New Roman" w:eastAsia="Calibri" w:hAnsi="Times New Roman" w:cs="Times New Roman"/>
          <w:b/>
          <w:sz w:val="24"/>
        </w:rPr>
        <w:t xml:space="preserve">17 ноември </w:t>
      </w:r>
      <w:r w:rsidRPr="007D063B">
        <w:rPr>
          <w:rFonts w:ascii="Times New Roman" w:eastAsia="Calibri" w:hAnsi="Times New Roman" w:cs="Times New Roman"/>
          <w:sz w:val="24"/>
        </w:rPr>
        <w:t xml:space="preserve">в „София хотел Балкан“ дирекция „Добро управление“ организира общо </w:t>
      </w:r>
      <w:r w:rsidRPr="007D063B">
        <w:rPr>
          <w:rFonts w:ascii="Times New Roman" w:eastAsia="Calibri" w:hAnsi="Times New Roman" w:cs="Times New Roman"/>
          <w:b/>
          <w:sz w:val="24"/>
        </w:rPr>
        <w:t>ГОДИШНО ИНФОРМАЦИОННО СЪБИТИЕ</w:t>
      </w:r>
      <w:r w:rsidRPr="007D063B">
        <w:rPr>
          <w:rFonts w:ascii="Times New Roman" w:eastAsia="Calibri" w:hAnsi="Times New Roman" w:cs="Times New Roman"/>
          <w:sz w:val="24"/>
        </w:rPr>
        <w:t xml:space="preserve"> за трите програми, управлявани от дирекцията. На него бяха представени резултати по оперативните програми „Административен капацитет” (ОПАК) и „Техническа помощ” (ОПТП), както и възможностите за финансиране по ОПДУ. Във форума взеха участие </w:t>
      </w:r>
      <w:r w:rsidRPr="007D063B">
        <w:rPr>
          <w:rFonts w:ascii="Times New Roman" w:eastAsia="Calibri" w:hAnsi="Times New Roman" w:cs="Times New Roman"/>
          <w:b/>
          <w:sz w:val="24"/>
        </w:rPr>
        <w:t>11</w:t>
      </w:r>
      <w:r w:rsidRPr="007D063B">
        <w:rPr>
          <w:rFonts w:ascii="Times New Roman" w:eastAsia="Calibri" w:hAnsi="Times New Roman" w:cs="Times New Roman"/>
          <w:b/>
          <w:sz w:val="24"/>
          <w:lang w:val="ru-RU"/>
        </w:rPr>
        <w:t>7</w:t>
      </w:r>
      <w:r w:rsidRPr="007D063B">
        <w:rPr>
          <w:rFonts w:ascii="Times New Roman" w:eastAsia="Calibri" w:hAnsi="Times New Roman" w:cs="Times New Roman"/>
          <w:b/>
          <w:sz w:val="24"/>
        </w:rPr>
        <w:t xml:space="preserve"> представители</w:t>
      </w:r>
      <w:r w:rsidRPr="007D063B">
        <w:rPr>
          <w:rFonts w:ascii="Times New Roman" w:eastAsia="Calibri" w:hAnsi="Times New Roman" w:cs="Times New Roman"/>
          <w:sz w:val="24"/>
        </w:rPr>
        <w:t xml:space="preserve"> от държавната администрация, съдебната система, неправителствения сектор и медии. Ръководителят на трите програми </w:t>
      </w:r>
      <w:r w:rsidR="00240022" w:rsidRPr="007D063B">
        <w:rPr>
          <w:rFonts w:ascii="Times New Roman" w:eastAsia="Calibri" w:hAnsi="Times New Roman" w:cs="Times New Roman"/>
          <w:sz w:val="24"/>
        </w:rPr>
        <w:t xml:space="preserve">г-жа </w:t>
      </w:r>
      <w:r w:rsidRPr="007D063B">
        <w:rPr>
          <w:rFonts w:ascii="Times New Roman" w:eastAsia="Calibri" w:hAnsi="Times New Roman" w:cs="Times New Roman"/>
          <w:sz w:val="24"/>
        </w:rPr>
        <w:t>Ирена Първанова представи</w:t>
      </w:r>
      <w:r w:rsidRPr="007D063B">
        <w:rPr>
          <w:rFonts w:ascii="Times New Roman" w:eastAsia="Calibri" w:hAnsi="Times New Roman" w:cs="Times New Roman"/>
          <w:b/>
          <w:sz w:val="24"/>
        </w:rPr>
        <w:t xml:space="preserve"> </w:t>
      </w:r>
      <w:r w:rsidRPr="007D063B">
        <w:rPr>
          <w:rFonts w:ascii="Times New Roman" w:eastAsia="Calibri" w:hAnsi="Times New Roman" w:cs="Times New Roman"/>
          <w:sz w:val="24"/>
        </w:rPr>
        <w:t>реалните резултати и напредъка в изпълнението на ОПАК, ОПТП и ОПДУ и връчи грамоти за проекти-добри практики.</w:t>
      </w:r>
    </w:p>
    <w:p w14:paraId="2469984B" w14:textId="77777777" w:rsidR="0002385E" w:rsidRPr="007D063B" w:rsidRDefault="0002385E" w:rsidP="005C320B">
      <w:pPr>
        <w:spacing w:after="0" w:line="240" w:lineRule="auto"/>
        <w:jc w:val="both"/>
        <w:rPr>
          <w:rFonts w:ascii="Times New Roman" w:eastAsia="Calibri" w:hAnsi="Times New Roman" w:cs="Times New Roman"/>
          <w:sz w:val="24"/>
        </w:rPr>
      </w:pPr>
      <w:r w:rsidRPr="007D063B">
        <w:rPr>
          <w:rFonts w:ascii="Times New Roman" w:eastAsia="Calibri" w:hAnsi="Times New Roman" w:cs="Times New Roman"/>
          <w:sz w:val="24"/>
        </w:rPr>
        <w:t xml:space="preserve">Координирани бяха участия на Управляващия орган в </w:t>
      </w:r>
      <w:r w:rsidRPr="007D063B">
        <w:rPr>
          <w:rFonts w:ascii="Times New Roman" w:eastAsia="Calibri" w:hAnsi="Times New Roman" w:cs="Times New Roman"/>
          <w:b/>
          <w:sz w:val="24"/>
        </w:rPr>
        <w:t>други публични събития,</w:t>
      </w:r>
      <w:r w:rsidRPr="007D063B">
        <w:rPr>
          <w:rFonts w:ascii="Times New Roman" w:eastAsia="Calibri" w:hAnsi="Times New Roman" w:cs="Times New Roman"/>
          <w:sz w:val="24"/>
        </w:rPr>
        <w:t xml:space="preserve"> вкл.: конференция на НСОРБ: </w:t>
      </w:r>
      <w:r w:rsidRPr="007D063B">
        <w:rPr>
          <w:rFonts w:ascii="Times New Roman" w:eastAsia="Calibri" w:hAnsi="Times New Roman" w:cs="Times New Roman"/>
          <w:i/>
          <w:sz w:val="24"/>
        </w:rPr>
        <w:t xml:space="preserve">„Европейски средства за укрепване на общинския капацитет“ </w:t>
      </w:r>
      <w:r w:rsidRPr="007D063B">
        <w:rPr>
          <w:rFonts w:ascii="Times New Roman" w:eastAsia="Calibri" w:hAnsi="Times New Roman" w:cs="Times New Roman"/>
          <w:sz w:val="24"/>
        </w:rPr>
        <w:t>(25.11);</w:t>
      </w:r>
      <w:r w:rsidRPr="007D063B">
        <w:rPr>
          <w:rFonts w:ascii="Times New Roman" w:eastAsia="Calibri" w:hAnsi="Times New Roman" w:cs="Times New Roman"/>
          <w:i/>
          <w:sz w:val="24"/>
        </w:rPr>
        <w:t xml:space="preserve"> </w:t>
      </w:r>
      <w:r w:rsidRPr="007D063B">
        <w:rPr>
          <w:rFonts w:ascii="Times New Roman" w:eastAsia="Calibri" w:hAnsi="Times New Roman" w:cs="Times New Roman"/>
          <w:sz w:val="24"/>
        </w:rPr>
        <w:t>конференция на Института по публична администрация (ИПА) за награждаването в Конкурса за добри практики в държавната администрация за 2015 г. (08.12).</w:t>
      </w:r>
    </w:p>
    <w:p w14:paraId="02044CB1" w14:textId="77777777" w:rsidR="0002385E" w:rsidRPr="007D063B" w:rsidRDefault="0002385E" w:rsidP="0002385E">
      <w:pPr>
        <w:spacing w:after="0" w:line="240" w:lineRule="auto"/>
        <w:jc w:val="both"/>
        <w:rPr>
          <w:rFonts w:ascii="Times New Roman" w:eastAsia="Calibri" w:hAnsi="Times New Roman" w:cs="Times New Roman"/>
          <w:sz w:val="24"/>
        </w:rPr>
      </w:pPr>
    </w:p>
    <w:p w14:paraId="79FED4CD" w14:textId="35705F15" w:rsidR="0002385E" w:rsidRPr="007D063B" w:rsidRDefault="0002385E" w:rsidP="0002385E">
      <w:pPr>
        <w:spacing w:after="0" w:line="240" w:lineRule="auto"/>
        <w:ind w:firstLine="567"/>
        <w:jc w:val="both"/>
        <w:rPr>
          <w:rFonts w:ascii="Times New Roman" w:eastAsia="Calibri" w:hAnsi="Times New Roman" w:cs="Times New Roman"/>
          <w:b/>
          <w:sz w:val="24"/>
          <w:u w:val="single"/>
        </w:rPr>
      </w:pPr>
      <w:r w:rsidRPr="007D063B">
        <w:rPr>
          <w:rFonts w:ascii="Times New Roman" w:eastAsia="Calibri" w:hAnsi="Times New Roman" w:cs="Times New Roman"/>
          <w:b/>
          <w:sz w:val="24"/>
          <w:u w:val="single"/>
        </w:rPr>
        <w:t>Комуникационни дейности за 2016 г.</w:t>
      </w:r>
    </w:p>
    <w:p w14:paraId="4036A6A6" w14:textId="77777777" w:rsidR="0002385E" w:rsidRPr="007D063B" w:rsidRDefault="0002385E" w:rsidP="0002385E">
      <w:pPr>
        <w:spacing w:after="0" w:line="240" w:lineRule="auto"/>
        <w:jc w:val="both"/>
        <w:rPr>
          <w:rFonts w:ascii="Times New Roman" w:eastAsia="Calibri" w:hAnsi="Times New Roman" w:cs="Times New Roman"/>
          <w:b/>
          <w:sz w:val="24"/>
          <w:u w:val="single"/>
        </w:rPr>
      </w:pPr>
    </w:p>
    <w:p w14:paraId="0BA4078C" w14:textId="77777777" w:rsidR="0002385E" w:rsidRPr="007D063B" w:rsidRDefault="0002385E" w:rsidP="0002385E">
      <w:pPr>
        <w:numPr>
          <w:ilvl w:val="0"/>
          <w:numId w:val="33"/>
        </w:numPr>
        <w:spacing w:after="0" w:line="240" w:lineRule="auto"/>
        <w:contextualSpacing/>
        <w:jc w:val="both"/>
        <w:rPr>
          <w:rFonts w:ascii="Times New Roman" w:eastAsia="Times New Roman" w:hAnsi="Times New Roman" w:cs="Times New Roman"/>
          <w:sz w:val="24"/>
          <w:szCs w:val="20"/>
        </w:rPr>
      </w:pPr>
      <w:r w:rsidRPr="007D063B">
        <w:rPr>
          <w:rFonts w:ascii="Times New Roman" w:eastAsia="Calibri" w:hAnsi="Times New Roman" w:cs="Times New Roman"/>
          <w:sz w:val="24"/>
        </w:rPr>
        <w:t xml:space="preserve">Организирани </w:t>
      </w:r>
      <w:r w:rsidRPr="007D063B">
        <w:rPr>
          <w:rFonts w:ascii="Times New Roman" w:eastAsia="Times New Roman" w:hAnsi="Times New Roman" w:cs="Times New Roman"/>
          <w:b/>
          <w:sz w:val="24"/>
          <w:szCs w:val="20"/>
        </w:rPr>
        <w:t>6 ИНФОРМАЦИОННИ ДНИ</w:t>
      </w:r>
      <w:r w:rsidRPr="007D063B">
        <w:rPr>
          <w:rFonts w:ascii="Times New Roman" w:eastAsia="Times New Roman" w:hAnsi="Times New Roman" w:cs="Times New Roman"/>
          <w:sz w:val="24"/>
          <w:szCs w:val="20"/>
        </w:rPr>
        <w:t xml:space="preserve"> за представяне на нови процедури за кандидатстване по ОПДУ с </w:t>
      </w:r>
      <w:r w:rsidRPr="007D063B">
        <w:rPr>
          <w:rFonts w:ascii="Times New Roman" w:eastAsia="Calibri" w:hAnsi="Times New Roman" w:cs="Times New Roman"/>
          <w:b/>
          <w:sz w:val="24"/>
        </w:rPr>
        <w:t>111 участници.</w:t>
      </w:r>
      <w:r w:rsidRPr="007D063B">
        <w:rPr>
          <w:rFonts w:ascii="Times New Roman" w:eastAsia="Times New Roman" w:hAnsi="Times New Roman" w:cs="Times New Roman"/>
          <w:sz w:val="24"/>
          <w:szCs w:val="20"/>
        </w:rPr>
        <w:t xml:space="preserve"> </w:t>
      </w:r>
    </w:p>
    <w:p w14:paraId="2EC24626" w14:textId="77777777" w:rsidR="0002385E" w:rsidRPr="007D063B" w:rsidRDefault="0002385E" w:rsidP="0002385E">
      <w:pPr>
        <w:numPr>
          <w:ilvl w:val="0"/>
          <w:numId w:val="33"/>
        </w:numPr>
        <w:spacing w:after="0" w:line="240" w:lineRule="auto"/>
        <w:contextualSpacing/>
        <w:jc w:val="both"/>
        <w:rPr>
          <w:rFonts w:ascii="Times New Roman" w:eastAsia="Calibri" w:hAnsi="Times New Roman" w:cs="Times New Roman"/>
          <w:sz w:val="24"/>
        </w:rPr>
      </w:pPr>
      <w:r w:rsidRPr="007D063B">
        <w:rPr>
          <w:rFonts w:ascii="Times New Roman" w:eastAsia="Calibri" w:hAnsi="Times New Roman" w:cs="Times New Roman"/>
          <w:sz w:val="24"/>
        </w:rPr>
        <w:t xml:space="preserve">Проведени </w:t>
      </w:r>
      <w:r w:rsidRPr="007D063B">
        <w:rPr>
          <w:rFonts w:ascii="Times New Roman" w:eastAsia="Calibri" w:hAnsi="Times New Roman" w:cs="Times New Roman"/>
          <w:b/>
          <w:sz w:val="24"/>
        </w:rPr>
        <w:t>1</w:t>
      </w:r>
      <w:r w:rsidRPr="007D063B">
        <w:rPr>
          <w:rFonts w:ascii="Times New Roman" w:eastAsia="Calibri" w:hAnsi="Times New Roman" w:cs="Times New Roman"/>
          <w:b/>
          <w:sz w:val="24"/>
          <w:lang w:val="ru-RU"/>
        </w:rPr>
        <w:t>7</w:t>
      </w:r>
      <w:r w:rsidRPr="007D063B">
        <w:rPr>
          <w:rFonts w:ascii="Times New Roman" w:eastAsia="Calibri" w:hAnsi="Times New Roman" w:cs="Times New Roman"/>
          <w:b/>
          <w:sz w:val="24"/>
        </w:rPr>
        <w:t xml:space="preserve"> ОБУЧЕНИЯ с</w:t>
      </w:r>
      <w:r w:rsidRPr="007D063B">
        <w:rPr>
          <w:rFonts w:ascii="Times New Roman" w:eastAsia="Calibri" w:hAnsi="Times New Roman" w:cs="Times New Roman"/>
          <w:sz w:val="24"/>
        </w:rPr>
        <w:t xml:space="preserve"> </w:t>
      </w:r>
      <w:r w:rsidRPr="007D063B">
        <w:rPr>
          <w:rFonts w:ascii="Times New Roman" w:eastAsia="Calibri" w:hAnsi="Times New Roman" w:cs="Times New Roman"/>
          <w:b/>
          <w:sz w:val="24"/>
        </w:rPr>
        <w:t>208 участници</w:t>
      </w:r>
      <w:r w:rsidRPr="007D063B">
        <w:rPr>
          <w:rFonts w:ascii="Times New Roman" w:eastAsia="Calibri" w:hAnsi="Times New Roman" w:cs="Times New Roman"/>
          <w:sz w:val="24"/>
        </w:rPr>
        <w:t xml:space="preserve"> за бенефициентите със сключени договори. </w:t>
      </w:r>
    </w:p>
    <w:p w14:paraId="6E09F3CC" w14:textId="77777777" w:rsidR="0002385E" w:rsidRPr="007D063B" w:rsidRDefault="0002385E" w:rsidP="0002385E">
      <w:pPr>
        <w:numPr>
          <w:ilvl w:val="0"/>
          <w:numId w:val="33"/>
        </w:numPr>
        <w:spacing w:after="0" w:line="240" w:lineRule="auto"/>
        <w:contextualSpacing/>
        <w:jc w:val="both"/>
        <w:rPr>
          <w:rFonts w:ascii="Times New Roman" w:eastAsia="Calibri" w:hAnsi="Times New Roman" w:cs="Times New Roman"/>
          <w:sz w:val="24"/>
        </w:rPr>
      </w:pPr>
      <w:r w:rsidRPr="007D063B">
        <w:rPr>
          <w:rFonts w:ascii="Times New Roman" w:eastAsia="Calibri" w:hAnsi="Times New Roman" w:cs="Times New Roman"/>
          <w:sz w:val="24"/>
        </w:rPr>
        <w:t xml:space="preserve">Разпратени </w:t>
      </w:r>
      <w:r w:rsidRPr="007D063B">
        <w:rPr>
          <w:rFonts w:ascii="Times New Roman" w:eastAsia="Calibri" w:hAnsi="Times New Roman" w:cs="Times New Roman"/>
          <w:b/>
          <w:sz w:val="24"/>
        </w:rPr>
        <w:t>20</w:t>
      </w:r>
      <w:r w:rsidRPr="007D063B">
        <w:rPr>
          <w:rFonts w:ascii="Times New Roman" w:eastAsia="Calibri" w:hAnsi="Times New Roman" w:cs="Times New Roman"/>
          <w:sz w:val="24"/>
        </w:rPr>
        <w:t xml:space="preserve"> </w:t>
      </w:r>
      <w:r w:rsidRPr="007D063B">
        <w:rPr>
          <w:rFonts w:ascii="Times New Roman" w:eastAsia="Calibri" w:hAnsi="Times New Roman" w:cs="Times New Roman"/>
          <w:b/>
          <w:sz w:val="24"/>
        </w:rPr>
        <w:t>ПРЕССЪОБЩЕНИЯ</w:t>
      </w:r>
      <w:r w:rsidRPr="007D063B">
        <w:rPr>
          <w:rFonts w:ascii="Times New Roman" w:eastAsia="Calibri" w:hAnsi="Times New Roman" w:cs="Times New Roman"/>
          <w:sz w:val="24"/>
        </w:rPr>
        <w:t xml:space="preserve"> </w:t>
      </w:r>
      <w:r w:rsidRPr="007D063B">
        <w:rPr>
          <w:rFonts w:ascii="Times New Roman" w:eastAsia="Calibri" w:hAnsi="Times New Roman" w:cs="Times New Roman"/>
          <w:i/>
          <w:sz w:val="24"/>
        </w:rPr>
        <w:t>(целева стойност: 20 бр.)</w:t>
      </w:r>
      <w:r w:rsidRPr="007D063B">
        <w:rPr>
          <w:rFonts w:ascii="Times New Roman" w:eastAsia="Calibri" w:hAnsi="Times New Roman" w:cs="Times New Roman"/>
          <w:sz w:val="24"/>
        </w:rPr>
        <w:t xml:space="preserve"> до медиите с отчетени </w:t>
      </w:r>
      <w:r w:rsidRPr="007D063B">
        <w:rPr>
          <w:rFonts w:ascii="Times New Roman" w:eastAsia="Calibri" w:hAnsi="Times New Roman" w:cs="Times New Roman"/>
          <w:b/>
          <w:sz w:val="24"/>
        </w:rPr>
        <w:t xml:space="preserve">1362 публикувани материала </w:t>
      </w:r>
      <w:r w:rsidRPr="007D063B">
        <w:rPr>
          <w:rFonts w:ascii="Times New Roman" w:eastAsia="Calibri" w:hAnsi="Times New Roman" w:cs="Times New Roman"/>
          <w:i/>
          <w:sz w:val="24"/>
        </w:rPr>
        <w:t>(целева стойност: над 100 реализирани публикации),</w:t>
      </w:r>
      <w:r w:rsidRPr="007D063B">
        <w:rPr>
          <w:rFonts w:ascii="Times New Roman" w:eastAsia="Calibri" w:hAnsi="Times New Roman" w:cs="Times New Roman"/>
          <w:b/>
          <w:sz w:val="24"/>
        </w:rPr>
        <w:t xml:space="preserve"> </w:t>
      </w:r>
      <w:r w:rsidRPr="007D063B">
        <w:rPr>
          <w:rFonts w:ascii="Times New Roman" w:eastAsia="Calibri" w:hAnsi="Times New Roman" w:cs="Times New Roman"/>
          <w:sz w:val="24"/>
        </w:rPr>
        <w:t>които пряко се отнасят до ОПДУ. Беше реализирано интервю с ръководителя на програмите Ирена Първанова за Kmeta.bg във връзка с изпълнението на ОПДУ и ОПАК в контекста на местната власт, публикувано на 12.04. Предоставени бяха отговори на въпроси от Fakti.bg във връзка със стария и новия програмен период, публикувани на 09.04.2016 г. и др.</w:t>
      </w:r>
    </w:p>
    <w:p w14:paraId="0EDACAB4" w14:textId="77777777" w:rsidR="0002385E" w:rsidRPr="007D063B" w:rsidRDefault="0002385E" w:rsidP="0002385E">
      <w:pPr>
        <w:numPr>
          <w:ilvl w:val="0"/>
          <w:numId w:val="33"/>
        </w:numPr>
        <w:spacing w:after="0" w:line="240" w:lineRule="auto"/>
        <w:contextualSpacing/>
        <w:jc w:val="both"/>
        <w:rPr>
          <w:rFonts w:ascii="Times New Roman" w:eastAsia="Calibri" w:hAnsi="Times New Roman" w:cs="Times New Roman"/>
          <w:sz w:val="24"/>
        </w:rPr>
      </w:pPr>
      <w:r w:rsidRPr="007D063B">
        <w:rPr>
          <w:rFonts w:ascii="Times New Roman" w:eastAsia="Calibri" w:hAnsi="Times New Roman" w:cs="Times New Roman"/>
          <w:sz w:val="24"/>
        </w:rPr>
        <w:t xml:space="preserve">Обща </w:t>
      </w:r>
      <w:r w:rsidRPr="007D063B">
        <w:rPr>
          <w:rFonts w:ascii="Times New Roman" w:eastAsia="Calibri" w:hAnsi="Times New Roman" w:cs="Times New Roman"/>
          <w:b/>
          <w:sz w:val="24"/>
        </w:rPr>
        <w:t>ГОДИШНА ИНФОРМАЦИОННА ДЕЙНОСТ</w:t>
      </w:r>
      <w:r w:rsidRPr="007D063B">
        <w:rPr>
          <w:rFonts w:ascii="Times New Roman" w:eastAsia="Calibri" w:hAnsi="Times New Roman" w:cs="Times New Roman"/>
          <w:sz w:val="24"/>
        </w:rPr>
        <w:t xml:space="preserve"> на оперативните програми – съвместно с Централния координационен офис беше създадена </w:t>
      </w:r>
      <w:r w:rsidRPr="007D063B">
        <w:rPr>
          <w:rFonts w:ascii="Times New Roman" w:eastAsia="Calibri" w:hAnsi="Times New Roman" w:cs="Times New Roman"/>
          <w:b/>
          <w:i/>
          <w:sz w:val="24"/>
        </w:rPr>
        <w:t xml:space="preserve">Луксозна книга – „Европейските фондове в България“, </w:t>
      </w:r>
      <w:r w:rsidRPr="007D063B">
        <w:rPr>
          <w:rFonts w:ascii="Times New Roman" w:eastAsia="Calibri" w:hAnsi="Times New Roman" w:cs="Times New Roman"/>
          <w:sz w:val="24"/>
        </w:rPr>
        <w:t xml:space="preserve">представяща информация за реални резултати през стария период и възможностите за финансиране за периода 2014 – 2020 г. </w:t>
      </w:r>
    </w:p>
    <w:p w14:paraId="45269402" w14:textId="7254FD4B" w:rsidR="0002385E" w:rsidRPr="007D063B" w:rsidRDefault="0002385E" w:rsidP="0002385E">
      <w:pPr>
        <w:spacing w:after="0" w:line="240" w:lineRule="auto"/>
        <w:ind w:firstLine="567"/>
        <w:jc w:val="both"/>
        <w:rPr>
          <w:rFonts w:ascii="Times New Roman" w:eastAsia="Calibri" w:hAnsi="Times New Roman" w:cs="Times New Roman"/>
          <w:i/>
          <w:sz w:val="24"/>
        </w:rPr>
      </w:pPr>
      <w:r w:rsidRPr="007D063B">
        <w:rPr>
          <w:rFonts w:ascii="Times New Roman" w:eastAsia="Calibri" w:hAnsi="Times New Roman" w:cs="Times New Roman"/>
          <w:sz w:val="24"/>
        </w:rPr>
        <w:t xml:space="preserve">Координирани бяха </w:t>
      </w:r>
      <w:r w:rsidRPr="007D063B">
        <w:rPr>
          <w:rFonts w:ascii="Times New Roman" w:eastAsia="Calibri" w:hAnsi="Times New Roman" w:cs="Times New Roman"/>
          <w:b/>
          <w:sz w:val="24"/>
        </w:rPr>
        <w:t>участия на УО в други публични събития,</w:t>
      </w:r>
      <w:r w:rsidRPr="007D063B">
        <w:rPr>
          <w:rFonts w:ascii="Times New Roman" w:eastAsia="Calibri" w:hAnsi="Times New Roman" w:cs="Times New Roman"/>
          <w:sz w:val="24"/>
        </w:rPr>
        <w:t xml:space="preserve"> организирани от други институции, вкл</w:t>
      </w:r>
      <w:r w:rsidR="00EC0951" w:rsidRPr="007D063B">
        <w:rPr>
          <w:rFonts w:ascii="Times New Roman" w:eastAsia="Calibri" w:hAnsi="Times New Roman" w:cs="Times New Roman"/>
          <w:sz w:val="24"/>
        </w:rPr>
        <w:t>.</w:t>
      </w:r>
      <w:r w:rsidRPr="007D063B">
        <w:rPr>
          <w:rFonts w:ascii="Times New Roman" w:eastAsia="Calibri" w:hAnsi="Times New Roman" w:cs="Times New Roman"/>
          <w:sz w:val="24"/>
        </w:rPr>
        <w:t xml:space="preserve">: семинар на тема: </w:t>
      </w:r>
      <w:r w:rsidRPr="007D063B">
        <w:rPr>
          <w:rFonts w:ascii="Times New Roman" w:eastAsia="Calibri" w:hAnsi="Times New Roman" w:cs="Times New Roman"/>
          <w:i/>
          <w:sz w:val="24"/>
        </w:rPr>
        <w:t>„Пет елемента от пъзела на модерната администрация“,</w:t>
      </w:r>
      <w:r w:rsidRPr="007D063B">
        <w:rPr>
          <w:rFonts w:ascii="Times New Roman" w:eastAsia="Calibri" w:hAnsi="Times New Roman" w:cs="Times New Roman"/>
          <w:sz w:val="24"/>
        </w:rPr>
        <w:t xml:space="preserve"> организиран от ИПА и 17-та ИКТ конференция за електронно управление, организирана от ICT Media: </w:t>
      </w:r>
      <w:r w:rsidRPr="007D063B">
        <w:rPr>
          <w:rFonts w:ascii="Times New Roman" w:eastAsia="Calibri" w:hAnsi="Times New Roman" w:cs="Times New Roman"/>
          <w:i/>
          <w:sz w:val="24"/>
        </w:rPr>
        <w:t>„Големите промени в електронното управление“.</w:t>
      </w:r>
    </w:p>
    <w:p w14:paraId="13F09BCD" w14:textId="77777777" w:rsidR="0002385E" w:rsidRPr="007D063B" w:rsidRDefault="0002385E" w:rsidP="0002385E">
      <w:pPr>
        <w:spacing w:after="0" w:line="240" w:lineRule="auto"/>
        <w:ind w:firstLine="567"/>
        <w:jc w:val="both"/>
        <w:rPr>
          <w:rFonts w:ascii="Times New Roman" w:eastAsia="Calibri" w:hAnsi="Times New Roman" w:cs="Times New Roman"/>
          <w:sz w:val="24"/>
        </w:rPr>
      </w:pPr>
      <w:r w:rsidRPr="007D063B">
        <w:rPr>
          <w:rFonts w:ascii="Times New Roman" w:eastAsia="Calibri" w:hAnsi="Times New Roman" w:cs="Times New Roman"/>
          <w:sz w:val="24"/>
        </w:rPr>
        <w:t xml:space="preserve">По ОПДУ към настоящия момент се изпълняват </w:t>
      </w:r>
      <w:r w:rsidRPr="007D063B">
        <w:rPr>
          <w:rFonts w:ascii="Times New Roman" w:eastAsia="Calibri" w:hAnsi="Times New Roman" w:cs="Times New Roman"/>
          <w:b/>
          <w:sz w:val="24"/>
        </w:rPr>
        <w:t>два договора за комуникация</w:t>
      </w:r>
      <w:r w:rsidRPr="007D063B">
        <w:rPr>
          <w:rFonts w:ascii="Times New Roman" w:eastAsia="Calibri" w:hAnsi="Times New Roman" w:cs="Times New Roman"/>
          <w:sz w:val="24"/>
        </w:rPr>
        <w:t xml:space="preserve"> със срок за изпълнение края на 2018 г.:</w:t>
      </w:r>
    </w:p>
    <w:p w14:paraId="1095C13F" w14:textId="77777777" w:rsidR="0002385E" w:rsidRPr="007D063B" w:rsidRDefault="0002385E" w:rsidP="0002385E">
      <w:pPr>
        <w:numPr>
          <w:ilvl w:val="0"/>
          <w:numId w:val="29"/>
        </w:numPr>
        <w:spacing w:after="0" w:line="240" w:lineRule="auto"/>
        <w:ind w:left="1276" w:hanging="283"/>
        <w:contextualSpacing/>
        <w:jc w:val="both"/>
        <w:rPr>
          <w:rFonts w:ascii="Times New Roman" w:eastAsia="Calibri" w:hAnsi="Times New Roman" w:cs="Times New Roman"/>
          <w:sz w:val="24"/>
        </w:rPr>
      </w:pPr>
      <w:r w:rsidRPr="007D063B">
        <w:rPr>
          <w:rFonts w:ascii="Times New Roman" w:eastAsia="Calibri" w:hAnsi="Times New Roman" w:cs="Times New Roman"/>
          <w:i/>
          <w:sz w:val="24"/>
        </w:rPr>
        <w:lastRenderedPageBreak/>
        <w:t>„Изработка и доставка на рекламни и информационни материали за потребностите на Оперативна програма „Добро управление“ (ОПДУ), разделена на 2 обособени позиции, както следва: І-ва обособена позиция: „Изработване и доставка на печатни материали“; ІІ-ра обособена позиция „Изработване и доставка на рекламни и информационни материали“;</w:t>
      </w:r>
    </w:p>
    <w:p w14:paraId="5C234316" w14:textId="77777777" w:rsidR="0002385E" w:rsidRPr="007D063B" w:rsidRDefault="0002385E" w:rsidP="0002385E">
      <w:pPr>
        <w:numPr>
          <w:ilvl w:val="0"/>
          <w:numId w:val="29"/>
        </w:numPr>
        <w:spacing w:after="0" w:line="240" w:lineRule="auto"/>
        <w:ind w:left="1276" w:hanging="283"/>
        <w:contextualSpacing/>
        <w:jc w:val="both"/>
        <w:rPr>
          <w:rFonts w:ascii="Times New Roman" w:eastAsia="Calibri" w:hAnsi="Times New Roman" w:cs="Times New Roman"/>
          <w:sz w:val="24"/>
        </w:rPr>
      </w:pPr>
      <w:r w:rsidRPr="007D063B">
        <w:rPr>
          <w:rFonts w:ascii="Times New Roman" w:eastAsia="Calibri" w:hAnsi="Times New Roman" w:cs="Times New Roman"/>
          <w:i/>
          <w:sz w:val="24"/>
        </w:rPr>
        <w:t>„Медиен мониторинг и контент анализ за целите на ОП „Добро управление“.</w:t>
      </w:r>
    </w:p>
    <w:p w14:paraId="1B6C3B53" w14:textId="73384D16" w:rsidR="00816F06" w:rsidRPr="007D063B" w:rsidRDefault="00816F06" w:rsidP="0080317D">
      <w:pPr>
        <w:pStyle w:val="Heading1"/>
        <w:rPr>
          <w:rFonts w:ascii="Times New Roman" w:eastAsia="Times New Roman" w:hAnsi="Times New Roman" w:cs="Times New Roman"/>
          <w:b/>
          <w:bCs/>
          <w:color w:val="auto"/>
          <w:sz w:val="24"/>
          <w:szCs w:val="24"/>
          <w:lang w:eastAsia="bg-BG"/>
        </w:rPr>
      </w:pPr>
      <w:r w:rsidRPr="007D063B">
        <w:rPr>
          <w:rFonts w:ascii="Times New Roman" w:eastAsia="Times New Roman" w:hAnsi="Times New Roman" w:cs="Times New Roman"/>
          <w:b/>
          <w:bCs/>
          <w:color w:val="auto"/>
          <w:sz w:val="24"/>
          <w:szCs w:val="24"/>
          <w:lang w:eastAsia="bg-BG"/>
        </w:rPr>
        <w:t>13.   ДЕЙСТВИЯ, ПРЕДПРИЕТИ ЗА ИЗПЪЛНЕНИЕТО НА ПРЕДВАРИТЕЛНИТЕ УСЛОВИЯ (член 50, параграф 4 от Регламент (ЕС) № 1303/2013) (информацията може да бъде включена в доклада, който трябва да бъде представен през 2016 г. (вж. точка 9 по-горе), но е задължително да се включи в доклада за 2017 г.) Вариант: доклад за напредъка</w:t>
      </w:r>
      <w:bookmarkEnd w:id="51"/>
    </w:p>
    <w:p w14:paraId="3F55B2B8" w14:textId="77777777" w:rsidR="004B5D8F" w:rsidRPr="007D063B" w:rsidRDefault="004B5D8F" w:rsidP="004B5D8F">
      <w:pPr>
        <w:jc w:val="both"/>
        <w:rPr>
          <w:rFonts w:ascii="Times New Roman" w:hAnsi="Times New Roman"/>
        </w:rPr>
      </w:pPr>
    </w:p>
    <w:p w14:paraId="62667B6D" w14:textId="506A01CE" w:rsidR="00442389" w:rsidRPr="007D063B" w:rsidRDefault="00442389" w:rsidP="004B5D8F">
      <w:pPr>
        <w:jc w:val="both"/>
        <w:rPr>
          <w:rFonts w:ascii="Times New Roman" w:hAnsi="Times New Roman"/>
          <w:sz w:val="24"/>
          <w:szCs w:val="24"/>
        </w:rPr>
      </w:pPr>
      <w:r w:rsidRPr="007D063B">
        <w:rPr>
          <w:rFonts w:ascii="Times New Roman" w:hAnsi="Times New Roman"/>
          <w:sz w:val="24"/>
          <w:szCs w:val="24"/>
        </w:rPr>
        <w:t>Доклад за изпълнение на тематично предварително условие 11. „Наличие на стратегическа рамка на политиката за укрепване на административната ефикасност на държавите-членки, включително реформа на публичната администрация“ е официално изпратен през SFC и е одобрен от ЕК с писмо от дата 02.03.2016 г.</w:t>
      </w:r>
    </w:p>
    <w:p w14:paraId="7DDF935A" w14:textId="457F4BAF" w:rsidR="00442389" w:rsidRPr="007D063B" w:rsidRDefault="00442389" w:rsidP="004B5D8F">
      <w:pPr>
        <w:jc w:val="both"/>
        <w:rPr>
          <w:rFonts w:ascii="Times New Roman" w:hAnsi="Times New Roman"/>
          <w:sz w:val="24"/>
          <w:szCs w:val="24"/>
        </w:rPr>
      </w:pPr>
      <w:r w:rsidRPr="007D063B">
        <w:rPr>
          <w:rFonts w:ascii="Times New Roman" w:hAnsi="Times New Roman"/>
          <w:sz w:val="24"/>
          <w:szCs w:val="24"/>
        </w:rPr>
        <w:t xml:space="preserve">Доклад за изпълнение на общо предварително условие 4 „Наличие на мерки за ефективното прилагане на законодателството на ЕС за обществените поръчки в областта на фондовете по общата стратегическа рамка (ОСР)“ е изпратен до ЕК през SFC на дата 23.03.2017 г. </w:t>
      </w:r>
    </w:p>
    <w:p w14:paraId="75E70807" w14:textId="77777777" w:rsidR="00816F06" w:rsidRPr="007D063B" w:rsidRDefault="00816F06" w:rsidP="0080317D">
      <w:pPr>
        <w:pStyle w:val="Heading1"/>
        <w:rPr>
          <w:rFonts w:ascii="Times New Roman" w:eastAsia="Times New Roman" w:hAnsi="Times New Roman" w:cs="Times New Roman"/>
          <w:b/>
          <w:bCs/>
          <w:color w:val="auto"/>
          <w:sz w:val="24"/>
          <w:szCs w:val="24"/>
          <w:lang w:eastAsia="bg-BG"/>
        </w:rPr>
      </w:pPr>
      <w:bookmarkStart w:id="52" w:name="_Toc481594313"/>
      <w:r w:rsidRPr="007D063B">
        <w:rPr>
          <w:rFonts w:ascii="Times New Roman" w:eastAsia="Times New Roman" w:hAnsi="Times New Roman" w:cs="Times New Roman"/>
          <w:b/>
          <w:bCs/>
          <w:color w:val="auto"/>
          <w:sz w:val="24"/>
          <w:szCs w:val="24"/>
          <w:lang w:eastAsia="bg-BG"/>
        </w:rPr>
        <w:t>14.   ДОПЪЛНИТЕЛНА ИНФОРМАЦИЯ, КОЯТО МОЖЕ ДА БЪДЕ ДОБАВЕНА В ЗАВИСИМОСТ ОТ СЪДЪРЖАНИЕТО И ЦЕЛИТЕ НА ОПЕРАТИВНАТА ПРОГРАМА (член 111, параграф 4, втора алинея, букви а), б), в), г), ж) и з) от РЕГЛАМЕНТ (ЕС) № 1303/2013)</w:t>
      </w:r>
      <w:bookmarkEnd w:id="52"/>
    </w:p>
    <w:p w14:paraId="3B2BEFA7" w14:textId="77777777" w:rsidR="00816F06" w:rsidRPr="007D063B" w:rsidRDefault="00816F06" w:rsidP="0080317D">
      <w:pPr>
        <w:pStyle w:val="Heading2"/>
        <w:rPr>
          <w:rFonts w:ascii="Times New Roman" w:eastAsia="Times New Roman" w:hAnsi="Times New Roman" w:cs="Times New Roman"/>
          <w:b/>
          <w:bCs/>
          <w:color w:val="auto"/>
          <w:sz w:val="24"/>
          <w:szCs w:val="24"/>
          <w:lang w:eastAsia="bg-BG"/>
        </w:rPr>
      </w:pPr>
      <w:bookmarkStart w:id="53" w:name="_Toc481594314"/>
      <w:r w:rsidRPr="007D063B">
        <w:rPr>
          <w:rFonts w:ascii="Times New Roman" w:eastAsia="Times New Roman" w:hAnsi="Times New Roman" w:cs="Times New Roman"/>
          <w:b/>
          <w:bCs/>
          <w:color w:val="auto"/>
          <w:sz w:val="24"/>
          <w:szCs w:val="24"/>
          <w:lang w:eastAsia="bg-BG"/>
        </w:rPr>
        <w:t>14.1   </w:t>
      </w:r>
      <w:r w:rsidRPr="007D063B">
        <w:rPr>
          <w:rFonts w:ascii="inherit" w:eastAsia="Times New Roman" w:hAnsi="inherit" w:cs="Times New Roman" w:hint="eastAsia"/>
          <w:b/>
          <w:bCs/>
          <w:color w:val="auto"/>
          <w:sz w:val="24"/>
          <w:szCs w:val="24"/>
          <w:bdr w:val="none" w:sz="0" w:space="0" w:color="auto" w:frame="1"/>
          <w:lang w:eastAsia="bg-BG"/>
        </w:rPr>
        <w:t>Напредък</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в</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прилагането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интегрирания</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подход</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към</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териториалното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развитие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включително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развитието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регионите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засегнати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от</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демографски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предизвикателства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неблагоприятни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постоянни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условия</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или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природни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бедствия</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устойчивото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развитие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градските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райони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воденото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от</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общностите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местно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развитие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в</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рамките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оперативната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програма</w:t>
      </w:r>
      <w:bookmarkEnd w:id="53"/>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14109"/>
      </w:tblGrid>
      <w:tr w:rsidR="00816F06" w:rsidRPr="007D063B" w14:paraId="10AC5770" w14:textId="77777777" w:rsidTr="00816F06">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F959DEE" w14:textId="77777777" w:rsidR="00816F06" w:rsidRPr="007D063B" w:rsidRDefault="00816F06" w:rsidP="00816F06">
            <w:pPr>
              <w:spacing w:after="0" w:line="312" w:lineRule="atLeast"/>
              <w:jc w:val="both"/>
              <w:textAlignment w:val="baseline"/>
              <w:rPr>
                <w:rFonts w:ascii="inherit" w:eastAsia="Times New Roman" w:hAnsi="inherit" w:cs="Times New Roman"/>
                <w:color w:val="444444"/>
                <w:sz w:val="24"/>
                <w:szCs w:val="24"/>
                <w:lang w:eastAsia="bg-BG"/>
              </w:rPr>
            </w:pPr>
            <w:r w:rsidRPr="007D063B">
              <w:rPr>
                <w:rFonts w:ascii="inherit" w:eastAsia="Times New Roman" w:hAnsi="inherit" w:cs="Times New Roman"/>
                <w:i/>
                <w:iCs/>
                <w:color w:val="444444"/>
                <w:sz w:val="24"/>
                <w:szCs w:val="24"/>
                <w:bdr w:val="none" w:sz="0" w:space="0" w:color="auto" w:frame="1"/>
                <w:lang w:eastAsia="bg-BG"/>
              </w:rPr>
              <w:t>&lt;type='S' maxlength=3500 input='M'&gt;</w:t>
            </w:r>
          </w:p>
          <w:p w14:paraId="4A6E98C3" w14:textId="77777777" w:rsidR="00816F06" w:rsidRPr="007D063B" w:rsidRDefault="00816F06" w:rsidP="00816F06">
            <w:pPr>
              <w:spacing w:after="0" w:line="312" w:lineRule="atLeast"/>
              <w:jc w:val="both"/>
              <w:textAlignment w:val="baseline"/>
              <w:rPr>
                <w:rFonts w:eastAsia="Times New Roman" w:cs="Times New Roman"/>
                <w:b/>
                <w:bCs/>
                <w:color w:val="444444"/>
                <w:sz w:val="24"/>
                <w:szCs w:val="24"/>
                <w:bdr w:val="none" w:sz="0" w:space="0" w:color="auto" w:frame="1"/>
                <w:lang w:eastAsia="bg-BG"/>
              </w:rPr>
            </w:pPr>
            <w:r w:rsidRPr="007D063B">
              <w:rPr>
                <w:rFonts w:ascii="inherit" w:eastAsia="Times New Roman" w:hAnsi="inherit" w:cs="Times New Roman"/>
                <w:b/>
                <w:bCs/>
                <w:color w:val="444444"/>
                <w:sz w:val="24"/>
                <w:szCs w:val="24"/>
                <w:bdr w:val="none" w:sz="0" w:space="0" w:color="auto" w:frame="1"/>
                <w:lang w:eastAsia="bg-BG"/>
              </w:rPr>
              <w:t>(вариант с доклад за напредъка)</w:t>
            </w:r>
          </w:p>
          <w:p w14:paraId="39E90733" w14:textId="26236130" w:rsidR="00EF0F74" w:rsidRPr="007D063B" w:rsidRDefault="004809E5" w:rsidP="00816F06">
            <w:pPr>
              <w:spacing w:after="0" w:line="312" w:lineRule="atLeast"/>
              <w:jc w:val="both"/>
              <w:textAlignment w:val="baseline"/>
              <w:rPr>
                <w:rFonts w:ascii="Times New Roman" w:eastAsia="Times New Roman" w:hAnsi="Times New Roman" w:cs="Times New Roman"/>
                <w:b/>
                <w:bCs/>
                <w:color w:val="444444"/>
                <w:sz w:val="24"/>
                <w:szCs w:val="24"/>
                <w:bdr w:val="none" w:sz="0" w:space="0" w:color="auto" w:frame="1"/>
                <w:lang w:eastAsia="bg-BG"/>
              </w:rPr>
            </w:pPr>
            <w:r w:rsidRPr="007D063B">
              <w:rPr>
                <w:rFonts w:ascii="Times New Roman" w:eastAsia="Times New Roman" w:hAnsi="Times New Roman" w:cs="Times New Roman"/>
                <w:bCs/>
                <w:color w:val="000000"/>
                <w:sz w:val="24"/>
                <w:szCs w:val="24"/>
                <w:lang w:eastAsia="bg-BG"/>
              </w:rPr>
              <w:t>Неприложимо.</w:t>
            </w:r>
          </w:p>
          <w:p w14:paraId="49D87925" w14:textId="0FE75D0A" w:rsidR="00EF0F74" w:rsidRPr="007D063B" w:rsidRDefault="00EF0F74" w:rsidP="00816F06">
            <w:pPr>
              <w:spacing w:after="0" w:line="312" w:lineRule="atLeast"/>
              <w:jc w:val="both"/>
              <w:textAlignment w:val="baseline"/>
              <w:rPr>
                <w:rFonts w:eastAsia="Times New Roman" w:cs="Times New Roman"/>
                <w:color w:val="444444"/>
                <w:sz w:val="24"/>
                <w:szCs w:val="24"/>
                <w:lang w:eastAsia="bg-BG"/>
              </w:rPr>
            </w:pPr>
          </w:p>
        </w:tc>
      </w:tr>
    </w:tbl>
    <w:p w14:paraId="3EA312BE" w14:textId="77777777" w:rsidR="00816F06" w:rsidRPr="007D063B" w:rsidRDefault="00816F06" w:rsidP="0080317D">
      <w:pPr>
        <w:pStyle w:val="Heading2"/>
        <w:rPr>
          <w:rFonts w:ascii="Times New Roman" w:eastAsia="Times New Roman" w:hAnsi="Times New Roman" w:cs="Times New Roman"/>
          <w:b/>
          <w:bCs/>
          <w:color w:val="auto"/>
          <w:sz w:val="24"/>
          <w:szCs w:val="24"/>
          <w:lang w:eastAsia="bg-BG"/>
        </w:rPr>
      </w:pPr>
      <w:bookmarkStart w:id="54" w:name="_Toc481594315"/>
      <w:r w:rsidRPr="007D063B">
        <w:rPr>
          <w:rFonts w:ascii="Times New Roman" w:eastAsia="Times New Roman" w:hAnsi="Times New Roman" w:cs="Times New Roman"/>
          <w:b/>
          <w:bCs/>
          <w:color w:val="auto"/>
          <w:sz w:val="24"/>
          <w:szCs w:val="24"/>
          <w:lang w:eastAsia="bg-BG"/>
        </w:rPr>
        <w:t>14.2   </w:t>
      </w:r>
      <w:r w:rsidRPr="007D063B">
        <w:rPr>
          <w:rFonts w:ascii="inherit" w:eastAsia="Times New Roman" w:hAnsi="inherit" w:cs="Times New Roman" w:hint="eastAsia"/>
          <w:b/>
          <w:bCs/>
          <w:color w:val="auto"/>
          <w:sz w:val="24"/>
          <w:szCs w:val="24"/>
          <w:bdr w:val="none" w:sz="0" w:space="0" w:color="auto" w:frame="1"/>
          <w:lang w:eastAsia="bg-BG"/>
        </w:rPr>
        <w:t>Напредък</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в</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осъществяването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действия</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за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засилване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капацитета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органите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държавите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членки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бенефициерите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за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администриране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използване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средствата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от</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фондовете</w:t>
      </w:r>
      <w:bookmarkEnd w:id="54"/>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14109"/>
      </w:tblGrid>
      <w:tr w:rsidR="00816F06" w:rsidRPr="007D063B" w14:paraId="467D0375" w14:textId="77777777" w:rsidTr="00816F06">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112DF90" w14:textId="77777777" w:rsidR="00816F06" w:rsidRPr="007D063B" w:rsidRDefault="00816F06" w:rsidP="00816F06">
            <w:pPr>
              <w:spacing w:after="0" w:line="312" w:lineRule="atLeast"/>
              <w:jc w:val="both"/>
              <w:textAlignment w:val="baseline"/>
              <w:rPr>
                <w:rFonts w:ascii="Times New Roman" w:hAnsi="Times New Roman" w:cs="Times New Roman"/>
                <w:sz w:val="24"/>
                <w:szCs w:val="24"/>
              </w:rPr>
            </w:pPr>
            <w:r w:rsidRPr="007D063B">
              <w:rPr>
                <w:rFonts w:ascii="Times New Roman" w:hAnsi="Times New Roman" w:cs="Times New Roman"/>
                <w:sz w:val="24"/>
                <w:szCs w:val="24"/>
              </w:rPr>
              <w:t>&lt;type='S' maxlength=3500 input='M'&gt;</w:t>
            </w:r>
          </w:p>
          <w:p w14:paraId="6B571550" w14:textId="7C80DCED" w:rsidR="00816F06" w:rsidRPr="007D063B" w:rsidRDefault="00816F06" w:rsidP="00816F06">
            <w:pPr>
              <w:spacing w:after="0" w:line="312" w:lineRule="atLeast"/>
              <w:jc w:val="both"/>
              <w:textAlignment w:val="baseline"/>
              <w:rPr>
                <w:rFonts w:ascii="Times New Roman" w:hAnsi="Times New Roman" w:cs="Times New Roman"/>
                <w:sz w:val="24"/>
                <w:szCs w:val="24"/>
              </w:rPr>
            </w:pPr>
            <w:r w:rsidRPr="007D063B">
              <w:rPr>
                <w:rFonts w:ascii="Times New Roman" w:hAnsi="Times New Roman" w:cs="Times New Roman"/>
                <w:sz w:val="24"/>
                <w:szCs w:val="24"/>
              </w:rPr>
              <w:lastRenderedPageBreak/>
              <w:t>(вариант с доклад за напредъка)</w:t>
            </w:r>
          </w:p>
          <w:p w14:paraId="33A8BCD4" w14:textId="62CBEC0A" w:rsidR="002E748E" w:rsidRPr="007D063B" w:rsidRDefault="002E748E" w:rsidP="002E748E">
            <w:pPr>
              <w:tabs>
                <w:tab w:val="left" w:pos="0"/>
                <w:tab w:val="left" w:pos="748"/>
                <w:tab w:val="left" w:pos="851"/>
                <w:tab w:val="left" w:pos="1134"/>
                <w:tab w:val="left" w:pos="1309"/>
              </w:tabs>
              <w:ind w:firstLine="567"/>
              <w:jc w:val="both"/>
              <w:rPr>
                <w:rFonts w:ascii="Times New Roman" w:hAnsi="Times New Roman" w:cs="Times New Roman"/>
                <w:sz w:val="24"/>
                <w:szCs w:val="24"/>
              </w:rPr>
            </w:pPr>
            <w:r w:rsidRPr="007D063B">
              <w:rPr>
                <w:rFonts w:ascii="Times New Roman" w:hAnsi="Times New Roman" w:cs="Times New Roman"/>
                <w:sz w:val="24"/>
                <w:szCs w:val="24"/>
              </w:rPr>
              <w:t xml:space="preserve">През отчетния период Управляващият орган на ОПДУ </w:t>
            </w:r>
            <w:r w:rsidR="00B4473A" w:rsidRPr="007D063B">
              <w:rPr>
                <w:rFonts w:ascii="Times New Roman" w:hAnsi="Times New Roman" w:cs="Times New Roman"/>
                <w:sz w:val="24"/>
                <w:szCs w:val="24"/>
              </w:rPr>
              <w:t xml:space="preserve">продължи изпълнението на </w:t>
            </w:r>
            <w:r w:rsidRPr="007D063B">
              <w:rPr>
                <w:rFonts w:ascii="Times New Roman" w:hAnsi="Times New Roman" w:cs="Times New Roman"/>
                <w:sz w:val="24"/>
                <w:szCs w:val="24"/>
              </w:rPr>
              <w:t xml:space="preserve">финансови планове по процедура BG05SFOP001-4.002 „Техническа помощ за хоризонталните структури за програмиране, наблюдение, управление, контрол, координация, сертифициране и одит на ЕСИФ” </w:t>
            </w:r>
            <w:r w:rsidR="00B4473A" w:rsidRPr="007D063B">
              <w:rPr>
                <w:rFonts w:ascii="Times New Roman" w:hAnsi="Times New Roman" w:cs="Times New Roman"/>
                <w:sz w:val="24"/>
                <w:szCs w:val="24"/>
              </w:rPr>
              <w:t xml:space="preserve">от ИГРП 2015. </w:t>
            </w:r>
            <w:r w:rsidRPr="007D063B">
              <w:rPr>
                <w:rFonts w:ascii="Times New Roman" w:hAnsi="Times New Roman" w:cs="Times New Roman"/>
                <w:sz w:val="24"/>
                <w:szCs w:val="24"/>
              </w:rPr>
              <w:t xml:space="preserve">Част от целите на </w:t>
            </w:r>
            <w:r w:rsidR="00B4473A" w:rsidRPr="007D063B">
              <w:rPr>
                <w:rFonts w:ascii="Times New Roman" w:hAnsi="Times New Roman" w:cs="Times New Roman"/>
                <w:sz w:val="24"/>
                <w:szCs w:val="24"/>
              </w:rPr>
              <w:t xml:space="preserve">тази </w:t>
            </w:r>
            <w:r w:rsidRPr="007D063B">
              <w:rPr>
                <w:rFonts w:ascii="Times New Roman" w:hAnsi="Times New Roman" w:cs="Times New Roman"/>
                <w:sz w:val="24"/>
                <w:szCs w:val="24"/>
              </w:rPr>
              <w:t xml:space="preserve">процедура са насочени към подкрепа на хоризонталните структури и звена, отговорни за управлението на средствата от ЕСИФ, както и </w:t>
            </w:r>
            <w:r w:rsidR="00B4473A" w:rsidRPr="007D063B">
              <w:rPr>
                <w:rFonts w:ascii="Times New Roman" w:hAnsi="Times New Roman" w:cs="Times New Roman"/>
                <w:sz w:val="24"/>
                <w:szCs w:val="24"/>
              </w:rPr>
              <w:t xml:space="preserve">към </w:t>
            </w:r>
            <w:r w:rsidRPr="007D063B">
              <w:rPr>
                <w:rFonts w:ascii="Times New Roman" w:hAnsi="Times New Roman" w:cs="Times New Roman"/>
                <w:sz w:val="24"/>
                <w:szCs w:val="24"/>
              </w:rPr>
              <w:t>осигуряване на ефективното функциониране на информационната система по чл. 1, ал. 1 от Постановление № 322 на Министерския съвет от 2008 г. (ИСУН), която подпомага администрирането и контрола по използването на сред</w:t>
            </w:r>
            <w:r w:rsidR="00B4473A" w:rsidRPr="007D063B">
              <w:rPr>
                <w:rFonts w:ascii="Times New Roman" w:hAnsi="Times New Roman" w:cs="Times New Roman"/>
                <w:sz w:val="24"/>
                <w:szCs w:val="24"/>
              </w:rPr>
              <w:t xml:space="preserve">ствата от европейските фондове. </w:t>
            </w:r>
            <w:r w:rsidR="00694013" w:rsidRPr="007D063B">
              <w:rPr>
                <w:rFonts w:ascii="Times New Roman" w:hAnsi="Times New Roman" w:cs="Times New Roman"/>
                <w:sz w:val="24"/>
                <w:szCs w:val="24"/>
              </w:rPr>
              <w:t xml:space="preserve">По програмата се изпълняват финансови планове от </w:t>
            </w:r>
            <w:r w:rsidR="00B4473A" w:rsidRPr="007D063B">
              <w:rPr>
                <w:rFonts w:ascii="Times New Roman" w:hAnsi="Times New Roman" w:cs="Times New Roman"/>
                <w:sz w:val="24"/>
                <w:szCs w:val="24"/>
              </w:rPr>
              <w:t>Одитния орган, Сертифициращия орган, Централното координационно звено, дирекция „Защита на финансовите интереси на Европейския съюз“ (АФКОС) на Министерството на вътрешните работи  и дирекция „Държавни помощи и реален сектор“ в Министерство на финансите. Във връзка с функциите им по ЕСИФ, както и с цел укрепването на капацитета им за администриране и използване на средства</w:t>
            </w:r>
            <w:r w:rsidR="00694013" w:rsidRPr="007D063B">
              <w:rPr>
                <w:rFonts w:ascii="Times New Roman" w:hAnsi="Times New Roman" w:cs="Times New Roman"/>
                <w:sz w:val="24"/>
                <w:szCs w:val="24"/>
              </w:rPr>
              <w:t xml:space="preserve"> от европейски фондове</w:t>
            </w:r>
            <w:r w:rsidR="00B4473A" w:rsidRPr="007D063B">
              <w:rPr>
                <w:rFonts w:ascii="Times New Roman" w:hAnsi="Times New Roman" w:cs="Times New Roman"/>
                <w:sz w:val="24"/>
                <w:szCs w:val="24"/>
              </w:rPr>
              <w:t>, п</w:t>
            </w:r>
            <w:r w:rsidRPr="007D063B">
              <w:rPr>
                <w:rFonts w:ascii="Times New Roman" w:hAnsi="Times New Roman" w:cs="Times New Roman"/>
                <w:sz w:val="24"/>
                <w:szCs w:val="24"/>
              </w:rPr>
              <w:t>редставители на изброените структури взеха участие в обучения, работни и координационни срещи, конференции, семинари</w:t>
            </w:r>
            <w:r w:rsidR="00CE33BF" w:rsidRPr="007D063B">
              <w:rPr>
                <w:rFonts w:ascii="Times New Roman" w:hAnsi="Times New Roman" w:cs="Times New Roman"/>
                <w:sz w:val="24"/>
                <w:szCs w:val="24"/>
              </w:rPr>
              <w:t xml:space="preserve">, тематични групи, които се проведоха на територията на РБ България, както и в страни </w:t>
            </w:r>
            <w:r w:rsidR="00D35623" w:rsidRPr="007D063B">
              <w:rPr>
                <w:rFonts w:ascii="Times New Roman" w:hAnsi="Times New Roman" w:cs="Times New Roman"/>
                <w:sz w:val="24"/>
                <w:szCs w:val="24"/>
              </w:rPr>
              <w:t>членки на</w:t>
            </w:r>
            <w:r w:rsidR="00CE33BF" w:rsidRPr="007D063B">
              <w:rPr>
                <w:rFonts w:ascii="Times New Roman" w:hAnsi="Times New Roman" w:cs="Times New Roman"/>
                <w:sz w:val="24"/>
                <w:szCs w:val="24"/>
              </w:rPr>
              <w:t xml:space="preserve"> ЕС.</w:t>
            </w:r>
            <w:r w:rsidR="00D35623" w:rsidRPr="007D063B">
              <w:rPr>
                <w:rFonts w:ascii="Times New Roman" w:hAnsi="Times New Roman" w:cs="Times New Roman"/>
                <w:sz w:val="24"/>
                <w:szCs w:val="24"/>
              </w:rPr>
              <w:t xml:space="preserve"> Придобити бяха компетенции в областта нормативни промени, защита на финансови интереси на национално и европейско ниво.</w:t>
            </w:r>
          </w:p>
          <w:p w14:paraId="1C17574E" w14:textId="06D99CC5" w:rsidR="00EF0F74" w:rsidRPr="007D063B" w:rsidRDefault="00EF0F74" w:rsidP="00816F06">
            <w:pPr>
              <w:spacing w:after="0" w:line="312" w:lineRule="atLeast"/>
              <w:jc w:val="both"/>
              <w:textAlignment w:val="baseline"/>
              <w:rPr>
                <w:rFonts w:ascii="Times New Roman" w:hAnsi="Times New Roman" w:cs="Times New Roman"/>
                <w:sz w:val="24"/>
                <w:szCs w:val="24"/>
              </w:rPr>
            </w:pPr>
          </w:p>
        </w:tc>
      </w:tr>
    </w:tbl>
    <w:p w14:paraId="44FA7B37" w14:textId="77777777" w:rsidR="00816F06" w:rsidRPr="007D063B" w:rsidRDefault="00816F06" w:rsidP="0080317D">
      <w:pPr>
        <w:pStyle w:val="Heading2"/>
        <w:rPr>
          <w:rFonts w:ascii="Times New Roman" w:eastAsia="Times New Roman" w:hAnsi="Times New Roman" w:cs="Times New Roman"/>
          <w:b/>
          <w:bCs/>
          <w:color w:val="auto"/>
          <w:sz w:val="24"/>
          <w:szCs w:val="24"/>
          <w:lang w:eastAsia="bg-BG"/>
        </w:rPr>
      </w:pPr>
      <w:bookmarkStart w:id="55" w:name="_Toc481594316"/>
      <w:r w:rsidRPr="007D063B">
        <w:rPr>
          <w:rFonts w:ascii="Times New Roman" w:eastAsia="Times New Roman" w:hAnsi="Times New Roman" w:cs="Times New Roman"/>
          <w:b/>
          <w:bCs/>
          <w:color w:val="auto"/>
          <w:sz w:val="24"/>
          <w:szCs w:val="24"/>
          <w:lang w:eastAsia="bg-BG"/>
        </w:rPr>
        <w:lastRenderedPageBreak/>
        <w:t>14.3   </w:t>
      </w:r>
      <w:r w:rsidRPr="007D063B">
        <w:rPr>
          <w:rFonts w:ascii="inherit" w:eastAsia="Times New Roman" w:hAnsi="inherit" w:cs="Times New Roman" w:hint="eastAsia"/>
          <w:b/>
          <w:bCs/>
          <w:color w:val="auto"/>
          <w:sz w:val="24"/>
          <w:szCs w:val="24"/>
          <w:bdr w:val="none" w:sz="0" w:space="0" w:color="auto" w:frame="1"/>
          <w:lang w:eastAsia="bg-BG"/>
        </w:rPr>
        <w:t>Напредък</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в</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изпълнението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междурегионални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транснационални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действия</w:t>
      </w:r>
      <w:bookmarkEnd w:id="55"/>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14109"/>
      </w:tblGrid>
      <w:tr w:rsidR="00816F06" w:rsidRPr="007D063B" w14:paraId="53DA2F63" w14:textId="77777777" w:rsidTr="00816F06">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855D368" w14:textId="77777777" w:rsidR="00816F06" w:rsidRPr="007D063B" w:rsidRDefault="00816F06" w:rsidP="00816F06">
            <w:pPr>
              <w:spacing w:after="0" w:line="312" w:lineRule="atLeast"/>
              <w:jc w:val="both"/>
              <w:textAlignment w:val="baseline"/>
              <w:rPr>
                <w:rFonts w:ascii="inherit" w:eastAsia="Times New Roman" w:hAnsi="inherit" w:cs="Times New Roman"/>
                <w:color w:val="444444"/>
                <w:sz w:val="24"/>
                <w:szCs w:val="24"/>
                <w:lang w:eastAsia="bg-BG"/>
              </w:rPr>
            </w:pPr>
            <w:r w:rsidRPr="007D063B">
              <w:rPr>
                <w:rFonts w:ascii="inherit" w:eastAsia="Times New Roman" w:hAnsi="inherit" w:cs="Times New Roman"/>
                <w:i/>
                <w:iCs/>
                <w:color w:val="444444"/>
                <w:sz w:val="24"/>
                <w:szCs w:val="24"/>
                <w:bdr w:val="none" w:sz="0" w:space="0" w:color="auto" w:frame="1"/>
                <w:lang w:eastAsia="bg-BG"/>
              </w:rPr>
              <w:t>&lt;type='S' maxlength=3500 input='M'&gt;</w:t>
            </w:r>
          </w:p>
          <w:p w14:paraId="12F85DB7" w14:textId="77777777" w:rsidR="00816F06" w:rsidRPr="007D063B" w:rsidRDefault="00816F06" w:rsidP="00816F06">
            <w:pPr>
              <w:spacing w:after="0" w:line="312" w:lineRule="atLeast"/>
              <w:jc w:val="both"/>
              <w:textAlignment w:val="baseline"/>
              <w:rPr>
                <w:rFonts w:eastAsia="Times New Roman" w:cs="Times New Roman"/>
                <w:b/>
                <w:bCs/>
                <w:color w:val="444444"/>
                <w:sz w:val="24"/>
                <w:szCs w:val="24"/>
                <w:bdr w:val="none" w:sz="0" w:space="0" w:color="auto" w:frame="1"/>
                <w:lang w:eastAsia="bg-BG"/>
              </w:rPr>
            </w:pPr>
            <w:r w:rsidRPr="007D063B">
              <w:rPr>
                <w:rFonts w:ascii="inherit" w:eastAsia="Times New Roman" w:hAnsi="inherit" w:cs="Times New Roman"/>
                <w:b/>
                <w:bCs/>
                <w:color w:val="444444"/>
                <w:sz w:val="24"/>
                <w:szCs w:val="24"/>
                <w:bdr w:val="none" w:sz="0" w:space="0" w:color="auto" w:frame="1"/>
                <w:lang w:eastAsia="bg-BG"/>
              </w:rPr>
              <w:t>(вариант с доклад за напредъка)</w:t>
            </w:r>
          </w:p>
          <w:p w14:paraId="5C55DF92" w14:textId="77777777" w:rsidR="004B5D8F" w:rsidRPr="007D063B" w:rsidRDefault="004B5D8F" w:rsidP="004B5D8F">
            <w:pPr>
              <w:jc w:val="both"/>
              <w:rPr>
                <w:rFonts w:ascii="Times New Roman" w:hAnsi="Times New Roman"/>
              </w:rPr>
            </w:pPr>
          </w:p>
          <w:p w14:paraId="11061C51" w14:textId="06B46556" w:rsidR="00EF0F74" w:rsidRPr="007D063B" w:rsidRDefault="00C4448C" w:rsidP="004B5D8F">
            <w:pPr>
              <w:jc w:val="both"/>
              <w:rPr>
                <w:rFonts w:ascii="Times New Roman" w:hAnsi="Times New Roman"/>
                <w:sz w:val="24"/>
                <w:szCs w:val="24"/>
              </w:rPr>
            </w:pPr>
            <w:r w:rsidRPr="007D063B">
              <w:rPr>
                <w:rFonts w:ascii="Times New Roman" w:hAnsi="Times New Roman"/>
                <w:sz w:val="24"/>
                <w:szCs w:val="24"/>
              </w:rPr>
              <w:t>Транснационален компонент е заложен в три от проектите по ОПДУ, финансирани по национални процедури:</w:t>
            </w:r>
          </w:p>
          <w:p w14:paraId="51A04B50" w14:textId="1D85A181" w:rsidR="00C4448C" w:rsidRPr="007D063B" w:rsidRDefault="00C4448C" w:rsidP="0010350D">
            <w:pPr>
              <w:pStyle w:val="ListParagraph"/>
              <w:numPr>
                <w:ilvl w:val="0"/>
                <w:numId w:val="20"/>
              </w:numPr>
              <w:spacing w:before="240" w:after="0" w:line="312" w:lineRule="atLeast"/>
              <w:textAlignment w:val="baseline"/>
              <w:rPr>
                <w:rFonts w:ascii="Times New Roman" w:hAnsi="Times New Roman"/>
                <w:bCs/>
                <w:szCs w:val="24"/>
                <w:bdr w:val="none" w:sz="0" w:space="0" w:color="auto" w:frame="1"/>
                <w:lang w:eastAsia="bg-BG"/>
              </w:rPr>
            </w:pPr>
            <w:r w:rsidRPr="007D063B">
              <w:rPr>
                <w:rFonts w:ascii="Times New Roman" w:hAnsi="Times New Roman"/>
                <w:bCs/>
                <w:szCs w:val="24"/>
                <w:bdr w:val="none" w:sz="0" w:space="0" w:color="auto" w:frame="1"/>
                <w:lang w:eastAsia="bg-BG"/>
              </w:rPr>
              <w:t xml:space="preserve">Проект „Ефективно прилагане на правилата на ЕС за държавните помощи при предоставяне на услуги от общ икономически интерес (УОИИ)“ на дирекция „Държавни помощи и реален сектор“ в МФ - По Дейност 2 се предвижда организиране на 2 (две) шестдневни посещения в 2 (две) държави-членки на ЕС, с оглед проучване на добрите практики и чуждестранния опит в областта на УОИИ. Броят на командированите лица за една визита ще бъде 12 (дванадесет) служители от дирекция ДПРС. Служителите на Бенефициера ще имат възможност да се запознаят с практическите решения по конкретни теми, свързани с най-често възлагани услуги от общините, методите за дефиниране, възлагане, оценка за съответствие с европейското право и решения на Европейската комисия (ЕК), ако има такива, предварителен и последващ контрол, както и прозрачността в </w:t>
            </w:r>
            <w:r w:rsidRPr="007D063B">
              <w:rPr>
                <w:rFonts w:ascii="Times New Roman" w:hAnsi="Times New Roman"/>
                <w:bCs/>
                <w:szCs w:val="24"/>
                <w:bdr w:val="none" w:sz="0" w:space="0" w:color="auto" w:frame="1"/>
                <w:lang w:eastAsia="bg-BG"/>
              </w:rPr>
              <w:lastRenderedPageBreak/>
              <w:t>процедурите при вземането на решенията. Запознаването с чуждестранния опит по отношение на УОИИ ще улесни процеса по неговото прилагане в България.</w:t>
            </w:r>
          </w:p>
          <w:p w14:paraId="0E989BB7" w14:textId="1063A9BB" w:rsidR="00C4448C" w:rsidRPr="007D063B" w:rsidRDefault="00770206" w:rsidP="0010350D">
            <w:pPr>
              <w:pStyle w:val="ListParagraph"/>
              <w:numPr>
                <w:ilvl w:val="0"/>
                <w:numId w:val="20"/>
              </w:numPr>
              <w:spacing w:before="240" w:after="0" w:line="312" w:lineRule="atLeast"/>
              <w:textAlignment w:val="baseline"/>
              <w:rPr>
                <w:rFonts w:ascii="Times New Roman" w:hAnsi="Times New Roman"/>
                <w:bCs/>
                <w:szCs w:val="24"/>
                <w:bdr w:val="none" w:sz="0" w:space="0" w:color="auto" w:frame="1"/>
                <w:lang w:eastAsia="bg-BG"/>
              </w:rPr>
            </w:pPr>
            <w:r w:rsidRPr="007D063B">
              <w:rPr>
                <w:rFonts w:ascii="Times New Roman" w:hAnsi="Times New Roman"/>
                <w:bCs/>
                <w:szCs w:val="24"/>
                <w:bdr w:val="none" w:sz="0" w:space="0" w:color="auto" w:frame="1"/>
                <w:lang w:eastAsia="bg-BG"/>
              </w:rPr>
              <w:t xml:space="preserve">Проект „Провеждане на обучения на служители от централната администрация за придобиване на ключови умения и компетентности в контекста на ЕС“ на Дипломатическия институт включва по </w:t>
            </w:r>
            <w:r w:rsidR="00604DA9" w:rsidRPr="007D063B">
              <w:rPr>
                <w:rFonts w:ascii="Times New Roman" w:hAnsi="Times New Roman"/>
                <w:bCs/>
                <w:szCs w:val="24"/>
                <w:bdr w:val="none" w:sz="0" w:space="0" w:color="auto" w:frame="1"/>
                <w:lang w:eastAsia="bg-BG"/>
              </w:rPr>
              <w:t xml:space="preserve">Дейност 2 „100 краткосрочни стажове в институциите на ЕС за служителите от българската държавна администрация, ангажирани с европейско сътрудничество и участие в процеса на вземане на решения“, а по </w:t>
            </w:r>
            <w:r w:rsidRPr="007D063B">
              <w:rPr>
                <w:rFonts w:ascii="Times New Roman" w:hAnsi="Times New Roman"/>
                <w:bCs/>
                <w:szCs w:val="24"/>
                <w:bdr w:val="none" w:sz="0" w:space="0" w:color="auto" w:frame="1"/>
                <w:lang w:eastAsia="bg-BG"/>
              </w:rPr>
              <w:t>Дейност 5 „обучения за повишаване на професионалната компетентност, квалификацията и развитието на служителите на Дипломатическия институт с оглед укрепване на капацитета на ДИ. Обученията ще се проведат в държави-членки на ЕС. Обученията, които ще бъдат проведени, ще покриват теми, свързани с компетенциите на Дипломатическия институт, като посоченият по-долу списък е примерен: Публична дипломация; Обща външна политика и политика на сигурност (ОВППС) на ЕС и Обща политика за сигурност и отбрана (ОПСО); Енергийна дипломация; Дипломация и околна среда; Дипломация и регионална сигурност; Протокол; Управление на човешките ресурси.“</w:t>
            </w:r>
          </w:p>
          <w:p w14:paraId="185BBB96" w14:textId="45089158" w:rsidR="00604DA9" w:rsidRPr="007D063B" w:rsidRDefault="00604DA9" w:rsidP="0010350D">
            <w:pPr>
              <w:pStyle w:val="ListParagraph"/>
              <w:numPr>
                <w:ilvl w:val="0"/>
                <w:numId w:val="20"/>
              </w:numPr>
              <w:spacing w:before="240" w:after="0" w:line="312" w:lineRule="atLeast"/>
              <w:textAlignment w:val="baseline"/>
              <w:rPr>
                <w:rFonts w:ascii="Times New Roman" w:hAnsi="Times New Roman"/>
                <w:bCs/>
                <w:szCs w:val="24"/>
                <w:bdr w:val="none" w:sz="0" w:space="0" w:color="auto" w:frame="1"/>
                <w:lang w:eastAsia="bg-BG"/>
              </w:rPr>
            </w:pPr>
            <w:r w:rsidRPr="007D063B">
              <w:rPr>
                <w:rFonts w:ascii="Times New Roman" w:hAnsi="Times New Roman"/>
                <w:bCs/>
                <w:szCs w:val="24"/>
                <w:bdr w:val="none" w:sz="0" w:space="0" w:color="auto" w:frame="1"/>
                <w:lang w:eastAsia="bg-BG"/>
              </w:rPr>
              <w:t>Проект „</w:t>
            </w:r>
            <w:r w:rsidR="00041E44" w:rsidRPr="007D063B">
              <w:rPr>
                <w:rFonts w:ascii="Times New Roman" w:hAnsi="Times New Roman"/>
                <w:bCs/>
                <w:szCs w:val="24"/>
                <w:bdr w:val="none" w:sz="0" w:space="0" w:color="auto" w:frame="1"/>
                <w:lang w:eastAsia="bg-BG"/>
              </w:rPr>
              <w:t>Работим за хората“ укрепване капацитета на институциите за посрещане на предизвикателствата на съвременните публични политики.</w:t>
            </w:r>
            <w:r w:rsidRPr="007D063B">
              <w:rPr>
                <w:rFonts w:ascii="Times New Roman" w:hAnsi="Times New Roman"/>
                <w:bCs/>
                <w:szCs w:val="24"/>
                <w:bdr w:val="none" w:sz="0" w:space="0" w:color="auto" w:frame="1"/>
                <w:lang w:eastAsia="bg-BG"/>
              </w:rPr>
              <w:t>“</w:t>
            </w:r>
            <w:r w:rsidR="00041E44" w:rsidRPr="007D063B">
              <w:rPr>
                <w:rFonts w:ascii="Times New Roman" w:hAnsi="Times New Roman"/>
                <w:bCs/>
                <w:szCs w:val="24"/>
                <w:bdr w:val="none" w:sz="0" w:space="0" w:color="auto" w:frame="1"/>
                <w:lang w:eastAsia="bg-BG"/>
              </w:rPr>
              <w:t xml:space="preserve"> на Института за публична администрация включва по Д1 „участие на 20 служителя на ИПА в обучения, конференции, работни срещи и др. мероприятия в държави-членки на ЕС, провеждане на 2 международни конференции“, Д2 „обучения, свързани с изпълнението на ангажиментите на България, произтичащи от членството й в ЕС за служители от държавната администрация, ангажирани с европейско сътрудничество и участие в процеса на вземане на решения в ЕС – 1780 обучени служители“.</w:t>
            </w:r>
          </w:p>
          <w:p w14:paraId="6F9C223B" w14:textId="5D2FE236" w:rsidR="00EF0F74" w:rsidRPr="007D063B" w:rsidRDefault="00EF0F74" w:rsidP="00816F06">
            <w:pPr>
              <w:spacing w:after="0" w:line="312" w:lineRule="atLeast"/>
              <w:jc w:val="both"/>
              <w:textAlignment w:val="baseline"/>
              <w:rPr>
                <w:rFonts w:eastAsia="Times New Roman" w:cs="Times New Roman"/>
                <w:color w:val="444444"/>
                <w:sz w:val="24"/>
                <w:szCs w:val="24"/>
                <w:lang w:eastAsia="bg-BG"/>
              </w:rPr>
            </w:pPr>
          </w:p>
        </w:tc>
      </w:tr>
    </w:tbl>
    <w:p w14:paraId="7458CFD7" w14:textId="77777777" w:rsidR="00816F06" w:rsidRPr="007D063B" w:rsidRDefault="00816F06" w:rsidP="0080317D">
      <w:pPr>
        <w:pStyle w:val="Heading2"/>
        <w:rPr>
          <w:rFonts w:ascii="Times New Roman" w:eastAsia="Times New Roman" w:hAnsi="Times New Roman" w:cs="Times New Roman"/>
          <w:b/>
          <w:bCs/>
          <w:color w:val="auto"/>
          <w:sz w:val="24"/>
          <w:szCs w:val="24"/>
          <w:lang w:eastAsia="bg-BG"/>
        </w:rPr>
      </w:pPr>
      <w:bookmarkStart w:id="56" w:name="_Toc481594317"/>
      <w:r w:rsidRPr="007D063B">
        <w:rPr>
          <w:rFonts w:ascii="Times New Roman" w:eastAsia="Times New Roman" w:hAnsi="Times New Roman" w:cs="Times New Roman"/>
          <w:b/>
          <w:bCs/>
          <w:color w:val="auto"/>
          <w:sz w:val="24"/>
          <w:szCs w:val="24"/>
          <w:lang w:eastAsia="bg-BG"/>
        </w:rPr>
        <w:lastRenderedPageBreak/>
        <w:t>14.4   </w:t>
      </w:r>
      <w:r w:rsidRPr="007D063B">
        <w:rPr>
          <w:rFonts w:ascii="inherit" w:eastAsia="Times New Roman" w:hAnsi="inherit" w:cs="Times New Roman" w:hint="eastAsia"/>
          <w:b/>
          <w:bCs/>
          <w:color w:val="auto"/>
          <w:sz w:val="24"/>
          <w:szCs w:val="24"/>
          <w:bdr w:val="none" w:sz="0" w:space="0" w:color="auto" w:frame="1"/>
          <w:lang w:eastAsia="bg-BG"/>
        </w:rPr>
        <w:t>По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целесъобразност</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приноса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към</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макрорегионалните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стратегии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стратегиите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за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морските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басейни</w:t>
      </w:r>
      <w:bookmarkEnd w:id="56"/>
    </w:p>
    <w:p w14:paraId="0E2A5402" w14:textId="30C82A24" w:rsidR="00816F06" w:rsidRPr="007D063B" w:rsidRDefault="00816F06" w:rsidP="00816F06">
      <w:pPr>
        <w:shd w:val="clear" w:color="auto" w:fill="EEEEEE"/>
        <w:spacing w:line="240" w:lineRule="auto"/>
        <w:textAlignment w:val="baseline"/>
        <w:rPr>
          <w:rFonts w:eastAsia="Times New Roman" w:cs="Times New Roman"/>
          <w:i/>
          <w:iCs/>
          <w:color w:val="444444"/>
          <w:sz w:val="24"/>
          <w:szCs w:val="24"/>
          <w:bdr w:val="none" w:sz="0" w:space="0" w:color="auto" w:frame="1"/>
          <w:lang w:eastAsia="bg-BG"/>
        </w:rPr>
      </w:pPr>
      <w:r w:rsidRPr="007D063B">
        <w:rPr>
          <w:rFonts w:ascii="inherit" w:eastAsia="Times New Roman" w:hAnsi="inherit" w:cs="Times New Roman"/>
          <w:i/>
          <w:iCs/>
          <w:color w:val="444444"/>
          <w:sz w:val="24"/>
          <w:szCs w:val="24"/>
          <w:bdr w:val="none" w:sz="0" w:space="0" w:color="auto" w:frame="1"/>
          <w:lang w:eastAsia="bg-BG"/>
        </w:rPr>
        <w:t>&lt;type='S' maxlength=3500 input='M'&gt;</w:t>
      </w:r>
    </w:p>
    <w:p w14:paraId="0A058352" w14:textId="310C3E4D" w:rsidR="00EF0F74" w:rsidRPr="007D063B" w:rsidRDefault="00EF0F74" w:rsidP="00816F06">
      <w:pPr>
        <w:shd w:val="clear" w:color="auto" w:fill="EEEEEE"/>
        <w:spacing w:line="240" w:lineRule="auto"/>
        <w:textAlignment w:val="baseline"/>
        <w:rPr>
          <w:rFonts w:eastAsia="Times New Roman" w:cs="Times New Roman"/>
          <w:color w:val="444444"/>
          <w:sz w:val="24"/>
          <w:szCs w:val="24"/>
          <w:lang w:eastAsia="bg-BG"/>
        </w:rPr>
      </w:pPr>
      <w:r w:rsidRPr="007D063B">
        <w:rPr>
          <w:rFonts w:ascii="Times New Roman" w:eastAsia="Times New Roman" w:hAnsi="Times New Roman" w:cs="Times New Roman"/>
          <w:bCs/>
          <w:color w:val="000000"/>
          <w:sz w:val="24"/>
          <w:szCs w:val="24"/>
          <w:lang w:eastAsia="bg-BG"/>
        </w:rPr>
        <w:t>Неприложимо.</w:t>
      </w:r>
    </w:p>
    <w:p w14:paraId="08E58F98" w14:textId="77777777" w:rsidR="00816F06" w:rsidRPr="007D063B" w:rsidRDefault="00816F06" w:rsidP="0080317D">
      <w:pPr>
        <w:pStyle w:val="Heading2"/>
        <w:rPr>
          <w:rFonts w:ascii="Times New Roman" w:eastAsia="Times New Roman" w:hAnsi="Times New Roman" w:cs="Times New Roman"/>
          <w:b/>
          <w:bCs/>
          <w:color w:val="auto"/>
          <w:sz w:val="24"/>
          <w:szCs w:val="24"/>
          <w:lang w:eastAsia="bg-BG"/>
        </w:rPr>
      </w:pPr>
      <w:bookmarkStart w:id="57" w:name="_Toc481594318"/>
      <w:r w:rsidRPr="007D063B">
        <w:rPr>
          <w:rFonts w:ascii="Times New Roman" w:eastAsia="Times New Roman" w:hAnsi="Times New Roman" w:cs="Times New Roman"/>
          <w:b/>
          <w:bCs/>
          <w:color w:val="auto"/>
          <w:sz w:val="24"/>
          <w:szCs w:val="24"/>
          <w:lang w:eastAsia="bg-BG"/>
        </w:rPr>
        <w:t>14.5   </w:t>
      </w:r>
      <w:r w:rsidRPr="007D063B">
        <w:rPr>
          <w:rFonts w:ascii="inherit" w:eastAsia="Times New Roman" w:hAnsi="inherit" w:cs="Times New Roman" w:hint="eastAsia"/>
          <w:b/>
          <w:bCs/>
          <w:color w:val="auto"/>
          <w:sz w:val="24"/>
          <w:szCs w:val="24"/>
          <w:bdr w:val="none" w:sz="0" w:space="0" w:color="auto" w:frame="1"/>
          <w:lang w:eastAsia="bg-BG"/>
        </w:rPr>
        <w:t>Напредък</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в</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изпълнението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действията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в</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областта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социалните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иновации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когато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целесъобразно</w:t>
      </w:r>
      <w:bookmarkEnd w:id="57"/>
    </w:p>
    <w:p w14:paraId="69C27CE7" w14:textId="108B84E8" w:rsidR="00816F06" w:rsidRPr="007D063B" w:rsidRDefault="00816F06" w:rsidP="00816F06">
      <w:pPr>
        <w:shd w:val="clear" w:color="auto" w:fill="EEEEEE"/>
        <w:spacing w:line="240" w:lineRule="auto"/>
        <w:textAlignment w:val="baseline"/>
        <w:rPr>
          <w:rFonts w:eastAsia="Times New Roman" w:cs="Times New Roman"/>
          <w:i/>
          <w:iCs/>
          <w:color w:val="444444"/>
          <w:sz w:val="24"/>
          <w:szCs w:val="24"/>
          <w:bdr w:val="none" w:sz="0" w:space="0" w:color="auto" w:frame="1"/>
          <w:lang w:eastAsia="bg-BG"/>
        </w:rPr>
      </w:pPr>
      <w:r w:rsidRPr="007D063B">
        <w:rPr>
          <w:rFonts w:ascii="inherit" w:eastAsia="Times New Roman" w:hAnsi="inherit" w:cs="Times New Roman"/>
          <w:i/>
          <w:iCs/>
          <w:color w:val="444444"/>
          <w:sz w:val="24"/>
          <w:szCs w:val="24"/>
          <w:bdr w:val="none" w:sz="0" w:space="0" w:color="auto" w:frame="1"/>
          <w:lang w:eastAsia="bg-BG"/>
        </w:rPr>
        <w:t>&lt;type='S' maxlength=3500 input='M'&gt;</w:t>
      </w:r>
    </w:p>
    <w:p w14:paraId="212B4AA7" w14:textId="77777777" w:rsidR="00412042" w:rsidRPr="007D063B" w:rsidRDefault="00412042" w:rsidP="00DD2D83">
      <w:pPr>
        <w:jc w:val="both"/>
        <w:rPr>
          <w:rFonts w:ascii="Times New Roman" w:hAnsi="Times New Roman" w:cs="Times New Roman"/>
          <w:sz w:val="24"/>
          <w:szCs w:val="24"/>
        </w:rPr>
      </w:pPr>
      <w:bookmarkStart w:id="58" w:name="_Toc481594319"/>
      <w:r w:rsidRPr="007D063B">
        <w:rPr>
          <w:rFonts w:ascii="Times New Roman" w:hAnsi="Times New Roman" w:cs="Times New Roman"/>
          <w:sz w:val="24"/>
          <w:szCs w:val="24"/>
        </w:rPr>
        <w:t xml:space="preserve">По програмата са одобрени проекти с включени в тях дейности, които представляват социални иновации, а именно: </w:t>
      </w:r>
    </w:p>
    <w:p w14:paraId="628DCA25" w14:textId="0610C122" w:rsidR="00412042" w:rsidRPr="007D063B" w:rsidRDefault="000E0DD6" w:rsidP="001B61C2">
      <w:pPr>
        <w:pStyle w:val="ListParagraph"/>
        <w:numPr>
          <w:ilvl w:val="0"/>
          <w:numId w:val="20"/>
        </w:numPr>
        <w:spacing w:after="0" w:line="312" w:lineRule="atLeast"/>
        <w:textAlignment w:val="baseline"/>
        <w:rPr>
          <w:rFonts w:ascii="Times New Roman" w:hAnsi="Times New Roman"/>
          <w:bCs/>
          <w:szCs w:val="24"/>
          <w:bdr w:val="none" w:sz="0" w:space="0" w:color="auto" w:frame="1"/>
          <w:lang w:eastAsia="bg-BG"/>
        </w:rPr>
      </w:pPr>
      <w:r w:rsidRPr="007D063B">
        <w:rPr>
          <w:rFonts w:ascii="Times New Roman" w:hAnsi="Times New Roman"/>
          <w:bCs/>
          <w:szCs w:val="24"/>
          <w:bdr w:val="none" w:sz="0" w:space="0" w:color="auto" w:frame="1"/>
          <w:lang w:eastAsia="bg-BG"/>
        </w:rPr>
        <w:lastRenderedPageBreak/>
        <w:t>Провеждане на д</w:t>
      </w:r>
      <w:r w:rsidR="00412042" w:rsidRPr="007D063B">
        <w:rPr>
          <w:rFonts w:ascii="Times New Roman" w:hAnsi="Times New Roman"/>
          <w:bCs/>
          <w:szCs w:val="24"/>
          <w:bdr w:val="none" w:sz="0" w:space="0" w:color="auto" w:frame="1"/>
          <w:lang w:eastAsia="bg-BG"/>
        </w:rPr>
        <w:t>истанционни обучения за служители в държавната администрация и съдебната система като максимално гъвкава форма, адаптивна към потребностите на работещите хора, както и тези в неравностойно положение</w:t>
      </w:r>
      <w:r w:rsidR="001B61C2" w:rsidRPr="007D063B">
        <w:rPr>
          <w:rFonts w:ascii="Times New Roman" w:hAnsi="Times New Roman"/>
          <w:bCs/>
          <w:szCs w:val="24"/>
          <w:bdr w:val="none" w:sz="0" w:space="0" w:color="auto" w:frame="1"/>
          <w:lang w:eastAsia="bg-BG"/>
        </w:rPr>
        <w:t xml:space="preserve"> (по проекти на ИПА, НИП, НСОРБ, АМВР)</w:t>
      </w:r>
      <w:r w:rsidR="00412042" w:rsidRPr="007D063B">
        <w:rPr>
          <w:rFonts w:ascii="Times New Roman" w:hAnsi="Times New Roman"/>
          <w:bCs/>
          <w:szCs w:val="24"/>
          <w:bdr w:val="none" w:sz="0" w:space="0" w:color="auto" w:frame="1"/>
          <w:lang w:eastAsia="bg-BG"/>
        </w:rPr>
        <w:t>. Развитието на дистанционната форма на обучение през последните години се възприема като сериозно постижение при въвеждането на информационни и комуникационни технологии в обучението на целевите групи</w:t>
      </w:r>
      <w:r w:rsidRPr="007D063B">
        <w:rPr>
          <w:rFonts w:ascii="Times New Roman" w:hAnsi="Times New Roman"/>
          <w:bCs/>
          <w:szCs w:val="24"/>
          <w:bdr w:val="none" w:sz="0" w:space="0" w:color="auto" w:frame="1"/>
          <w:lang w:eastAsia="bg-BG"/>
        </w:rPr>
        <w:t xml:space="preserve"> и все по-широко се </w:t>
      </w:r>
      <w:r w:rsidR="00674AD7" w:rsidRPr="007D063B">
        <w:rPr>
          <w:rFonts w:ascii="Times New Roman" w:hAnsi="Times New Roman"/>
          <w:bCs/>
          <w:szCs w:val="24"/>
          <w:bdr w:val="none" w:sz="0" w:space="0" w:color="auto" w:frame="1"/>
          <w:lang w:eastAsia="bg-BG"/>
        </w:rPr>
        <w:t>прилага</w:t>
      </w:r>
      <w:r w:rsidRPr="007D063B">
        <w:rPr>
          <w:rFonts w:ascii="Times New Roman" w:hAnsi="Times New Roman"/>
          <w:bCs/>
          <w:szCs w:val="24"/>
          <w:bdr w:val="none" w:sz="0" w:space="0" w:color="auto" w:frame="1"/>
          <w:lang w:eastAsia="bg-BG"/>
        </w:rPr>
        <w:t xml:space="preserve"> от бенефициентите в техните проекти</w:t>
      </w:r>
      <w:r w:rsidR="00412042" w:rsidRPr="007D063B">
        <w:rPr>
          <w:rFonts w:ascii="Times New Roman" w:hAnsi="Times New Roman"/>
          <w:bCs/>
          <w:szCs w:val="24"/>
          <w:bdr w:val="none" w:sz="0" w:space="0" w:color="auto" w:frame="1"/>
          <w:lang w:eastAsia="bg-BG"/>
        </w:rPr>
        <w:t>.</w:t>
      </w:r>
      <w:r w:rsidR="001B61C2" w:rsidRPr="007D063B">
        <w:rPr>
          <w:rFonts w:ascii="Times New Roman" w:hAnsi="Times New Roman"/>
          <w:bCs/>
          <w:szCs w:val="24"/>
          <w:bdr w:val="none" w:sz="0" w:space="0" w:color="auto" w:frame="1"/>
          <w:lang w:eastAsia="bg-BG"/>
        </w:rPr>
        <w:t xml:space="preserve"> В та</w:t>
      </w:r>
      <w:r w:rsidRPr="007D063B">
        <w:rPr>
          <w:rFonts w:ascii="Times New Roman" w:hAnsi="Times New Roman"/>
          <w:bCs/>
          <w:szCs w:val="24"/>
          <w:bdr w:val="none" w:sz="0" w:space="0" w:color="auto" w:frame="1"/>
          <w:lang w:eastAsia="bg-BG"/>
        </w:rPr>
        <w:t xml:space="preserve">зи връзка се предвижда и </w:t>
      </w:r>
      <w:r w:rsidR="001B61C2" w:rsidRPr="007D063B">
        <w:rPr>
          <w:rFonts w:ascii="Times New Roman" w:hAnsi="Times New Roman"/>
          <w:bCs/>
          <w:szCs w:val="24"/>
          <w:bdr w:val="none" w:sz="0" w:space="0" w:color="auto" w:frame="1"/>
          <w:lang w:eastAsia="bg-BG"/>
        </w:rPr>
        <w:t>надграждане на интернет платформата за обучение в частта относно дистанционно обучение на един от</w:t>
      </w:r>
      <w:r w:rsidRPr="007D063B">
        <w:rPr>
          <w:rFonts w:ascii="Times New Roman" w:hAnsi="Times New Roman"/>
          <w:bCs/>
          <w:szCs w:val="24"/>
          <w:bdr w:val="none" w:sz="0" w:space="0" w:color="auto" w:frame="1"/>
          <w:lang w:eastAsia="bg-BG"/>
        </w:rPr>
        <w:t xml:space="preserve"> бенефициенти</w:t>
      </w:r>
      <w:r w:rsidR="001B61C2" w:rsidRPr="007D063B">
        <w:rPr>
          <w:rFonts w:ascii="Times New Roman" w:hAnsi="Times New Roman"/>
          <w:bCs/>
          <w:szCs w:val="24"/>
          <w:bdr w:val="none" w:sz="0" w:space="0" w:color="auto" w:frame="1"/>
          <w:lang w:eastAsia="bg-BG"/>
        </w:rPr>
        <w:t>те (НСОРБ)</w:t>
      </w:r>
      <w:r w:rsidRPr="007D063B">
        <w:rPr>
          <w:rFonts w:ascii="Times New Roman" w:hAnsi="Times New Roman"/>
          <w:bCs/>
          <w:szCs w:val="24"/>
          <w:bdr w:val="none" w:sz="0" w:space="0" w:color="auto" w:frame="1"/>
          <w:lang w:eastAsia="bg-BG"/>
        </w:rPr>
        <w:t>.</w:t>
      </w:r>
      <w:r w:rsidR="00412042" w:rsidRPr="007D063B">
        <w:rPr>
          <w:rFonts w:ascii="Times New Roman" w:hAnsi="Times New Roman"/>
          <w:bCs/>
          <w:szCs w:val="24"/>
          <w:bdr w:val="none" w:sz="0" w:space="0" w:color="auto" w:frame="1"/>
          <w:lang w:eastAsia="bg-BG"/>
        </w:rPr>
        <w:t xml:space="preserve"> </w:t>
      </w:r>
    </w:p>
    <w:p w14:paraId="74EB9C47" w14:textId="3CF0BC97" w:rsidR="00412042" w:rsidRPr="007D063B" w:rsidRDefault="000E0DD6" w:rsidP="00412042">
      <w:pPr>
        <w:pStyle w:val="ListParagraph"/>
        <w:numPr>
          <w:ilvl w:val="0"/>
          <w:numId w:val="20"/>
        </w:numPr>
        <w:spacing w:after="0" w:line="312" w:lineRule="atLeast"/>
        <w:textAlignment w:val="baseline"/>
        <w:rPr>
          <w:rFonts w:ascii="Times New Roman" w:hAnsi="Times New Roman"/>
          <w:bCs/>
          <w:szCs w:val="24"/>
          <w:bdr w:val="none" w:sz="0" w:space="0" w:color="auto" w:frame="1"/>
          <w:lang w:eastAsia="bg-BG"/>
        </w:rPr>
      </w:pPr>
      <w:r w:rsidRPr="007D063B">
        <w:rPr>
          <w:rFonts w:ascii="Times New Roman" w:hAnsi="Times New Roman"/>
          <w:bCs/>
          <w:szCs w:val="24"/>
          <w:bdr w:val="none" w:sz="0" w:space="0" w:color="auto" w:frame="1"/>
          <w:lang w:eastAsia="bg-BG"/>
        </w:rPr>
        <w:t>Н</w:t>
      </w:r>
      <w:r w:rsidR="00412042" w:rsidRPr="007D063B">
        <w:rPr>
          <w:rFonts w:ascii="Times New Roman" w:hAnsi="Times New Roman"/>
          <w:bCs/>
          <w:szCs w:val="24"/>
          <w:bdr w:val="none" w:sz="0" w:space="0" w:color="auto" w:frame="1"/>
          <w:lang w:eastAsia="bg-BG"/>
        </w:rPr>
        <w:t xml:space="preserve">адграждане на съществуващи и внедряване на нови удобни за обществото инструменти за гражданско участие с цел насърчаване на взаимодействието </w:t>
      </w:r>
      <w:r w:rsidR="00674AD7" w:rsidRPr="007D063B">
        <w:rPr>
          <w:rFonts w:ascii="Times New Roman" w:hAnsi="Times New Roman"/>
          <w:bCs/>
          <w:szCs w:val="24"/>
          <w:bdr w:val="none" w:sz="0" w:space="0" w:color="auto" w:frame="1"/>
          <w:lang w:eastAsia="bg-BG"/>
        </w:rPr>
        <w:t xml:space="preserve">на държавната администрация </w:t>
      </w:r>
      <w:r w:rsidR="00412042" w:rsidRPr="007D063B">
        <w:rPr>
          <w:rFonts w:ascii="Times New Roman" w:hAnsi="Times New Roman"/>
          <w:bCs/>
          <w:szCs w:val="24"/>
          <w:bdr w:val="none" w:sz="0" w:space="0" w:color="auto" w:frame="1"/>
          <w:lang w:eastAsia="bg-BG"/>
        </w:rPr>
        <w:t>със заинтересованите страни.</w:t>
      </w:r>
      <w:r w:rsidR="001B61C2" w:rsidRPr="007D063B">
        <w:rPr>
          <w:rFonts w:ascii="Times New Roman" w:hAnsi="Times New Roman"/>
          <w:bCs/>
          <w:szCs w:val="24"/>
          <w:bdr w:val="none" w:sz="0" w:space="0" w:color="auto" w:frame="1"/>
          <w:lang w:eastAsia="bg-BG"/>
        </w:rPr>
        <w:t xml:space="preserve"> По проект на АМС се п</w:t>
      </w:r>
      <w:r w:rsidR="00412042" w:rsidRPr="007D063B">
        <w:rPr>
          <w:rFonts w:ascii="Times New Roman" w:hAnsi="Times New Roman"/>
          <w:bCs/>
          <w:szCs w:val="24"/>
          <w:bdr w:val="none" w:sz="0" w:space="0" w:color="auto" w:frame="1"/>
          <w:lang w:eastAsia="bg-BG"/>
        </w:rPr>
        <w:t xml:space="preserve">редвижда </w:t>
      </w:r>
      <w:r w:rsidRPr="007D063B">
        <w:rPr>
          <w:rFonts w:ascii="Times New Roman" w:hAnsi="Times New Roman"/>
          <w:bCs/>
          <w:szCs w:val="24"/>
          <w:bdr w:val="none" w:sz="0" w:space="0" w:color="auto" w:frame="1"/>
          <w:lang w:eastAsia="bg-BG"/>
        </w:rPr>
        <w:t xml:space="preserve">подобряване и дигитализиране на процеса по провеждане на обществени консултации чрез </w:t>
      </w:r>
      <w:r w:rsidR="00674AD7" w:rsidRPr="007D063B">
        <w:rPr>
          <w:rFonts w:ascii="Times New Roman" w:hAnsi="Times New Roman"/>
          <w:bCs/>
          <w:szCs w:val="24"/>
          <w:bdr w:val="none" w:sz="0" w:space="0" w:color="auto" w:frame="1"/>
          <w:lang w:eastAsia="bg-BG"/>
        </w:rPr>
        <w:t xml:space="preserve">поредица от мерки, в т.ч. </w:t>
      </w:r>
      <w:r w:rsidR="00412042" w:rsidRPr="007D063B">
        <w:rPr>
          <w:rFonts w:ascii="Times New Roman" w:hAnsi="Times New Roman"/>
          <w:bCs/>
          <w:szCs w:val="24"/>
          <w:bdr w:val="none" w:sz="0" w:space="0" w:color="auto" w:frame="1"/>
          <w:lang w:eastAsia="bg-BG"/>
        </w:rPr>
        <w:t>надграждане на портала за обществени консултации</w:t>
      </w:r>
      <w:r w:rsidRPr="007D063B">
        <w:rPr>
          <w:rFonts w:ascii="Times New Roman" w:hAnsi="Times New Roman"/>
          <w:bCs/>
          <w:szCs w:val="24"/>
          <w:bdr w:val="none" w:sz="0" w:space="0" w:color="auto" w:frame="1"/>
          <w:lang w:eastAsia="bg-BG"/>
        </w:rPr>
        <w:t>.</w:t>
      </w:r>
    </w:p>
    <w:p w14:paraId="5A596D3A" w14:textId="5292C84D" w:rsidR="00B04672" w:rsidRPr="007D063B" w:rsidRDefault="000E0DD6" w:rsidP="000E0DD6">
      <w:pPr>
        <w:pStyle w:val="ListParagraph"/>
        <w:numPr>
          <w:ilvl w:val="0"/>
          <w:numId w:val="20"/>
        </w:numPr>
        <w:spacing w:after="0" w:line="312" w:lineRule="atLeast"/>
        <w:textAlignment w:val="baseline"/>
        <w:rPr>
          <w:rFonts w:ascii="Times New Roman" w:hAnsi="Times New Roman"/>
          <w:bCs/>
          <w:szCs w:val="24"/>
          <w:bdr w:val="none" w:sz="0" w:space="0" w:color="auto" w:frame="1"/>
          <w:lang w:eastAsia="bg-BG"/>
        </w:rPr>
      </w:pPr>
      <w:r w:rsidRPr="007D063B">
        <w:rPr>
          <w:rFonts w:ascii="Times New Roman" w:hAnsi="Times New Roman"/>
          <w:bCs/>
          <w:szCs w:val="24"/>
          <w:bdr w:val="none" w:sz="0" w:space="0" w:color="auto" w:frame="1"/>
          <w:lang w:eastAsia="bg-BG"/>
        </w:rPr>
        <w:t>В</w:t>
      </w:r>
      <w:r w:rsidR="00412042" w:rsidRPr="007D063B">
        <w:rPr>
          <w:rFonts w:ascii="Times New Roman" w:hAnsi="Times New Roman"/>
          <w:bCs/>
          <w:szCs w:val="24"/>
          <w:bdr w:val="none" w:sz="0" w:space="0" w:color="auto" w:frame="1"/>
          <w:lang w:eastAsia="bg-BG"/>
        </w:rPr>
        <w:t xml:space="preserve">недряване на технологична платформа за електронно провеждане на централизирания етап на конкурса за държавни служители, както и </w:t>
      </w:r>
      <w:r w:rsidRPr="007D063B">
        <w:rPr>
          <w:rFonts w:ascii="Times New Roman" w:hAnsi="Times New Roman"/>
          <w:bCs/>
          <w:szCs w:val="24"/>
          <w:bdr w:val="none" w:sz="0" w:space="0" w:color="auto" w:frame="1"/>
          <w:lang w:eastAsia="bg-BG"/>
        </w:rPr>
        <w:t>разработване и внедряване на</w:t>
      </w:r>
      <w:r w:rsidR="00412042" w:rsidRPr="007D063B">
        <w:rPr>
          <w:rFonts w:ascii="Times New Roman" w:hAnsi="Times New Roman"/>
          <w:bCs/>
          <w:szCs w:val="24"/>
          <w:bdr w:val="none" w:sz="0" w:space="0" w:color="auto" w:frame="1"/>
          <w:lang w:eastAsia="bg-BG"/>
        </w:rPr>
        <w:t xml:space="preserve"> портал за работа в държавната администрация с цел </w:t>
      </w:r>
      <w:r w:rsidRPr="007D063B">
        <w:rPr>
          <w:rFonts w:ascii="Times New Roman" w:hAnsi="Times New Roman"/>
          <w:bCs/>
          <w:szCs w:val="24"/>
          <w:bdr w:val="none" w:sz="0" w:space="0" w:color="auto" w:frame="1"/>
          <w:lang w:eastAsia="bg-BG"/>
        </w:rPr>
        <w:t>стандартизиране на процеса по кандидатстване</w:t>
      </w:r>
      <w:r w:rsidR="001B61C2" w:rsidRPr="007D063B">
        <w:rPr>
          <w:rFonts w:ascii="Times New Roman" w:hAnsi="Times New Roman"/>
          <w:bCs/>
          <w:szCs w:val="24"/>
          <w:bdr w:val="none" w:sz="0" w:space="0" w:color="auto" w:frame="1"/>
          <w:lang w:eastAsia="bg-BG"/>
        </w:rPr>
        <w:t>, повишаване на информираността на гражданите и прозрачността на процеса на подбор на служители</w:t>
      </w:r>
      <w:r w:rsidRPr="007D063B">
        <w:rPr>
          <w:rFonts w:ascii="Times New Roman" w:hAnsi="Times New Roman"/>
          <w:bCs/>
          <w:szCs w:val="24"/>
          <w:bdr w:val="none" w:sz="0" w:space="0" w:color="auto" w:frame="1"/>
          <w:lang w:eastAsia="bg-BG"/>
        </w:rPr>
        <w:t xml:space="preserve"> </w:t>
      </w:r>
      <w:r w:rsidR="001B61C2" w:rsidRPr="007D063B">
        <w:rPr>
          <w:rFonts w:ascii="Times New Roman" w:hAnsi="Times New Roman"/>
          <w:bCs/>
          <w:szCs w:val="24"/>
          <w:bdr w:val="none" w:sz="0" w:space="0" w:color="auto" w:frame="1"/>
          <w:lang w:eastAsia="bg-BG"/>
        </w:rPr>
        <w:t xml:space="preserve">и </w:t>
      </w:r>
      <w:r w:rsidR="00412042" w:rsidRPr="007D063B">
        <w:rPr>
          <w:rFonts w:ascii="Times New Roman" w:hAnsi="Times New Roman"/>
          <w:bCs/>
          <w:szCs w:val="24"/>
          <w:bdr w:val="none" w:sz="0" w:space="0" w:color="auto" w:frame="1"/>
          <w:lang w:eastAsia="bg-BG"/>
        </w:rPr>
        <w:t xml:space="preserve">популяризиране на възможностите за работа </w:t>
      </w:r>
      <w:r w:rsidRPr="007D063B">
        <w:rPr>
          <w:rFonts w:ascii="Times New Roman" w:hAnsi="Times New Roman"/>
          <w:bCs/>
          <w:szCs w:val="24"/>
          <w:bdr w:val="none" w:sz="0" w:space="0" w:color="auto" w:frame="1"/>
          <w:lang w:eastAsia="bg-BG"/>
        </w:rPr>
        <w:t>в държавната администрация.</w:t>
      </w:r>
    </w:p>
    <w:p w14:paraId="641B1FBE" w14:textId="5DD50F90" w:rsidR="00D97877" w:rsidRPr="007D063B" w:rsidRDefault="00D97877" w:rsidP="00D97877">
      <w:pPr>
        <w:pStyle w:val="ListParagraph"/>
        <w:numPr>
          <w:ilvl w:val="0"/>
          <w:numId w:val="20"/>
        </w:numPr>
        <w:spacing w:after="0" w:line="312" w:lineRule="atLeast"/>
        <w:textAlignment w:val="baseline"/>
        <w:rPr>
          <w:rFonts w:ascii="Times New Roman" w:hAnsi="Times New Roman"/>
          <w:bCs/>
          <w:szCs w:val="24"/>
          <w:bdr w:val="none" w:sz="0" w:space="0" w:color="auto" w:frame="1"/>
          <w:lang w:eastAsia="bg-BG"/>
        </w:rPr>
      </w:pPr>
      <w:r w:rsidRPr="007D063B">
        <w:rPr>
          <w:rFonts w:ascii="Times New Roman" w:hAnsi="Times New Roman"/>
          <w:bCs/>
          <w:szCs w:val="24"/>
          <w:bdr w:val="none" w:sz="0" w:space="0" w:color="auto" w:frame="1"/>
          <w:lang w:eastAsia="bg-BG"/>
        </w:rPr>
        <w:t>Подобряване на информационното обслужване и повишаване ефективността в сектор „Правосъдие“, чрез използване на електронни документи не само от органите в сектора, но и при взаимодействието им с други административни органи, организации, граждани и бизнеса чрез проекта на ВСС за изграждане на Единна информационна система на съдилищата (ЕИСС)  и Специализираната информационна система за мониторинг и анализ (СИСМА).</w:t>
      </w:r>
    </w:p>
    <w:p w14:paraId="5D94CB7A" w14:textId="19FD112E" w:rsidR="00DD2D83" w:rsidRPr="007D063B" w:rsidRDefault="00DD2D83" w:rsidP="00D83A40">
      <w:pPr>
        <w:spacing w:after="0" w:line="312" w:lineRule="atLeast"/>
        <w:ind w:left="360"/>
        <w:textAlignment w:val="baseline"/>
        <w:rPr>
          <w:rFonts w:ascii="Times New Roman" w:hAnsi="Times New Roman"/>
          <w:bCs/>
          <w:szCs w:val="24"/>
          <w:bdr w:val="none" w:sz="0" w:space="0" w:color="auto" w:frame="1"/>
          <w:lang w:eastAsia="bg-BG"/>
        </w:rPr>
      </w:pPr>
    </w:p>
    <w:p w14:paraId="653E9D15" w14:textId="01A28C4F" w:rsidR="00816F06" w:rsidRPr="007D063B" w:rsidRDefault="00816F06" w:rsidP="00E338DA">
      <w:pPr>
        <w:pStyle w:val="Heading2"/>
        <w:jc w:val="both"/>
        <w:rPr>
          <w:rFonts w:ascii="Times New Roman" w:eastAsia="Times New Roman" w:hAnsi="Times New Roman" w:cs="Times New Roman"/>
          <w:b/>
          <w:bCs/>
          <w:color w:val="auto"/>
          <w:sz w:val="24"/>
          <w:szCs w:val="24"/>
          <w:lang w:eastAsia="bg-BG"/>
        </w:rPr>
      </w:pPr>
      <w:bookmarkStart w:id="59" w:name="_GoBack"/>
      <w:r w:rsidRPr="007D063B">
        <w:rPr>
          <w:rFonts w:ascii="Times New Roman" w:eastAsia="Times New Roman" w:hAnsi="Times New Roman" w:cs="Times New Roman"/>
          <w:b/>
          <w:bCs/>
          <w:color w:val="auto"/>
          <w:sz w:val="24"/>
          <w:szCs w:val="24"/>
          <w:lang w:eastAsia="bg-BG"/>
        </w:rPr>
        <w:t>14.6   </w:t>
      </w:r>
      <w:r w:rsidRPr="007D063B">
        <w:rPr>
          <w:rFonts w:ascii="inherit" w:eastAsia="Times New Roman" w:hAnsi="inherit" w:cs="Times New Roman" w:hint="eastAsia"/>
          <w:b/>
          <w:bCs/>
          <w:color w:val="auto"/>
          <w:sz w:val="24"/>
          <w:szCs w:val="24"/>
          <w:bdr w:val="none" w:sz="0" w:space="0" w:color="auto" w:frame="1"/>
          <w:lang w:eastAsia="bg-BG"/>
        </w:rPr>
        <w:t>Напредък</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в</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изпълнението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мерките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насочени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към</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специфичните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нужди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най</w:t>
      </w:r>
      <w:r w:rsidRPr="007D063B">
        <w:rPr>
          <w:rFonts w:ascii="inherit" w:eastAsia="Times New Roman" w:hAnsi="inherit" w:cs="Times New Roman"/>
          <w:b/>
          <w:bCs/>
          <w:color w:val="auto"/>
          <w:sz w:val="24"/>
          <w:szCs w:val="24"/>
          <w:bdr w:val="none" w:sz="0" w:space="0" w:color="auto" w:frame="1"/>
          <w:lang w:eastAsia="bg-BG"/>
        </w:rPr>
        <w:t>-</w:t>
      </w:r>
      <w:r w:rsidRPr="007D063B">
        <w:rPr>
          <w:rFonts w:ascii="inherit" w:eastAsia="Times New Roman" w:hAnsi="inherit" w:cs="Times New Roman" w:hint="eastAsia"/>
          <w:b/>
          <w:bCs/>
          <w:color w:val="auto"/>
          <w:sz w:val="24"/>
          <w:szCs w:val="24"/>
          <w:bdr w:val="none" w:sz="0" w:space="0" w:color="auto" w:frame="1"/>
          <w:lang w:eastAsia="bg-BG"/>
        </w:rPr>
        <w:t>силно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засегнатите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от</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бедност</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географски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райони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или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целевите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групи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изложени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най</w:t>
      </w:r>
      <w:r w:rsidRPr="007D063B">
        <w:rPr>
          <w:rFonts w:ascii="inherit" w:eastAsia="Times New Roman" w:hAnsi="inherit" w:cs="Times New Roman"/>
          <w:b/>
          <w:bCs/>
          <w:color w:val="auto"/>
          <w:sz w:val="24"/>
          <w:szCs w:val="24"/>
          <w:bdr w:val="none" w:sz="0" w:space="0" w:color="auto" w:frame="1"/>
          <w:lang w:eastAsia="bg-BG"/>
        </w:rPr>
        <w:t>-</w:t>
      </w:r>
      <w:r w:rsidRPr="007D063B">
        <w:rPr>
          <w:rFonts w:ascii="inherit" w:eastAsia="Times New Roman" w:hAnsi="inherit" w:cs="Times New Roman" w:hint="eastAsia"/>
          <w:b/>
          <w:bCs/>
          <w:color w:val="auto"/>
          <w:sz w:val="24"/>
          <w:szCs w:val="24"/>
          <w:bdr w:val="none" w:sz="0" w:space="0" w:color="auto" w:frame="1"/>
          <w:lang w:eastAsia="bg-BG"/>
        </w:rPr>
        <w:t>висок</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риск</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от</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бедност</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дискриминация</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или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социално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изключване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като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се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обръща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специално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внимание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маргинализираните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общности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хората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с</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увреждания</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дълготрайно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безработните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младежите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които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участват</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в</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никаква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форма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на</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заетост</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включително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ако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целесъобразно</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използваните</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финансови</w:t>
      </w:r>
      <w:r w:rsidRPr="007D063B">
        <w:rPr>
          <w:rFonts w:ascii="inherit" w:eastAsia="Times New Roman" w:hAnsi="inherit" w:cs="Times New Roman"/>
          <w:b/>
          <w:bCs/>
          <w:color w:val="auto"/>
          <w:sz w:val="24"/>
          <w:szCs w:val="24"/>
          <w:bdr w:val="none" w:sz="0" w:space="0" w:color="auto" w:frame="1"/>
          <w:lang w:eastAsia="bg-BG"/>
        </w:rPr>
        <w:t xml:space="preserve"> </w:t>
      </w:r>
      <w:r w:rsidRPr="007D063B">
        <w:rPr>
          <w:rFonts w:ascii="inherit" w:eastAsia="Times New Roman" w:hAnsi="inherit" w:cs="Times New Roman" w:hint="eastAsia"/>
          <w:b/>
          <w:bCs/>
          <w:color w:val="auto"/>
          <w:sz w:val="24"/>
          <w:szCs w:val="24"/>
          <w:bdr w:val="none" w:sz="0" w:space="0" w:color="auto" w:frame="1"/>
          <w:lang w:eastAsia="bg-BG"/>
        </w:rPr>
        <w:t>ресурси</w:t>
      </w:r>
      <w:bookmarkEnd w:id="58"/>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14109"/>
      </w:tblGrid>
      <w:tr w:rsidR="00816F06" w:rsidRPr="003223B1" w14:paraId="32FD42ED" w14:textId="77777777" w:rsidTr="00816F06">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bookmarkEnd w:id="59"/>
          <w:p w14:paraId="2E1D0F70" w14:textId="77777777" w:rsidR="00816F06" w:rsidRPr="007D063B" w:rsidRDefault="00816F06" w:rsidP="00816F06">
            <w:pPr>
              <w:spacing w:after="0" w:line="312" w:lineRule="atLeast"/>
              <w:jc w:val="both"/>
              <w:textAlignment w:val="baseline"/>
              <w:rPr>
                <w:rFonts w:ascii="inherit" w:eastAsia="Times New Roman" w:hAnsi="inherit" w:cs="Times New Roman"/>
                <w:color w:val="444444"/>
                <w:sz w:val="24"/>
                <w:szCs w:val="24"/>
                <w:lang w:eastAsia="bg-BG"/>
              </w:rPr>
            </w:pPr>
            <w:r w:rsidRPr="007D063B">
              <w:rPr>
                <w:rFonts w:ascii="inherit" w:eastAsia="Times New Roman" w:hAnsi="inherit" w:cs="Times New Roman"/>
                <w:i/>
                <w:iCs/>
                <w:color w:val="444444"/>
                <w:sz w:val="24"/>
                <w:szCs w:val="24"/>
                <w:bdr w:val="none" w:sz="0" w:space="0" w:color="auto" w:frame="1"/>
                <w:lang w:eastAsia="bg-BG"/>
              </w:rPr>
              <w:t>&lt;type='S' maxlength=3500 input='M'&gt;</w:t>
            </w:r>
          </w:p>
          <w:p w14:paraId="74AC075C" w14:textId="77777777" w:rsidR="00816F06" w:rsidRPr="007D063B" w:rsidRDefault="00816F06" w:rsidP="00816F06">
            <w:pPr>
              <w:spacing w:after="0" w:line="312" w:lineRule="atLeast"/>
              <w:jc w:val="both"/>
              <w:textAlignment w:val="baseline"/>
              <w:rPr>
                <w:rFonts w:eastAsia="Times New Roman" w:cs="Times New Roman"/>
                <w:b/>
                <w:bCs/>
                <w:color w:val="444444"/>
                <w:sz w:val="24"/>
                <w:szCs w:val="24"/>
                <w:bdr w:val="none" w:sz="0" w:space="0" w:color="auto" w:frame="1"/>
                <w:lang w:eastAsia="bg-BG"/>
              </w:rPr>
            </w:pPr>
            <w:r w:rsidRPr="007D063B">
              <w:rPr>
                <w:rFonts w:ascii="inherit" w:eastAsia="Times New Roman" w:hAnsi="inherit" w:cs="Times New Roman"/>
                <w:b/>
                <w:bCs/>
                <w:color w:val="444444"/>
                <w:sz w:val="24"/>
                <w:szCs w:val="24"/>
                <w:bdr w:val="none" w:sz="0" w:space="0" w:color="auto" w:frame="1"/>
                <w:lang w:eastAsia="bg-BG"/>
              </w:rPr>
              <w:t>(вариант с доклад за напредъка)</w:t>
            </w:r>
          </w:p>
          <w:p w14:paraId="4599653F" w14:textId="77777777" w:rsidR="00EF0F74" w:rsidRPr="007D063B" w:rsidRDefault="00EF0F74" w:rsidP="00816F06">
            <w:pPr>
              <w:spacing w:after="0" w:line="312" w:lineRule="atLeast"/>
              <w:jc w:val="both"/>
              <w:textAlignment w:val="baseline"/>
              <w:rPr>
                <w:rFonts w:eastAsia="Times New Roman" w:cs="Times New Roman"/>
                <w:color w:val="444444"/>
                <w:sz w:val="24"/>
                <w:szCs w:val="24"/>
                <w:lang w:eastAsia="bg-BG"/>
              </w:rPr>
            </w:pPr>
          </w:p>
          <w:p w14:paraId="2BE6093D" w14:textId="3E44401D" w:rsidR="00CD7E0D" w:rsidRPr="00EF0F74" w:rsidRDefault="00CD7E0D" w:rsidP="00E338DA">
            <w:pPr>
              <w:spacing w:after="0" w:line="312" w:lineRule="atLeast"/>
              <w:jc w:val="both"/>
              <w:textAlignment w:val="baseline"/>
              <w:rPr>
                <w:rFonts w:eastAsia="Times New Roman" w:cs="Times New Roman"/>
                <w:color w:val="444444"/>
                <w:sz w:val="24"/>
                <w:szCs w:val="24"/>
                <w:lang w:eastAsia="bg-BG"/>
              </w:rPr>
            </w:pPr>
            <w:r w:rsidRPr="007D063B">
              <w:rPr>
                <w:rFonts w:ascii="Times New Roman" w:eastAsia="Times New Roman" w:hAnsi="Times New Roman" w:cs="Times New Roman"/>
                <w:bCs/>
                <w:color w:val="000000"/>
                <w:sz w:val="24"/>
                <w:szCs w:val="24"/>
                <w:lang w:eastAsia="bg-BG"/>
              </w:rPr>
              <w:t>Неприложимо.</w:t>
            </w:r>
          </w:p>
        </w:tc>
      </w:tr>
    </w:tbl>
    <w:p w14:paraId="0DE7A7D0" w14:textId="6256801E" w:rsidR="00816F06" w:rsidRDefault="00816F06" w:rsidP="00E338DA">
      <w:pPr>
        <w:shd w:val="clear" w:color="auto" w:fill="FFFFFF"/>
        <w:spacing w:after="0" w:line="240" w:lineRule="auto"/>
        <w:jc w:val="both"/>
        <w:textAlignment w:val="baseline"/>
      </w:pPr>
    </w:p>
    <w:sectPr w:rsidR="00816F06" w:rsidSect="00CA2A1D">
      <w:headerReference w:type="default" r:id="rId75"/>
      <w:footerReference w:type="default" r:id="rId76"/>
      <w:pgSz w:w="16838" w:h="11906" w:orient="landscape"/>
      <w:pgMar w:top="1186" w:right="1417" w:bottom="1276" w:left="1417" w:header="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12B9EE" w14:textId="77777777" w:rsidR="00DC49EA" w:rsidRDefault="00DC49EA" w:rsidP="007958CF">
      <w:pPr>
        <w:spacing w:after="0" w:line="240" w:lineRule="auto"/>
      </w:pPr>
      <w:r>
        <w:separator/>
      </w:r>
    </w:p>
  </w:endnote>
  <w:endnote w:type="continuationSeparator" w:id="0">
    <w:p w14:paraId="59CA7381" w14:textId="77777777" w:rsidR="00DC49EA" w:rsidRDefault="00DC49EA" w:rsidP="007958CF">
      <w:pPr>
        <w:spacing w:after="0" w:line="240" w:lineRule="auto"/>
      </w:pPr>
      <w:r>
        <w:continuationSeparator/>
      </w:r>
    </w:p>
  </w:endnote>
  <w:endnote w:type="continuationNotice" w:id="1">
    <w:p w14:paraId="038D0947" w14:textId="77777777" w:rsidR="00DC49EA" w:rsidRDefault="00DC49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BD3F9" w14:textId="0DFFC6C1" w:rsidR="00DC49EA" w:rsidRPr="002B3BEA" w:rsidRDefault="00DC49EA" w:rsidP="002B3BEA">
    <w:pPr>
      <w:pStyle w:val="Footer"/>
      <w:pBdr>
        <w:top w:val="single" w:sz="4" w:space="1" w:color="auto"/>
      </w:pBdr>
      <w:jc w:val="center"/>
      <w:rPr>
        <w:rFonts w:ascii="Times New Roman" w:hAnsi="Times New Roman" w:cs="Times New Roman"/>
        <w:i/>
        <w:lang w:val="en-US"/>
      </w:rPr>
    </w:pPr>
    <w:r w:rsidRPr="002B3BEA">
      <w:rPr>
        <w:rFonts w:ascii="Times New Roman" w:hAnsi="Times New Roman" w:cs="Times New Roman"/>
        <w:i/>
        <w:lang w:val="en-US"/>
      </w:rPr>
      <w:t>www.eufunds.bg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292EF" w14:textId="77777777" w:rsidR="00DC49EA" w:rsidRDefault="00DC49EA" w:rsidP="007958CF">
      <w:pPr>
        <w:spacing w:after="0" w:line="240" w:lineRule="auto"/>
      </w:pPr>
      <w:r>
        <w:separator/>
      </w:r>
    </w:p>
  </w:footnote>
  <w:footnote w:type="continuationSeparator" w:id="0">
    <w:p w14:paraId="61690AA5" w14:textId="77777777" w:rsidR="00DC49EA" w:rsidRDefault="00DC49EA" w:rsidP="007958CF">
      <w:pPr>
        <w:spacing w:after="0" w:line="240" w:lineRule="auto"/>
      </w:pPr>
      <w:r>
        <w:continuationSeparator/>
      </w:r>
    </w:p>
  </w:footnote>
  <w:footnote w:type="continuationNotice" w:id="1">
    <w:p w14:paraId="09922A6D" w14:textId="77777777" w:rsidR="00DC49EA" w:rsidRDefault="00DC49EA">
      <w:pPr>
        <w:spacing w:after="0" w:line="240" w:lineRule="auto"/>
      </w:pPr>
    </w:p>
  </w:footnote>
  <w:footnote w:id="2">
    <w:p w14:paraId="6AED1F0F" w14:textId="2DB1403B" w:rsidR="00DC49EA" w:rsidRDefault="00DC49EA" w:rsidP="008F02EC">
      <w:pPr>
        <w:pStyle w:val="FootnoteText"/>
        <w:jc w:val="both"/>
      </w:pPr>
      <w:r>
        <w:rPr>
          <w:rStyle w:val="FootnoteReference"/>
        </w:rPr>
        <w:footnoteRef/>
      </w:r>
      <w:r>
        <w:t xml:space="preserve"> </w:t>
      </w:r>
      <w:r w:rsidRPr="00D11324">
        <w:rPr>
          <w:rFonts w:ascii="Times New Roman" w:hAnsi="Times New Roman" w:cs="Times New Roman"/>
        </w:rPr>
        <w:t>разликата между отчетените стойности</w:t>
      </w:r>
      <w:r>
        <w:rPr>
          <w:rFonts w:ascii="Times New Roman" w:hAnsi="Times New Roman" w:cs="Times New Roman"/>
        </w:rPr>
        <w:t xml:space="preserve"> на</w:t>
      </w:r>
      <w:r w:rsidRPr="00D11324">
        <w:rPr>
          <w:rFonts w:ascii="Times New Roman" w:hAnsi="Times New Roman" w:cs="Times New Roman"/>
        </w:rPr>
        <w:t xml:space="preserve"> </w:t>
      </w:r>
      <w:r>
        <w:rPr>
          <w:rFonts w:ascii="Times New Roman" w:hAnsi="Times New Roman" w:cs="Times New Roman"/>
        </w:rPr>
        <w:t>общите показатели за изпълнение (536</w:t>
      </w:r>
      <w:r w:rsidRPr="008F02EC">
        <w:rPr>
          <w:rFonts w:ascii="Times New Roman" w:hAnsi="Times New Roman" w:cs="Times New Roman"/>
        </w:rPr>
        <w:t xml:space="preserve">) и общите </w:t>
      </w:r>
      <w:r>
        <w:rPr>
          <w:rFonts w:ascii="Times New Roman" w:hAnsi="Times New Roman" w:cs="Times New Roman"/>
        </w:rPr>
        <w:t xml:space="preserve">специфични за програмата </w:t>
      </w:r>
      <w:r w:rsidRPr="008F02EC">
        <w:rPr>
          <w:rFonts w:ascii="Times New Roman" w:hAnsi="Times New Roman" w:cs="Times New Roman"/>
        </w:rPr>
        <w:t>п</w:t>
      </w:r>
      <w:r>
        <w:rPr>
          <w:rFonts w:ascii="Times New Roman" w:hAnsi="Times New Roman" w:cs="Times New Roman"/>
        </w:rPr>
        <w:t>оказатели за изпълнение (567</w:t>
      </w:r>
      <w:r w:rsidRPr="008F02EC">
        <w:rPr>
          <w:rFonts w:ascii="Times New Roman" w:hAnsi="Times New Roman" w:cs="Times New Roman"/>
        </w:rPr>
        <w:t>) се дължи на обстоятелството, че част от лицата са преминали повече от едно обучение през отчетния пер</w:t>
      </w:r>
      <w:r w:rsidRPr="00D11324">
        <w:rPr>
          <w:rFonts w:ascii="Times New Roman" w:hAnsi="Times New Roman" w:cs="Times New Roman"/>
        </w:rPr>
        <w:t>иод.</w:t>
      </w:r>
    </w:p>
  </w:footnote>
  <w:footnote w:id="3">
    <w:p w14:paraId="311A3139" w14:textId="7885B039" w:rsidR="00DC49EA" w:rsidRPr="00E7155D" w:rsidRDefault="00DC49EA">
      <w:pPr>
        <w:pStyle w:val="FootnoteText"/>
        <w:rPr>
          <w:rFonts w:ascii="Times New Roman" w:hAnsi="Times New Roman" w:cs="Times New Roman"/>
        </w:rPr>
      </w:pPr>
      <w:r>
        <w:rPr>
          <w:rStyle w:val="FootnoteReference"/>
        </w:rPr>
        <w:footnoteRef/>
      </w:r>
      <w:r>
        <w:t xml:space="preserve"> </w:t>
      </w:r>
      <w:r w:rsidRPr="00E7155D">
        <w:rPr>
          <w:rFonts w:ascii="Times New Roman" w:hAnsi="Times New Roman" w:cs="Times New Roman"/>
        </w:rPr>
        <w:t>Неприложима по ПО 5 по ОПДУ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1A367" w14:textId="77777777" w:rsidR="00DC49EA" w:rsidRDefault="00DC49EA" w:rsidP="002B3BEA">
    <w:pPr>
      <w:pStyle w:val="Header"/>
      <w:tabs>
        <w:tab w:val="clear" w:pos="4536"/>
        <w:tab w:val="clear" w:pos="9072"/>
        <w:tab w:val="center" w:pos="4961"/>
        <w:tab w:val="right" w:pos="9922"/>
      </w:tabs>
      <w:rPr>
        <w:noProof/>
        <w:lang w:val="en-US"/>
      </w:rPr>
    </w:pPr>
  </w:p>
  <w:p w14:paraId="61929D49" w14:textId="3DDA305D" w:rsidR="00DC49EA" w:rsidRDefault="00DC49EA" w:rsidP="00F920D9">
    <w:pPr>
      <w:pStyle w:val="Header"/>
      <w:tabs>
        <w:tab w:val="clear" w:pos="4536"/>
        <w:tab w:val="clear" w:pos="9072"/>
        <w:tab w:val="center" w:pos="4961"/>
        <w:tab w:val="right" w:pos="9922"/>
      </w:tabs>
      <w:rPr>
        <w:lang w:val="en-US"/>
      </w:rPr>
    </w:pPr>
    <w:r w:rsidRPr="007958CF">
      <w:rPr>
        <w:noProof/>
        <w:lang w:val="en-US"/>
      </w:rPr>
      <w:t xml:space="preserve">  </w:t>
    </w:r>
    <w:r w:rsidRPr="007958CF">
      <w:rPr>
        <w:noProof/>
        <w:lang w:eastAsia="bg-BG"/>
      </w:rPr>
      <w:drawing>
        <wp:inline distT="0" distB="0" distL="0" distR="0" wp14:anchorId="2A501676" wp14:editId="4F7FB45E">
          <wp:extent cx="1638300" cy="466725"/>
          <wp:effectExtent l="0" t="0" r="0" b="9525"/>
          <wp:docPr id="13" name="Picture 13" descr="EU_SEF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SEFrigh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466725"/>
                  </a:xfrm>
                  <a:prstGeom prst="rect">
                    <a:avLst/>
                  </a:prstGeom>
                  <a:noFill/>
                  <a:ln>
                    <a:noFill/>
                  </a:ln>
                </pic:spPr>
              </pic:pic>
            </a:graphicData>
          </a:graphic>
        </wp:inline>
      </w:drawing>
    </w:r>
    <w:r w:rsidRPr="007958CF">
      <w:rPr>
        <w:lang w:val="en-US"/>
      </w:rPr>
      <w:t xml:space="preserve">                                                                      </w:t>
    </w:r>
    <w:r w:rsidRPr="007958CF">
      <w:t xml:space="preserve">                                                                                                  </w:t>
    </w:r>
    <w:r w:rsidRPr="007958CF">
      <w:rPr>
        <w:lang w:val="en-US"/>
      </w:rPr>
      <w:t xml:space="preserve">  </w:t>
    </w:r>
    <w:r w:rsidRPr="007958CF">
      <w:rPr>
        <w:noProof/>
        <w:lang w:eastAsia="bg-BG"/>
      </w:rPr>
      <w:drawing>
        <wp:inline distT="0" distB="0" distL="0" distR="0" wp14:anchorId="23BE3A80" wp14:editId="53D70D87">
          <wp:extent cx="1818859" cy="638628"/>
          <wp:effectExtent l="0" t="0" r="0" b="9525"/>
          <wp:docPr id="1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2">
                    <a:extLst>
                      <a:ext uri="{28A0092B-C50C-407E-A947-70E740481C1C}">
                        <a14:useLocalDpi xmlns:a14="http://schemas.microsoft.com/office/drawing/2010/main" val="0"/>
                      </a:ext>
                    </a:extLst>
                  </a:blip>
                  <a:srcRect t="-1" r="7172" b="13502"/>
                  <a:stretch/>
                </pic:blipFill>
                <pic:spPr bwMode="auto">
                  <a:xfrm>
                    <a:off x="0" y="0"/>
                    <a:ext cx="1828991" cy="642186"/>
                  </a:xfrm>
                  <a:prstGeom prst="rect">
                    <a:avLst/>
                  </a:prstGeom>
                  <a:noFill/>
                  <a:ln>
                    <a:noFill/>
                  </a:ln>
                  <a:extLst>
                    <a:ext uri="{53640926-AAD7-44D8-BBD7-CCE9431645EC}">
                      <a14:shadowObscured xmlns:a14="http://schemas.microsoft.com/office/drawing/2010/main"/>
                    </a:ext>
                  </a:extLst>
                </pic:spPr>
              </pic:pic>
            </a:graphicData>
          </a:graphic>
        </wp:inline>
      </w:drawing>
    </w:r>
  </w:p>
  <w:p w14:paraId="7A133402" w14:textId="77777777" w:rsidR="00DC49EA" w:rsidRDefault="00DC49EA" w:rsidP="00F920D9">
    <w:pPr>
      <w:pStyle w:val="Header"/>
      <w:tabs>
        <w:tab w:val="clear" w:pos="4536"/>
        <w:tab w:val="clear" w:pos="9072"/>
        <w:tab w:val="center" w:pos="4961"/>
        <w:tab w:val="right" w:pos="992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349EE"/>
    <w:multiLevelType w:val="hybridMultilevel"/>
    <w:tmpl w:val="0A747E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1E56DDE"/>
    <w:multiLevelType w:val="hybridMultilevel"/>
    <w:tmpl w:val="742C5314"/>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 w15:restartNumberingAfterBreak="0">
    <w:nsid w:val="039A5821"/>
    <w:multiLevelType w:val="hybridMultilevel"/>
    <w:tmpl w:val="247859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F10DA0"/>
    <w:multiLevelType w:val="hybridMultilevel"/>
    <w:tmpl w:val="877ABAE0"/>
    <w:lvl w:ilvl="0" w:tplc="B5E48144">
      <w:start w:val="2016"/>
      <w:numFmt w:val="decimal"/>
      <w:lvlText w:val="%1"/>
      <w:lvlJc w:val="left"/>
      <w:pPr>
        <w:ind w:left="840" w:hanging="48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76C5E55"/>
    <w:multiLevelType w:val="hybridMultilevel"/>
    <w:tmpl w:val="1A1A965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8E56DE2"/>
    <w:multiLevelType w:val="hybridMultilevel"/>
    <w:tmpl w:val="7702F3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DD7161F"/>
    <w:multiLevelType w:val="hybridMultilevel"/>
    <w:tmpl w:val="9564A35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0E2A25F0"/>
    <w:multiLevelType w:val="hybridMultilevel"/>
    <w:tmpl w:val="325EBE9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54527B6"/>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32F57"/>
    <w:multiLevelType w:val="hybridMultilevel"/>
    <w:tmpl w:val="95961008"/>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0" w15:restartNumberingAfterBreak="0">
    <w:nsid w:val="1F85624E"/>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1893D64"/>
    <w:multiLevelType w:val="hybridMultilevel"/>
    <w:tmpl w:val="C8004650"/>
    <w:lvl w:ilvl="0" w:tplc="6BAAEBA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6251B9C"/>
    <w:multiLevelType w:val="hybridMultilevel"/>
    <w:tmpl w:val="CE0646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9DC1C97"/>
    <w:multiLevelType w:val="multilevel"/>
    <w:tmpl w:val="0402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4" w15:restartNumberingAfterBreak="0">
    <w:nsid w:val="2C475A3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DA5553A"/>
    <w:multiLevelType w:val="hybridMultilevel"/>
    <w:tmpl w:val="EE9C6D3E"/>
    <w:lvl w:ilvl="0" w:tplc="04020001">
      <w:start w:val="1"/>
      <w:numFmt w:val="bullet"/>
      <w:lvlText w:val=""/>
      <w:lvlJc w:val="left"/>
      <w:pPr>
        <w:ind w:left="720"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F0F21D4"/>
    <w:multiLevelType w:val="hybridMultilevel"/>
    <w:tmpl w:val="FBD60C8E"/>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7" w15:restartNumberingAfterBreak="0">
    <w:nsid w:val="322A43B1"/>
    <w:multiLevelType w:val="hybridMultilevel"/>
    <w:tmpl w:val="44CCDCFE"/>
    <w:lvl w:ilvl="0" w:tplc="0402000D">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8" w15:restartNumberingAfterBreak="0">
    <w:nsid w:val="39244BC7"/>
    <w:multiLevelType w:val="hybridMultilevel"/>
    <w:tmpl w:val="88EAF88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FD04E9F"/>
    <w:multiLevelType w:val="hybridMultilevel"/>
    <w:tmpl w:val="D4902D42"/>
    <w:lvl w:ilvl="0" w:tplc="4B36D18E">
      <w:start w:val="2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4F5305C"/>
    <w:multiLevelType w:val="hybridMultilevel"/>
    <w:tmpl w:val="F9EC6CF2"/>
    <w:lvl w:ilvl="0" w:tplc="FD7C1D1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4517475F"/>
    <w:multiLevelType w:val="hybridMultilevel"/>
    <w:tmpl w:val="646E3144"/>
    <w:lvl w:ilvl="0" w:tplc="CD12D50A">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467E146D"/>
    <w:multiLevelType w:val="hybridMultilevel"/>
    <w:tmpl w:val="7C7873E2"/>
    <w:lvl w:ilvl="0" w:tplc="0402000D">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3" w15:restartNumberingAfterBreak="0">
    <w:nsid w:val="49A91C27"/>
    <w:multiLevelType w:val="hybridMultilevel"/>
    <w:tmpl w:val="9A6CB31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4A710969"/>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BBF13B0"/>
    <w:multiLevelType w:val="hybridMultilevel"/>
    <w:tmpl w:val="6CD23884"/>
    <w:lvl w:ilvl="0" w:tplc="0EA2DBF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00B05B3"/>
    <w:multiLevelType w:val="hybridMultilevel"/>
    <w:tmpl w:val="449C6F5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1C66505"/>
    <w:multiLevelType w:val="hybridMultilevel"/>
    <w:tmpl w:val="EC2E6036"/>
    <w:lvl w:ilvl="0" w:tplc="F06E60A4">
      <w:numFmt w:val="bullet"/>
      <w:lvlText w:val="-"/>
      <w:lvlJc w:val="left"/>
      <w:pPr>
        <w:ind w:left="1211" w:hanging="360"/>
      </w:pPr>
      <w:rPr>
        <w:rFonts w:ascii="Calibri" w:eastAsia="Times New Roman" w:hAnsi="Calibri" w:cs="Calibri"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28" w15:restartNumberingAfterBreak="0">
    <w:nsid w:val="525601BA"/>
    <w:multiLevelType w:val="hybridMultilevel"/>
    <w:tmpl w:val="BDC822A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54D2451"/>
    <w:multiLevelType w:val="hybridMultilevel"/>
    <w:tmpl w:val="EF66B47C"/>
    <w:lvl w:ilvl="0" w:tplc="16A4FC92">
      <w:numFmt w:val="bullet"/>
      <w:lvlText w:val="-"/>
      <w:lvlJc w:val="left"/>
      <w:pPr>
        <w:ind w:left="753" w:hanging="360"/>
      </w:pPr>
      <w:rPr>
        <w:rFonts w:ascii="Times New Roman" w:eastAsia="Times New Roman" w:hAnsi="Times New Roman" w:cs="Times New Roman" w:hint="default"/>
      </w:rPr>
    </w:lvl>
    <w:lvl w:ilvl="1" w:tplc="04020003" w:tentative="1">
      <w:start w:val="1"/>
      <w:numFmt w:val="bullet"/>
      <w:lvlText w:val="o"/>
      <w:lvlJc w:val="left"/>
      <w:pPr>
        <w:ind w:left="1473" w:hanging="360"/>
      </w:pPr>
      <w:rPr>
        <w:rFonts w:ascii="Courier New" w:hAnsi="Courier New" w:cs="Courier New" w:hint="default"/>
      </w:rPr>
    </w:lvl>
    <w:lvl w:ilvl="2" w:tplc="04020005" w:tentative="1">
      <w:start w:val="1"/>
      <w:numFmt w:val="bullet"/>
      <w:lvlText w:val=""/>
      <w:lvlJc w:val="left"/>
      <w:pPr>
        <w:ind w:left="2193" w:hanging="360"/>
      </w:pPr>
      <w:rPr>
        <w:rFonts w:ascii="Wingdings" w:hAnsi="Wingdings" w:hint="default"/>
      </w:rPr>
    </w:lvl>
    <w:lvl w:ilvl="3" w:tplc="04020001" w:tentative="1">
      <w:start w:val="1"/>
      <w:numFmt w:val="bullet"/>
      <w:lvlText w:val=""/>
      <w:lvlJc w:val="left"/>
      <w:pPr>
        <w:ind w:left="2913" w:hanging="360"/>
      </w:pPr>
      <w:rPr>
        <w:rFonts w:ascii="Symbol" w:hAnsi="Symbol" w:hint="default"/>
      </w:rPr>
    </w:lvl>
    <w:lvl w:ilvl="4" w:tplc="04020003" w:tentative="1">
      <w:start w:val="1"/>
      <w:numFmt w:val="bullet"/>
      <w:lvlText w:val="o"/>
      <w:lvlJc w:val="left"/>
      <w:pPr>
        <w:ind w:left="3633" w:hanging="360"/>
      </w:pPr>
      <w:rPr>
        <w:rFonts w:ascii="Courier New" w:hAnsi="Courier New" w:cs="Courier New" w:hint="default"/>
      </w:rPr>
    </w:lvl>
    <w:lvl w:ilvl="5" w:tplc="04020005" w:tentative="1">
      <w:start w:val="1"/>
      <w:numFmt w:val="bullet"/>
      <w:lvlText w:val=""/>
      <w:lvlJc w:val="left"/>
      <w:pPr>
        <w:ind w:left="4353" w:hanging="360"/>
      </w:pPr>
      <w:rPr>
        <w:rFonts w:ascii="Wingdings" w:hAnsi="Wingdings" w:hint="default"/>
      </w:rPr>
    </w:lvl>
    <w:lvl w:ilvl="6" w:tplc="04020001" w:tentative="1">
      <w:start w:val="1"/>
      <w:numFmt w:val="bullet"/>
      <w:lvlText w:val=""/>
      <w:lvlJc w:val="left"/>
      <w:pPr>
        <w:ind w:left="5073" w:hanging="360"/>
      </w:pPr>
      <w:rPr>
        <w:rFonts w:ascii="Symbol" w:hAnsi="Symbol" w:hint="default"/>
      </w:rPr>
    </w:lvl>
    <w:lvl w:ilvl="7" w:tplc="04020003" w:tentative="1">
      <w:start w:val="1"/>
      <w:numFmt w:val="bullet"/>
      <w:lvlText w:val="o"/>
      <w:lvlJc w:val="left"/>
      <w:pPr>
        <w:ind w:left="5793" w:hanging="360"/>
      </w:pPr>
      <w:rPr>
        <w:rFonts w:ascii="Courier New" w:hAnsi="Courier New" w:cs="Courier New" w:hint="default"/>
      </w:rPr>
    </w:lvl>
    <w:lvl w:ilvl="8" w:tplc="04020005" w:tentative="1">
      <w:start w:val="1"/>
      <w:numFmt w:val="bullet"/>
      <w:lvlText w:val=""/>
      <w:lvlJc w:val="left"/>
      <w:pPr>
        <w:ind w:left="6513" w:hanging="360"/>
      </w:pPr>
      <w:rPr>
        <w:rFonts w:ascii="Wingdings" w:hAnsi="Wingdings" w:hint="default"/>
      </w:rPr>
    </w:lvl>
  </w:abstractNum>
  <w:abstractNum w:abstractNumId="30" w15:restartNumberingAfterBreak="0">
    <w:nsid w:val="589D5229"/>
    <w:multiLevelType w:val="hybridMultilevel"/>
    <w:tmpl w:val="4AE6BC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B4A7DD4"/>
    <w:multiLevelType w:val="hybridMultilevel"/>
    <w:tmpl w:val="157468A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5B9C2D8A"/>
    <w:multiLevelType w:val="hybridMultilevel"/>
    <w:tmpl w:val="A04ADFF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5DDD3C90"/>
    <w:multiLevelType w:val="hybridMultilevel"/>
    <w:tmpl w:val="5E78985A"/>
    <w:lvl w:ilvl="0" w:tplc="0402000D">
      <w:start w:val="1"/>
      <w:numFmt w:val="bullet"/>
      <w:lvlText w:val=""/>
      <w:lvlJc w:val="left"/>
      <w:pPr>
        <w:ind w:left="360" w:hanging="360"/>
      </w:pPr>
      <w:rPr>
        <w:rFonts w:ascii="Wingdings" w:hAnsi="Wingdings" w:hint="default"/>
      </w:rPr>
    </w:lvl>
    <w:lvl w:ilvl="1" w:tplc="0402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4" w15:restartNumberingAfterBreak="0">
    <w:nsid w:val="5F2C5EA7"/>
    <w:multiLevelType w:val="hybridMultilevel"/>
    <w:tmpl w:val="024EDA50"/>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02372D3"/>
    <w:multiLevelType w:val="hybridMultilevel"/>
    <w:tmpl w:val="AF9C659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67561633"/>
    <w:multiLevelType w:val="hybridMultilevel"/>
    <w:tmpl w:val="0A747E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00C4365"/>
    <w:multiLevelType w:val="hybridMultilevel"/>
    <w:tmpl w:val="652A673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7476319C"/>
    <w:multiLevelType w:val="hybridMultilevel"/>
    <w:tmpl w:val="4C20C206"/>
    <w:lvl w:ilvl="0" w:tplc="9E86072A">
      <w:start w:val="2015"/>
      <w:numFmt w:val="decimal"/>
      <w:lvlText w:val="%1"/>
      <w:lvlJc w:val="left"/>
      <w:pPr>
        <w:ind w:left="840" w:hanging="48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74F95873"/>
    <w:multiLevelType w:val="hybridMultilevel"/>
    <w:tmpl w:val="96802D6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0" w15:restartNumberingAfterBreak="0">
    <w:nsid w:val="76597E8C"/>
    <w:multiLevelType w:val="hybridMultilevel"/>
    <w:tmpl w:val="1BC000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9"/>
  </w:num>
  <w:num w:numId="2">
    <w:abstractNumId w:val="36"/>
  </w:num>
  <w:num w:numId="3">
    <w:abstractNumId w:val="5"/>
  </w:num>
  <w:num w:numId="4">
    <w:abstractNumId w:val="31"/>
  </w:num>
  <w:num w:numId="5">
    <w:abstractNumId w:val="34"/>
  </w:num>
  <w:num w:numId="6">
    <w:abstractNumId w:val="0"/>
  </w:num>
  <w:num w:numId="7">
    <w:abstractNumId w:val="23"/>
  </w:num>
  <w:num w:numId="8">
    <w:abstractNumId w:val="37"/>
  </w:num>
  <w:num w:numId="9">
    <w:abstractNumId w:val="30"/>
  </w:num>
  <w:num w:numId="10">
    <w:abstractNumId w:val="16"/>
  </w:num>
  <w:num w:numId="11">
    <w:abstractNumId w:val="9"/>
  </w:num>
  <w:num w:numId="12">
    <w:abstractNumId w:val="27"/>
  </w:num>
  <w:num w:numId="13">
    <w:abstractNumId w:val="1"/>
  </w:num>
  <w:num w:numId="14">
    <w:abstractNumId w:val="18"/>
  </w:num>
  <w:num w:numId="15">
    <w:abstractNumId w:val="24"/>
  </w:num>
  <w:num w:numId="16">
    <w:abstractNumId w:val="8"/>
  </w:num>
  <w:num w:numId="17">
    <w:abstractNumId w:val="13"/>
  </w:num>
  <w:num w:numId="18">
    <w:abstractNumId w:val="14"/>
  </w:num>
  <w:num w:numId="19">
    <w:abstractNumId w:val="10"/>
  </w:num>
  <w:num w:numId="20">
    <w:abstractNumId w:val="15"/>
  </w:num>
  <w:num w:numId="21">
    <w:abstractNumId w:val="22"/>
  </w:num>
  <w:num w:numId="22">
    <w:abstractNumId w:val="40"/>
  </w:num>
  <w:num w:numId="23">
    <w:abstractNumId w:val="38"/>
  </w:num>
  <w:num w:numId="24">
    <w:abstractNumId w:val="33"/>
  </w:num>
  <w:num w:numId="25">
    <w:abstractNumId w:val="39"/>
  </w:num>
  <w:num w:numId="26">
    <w:abstractNumId w:val="3"/>
  </w:num>
  <w:num w:numId="27">
    <w:abstractNumId w:val="4"/>
  </w:num>
  <w:num w:numId="28">
    <w:abstractNumId w:val="19"/>
  </w:num>
  <w:num w:numId="29">
    <w:abstractNumId w:val="28"/>
  </w:num>
  <w:num w:numId="30">
    <w:abstractNumId w:val="35"/>
  </w:num>
  <w:num w:numId="31">
    <w:abstractNumId w:val="7"/>
  </w:num>
  <w:num w:numId="32">
    <w:abstractNumId w:val="32"/>
  </w:num>
  <w:num w:numId="33">
    <w:abstractNumId w:val="17"/>
  </w:num>
  <w:num w:numId="34">
    <w:abstractNumId w:val="11"/>
  </w:num>
  <w:num w:numId="35">
    <w:abstractNumId w:val="12"/>
  </w:num>
  <w:num w:numId="36">
    <w:abstractNumId w:val="21"/>
  </w:num>
  <w:num w:numId="37">
    <w:abstractNumId w:val="6"/>
  </w:num>
  <w:num w:numId="38">
    <w:abstractNumId w:val="25"/>
  </w:num>
  <w:num w:numId="39">
    <w:abstractNumId w:val="20"/>
  </w:num>
  <w:num w:numId="40">
    <w:abstractNumId w:val="26"/>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F83"/>
    <w:rsid w:val="00000D83"/>
    <w:rsid w:val="00002D40"/>
    <w:rsid w:val="000032C0"/>
    <w:rsid w:val="000043F1"/>
    <w:rsid w:val="00004984"/>
    <w:rsid w:val="00004D84"/>
    <w:rsid w:val="000077A1"/>
    <w:rsid w:val="0001322A"/>
    <w:rsid w:val="00013B10"/>
    <w:rsid w:val="00015C3B"/>
    <w:rsid w:val="00023261"/>
    <w:rsid w:val="0002385E"/>
    <w:rsid w:val="00023B09"/>
    <w:rsid w:val="00023F33"/>
    <w:rsid w:val="0002489E"/>
    <w:rsid w:val="00025572"/>
    <w:rsid w:val="00026909"/>
    <w:rsid w:val="0003529E"/>
    <w:rsid w:val="00036B81"/>
    <w:rsid w:val="0004079A"/>
    <w:rsid w:val="00041E44"/>
    <w:rsid w:val="00042127"/>
    <w:rsid w:val="00043835"/>
    <w:rsid w:val="00044CA3"/>
    <w:rsid w:val="00056B0F"/>
    <w:rsid w:val="000578FF"/>
    <w:rsid w:val="00060218"/>
    <w:rsid w:val="00060879"/>
    <w:rsid w:val="000609E5"/>
    <w:rsid w:val="000628CD"/>
    <w:rsid w:val="000667D1"/>
    <w:rsid w:val="000776AB"/>
    <w:rsid w:val="00081137"/>
    <w:rsid w:val="00081200"/>
    <w:rsid w:val="00082894"/>
    <w:rsid w:val="00083778"/>
    <w:rsid w:val="00084693"/>
    <w:rsid w:val="000869DB"/>
    <w:rsid w:val="00091CB9"/>
    <w:rsid w:val="00094A1E"/>
    <w:rsid w:val="000974C2"/>
    <w:rsid w:val="000A096E"/>
    <w:rsid w:val="000A1954"/>
    <w:rsid w:val="000A3054"/>
    <w:rsid w:val="000A3505"/>
    <w:rsid w:val="000A3789"/>
    <w:rsid w:val="000A54F3"/>
    <w:rsid w:val="000A66AF"/>
    <w:rsid w:val="000B0B8C"/>
    <w:rsid w:val="000B213B"/>
    <w:rsid w:val="000B6418"/>
    <w:rsid w:val="000C4589"/>
    <w:rsid w:val="000D0510"/>
    <w:rsid w:val="000D0906"/>
    <w:rsid w:val="000D2734"/>
    <w:rsid w:val="000D27AA"/>
    <w:rsid w:val="000D45A8"/>
    <w:rsid w:val="000E0DD6"/>
    <w:rsid w:val="000E3036"/>
    <w:rsid w:val="000E6D99"/>
    <w:rsid w:val="000E7182"/>
    <w:rsid w:val="000F1FDC"/>
    <w:rsid w:val="000F436A"/>
    <w:rsid w:val="000F5899"/>
    <w:rsid w:val="00101F9C"/>
    <w:rsid w:val="0010350D"/>
    <w:rsid w:val="001040D0"/>
    <w:rsid w:val="0010571C"/>
    <w:rsid w:val="001073E2"/>
    <w:rsid w:val="00113418"/>
    <w:rsid w:val="001151E3"/>
    <w:rsid w:val="00115F56"/>
    <w:rsid w:val="001179A0"/>
    <w:rsid w:val="00117C7C"/>
    <w:rsid w:val="00120AC5"/>
    <w:rsid w:val="001212CE"/>
    <w:rsid w:val="00123942"/>
    <w:rsid w:val="00127857"/>
    <w:rsid w:val="00134FF9"/>
    <w:rsid w:val="001357CE"/>
    <w:rsid w:val="00135D34"/>
    <w:rsid w:val="001404C2"/>
    <w:rsid w:val="00141BCC"/>
    <w:rsid w:val="00142EFD"/>
    <w:rsid w:val="00142F6A"/>
    <w:rsid w:val="00145621"/>
    <w:rsid w:val="001466C9"/>
    <w:rsid w:val="001520C2"/>
    <w:rsid w:val="00155B0B"/>
    <w:rsid w:val="001637F3"/>
    <w:rsid w:val="00163D65"/>
    <w:rsid w:val="0016414F"/>
    <w:rsid w:val="00164B8F"/>
    <w:rsid w:val="001653E5"/>
    <w:rsid w:val="00170543"/>
    <w:rsid w:val="00170E85"/>
    <w:rsid w:val="0017151F"/>
    <w:rsid w:val="001757CE"/>
    <w:rsid w:val="001762C8"/>
    <w:rsid w:val="00176D55"/>
    <w:rsid w:val="001777C9"/>
    <w:rsid w:val="0017785E"/>
    <w:rsid w:val="001A0909"/>
    <w:rsid w:val="001A2FAB"/>
    <w:rsid w:val="001A49C3"/>
    <w:rsid w:val="001A5412"/>
    <w:rsid w:val="001A54D7"/>
    <w:rsid w:val="001B1786"/>
    <w:rsid w:val="001B18E2"/>
    <w:rsid w:val="001B40E6"/>
    <w:rsid w:val="001B4A6C"/>
    <w:rsid w:val="001B61C2"/>
    <w:rsid w:val="001C1E1E"/>
    <w:rsid w:val="001C2C3D"/>
    <w:rsid w:val="001C30FC"/>
    <w:rsid w:val="001C69D3"/>
    <w:rsid w:val="001D00FC"/>
    <w:rsid w:val="001D17DA"/>
    <w:rsid w:val="001D6F88"/>
    <w:rsid w:val="001D7656"/>
    <w:rsid w:val="001E13B2"/>
    <w:rsid w:val="001E3946"/>
    <w:rsid w:val="001E49E5"/>
    <w:rsid w:val="001F279F"/>
    <w:rsid w:val="001F4B0C"/>
    <w:rsid w:val="001F5DCA"/>
    <w:rsid w:val="001F6B58"/>
    <w:rsid w:val="001F7611"/>
    <w:rsid w:val="00200C95"/>
    <w:rsid w:val="00203346"/>
    <w:rsid w:val="002036BB"/>
    <w:rsid w:val="00205626"/>
    <w:rsid w:val="002060D1"/>
    <w:rsid w:val="002112F3"/>
    <w:rsid w:val="00211595"/>
    <w:rsid w:val="002129F9"/>
    <w:rsid w:val="00214EDB"/>
    <w:rsid w:val="00221198"/>
    <w:rsid w:val="002217AE"/>
    <w:rsid w:val="002278D0"/>
    <w:rsid w:val="00240022"/>
    <w:rsid w:val="00240D54"/>
    <w:rsid w:val="00240DB1"/>
    <w:rsid w:val="00241A90"/>
    <w:rsid w:val="002532DC"/>
    <w:rsid w:val="00263617"/>
    <w:rsid w:val="00263956"/>
    <w:rsid w:val="00263D6E"/>
    <w:rsid w:val="002640DE"/>
    <w:rsid w:val="00264855"/>
    <w:rsid w:val="00266F51"/>
    <w:rsid w:val="002706E7"/>
    <w:rsid w:val="00270F12"/>
    <w:rsid w:val="00271CFB"/>
    <w:rsid w:val="002725A2"/>
    <w:rsid w:val="002754E1"/>
    <w:rsid w:val="00276DAB"/>
    <w:rsid w:val="0027764F"/>
    <w:rsid w:val="00281322"/>
    <w:rsid w:val="00286081"/>
    <w:rsid w:val="002877F7"/>
    <w:rsid w:val="00290D9E"/>
    <w:rsid w:val="00291CAF"/>
    <w:rsid w:val="00292B27"/>
    <w:rsid w:val="0029475F"/>
    <w:rsid w:val="00294AE3"/>
    <w:rsid w:val="002951B0"/>
    <w:rsid w:val="002A15D2"/>
    <w:rsid w:val="002A4341"/>
    <w:rsid w:val="002A5C55"/>
    <w:rsid w:val="002A7F34"/>
    <w:rsid w:val="002B3BEA"/>
    <w:rsid w:val="002B4181"/>
    <w:rsid w:val="002B4756"/>
    <w:rsid w:val="002C19FF"/>
    <w:rsid w:val="002C55BA"/>
    <w:rsid w:val="002C5BE8"/>
    <w:rsid w:val="002D2EC6"/>
    <w:rsid w:val="002D5F6F"/>
    <w:rsid w:val="002D7ACF"/>
    <w:rsid w:val="002E01E8"/>
    <w:rsid w:val="002E2649"/>
    <w:rsid w:val="002E52F3"/>
    <w:rsid w:val="002E748E"/>
    <w:rsid w:val="002F289C"/>
    <w:rsid w:val="002F3873"/>
    <w:rsid w:val="002F40F3"/>
    <w:rsid w:val="002F557E"/>
    <w:rsid w:val="00300120"/>
    <w:rsid w:val="003002CA"/>
    <w:rsid w:val="003008B9"/>
    <w:rsid w:val="003021AB"/>
    <w:rsid w:val="00303699"/>
    <w:rsid w:val="003054B3"/>
    <w:rsid w:val="00310248"/>
    <w:rsid w:val="0031070D"/>
    <w:rsid w:val="003120C7"/>
    <w:rsid w:val="003223B1"/>
    <w:rsid w:val="0032369A"/>
    <w:rsid w:val="00333C6B"/>
    <w:rsid w:val="00335B7A"/>
    <w:rsid w:val="0034009B"/>
    <w:rsid w:val="003407F4"/>
    <w:rsid w:val="00340AA5"/>
    <w:rsid w:val="0034332C"/>
    <w:rsid w:val="00345B2F"/>
    <w:rsid w:val="00353AB2"/>
    <w:rsid w:val="00354A54"/>
    <w:rsid w:val="00357500"/>
    <w:rsid w:val="00357BC7"/>
    <w:rsid w:val="00361792"/>
    <w:rsid w:val="003634C9"/>
    <w:rsid w:val="00364CD3"/>
    <w:rsid w:val="00371946"/>
    <w:rsid w:val="003725B9"/>
    <w:rsid w:val="003747FE"/>
    <w:rsid w:val="003814F5"/>
    <w:rsid w:val="00381BDA"/>
    <w:rsid w:val="00396090"/>
    <w:rsid w:val="00397777"/>
    <w:rsid w:val="003A102C"/>
    <w:rsid w:val="003A1801"/>
    <w:rsid w:val="003A3141"/>
    <w:rsid w:val="003A4A36"/>
    <w:rsid w:val="003A7362"/>
    <w:rsid w:val="003B60CC"/>
    <w:rsid w:val="003B73DC"/>
    <w:rsid w:val="003C15B9"/>
    <w:rsid w:val="003C2B5B"/>
    <w:rsid w:val="003C2BA6"/>
    <w:rsid w:val="003C564C"/>
    <w:rsid w:val="003C64DD"/>
    <w:rsid w:val="003C72AC"/>
    <w:rsid w:val="003D3300"/>
    <w:rsid w:val="003D75F4"/>
    <w:rsid w:val="003D7A17"/>
    <w:rsid w:val="003E0216"/>
    <w:rsid w:val="003E0556"/>
    <w:rsid w:val="003E0ECB"/>
    <w:rsid w:val="003E18D6"/>
    <w:rsid w:val="003E1B8D"/>
    <w:rsid w:val="003E2BF0"/>
    <w:rsid w:val="003E4780"/>
    <w:rsid w:val="003E4B1F"/>
    <w:rsid w:val="003E6AB0"/>
    <w:rsid w:val="003F5810"/>
    <w:rsid w:val="00410799"/>
    <w:rsid w:val="004111F1"/>
    <w:rsid w:val="00411C6B"/>
    <w:rsid w:val="00412042"/>
    <w:rsid w:val="00413493"/>
    <w:rsid w:val="00421321"/>
    <w:rsid w:val="00423BA2"/>
    <w:rsid w:val="00424D01"/>
    <w:rsid w:val="00426A30"/>
    <w:rsid w:val="004274D7"/>
    <w:rsid w:val="00431C8C"/>
    <w:rsid w:val="00432AAE"/>
    <w:rsid w:val="00434D80"/>
    <w:rsid w:val="004357DD"/>
    <w:rsid w:val="004361B4"/>
    <w:rsid w:val="00440B5E"/>
    <w:rsid w:val="00441351"/>
    <w:rsid w:val="00441B0D"/>
    <w:rsid w:val="004421A1"/>
    <w:rsid w:val="00442389"/>
    <w:rsid w:val="00442515"/>
    <w:rsid w:val="00442DEE"/>
    <w:rsid w:val="00444454"/>
    <w:rsid w:val="00445BA8"/>
    <w:rsid w:val="004465B9"/>
    <w:rsid w:val="0045033A"/>
    <w:rsid w:val="00450FF1"/>
    <w:rsid w:val="004515AF"/>
    <w:rsid w:val="00453D0E"/>
    <w:rsid w:val="0045572B"/>
    <w:rsid w:val="00457826"/>
    <w:rsid w:val="00460FB9"/>
    <w:rsid w:val="0046240D"/>
    <w:rsid w:val="00462BA1"/>
    <w:rsid w:val="00465C6B"/>
    <w:rsid w:val="00472A07"/>
    <w:rsid w:val="00473209"/>
    <w:rsid w:val="004809E5"/>
    <w:rsid w:val="00481545"/>
    <w:rsid w:val="0048598F"/>
    <w:rsid w:val="00485A30"/>
    <w:rsid w:val="00485FC1"/>
    <w:rsid w:val="004A188D"/>
    <w:rsid w:val="004A34DE"/>
    <w:rsid w:val="004A547A"/>
    <w:rsid w:val="004A681F"/>
    <w:rsid w:val="004B1886"/>
    <w:rsid w:val="004B2A24"/>
    <w:rsid w:val="004B4946"/>
    <w:rsid w:val="004B5D8F"/>
    <w:rsid w:val="004C13F8"/>
    <w:rsid w:val="004C667B"/>
    <w:rsid w:val="004D0EFD"/>
    <w:rsid w:val="004D1C5E"/>
    <w:rsid w:val="004D26CD"/>
    <w:rsid w:val="004D756A"/>
    <w:rsid w:val="004D7E1E"/>
    <w:rsid w:val="004E1B78"/>
    <w:rsid w:val="004E5815"/>
    <w:rsid w:val="004E7327"/>
    <w:rsid w:val="004F08BB"/>
    <w:rsid w:val="004F0DBA"/>
    <w:rsid w:val="004F4AF0"/>
    <w:rsid w:val="004F758F"/>
    <w:rsid w:val="00501243"/>
    <w:rsid w:val="0050239A"/>
    <w:rsid w:val="00504F0E"/>
    <w:rsid w:val="005061D3"/>
    <w:rsid w:val="00513C94"/>
    <w:rsid w:val="00517FFD"/>
    <w:rsid w:val="005246CB"/>
    <w:rsid w:val="00525078"/>
    <w:rsid w:val="00525387"/>
    <w:rsid w:val="005264B6"/>
    <w:rsid w:val="005313C0"/>
    <w:rsid w:val="00536E5D"/>
    <w:rsid w:val="00540BE0"/>
    <w:rsid w:val="0054530B"/>
    <w:rsid w:val="00546881"/>
    <w:rsid w:val="00550DA7"/>
    <w:rsid w:val="00551641"/>
    <w:rsid w:val="00554494"/>
    <w:rsid w:val="005548A5"/>
    <w:rsid w:val="00554928"/>
    <w:rsid w:val="00555056"/>
    <w:rsid w:val="00562BFC"/>
    <w:rsid w:val="00563F4C"/>
    <w:rsid w:val="00566DC6"/>
    <w:rsid w:val="00570580"/>
    <w:rsid w:val="00571DC5"/>
    <w:rsid w:val="005726B7"/>
    <w:rsid w:val="00573FC9"/>
    <w:rsid w:val="005745C0"/>
    <w:rsid w:val="0057460F"/>
    <w:rsid w:val="005750FD"/>
    <w:rsid w:val="00576133"/>
    <w:rsid w:val="0057780B"/>
    <w:rsid w:val="00577CE2"/>
    <w:rsid w:val="005802C5"/>
    <w:rsid w:val="005822F0"/>
    <w:rsid w:val="00582D13"/>
    <w:rsid w:val="0058733A"/>
    <w:rsid w:val="00594912"/>
    <w:rsid w:val="00595FEC"/>
    <w:rsid w:val="00596084"/>
    <w:rsid w:val="005964B5"/>
    <w:rsid w:val="005A07CF"/>
    <w:rsid w:val="005A0A66"/>
    <w:rsid w:val="005A1442"/>
    <w:rsid w:val="005A59C4"/>
    <w:rsid w:val="005A7249"/>
    <w:rsid w:val="005A78E1"/>
    <w:rsid w:val="005B11CD"/>
    <w:rsid w:val="005B5147"/>
    <w:rsid w:val="005B6387"/>
    <w:rsid w:val="005C1035"/>
    <w:rsid w:val="005C320B"/>
    <w:rsid w:val="005C48BE"/>
    <w:rsid w:val="005C5C55"/>
    <w:rsid w:val="005C64CA"/>
    <w:rsid w:val="005C6B36"/>
    <w:rsid w:val="005C75E5"/>
    <w:rsid w:val="005D2299"/>
    <w:rsid w:val="005D3B23"/>
    <w:rsid w:val="005D44DD"/>
    <w:rsid w:val="005D5641"/>
    <w:rsid w:val="005D7119"/>
    <w:rsid w:val="005E64F8"/>
    <w:rsid w:val="005F13BA"/>
    <w:rsid w:val="005F2A77"/>
    <w:rsid w:val="005F35B2"/>
    <w:rsid w:val="00602E91"/>
    <w:rsid w:val="00603D22"/>
    <w:rsid w:val="00604263"/>
    <w:rsid w:val="00604A6A"/>
    <w:rsid w:val="00604DA9"/>
    <w:rsid w:val="00606754"/>
    <w:rsid w:val="0060690C"/>
    <w:rsid w:val="00612782"/>
    <w:rsid w:val="00612931"/>
    <w:rsid w:val="006156EF"/>
    <w:rsid w:val="00615D76"/>
    <w:rsid w:val="00617327"/>
    <w:rsid w:val="0061765D"/>
    <w:rsid w:val="00620572"/>
    <w:rsid w:val="00621B8F"/>
    <w:rsid w:val="00622B19"/>
    <w:rsid w:val="00624C3C"/>
    <w:rsid w:val="00627D2B"/>
    <w:rsid w:val="00631E2C"/>
    <w:rsid w:val="00633384"/>
    <w:rsid w:val="006347F7"/>
    <w:rsid w:val="00644737"/>
    <w:rsid w:val="00651D12"/>
    <w:rsid w:val="00651FB3"/>
    <w:rsid w:val="006538A6"/>
    <w:rsid w:val="0065568C"/>
    <w:rsid w:val="00662DAF"/>
    <w:rsid w:val="00664A16"/>
    <w:rsid w:val="00665181"/>
    <w:rsid w:val="00671F35"/>
    <w:rsid w:val="006729E3"/>
    <w:rsid w:val="00674AD7"/>
    <w:rsid w:val="00674DCC"/>
    <w:rsid w:val="00683460"/>
    <w:rsid w:val="00691365"/>
    <w:rsid w:val="00692D02"/>
    <w:rsid w:val="00694013"/>
    <w:rsid w:val="00694657"/>
    <w:rsid w:val="00695C9F"/>
    <w:rsid w:val="00696F3D"/>
    <w:rsid w:val="00697ABF"/>
    <w:rsid w:val="006A1C88"/>
    <w:rsid w:val="006A2611"/>
    <w:rsid w:val="006A2FD1"/>
    <w:rsid w:val="006A7A29"/>
    <w:rsid w:val="006B40C2"/>
    <w:rsid w:val="006B4EFB"/>
    <w:rsid w:val="006C11CB"/>
    <w:rsid w:val="006C4596"/>
    <w:rsid w:val="006D01C6"/>
    <w:rsid w:val="006D174A"/>
    <w:rsid w:val="006D5335"/>
    <w:rsid w:val="006E0D7D"/>
    <w:rsid w:val="006E61EF"/>
    <w:rsid w:val="006E7278"/>
    <w:rsid w:val="006E7956"/>
    <w:rsid w:val="006F0133"/>
    <w:rsid w:val="006F0172"/>
    <w:rsid w:val="006F39CA"/>
    <w:rsid w:val="006F44CC"/>
    <w:rsid w:val="006F6BA9"/>
    <w:rsid w:val="00712E7E"/>
    <w:rsid w:val="00713639"/>
    <w:rsid w:val="00717837"/>
    <w:rsid w:val="007210B2"/>
    <w:rsid w:val="00724EB0"/>
    <w:rsid w:val="00726A65"/>
    <w:rsid w:val="00735549"/>
    <w:rsid w:val="00735D8A"/>
    <w:rsid w:val="0074121D"/>
    <w:rsid w:val="007431CD"/>
    <w:rsid w:val="0074364A"/>
    <w:rsid w:val="00747121"/>
    <w:rsid w:val="00751B84"/>
    <w:rsid w:val="007529B7"/>
    <w:rsid w:val="00753893"/>
    <w:rsid w:val="00754A48"/>
    <w:rsid w:val="00754F8A"/>
    <w:rsid w:val="00755D9B"/>
    <w:rsid w:val="007613AA"/>
    <w:rsid w:val="00761DA9"/>
    <w:rsid w:val="00770206"/>
    <w:rsid w:val="0077057B"/>
    <w:rsid w:val="00770CE0"/>
    <w:rsid w:val="00771BB0"/>
    <w:rsid w:val="00772318"/>
    <w:rsid w:val="00775280"/>
    <w:rsid w:val="00790A99"/>
    <w:rsid w:val="00791802"/>
    <w:rsid w:val="007924E6"/>
    <w:rsid w:val="007927B4"/>
    <w:rsid w:val="007936F3"/>
    <w:rsid w:val="007958CF"/>
    <w:rsid w:val="007A34EC"/>
    <w:rsid w:val="007A516A"/>
    <w:rsid w:val="007A5A0D"/>
    <w:rsid w:val="007A7567"/>
    <w:rsid w:val="007A7FF9"/>
    <w:rsid w:val="007B64DB"/>
    <w:rsid w:val="007C03BA"/>
    <w:rsid w:val="007C2FF6"/>
    <w:rsid w:val="007C324B"/>
    <w:rsid w:val="007C328A"/>
    <w:rsid w:val="007C4DBF"/>
    <w:rsid w:val="007C62F8"/>
    <w:rsid w:val="007C7524"/>
    <w:rsid w:val="007D063B"/>
    <w:rsid w:val="007D1218"/>
    <w:rsid w:val="007D2F63"/>
    <w:rsid w:val="007D7482"/>
    <w:rsid w:val="007E19E5"/>
    <w:rsid w:val="007E25C9"/>
    <w:rsid w:val="007E37EB"/>
    <w:rsid w:val="007E41CE"/>
    <w:rsid w:val="007E75B6"/>
    <w:rsid w:val="007E7841"/>
    <w:rsid w:val="007E7DC0"/>
    <w:rsid w:val="007F258E"/>
    <w:rsid w:val="007F2594"/>
    <w:rsid w:val="007F2B8B"/>
    <w:rsid w:val="007F4DEE"/>
    <w:rsid w:val="007F7AD4"/>
    <w:rsid w:val="0080317D"/>
    <w:rsid w:val="00803FCD"/>
    <w:rsid w:val="00804668"/>
    <w:rsid w:val="00805D5C"/>
    <w:rsid w:val="0080724B"/>
    <w:rsid w:val="008115E2"/>
    <w:rsid w:val="00811AA8"/>
    <w:rsid w:val="008137A3"/>
    <w:rsid w:val="00816F06"/>
    <w:rsid w:val="00821908"/>
    <w:rsid w:val="00826B35"/>
    <w:rsid w:val="00832B88"/>
    <w:rsid w:val="00832E0F"/>
    <w:rsid w:val="008332E8"/>
    <w:rsid w:val="00834DCF"/>
    <w:rsid w:val="0084070C"/>
    <w:rsid w:val="0084418F"/>
    <w:rsid w:val="00844F88"/>
    <w:rsid w:val="0084599A"/>
    <w:rsid w:val="00845B8B"/>
    <w:rsid w:val="00846588"/>
    <w:rsid w:val="00846CCF"/>
    <w:rsid w:val="00847879"/>
    <w:rsid w:val="00847E4E"/>
    <w:rsid w:val="00852DFD"/>
    <w:rsid w:val="00853005"/>
    <w:rsid w:val="008547B8"/>
    <w:rsid w:val="00854CA3"/>
    <w:rsid w:val="00855A33"/>
    <w:rsid w:val="00860475"/>
    <w:rsid w:val="00862155"/>
    <w:rsid w:val="00863E1D"/>
    <w:rsid w:val="0086427E"/>
    <w:rsid w:val="0086429F"/>
    <w:rsid w:val="00867910"/>
    <w:rsid w:val="0087279E"/>
    <w:rsid w:val="0087685B"/>
    <w:rsid w:val="00885F2F"/>
    <w:rsid w:val="00891FF1"/>
    <w:rsid w:val="00895C86"/>
    <w:rsid w:val="00896859"/>
    <w:rsid w:val="008A2575"/>
    <w:rsid w:val="008A4660"/>
    <w:rsid w:val="008A4B45"/>
    <w:rsid w:val="008A79D7"/>
    <w:rsid w:val="008B0D2F"/>
    <w:rsid w:val="008B16C5"/>
    <w:rsid w:val="008B74D9"/>
    <w:rsid w:val="008B7BF1"/>
    <w:rsid w:val="008C2060"/>
    <w:rsid w:val="008C4F65"/>
    <w:rsid w:val="008D0276"/>
    <w:rsid w:val="008D0733"/>
    <w:rsid w:val="008D531F"/>
    <w:rsid w:val="008E1428"/>
    <w:rsid w:val="008E258C"/>
    <w:rsid w:val="008E2A19"/>
    <w:rsid w:val="008E4103"/>
    <w:rsid w:val="008E5257"/>
    <w:rsid w:val="008E7C83"/>
    <w:rsid w:val="008F010E"/>
    <w:rsid w:val="008F02EC"/>
    <w:rsid w:val="008F4050"/>
    <w:rsid w:val="008F59B4"/>
    <w:rsid w:val="00900F67"/>
    <w:rsid w:val="009026FF"/>
    <w:rsid w:val="00906AA5"/>
    <w:rsid w:val="0090707B"/>
    <w:rsid w:val="00913C0E"/>
    <w:rsid w:val="009146FC"/>
    <w:rsid w:val="009149F8"/>
    <w:rsid w:val="0091586D"/>
    <w:rsid w:val="00922628"/>
    <w:rsid w:val="009256B9"/>
    <w:rsid w:val="00926508"/>
    <w:rsid w:val="0092736F"/>
    <w:rsid w:val="00927800"/>
    <w:rsid w:val="00927C90"/>
    <w:rsid w:val="00934007"/>
    <w:rsid w:val="009365F9"/>
    <w:rsid w:val="00945C77"/>
    <w:rsid w:val="00945E7C"/>
    <w:rsid w:val="00946DA3"/>
    <w:rsid w:val="00947A4E"/>
    <w:rsid w:val="00947D27"/>
    <w:rsid w:val="00950F2E"/>
    <w:rsid w:val="009530A5"/>
    <w:rsid w:val="00953113"/>
    <w:rsid w:val="0095721D"/>
    <w:rsid w:val="009739AC"/>
    <w:rsid w:val="009740FF"/>
    <w:rsid w:val="00977A2D"/>
    <w:rsid w:val="00982AAA"/>
    <w:rsid w:val="00984202"/>
    <w:rsid w:val="00986C14"/>
    <w:rsid w:val="009907EA"/>
    <w:rsid w:val="0099264A"/>
    <w:rsid w:val="00992F3C"/>
    <w:rsid w:val="009963E5"/>
    <w:rsid w:val="00997331"/>
    <w:rsid w:val="00997FAA"/>
    <w:rsid w:val="009A07F4"/>
    <w:rsid w:val="009A1436"/>
    <w:rsid w:val="009A1752"/>
    <w:rsid w:val="009A2032"/>
    <w:rsid w:val="009A5E50"/>
    <w:rsid w:val="009A755F"/>
    <w:rsid w:val="009B1FC0"/>
    <w:rsid w:val="009B276B"/>
    <w:rsid w:val="009B5B9A"/>
    <w:rsid w:val="009B615C"/>
    <w:rsid w:val="009B6CBF"/>
    <w:rsid w:val="009C05A3"/>
    <w:rsid w:val="009C276D"/>
    <w:rsid w:val="009C4372"/>
    <w:rsid w:val="009C6F83"/>
    <w:rsid w:val="009E2AE9"/>
    <w:rsid w:val="009E4A72"/>
    <w:rsid w:val="009E739E"/>
    <w:rsid w:val="009F08B9"/>
    <w:rsid w:val="009F51F9"/>
    <w:rsid w:val="009F575F"/>
    <w:rsid w:val="00A011F5"/>
    <w:rsid w:val="00A05F90"/>
    <w:rsid w:val="00A07B5F"/>
    <w:rsid w:val="00A146F0"/>
    <w:rsid w:val="00A15E39"/>
    <w:rsid w:val="00A175D3"/>
    <w:rsid w:val="00A17732"/>
    <w:rsid w:val="00A2111C"/>
    <w:rsid w:val="00A25586"/>
    <w:rsid w:val="00A25F90"/>
    <w:rsid w:val="00A25FB9"/>
    <w:rsid w:val="00A34DB8"/>
    <w:rsid w:val="00A40503"/>
    <w:rsid w:val="00A40775"/>
    <w:rsid w:val="00A443DC"/>
    <w:rsid w:val="00A452AE"/>
    <w:rsid w:val="00A4579C"/>
    <w:rsid w:val="00A45C90"/>
    <w:rsid w:val="00A51047"/>
    <w:rsid w:val="00A51264"/>
    <w:rsid w:val="00A539B5"/>
    <w:rsid w:val="00A5497C"/>
    <w:rsid w:val="00A610EE"/>
    <w:rsid w:val="00A61F12"/>
    <w:rsid w:val="00A62A62"/>
    <w:rsid w:val="00A63B96"/>
    <w:rsid w:val="00A63FF9"/>
    <w:rsid w:val="00A64F48"/>
    <w:rsid w:val="00A65009"/>
    <w:rsid w:val="00A700FA"/>
    <w:rsid w:val="00A70278"/>
    <w:rsid w:val="00A71BE4"/>
    <w:rsid w:val="00A724F0"/>
    <w:rsid w:val="00A75C54"/>
    <w:rsid w:val="00A75CEE"/>
    <w:rsid w:val="00A802C3"/>
    <w:rsid w:val="00A806D7"/>
    <w:rsid w:val="00A82135"/>
    <w:rsid w:val="00A8511D"/>
    <w:rsid w:val="00A869F8"/>
    <w:rsid w:val="00A90933"/>
    <w:rsid w:val="00A967F4"/>
    <w:rsid w:val="00AA4273"/>
    <w:rsid w:val="00AA6694"/>
    <w:rsid w:val="00AB15FF"/>
    <w:rsid w:val="00AB4D0F"/>
    <w:rsid w:val="00AB57EE"/>
    <w:rsid w:val="00AB6FB7"/>
    <w:rsid w:val="00AC389D"/>
    <w:rsid w:val="00AC40FE"/>
    <w:rsid w:val="00AC769F"/>
    <w:rsid w:val="00AD1F7F"/>
    <w:rsid w:val="00AD7CE5"/>
    <w:rsid w:val="00AE2435"/>
    <w:rsid w:val="00AE3CD4"/>
    <w:rsid w:val="00AE3E97"/>
    <w:rsid w:val="00AE51B7"/>
    <w:rsid w:val="00AE5705"/>
    <w:rsid w:val="00AE5A0A"/>
    <w:rsid w:val="00AE70BE"/>
    <w:rsid w:val="00AF083F"/>
    <w:rsid w:val="00AF2C63"/>
    <w:rsid w:val="00AF3F19"/>
    <w:rsid w:val="00AF49D8"/>
    <w:rsid w:val="00B0216C"/>
    <w:rsid w:val="00B04672"/>
    <w:rsid w:val="00B07458"/>
    <w:rsid w:val="00B10463"/>
    <w:rsid w:val="00B10AF8"/>
    <w:rsid w:val="00B114C5"/>
    <w:rsid w:val="00B120FE"/>
    <w:rsid w:val="00B15071"/>
    <w:rsid w:val="00B17FA8"/>
    <w:rsid w:val="00B2016B"/>
    <w:rsid w:val="00B3143D"/>
    <w:rsid w:val="00B33ADA"/>
    <w:rsid w:val="00B3632D"/>
    <w:rsid w:val="00B401F1"/>
    <w:rsid w:val="00B40284"/>
    <w:rsid w:val="00B40468"/>
    <w:rsid w:val="00B404C2"/>
    <w:rsid w:val="00B4172E"/>
    <w:rsid w:val="00B43484"/>
    <w:rsid w:val="00B441D3"/>
    <w:rsid w:val="00B4473A"/>
    <w:rsid w:val="00B45FE1"/>
    <w:rsid w:val="00B465AC"/>
    <w:rsid w:val="00B522F0"/>
    <w:rsid w:val="00B54C34"/>
    <w:rsid w:val="00B6419C"/>
    <w:rsid w:val="00B70F59"/>
    <w:rsid w:val="00B71FF6"/>
    <w:rsid w:val="00B72CD8"/>
    <w:rsid w:val="00B75660"/>
    <w:rsid w:val="00B75FBB"/>
    <w:rsid w:val="00B76805"/>
    <w:rsid w:val="00B8653B"/>
    <w:rsid w:val="00B87535"/>
    <w:rsid w:val="00B87F22"/>
    <w:rsid w:val="00B90544"/>
    <w:rsid w:val="00B93AA8"/>
    <w:rsid w:val="00B95C81"/>
    <w:rsid w:val="00BA1404"/>
    <w:rsid w:val="00BA264F"/>
    <w:rsid w:val="00BB157F"/>
    <w:rsid w:val="00BB1BBE"/>
    <w:rsid w:val="00BB21C2"/>
    <w:rsid w:val="00BB3DE0"/>
    <w:rsid w:val="00BB44B9"/>
    <w:rsid w:val="00BB5846"/>
    <w:rsid w:val="00BB5A1E"/>
    <w:rsid w:val="00BB5D9B"/>
    <w:rsid w:val="00BB77E9"/>
    <w:rsid w:val="00BC267C"/>
    <w:rsid w:val="00BC289E"/>
    <w:rsid w:val="00BC2F46"/>
    <w:rsid w:val="00BC7CB8"/>
    <w:rsid w:val="00BC7D34"/>
    <w:rsid w:val="00BD2137"/>
    <w:rsid w:val="00BD5B50"/>
    <w:rsid w:val="00BE0785"/>
    <w:rsid w:val="00BE07A6"/>
    <w:rsid w:val="00BE122B"/>
    <w:rsid w:val="00BE12AC"/>
    <w:rsid w:val="00BE538B"/>
    <w:rsid w:val="00BE5759"/>
    <w:rsid w:val="00BE61E8"/>
    <w:rsid w:val="00BE7219"/>
    <w:rsid w:val="00BF3A61"/>
    <w:rsid w:val="00BF7993"/>
    <w:rsid w:val="00C01B6F"/>
    <w:rsid w:val="00C03774"/>
    <w:rsid w:val="00C04219"/>
    <w:rsid w:val="00C0473F"/>
    <w:rsid w:val="00C06BBC"/>
    <w:rsid w:val="00C14977"/>
    <w:rsid w:val="00C17265"/>
    <w:rsid w:val="00C20C4D"/>
    <w:rsid w:val="00C224CD"/>
    <w:rsid w:val="00C258E7"/>
    <w:rsid w:val="00C26388"/>
    <w:rsid w:val="00C35246"/>
    <w:rsid w:val="00C36E59"/>
    <w:rsid w:val="00C4209A"/>
    <w:rsid w:val="00C4448C"/>
    <w:rsid w:val="00C4557C"/>
    <w:rsid w:val="00C473E6"/>
    <w:rsid w:val="00C6199A"/>
    <w:rsid w:val="00C61EE1"/>
    <w:rsid w:val="00C62476"/>
    <w:rsid w:val="00C627CF"/>
    <w:rsid w:val="00C666AF"/>
    <w:rsid w:val="00C67A7D"/>
    <w:rsid w:val="00C70436"/>
    <w:rsid w:val="00C74D9F"/>
    <w:rsid w:val="00C777A7"/>
    <w:rsid w:val="00C77ABE"/>
    <w:rsid w:val="00C800A1"/>
    <w:rsid w:val="00C80D3F"/>
    <w:rsid w:val="00C80DCB"/>
    <w:rsid w:val="00C819FC"/>
    <w:rsid w:val="00C83791"/>
    <w:rsid w:val="00C83B61"/>
    <w:rsid w:val="00C858B7"/>
    <w:rsid w:val="00C86789"/>
    <w:rsid w:val="00C86B32"/>
    <w:rsid w:val="00C906E5"/>
    <w:rsid w:val="00C92D66"/>
    <w:rsid w:val="00C9723E"/>
    <w:rsid w:val="00CA2A1D"/>
    <w:rsid w:val="00CA5ABC"/>
    <w:rsid w:val="00CA640E"/>
    <w:rsid w:val="00CA748B"/>
    <w:rsid w:val="00CB02E2"/>
    <w:rsid w:val="00CB1650"/>
    <w:rsid w:val="00CB2EED"/>
    <w:rsid w:val="00CB3EFE"/>
    <w:rsid w:val="00CB5AED"/>
    <w:rsid w:val="00CB6683"/>
    <w:rsid w:val="00CC09E0"/>
    <w:rsid w:val="00CC3F9C"/>
    <w:rsid w:val="00CD4CBC"/>
    <w:rsid w:val="00CD7E0D"/>
    <w:rsid w:val="00CE2DC9"/>
    <w:rsid w:val="00CE33BF"/>
    <w:rsid w:val="00CE48E7"/>
    <w:rsid w:val="00CF0E28"/>
    <w:rsid w:val="00CF1BF4"/>
    <w:rsid w:val="00CF4875"/>
    <w:rsid w:val="00CF49E2"/>
    <w:rsid w:val="00D00BD4"/>
    <w:rsid w:val="00D01F7B"/>
    <w:rsid w:val="00D037F6"/>
    <w:rsid w:val="00D05A42"/>
    <w:rsid w:val="00D11324"/>
    <w:rsid w:val="00D119D9"/>
    <w:rsid w:val="00D13E5F"/>
    <w:rsid w:val="00D16EB2"/>
    <w:rsid w:val="00D21425"/>
    <w:rsid w:val="00D2528D"/>
    <w:rsid w:val="00D25FA9"/>
    <w:rsid w:val="00D279B7"/>
    <w:rsid w:val="00D27BB4"/>
    <w:rsid w:val="00D32BCC"/>
    <w:rsid w:val="00D33A0E"/>
    <w:rsid w:val="00D35623"/>
    <w:rsid w:val="00D42A49"/>
    <w:rsid w:val="00D50BC4"/>
    <w:rsid w:val="00D5120D"/>
    <w:rsid w:val="00D5146B"/>
    <w:rsid w:val="00D5513F"/>
    <w:rsid w:val="00D557B9"/>
    <w:rsid w:val="00D600FE"/>
    <w:rsid w:val="00D66986"/>
    <w:rsid w:val="00D707B2"/>
    <w:rsid w:val="00D7168D"/>
    <w:rsid w:val="00D75020"/>
    <w:rsid w:val="00D76BFF"/>
    <w:rsid w:val="00D8119C"/>
    <w:rsid w:val="00D81944"/>
    <w:rsid w:val="00D82553"/>
    <w:rsid w:val="00D82929"/>
    <w:rsid w:val="00D83A40"/>
    <w:rsid w:val="00D85055"/>
    <w:rsid w:val="00D94EAB"/>
    <w:rsid w:val="00D97877"/>
    <w:rsid w:val="00DB0EAA"/>
    <w:rsid w:val="00DB169C"/>
    <w:rsid w:val="00DB3F8C"/>
    <w:rsid w:val="00DB643E"/>
    <w:rsid w:val="00DB6DAD"/>
    <w:rsid w:val="00DB709D"/>
    <w:rsid w:val="00DC0CD3"/>
    <w:rsid w:val="00DC1B5A"/>
    <w:rsid w:val="00DC49EA"/>
    <w:rsid w:val="00DC5678"/>
    <w:rsid w:val="00DC71B5"/>
    <w:rsid w:val="00DC7613"/>
    <w:rsid w:val="00DD2D83"/>
    <w:rsid w:val="00DD4E75"/>
    <w:rsid w:val="00DE157D"/>
    <w:rsid w:val="00DE4530"/>
    <w:rsid w:val="00DF036B"/>
    <w:rsid w:val="00DF0B2F"/>
    <w:rsid w:val="00DF10D3"/>
    <w:rsid w:val="00DF22D1"/>
    <w:rsid w:val="00DF23E8"/>
    <w:rsid w:val="00DF4285"/>
    <w:rsid w:val="00DF492C"/>
    <w:rsid w:val="00DF57C9"/>
    <w:rsid w:val="00DF5CCB"/>
    <w:rsid w:val="00E013CB"/>
    <w:rsid w:val="00E03F41"/>
    <w:rsid w:val="00E052E8"/>
    <w:rsid w:val="00E06F2F"/>
    <w:rsid w:val="00E079CF"/>
    <w:rsid w:val="00E11B22"/>
    <w:rsid w:val="00E126E2"/>
    <w:rsid w:val="00E12B12"/>
    <w:rsid w:val="00E12EE5"/>
    <w:rsid w:val="00E133C6"/>
    <w:rsid w:val="00E231B0"/>
    <w:rsid w:val="00E24C62"/>
    <w:rsid w:val="00E338DA"/>
    <w:rsid w:val="00E34AC5"/>
    <w:rsid w:val="00E354F5"/>
    <w:rsid w:val="00E35EEA"/>
    <w:rsid w:val="00E37512"/>
    <w:rsid w:val="00E4082D"/>
    <w:rsid w:val="00E43D02"/>
    <w:rsid w:val="00E50987"/>
    <w:rsid w:val="00E519F1"/>
    <w:rsid w:val="00E52EC8"/>
    <w:rsid w:val="00E530B7"/>
    <w:rsid w:val="00E555AC"/>
    <w:rsid w:val="00E555B2"/>
    <w:rsid w:val="00E56B91"/>
    <w:rsid w:val="00E609B2"/>
    <w:rsid w:val="00E64B01"/>
    <w:rsid w:val="00E7155D"/>
    <w:rsid w:val="00E71A37"/>
    <w:rsid w:val="00E72CE1"/>
    <w:rsid w:val="00E743CC"/>
    <w:rsid w:val="00E80F8F"/>
    <w:rsid w:val="00E81B08"/>
    <w:rsid w:val="00E84C0A"/>
    <w:rsid w:val="00E87518"/>
    <w:rsid w:val="00E97E7F"/>
    <w:rsid w:val="00EA3AA2"/>
    <w:rsid w:val="00EA5AD3"/>
    <w:rsid w:val="00EA734F"/>
    <w:rsid w:val="00EB1450"/>
    <w:rsid w:val="00EB4A26"/>
    <w:rsid w:val="00EB564A"/>
    <w:rsid w:val="00EB5A4A"/>
    <w:rsid w:val="00EB5C5F"/>
    <w:rsid w:val="00EC0951"/>
    <w:rsid w:val="00EC0F41"/>
    <w:rsid w:val="00EC15A4"/>
    <w:rsid w:val="00EC2A26"/>
    <w:rsid w:val="00EC4ABC"/>
    <w:rsid w:val="00EC6765"/>
    <w:rsid w:val="00ED660E"/>
    <w:rsid w:val="00EE05CE"/>
    <w:rsid w:val="00EF0F74"/>
    <w:rsid w:val="00EF2E35"/>
    <w:rsid w:val="00EF3DFA"/>
    <w:rsid w:val="00EF456F"/>
    <w:rsid w:val="00F00ACC"/>
    <w:rsid w:val="00F0187D"/>
    <w:rsid w:val="00F0320A"/>
    <w:rsid w:val="00F03C56"/>
    <w:rsid w:val="00F05B85"/>
    <w:rsid w:val="00F10A27"/>
    <w:rsid w:val="00F13417"/>
    <w:rsid w:val="00F33573"/>
    <w:rsid w:val="00F34A5D"/>
    <w:rsid w:val="00F36644"/>
    <w:rsid w:val="00F366A0"/>
    <w:rsid w:val="00F37887"/>
    <w:rsid w:val="00F42092"/>
    <w:rsid w:val="00F425CC"/>
    <w:rsid w:val="00F45CD5"/>
    <w:rsid w:val="00F5033D"/>
    <w:rsid w:val="00F511C3"/>
    <w:rsid w:val="00F55733"/>
    <w:rsid w:val="00F600B2"/>
    <w:rsid w:val="00F62DF6"/>
    <w:rsid w:val="00F644A0"/>
    <w:rsid w:val="00F72CC1"/>
    <w:rsid w:val="00F742AC"/>
    <w:rsid w:val="00F74F23"/>
    <w:rsid w:val="00F7546A"/>
    <w:rsid w:val="00F76C93"/>
    <w:rsid w:val="00F81B6C"/>
    <w:rsid w:val="00F83568"/>
    <w:rsid w:val="00F85C33"/>
    <w:rsid w:val="00F8655B"/>
    <w:rsid w:val="00F86B50"/>
    <w:rsid w:val="00F920D9"/>
    <w:rsid w:val="00F92145"/>
    <w:rsid w:val="00F93E5D"/>
    <w:rsid w:val="00F94725"/>
    <w:rsid w:val="00FA2DAE"/>
    <w:rsid w:val="00FA3A8F"/>
    <w:rsid w:val="00FA52CA"/>
    <w:rsid w:val="00FA6110"/>
    <w:rsid w:val="00FB0433"/>
    <w:rsid w:val="00FB1512"/>
    <w:rsid w:val="00FB2456"/>
    <w:rsid w:val="00FC14A2"/>
    <w:rsid w:val="00FC1E82"/>
    <w:rsid w:val="00FC7FE4"/>
    <w:rsid w:val="00FD1FAB"/>
    <w:rsid w:val="00FD2798"/>
    <w:rsid w:val="00FD2EBA"/>
    <w:rsid w:val="00FD422B"/>
    <w:rsid w:val="00FE32BA"/>
    <w:rsid w:val="00FE5C3A"/>
    <w:rsid w:val="00FF2960"/>
    <w:rsid w:val="00FF53DA"/>
    <w:rsid w:val="00FF56BA"/>
    <w:rsid w:val="00FF64EA"/>
    <w:rsid w:val="00FF6A50"/>
    <w:rsid w:val="00FF7D4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3CCE5225"/>
  <w15:docId w15:val="{D37EB8CB-EC56-41F7-B337-42D97D962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7E0D"/>
  </w:style>
  <w:style w:type="paragraph" w:styleId="Heading1">
    <w:name w:val="heading 1"/>
    <w:basedOn w:val="Normal"/>
    <w:next w:val="Normal"/>
    <w:link w:val="Heading1Char"/>
    <w:uiPriority w:val="9"/>
    <w:qFormat/>
    <w:rsid w:val="00D279B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279B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D279B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9C6F83"/>
  </w:style>
  <w:style w:type="paragraph" w:customStyle="1" w:styleId="doc-ti">
    <w:name w:val="doc-ti"/>
    <w:basedOn w:val="Normal"/>
    <w:rsid w:val="009C6F8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ti-grseq-1">
    <w:name w:val="ti-grseq-1"/>
    <w:basedOn w:val="Normal"/>
    <w:rsid w:val="009C6F8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old">
    <w:name w:val="bold"/>
    <w:basedOn w:val="DefaultParagraphFont"/>
    <w:rsid w:val="009C6F83"/>
  </w:style>
  <w:style w:type="paragraph" w:customStyle="1" w:styleId="tbl-txt">
    <w:name w:val="tbl-txt"/>
    <w:basedOn w:val="Normal"/>
    <w:rsid w:val="009C6F8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talic">
    <w:name w:val="italic"/>
    <w:basedOn w:val="DefaultParagraphFont"/>
    <w:rsid w:val="009C6F83"/>
  </w:style>
  <w:style w:type="paragraph" w:customStyle="1" w:styleId="Normal1">
    <w:name w:val="Normal1"/>
    <w:basedOn w:val="Normal"/>
    <w:rsid w:val="009C6F8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apple-converted-space">
    <w:name w:val="apple-converted-space"/>
    <w:basedOn w:val="DefaultParagraphFont"/>
    <w:rsid w:val="009C6F83"/>
  </w:style>
  <w:style w:type="character" w:styleId="Hyperlink">
    <w:name w:val="Hyperlink"/>
    <w:basedOn w:val="DefaultParagraphFont"/>
    <w:uiPriority w:val="99"/>
    <w:unhideWhenUsed/>
    <w:rsid w:val="009C6F83"/>
    <w:rPr>
      <w:color w:val="0000FF"/>
      <w:u w:val="single"/>
    </w:rPr>
  </w:style>
  <w:style w:type="character" w:styleId="FollowedHyperlink">
    <w:name w:val="FollowedHyperlink"/>
    <w:basedOn w:val="DefaultParagraphFont"/>
    <w:uiPriority w:val="99"/>
    <w:semiHidden/>
    <w:unhideWhenUsed/>
    <w:rsid w:val="009C6F83"/>
    <w:rPr>
      <w:color w:val="800080"/>
      <w:u w:val="single"/>
    </w:rPr>
  </w:style>
  <w:style w:type="character" w:customStyle="1" w:styleId="super">
    <w:name w:val="super"/>
    <w:basedOn w:val="DefaultParagraphFont"/>
    <w:rsid w:val="009C6F83"/>
  </w:style>
  <w:style w:type="paragraph" w:customStyle="1" w:styleId="tbl-hdr">
    <w:name w:val="tbl-hdr"/>
    <w:basedOn w:val="Normal"/>
    <w:rsid w:val="009C6F8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ti-tbl">
    <w:name w:val="ti-tbl"/>
    <w:basedOn w:val="Normal"/>
    <w:rsid w:val="009C6F8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NormalWeb">
    <w:name w:val="Normal (Web)"/>
    <w:basedOn w:val="Normal"/>
    <w:uiPriority w:val="99"/>
    <w:semiHidden/>
    <w:unhideWhenUsed/>
    <w:rsid w:val="009C6F8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note">
    <w:name w:val="note"/>
    <w:basedOn w:val="Normal"/>
    <w:rsid w:val="009C6F8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CommentReference">
    <w:name w:val="annotation reference"/>
    <w:basedOn w:val="DefaultParagraphFont"/>
    <w:uiPriority w:val="99"/>
    <w:semiHidden/>
    <w:unhideWhenUsed/>
    <w:rsid w:val="000A3505"/>
    <w:rPr>
      <w:sz w:val="16"/>
      <w:szCs w:val="16"/>
    </w:rPr>
  </w:style>
  <w:style w:type="paragraph" w:styleId="CommentText">
    <w:name w:val="annotation text"/>
    <w:basedOn w:val="Normal"/>
    <w:link w:val="CommentTextChar"/>
    <w:uiPriority w:val="99"/>
    <w:semiHidden/>
    <w:unhideWhenUsed/>
    <w:rsid w:val="000A3505"/>
    <w:pPr>
      <w:spacing w:line="240" w:lineRule="auto"/>
    </w:pPr>
    <w:rPr>
      <w:sz w:val="20"/>
      <w:szCs w:val="20"/>
    </w:rPr>
  </w:style>
  <w:style w:type="character" w:customStyle="1" w:styleId="CommentTextChar">
    <w:name w:val="Comment Text Char"/>
    <w:basedOn w:val="DefaultParagraphFont"/>
    <w:link w:val="CommentText"/>
    <w:uiPriority w:val="99"/>
    <w:semiHidden/>
    <w:rsid w:val="000A3505"/>
    <w:rPr>
      <w:sz w:val="20"/>
      <w:szCs w:val="20"/>
    </w:rPr>
  </w:style>
  <w:style w:type="paragraph" w:styleId="CommentSubject">
    <w:name w:val="annotation subject"/>
    <w:basedOn w:val="CommentText"/>
    <w:next w:val="CommentText"/>
    <w:link w:val="CommentSubjectChar"/>
    <w:uiPriority w:val="99"/>
    <w:semiHidden/>
    <w:unhideWhenUsed/>
    <w:rsid w:val="000A3505"/>
    <w:rPr>
      <w:b/>
      <w:bCs/>
    </w:rPr>
  </w:style>
  <w:style w:type="character" w:customStyle="1" w:styleId="CommentSubjectChar">
    <w:name w:val="Comment Subject Char"/>
    <w:basedOn w:val="CommentTextChar"/>
    <w:link w:val="CommentSubject"/>
    <w:uiPriority w:val="99"/>
    <w:semiHidden/>
    <w:rsid w:val="000A3505"/>
    <w:rPr>
      <w:b/>
      <w:bCs/>
      <w:sz w:val="20"/>
      <w:szCs w:val="20"/>
    </w:rPr>
  </w:style>
  <w:style w:type="paragraph" w:styleId="BalloonText">
    <w:name w:val="Balloon Text"/>
    <w:basedOn w:val="Normal"/>
    <w:link w:val="BalloonTextChar"/>
    <w:uiPriority w:val="99"/>
    <w:semiHidden/>
    <w:unhideWhenUsed/>
    <w:rsid w:val="000A35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505"/>
    <w:rPr>
      <w:rFonts w:ascii="Tahoma" w:hAnsi="Tahoma" w:cs="Tahoma"/>
      <w:sz w:val="16"/>
      <w:szCs w:val="16"/>
    </w:rPr>
  </w:style>
  <w:style w:type="paragraph" w:styleId="Revision">
    <w:name w:val="Revision"/>
    <w:hidden/>
    <w:uiPriority w:val="99"/>
    <w:semiHidden/>
    <w:rsid w:val="00263956"/>
    <w:pPr>
      <w:spacing w:after="0" w:line="240" w:lineRule="auto"/>
    </w:pPr>
  </w:style>
  <w:style w:type="paragraph" w:customStyle="1" w:styleId="CharChar1CharCharChar1CharCharChar2CharCharCharCharCharCharChar3CharChar1CharCharCharCharCharChar">
    <w:name w:val="Char Char1 Char Char Char1 Char Char Char2 Char Char Char Char Char Char Char3 Char Char1 Char Char Char Char Char Char"/>
    <w:basedOn w:val="Normal"/>
    <w:rsid w:val="00AC389D"/>
    <w:pPr>
      <w:tabs>
        <w:tab w:val="left" w:pos="709"/>
      </w:tabs>
      <w:spacing w:before="120" w:after="120" w:line="240" w:lineRule="auto"/>
      <w:jc w:val="both"/>
    </w:pPr>
    <w:rPr>
      <w:rFonts w:ascii="Tahoma" w:eastAsia="Times New Roman" w:hAnsi="Tahoma" w:cs="Times New Roman"/>
      <w:sz w:val="24"/>
      <w:szCs w:val="20"/>
      <w:lang w:val="pl-PL" w:eastAsia="pl-PL"/>
    </w:rPr>
  </w:style>
  <w:style w:type="paragraph" w:styleId="ListParagraph">
    <w:name w:val="List Paragraph"/>
    <w:basedOn w:val="Normal"/>
    <w:uiPriority w:val="34"/>
    <w:qFormat/>
    <w:rsid w:val="00340AA5"/>
    <w:pPr>
      <w:spacing w:after="120" w:line="360" w:lineRule="auto"/>
      <w:ind w:left="708" w:firstLine="720"/>
      <w:jc w:val="both"/>
    </w:pPr>
    <w:rPr>
      <w:rFonts w:ascii="Arial" w:eastAsia="Times New Roman" w:hAnsi="Arial" w:cs="Times New Roman"/>
      <w:sz w:val="24"/>
      <w:szCs w:val="20"/>
    </w:rPr>
  </w:style>
  <w:style w:type="paragraph" w:customStyle="1" w:styleId="Default">
    <w:name w:val="Default"/>
    <w:rsid w:val="00E4082D"/>
    <w:pPr>
      <w:autoSpaceDE w:val="0"/>
      <w:autoSpaceDN w:val="0"/>
      <w:adjustRightInd w:val="0"/>
      <w:spacing w:after="0" w:line="240" w:lineRule="auto"/>
    </w:pPr>
    <w:rPr>
      <w:rFonts w:ascii="Times New Roman" w:eastAsia="Calibri" w:hAnsi="Times New Roman" w:cs="Times New Roman"/>
      <w:color w:val="000000"/>
      <w:sz w:val="24"/>
      <w:szCs w:val="24"/>
      <w:lang w:eastAsia="bg-BG"/>
    </w:rPr>
  </w:style>
  <w:style w:type="paragraph" w:styleId="Header">
    <w:name w:val="header"/>
    <w:basedOn w:val="Normal"/>
    <w:link w:val="HeaderChar"/>
    <w:unhideWhenUsed/>
    <w:rsid w:val="007958CF"/>
    <w:pPr>
      <w:tabs>
        <w:tab w:val="center" w:pos="4536"/>
        <w:tab w:val="right" w:pos="9072"/>
      </w:tabs>
      <w:spacing w:after="0" w:line="240" w:lineRule="auto"/>
    </w:pPr>
  </w:style>
  <w:style w:type="character" w:customStyle="1" w:styleId="HeaderChar">
    <w:name w:val="Header Char"/>
    <w:basedOn w:val="DefaultParagraphFont"/>
    <w:link w:val="Header"/>
    <w:rsid w:val="007958CF"/>
  </w:style>
  <w:style w:type="paragraph" w:styleId="Footer">
    <w:name w:val="footer"/>
    <w:basedOn w:val="Normal"/>
    <w:link w:val="FooterChar"/>
    <w:uiPriority w:val="99"/>
    <w:unhideWhenUsed/>
    <w:rsid w:val="007958CF"/>
    <w:pPr>
      <w:tabs>
        <w:tab w:val="center" w:pos="4536"/>
        <w:tab w:val="right" w:pos="9072"/>
      </w:tabs>
      <w:spacing w:after="0" w:line="240" w:lineRule="auto"/>
    </w:pPr>
  </w:style>
  <w:style w:type="character" w:customStyle="1" w:styleId="FooterChar">
    <w:name w:val="Footer Char"/>
    <w:basedOn w:val="DefaultParagraphFont"/>
    <w:link w:val="Footer"/>
    <w:uiPriority w:val="99"/>
    <w:rsid w:val="007958CF"/>
  </w:style>
  <w:style w:type="paragraph" w:customStyle="1" w:styleId="CharChar1CharCharChar1CharCharChar2CharCharCharCharCharCharChar3CharChar1CharCharCharCharCharCharCharCharCharChar">
    <w:name w:val="Char Char1 Char Char Char1 Char Char Char2 Char Char Char Char Char Char Char3 Char Char1 Char Char Char Char Char Char Char Char Char Char"/>
    <w:basedOn w:val="Normal"/>
    <w:rsid w:val="000609E5"/>
    <w:pPr>
      <w:tabs>
        <w:tab w:val="left" w:pos="709"/>
      </w:tabs>
      <w:spacing w:before="120" w:after="120" w:line="240" w:lineRule="auto"/>
      <w:jc w:val="both"/>
    </w:pPr>
    <w:rPr>
      <w:rFonts w:ascii="Tahoma" w:eastAsia="Times New Roman" w:hAnsi="Tahoma" w:cs="Times New Roman"/>
      <w:sz w:val="24"/>
      <w:szCs w:val="20"/>
      <w:lang w:val="pl-PL" w:eastAsia="pl-PL"/>
    </w:rPr>
  </w:style>
  <w:style w:type="paragraph" w:styleId="FootnoteText">
    <w:name w:val="footnote text"/>
    <w:basedOn w:val="Normal"/>
    <w:link w:val="FootnoteTextChar"/>
    <w:uiPriority w:val="99"/>
    <w:semiHidden/>
    <w:unhideWhenUsed/>
    <w:rsid w:val="006A2FD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2FD1"/>
    <w:rPr>
      <w:sz w:val="20"/>
      <w:szCs w:val="20"/>
    </w:rPr>
  </w:style>
  <w:style w:type="character" w:styleId="FootnoteReference">
    <w:name w:val="footnote reference"/>
    <w:basedOn w:val="DefaultParagraphFont"/>
    <w:uiPriority w:val="99"/>
    <w:semiHidden/>
    <w:unhideWhenUsed/>
    <w:rsid w:val="006A2FD1"/>
    <w:rPr>
      <w:vertAlign w:val="superscript"/>
    </w:rPr>
  </w:style>
  <w:style w:type="paragraph" w:customStyle="1" w:styleId="CharChar1CharCharChar1CharCharChar2CharCharCharCharCharCharChar3CharChar1CharCharCharCharCharCharCharCharCharChar0">
    <w:name w:val="Char Char1 Char Char Char1 Char Char Char2 Char Char Char Char Char Char Char3 Char Char1 Char Char Char Char Char Char Char Char Char Char"/>
    <w:basedOn w:val="Normal"/>
    <w:rsid w:val="006E0D7D"/>
    <w:pPr>
      <w:tabs>
        <w:tab w:val="left" w:pos="709"/>
      </w:tabs>
      <w:spacing w:before="120" w:after="120" w:line="240" w:lineRule="auto"/>
      <w:jc w:val="both"/>
    </w:pPr>
    <w:rPr>
      <w:rFonts w:ascii="Tahoma" w:eastAsia="Times New Roman" w:hAnsi="Tahoma" w:cs="Times New Roman"/>
      <w:sz w:val="24"/>
      <w:szCs w:val="20"/>
      <w:lang w:val="pl-PL" w:eastAsia="pl-PL"/>
    </w:rPr>
  </w:style>
  <w:style w:type="paragraph" w:customStyle="1" w:styleId="Application2">
    <w:name w:val="Application2"/>
    <w:basedOn w:val="Normal"/>
    <w:autoRedefine/>
    <w:rsid w:val="00B522F0"/>
    <w:pPr>
      <w:widowControl w:val="0"/>
      <w:suppressAutoHyphens/>
      <w:spacing w:before="240" w:after="120" w:line="240" w:lineRule="auto"/>
    </w:pPr>
    <w:rPr>
      <w:rFonts w:ascii="Times New Roman" w:eastAsia="Times New Roman" w:hAnsi="Times New Roman" w:cs="Times New Roman"/>
      <w:snapToGrid w:val="0"/>
      <w:spacing w:val="-2"/>
      <w:sz w:val="16"/>
      <w:szCs w:val="16"/>
    </w:rPr>
  </w:style>
  <w:style w:type="character" w:customStyle="1" w:styleId="Heading1Char">
    <w:name w:val="Heading 1 Char"/>
    <w:basedOn w:val="DefaultParagraphFont"/>
    <w:link w:val="Heading1"/>
    <w:uiPriority w:val="9"/>
    <w:rsid w:val="00D279B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279B7"/>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D279B7"/>
    <w:rPr>
      <w:rFonts w:asciiTheme="majorHAnsi" w:eastAsiaTheme="majorEastAsia" w:hAnsiTheme="majorHAnsi" w:cstheme="majorBidi"/>
      <w:color w:val="1F4D78" w:themeColor="accent1" w:themeShade="7F"/>
      <w:sz w:val="24"/>
      <w:szCs w:val="24"/>
    </w:rPr>
  </w:style>
  <w:style w:type="paragraph" w:styleId="TOCHeading">
    <w:name w:val="TOC Heading"/>
    <w:basedOn w:val="Heading1"/>
    <w:next w:val="Normal"/>
    <w:uiPriority w:val="39"/>
    <w:unhideWhenUsed/>
    <w:qFormat/>
    <w:rsid w:val="005548A5"/>
    <w:pPr>
      <w:outlineLvl w:val="9"/>
    </w:pPr>
    <w:rPr>
      <w:lang w:val="en-US"/>
    </w:rPr>
  </w:style>
  <w:style w:type="paragraph" w:styleId="TOC1">
    <w:name w:val="toc 1"/>
    <w:basedOn w:val="Normal"/>
    <w:next w:val="Normal"/>
    <w:autoRedefine/>
    <w:uiPriority w:val="39"/>
    <w:unhideWhenUsed/>
    <w:rsid w:val="005548A5"/>
    <w:pPr>
      <w:spacing w:after="100"/>
    </w:pPr>
  </w:style>
  <w:style w:type="paragraph" w:styleId="TOC2">
    <w:name w:val="toc 2"/>
    <w:basedOn w:val="Normal"/>
    <w:next w:val="Normal"/>
    <w:autoRedefine/>
    <w:uiPriority w:val="39"/>
    <w:unhideWhenUsed/>
    <w:rsid w:val="00E354F5"/>
    <w:pPr>
      <w:tabs>
        <w:tab w:val="right" w:leader="dot" w:pos="13994"/>
      </w:tabs>
      <w:spacing w:after="100"/>
      <w:ind w:left="220"/>
    </w:pPr>
  </w:style>
  <w:style w:type="paragraph" w:styleId="TOC3">
    <w:name w:val="toc 3"/>
    <w:basedOn w:val="Normal"/>
    <w:next w:val="Normal"/>
    <w:autoRedefine/>
    <w:uiPriority w:val="39"/>
    <w:unhideWhenUsed/>
    <w:rsid w:val="005548A5"/>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946372">
      <w:bodyDiv w:val="1"/>
      <w:marLeft w:val="0"/>
      <w:marRight w:val="0"/>
      <w:marTop w:val="0"/>
      <w:marBottom w:val="0"/>
      <w:divBdr>
        <w:top w:val="none" w:sz="0" w:space="0" w:color="auto"/>
        <w:left w:val="none" w:sz="0" w:space="0" w:color="auto"/>
        <w:bottom w:val="none" w:sz="0" w:space="0" w:color="auto"/>
        <w:right w:val="none" w:sz="0" w:space="0" w:color="auto"/>
      </w:divBdr>
      <w:divsChild>
        <w:div w:id="161509927">
          <w:marLeft w:val="0"/>
          <w:marRight w:val="0"/>
          <w:marTop w:val="0"/>
          <w:marBottom w:val="0"/>
          <w:divBdr>
            <w:top w:val="none" w:sz="0" w:space="0" w:color="auto"/>
            <w:left w:val="none" w:sz="0" w:space="0" w:color="auto"/>
            <w:bottom w:val="none" w:sz="0" w:space="0" w:color="auto"/>
            <w:right w:val="none" w:sz="0" w:space="0" w:color="auto"/>
          </w:divBdr>
        </w:div>
        <w:div w:id="408233964">
          <w:marLeft w:val="0"/>
          <w:marRight w:val="0"/>
          <w:marTop w:val="0"/>
          <w:marBottom w:val="0"/>
          <w:divBdr>
            <w:top w:val="none" w:sz="0" w:space="0" w:color="auto"/>
            <w:left w:val="none" w:sz="0" w:space="0" w:color="auto"/>
            <w:bottom w:val="none" w:sz="0" w:space="0" w:color="auto"/>
            <w:right w:val="none" w:sz="0" w:space="0" w:color="auto"/>
          </w:divBdr>
        </w:div>
        <w:div w:id="490027462">
          <w:marLeft w:val="0"/>
          <w:marRight w:val="0"/>
          <w:marTop w:val="0"/>
          <w:marBottom w:val="0"/>
          <w:divBdr>
            <w:top w:val="none" w:sz="0" w:space="0" w:color="auto"/>
            <w:left w:val="none" w:sz="0" w:space="0" w:color="auto"/>
            <w:bottom w:val="none" w:sz="0" w:space="0" w:color="auto"/>
            <w:right w:val="none" w:sz="0" w:space="0" w:color="auto"/>
          </w:divBdr>
        </w:div>
        <w:div w:id="513308445">
          <w:marLeft w:val="0"/>
          <w:marRight w:val="0"/>
          <w:marTop w:val="0"/>
          <w:marBottom w:val="0"/>
          <w:divBdr>
            <w:top w:val="none" w:sz="0" w:space="0" w:color="auto"/>
            <w:left w:val="none" w:sz="0" w:space="0" w:color="auto"/>
            <w:bottom w:val="none" w:sz="0" w:space="0" w:color="auto"/>
            <w:right w:val="none" w:sz="0" w:space="0" w:color="auto"/>
          </w:divBdr>
        </w:div>
        <w:div w:id="558714369">
          <w:marLeft w:val="0"/>
          <w:marRight w:val="0"/>
          <w:marTop w:val="0"/>
          <w:marBottom w:val="0"/>
          <w:divBdr>
            <w:top w:val="none" w:sz="0" w:space="0" w:color="auto"/>
            <w:left w:val="none" w:sz="0" w:space="0" w:color="auto"/>
            <w:bottom w:val="none" w:sz="0" w:space="0" w:color="auto"/>
            <w:right w:val="none" w:sz="0" w:space="0" w:color="auto"/>
          </w:divBdr>
        </w:div>
        <w:div w:id="676226903">
          <w:marLeft w:val="0"/>
          <w:marRight w:val="0"/>
          <w:marTop w:val="0"/>
          <w:marBottom w:val="0"/>
          <w:divBdr>
            <w:top w:val="none" w:sz="0" w:space="0" w:color="auto"/>
            <w:left w:val="none" w:sz="0" w:space="0" w:color="auto"/>
            <w:bottom w:val="none" w:sz="0" w:space="0" w:color="auto"/>
            <w:right w:val="none" w:sz="0" w:space="0" w:color="auto"/>
          </w:divBdr>
        </w:div>
        <w:div w:id="711152630">
          <w:marLeft w:val="0"/>
          <w:marRight w:val="0"/>
          <w:marTop w:val="0"/>
          <w:marBottom w:val="0"/>
          <w:divBdr>
            <w:top w:val="none" w:sz="0" w:space="0" w:color="auto"/>
            <w:left w:val="none" w:sz="0" w:space="0" w:color="auto"/>
            <w:bottom w:val="none" w:sz="0" w:space="0" w:color="auto"/>
            <w:right w:val="none" w:sz="0" w:space="0" w:color="auto"/>
          </w:divBdr>
        </w:div>
        <w:div w:id="781069904">
          <w:marLeft w:val="0"/>
          <w:marRight w:val="0"/>
          <w:marTop w:val="0"/>
          <w:marBottom w:val="0"/>
          <w:divBdr>
            <w:top w:val="none" w:sz="0" w:space="0" w:color="auto"/>
            <w:left w:val="none" w:sz="0" w:space="0" w:color="auto"/>
            <w:bottom w:val="none" w:sz="0" w:space="0" w:color="auto"/>
            <w:right w:val="none" w:sz="0" w:space="0" w:color="auto"/>
          </w:divBdr>
        </w:div>
        <w:div w:id="845247054">
          <w:marLeft w:val="0"/>
          <w:marRight w:val="0"/>
          <w:marTop w:val="0"/>
          <w:marBottom w:val="0"/>
          <w:divBdr>
            <w:top w:val="none" w:sz="0" w:space="0" w:color="auto"/>
            <w:left w:val="none" w:sz="0" w:space="0" w:color="auto"/>
            <w:bottom w:val="none" w:sz="0" w:space="0" w:color="auto"/>
            <w:right w:val="none" w:sz="0" w:space="0" w:color="auto"/>
          </w:divBdr>
        </w:div>
        <w:div w:id="903107367">
          <w:marLeft w:val="0"/>
          <w:marRight w:val="0"/>
          <w:marTop w:val="0"/>
          <w:marBottom w:val="0"/>
          <w:divBdr>
            <w:top w:val="none" w:sz="0" w:space="0" w:color="auto"/>
            <w:left w:val="none" w:sz="0" w:space="0" w:color="auto"/>
            <w:bottom w:val="none" w:sz="0" w:space="0" w:color="auto"/>
            <w:right w:val="none" w:sz="0" w:space="0" w:color="auto"/>
          </w:divBdr>
        </w:div>
        <w:div w:id="963004593">
          <w:marLeft w:val="0"/>
          <w:marRight w:val="0"/>
          <w:marTop w:val="0"/>
          <w:marBottom w:val="0"/>
          <w:divBdr>
            <w:top w:val="none" w:sz="0" w:space="0" w:color="auto"/>
            <w:left w:val="none" w:sz="0" w:space="0" w:color="auto"/>
            <w:bottom w:val="none" w:sz="0" w:space="0" w:color="auto"/>
            <w:right w:val="none" w:sz="0" w:space="0" w:color="auto"/>
          </w:divBdr>
        </w:div>
        <w:div w:id="1215653320">
          <w:marLeft w:val="0"/>
          <w:marRight w:val="0"/>
          <w:marTop w:val="0"/>
          <w:marBottom w:val="0"/>
          <w:divBdr>
            <w:top w:val="none" w:sz="0" w:space="0" w:color="auto"/>
            <w:left w:val="none" w:sz="0" w:space="0" w:color="auto"/>
            <w:bottom w:val="none" w:sz="0" w:space="0" w:color="auto"/>
            <w:right w:val="none" w:sz="0" w:space="0" w:color="auto"/>
          </w:divBdr>
        </w:div>
        <w:div w:id="1312444243">
          <w:marLeft w:val="0"/>
          <w:marRight w:val="0"/>
          <w:marTop w:val="0"/>
          <w:marBottom w:val="0"/>
          <w:divBdr>
            <w:top w:val="none" w:sz="0" w:space="0" w:color="auto"/>
            <w:left w:val="none" w:sz="0" w:space="0" w:color="auto"/>
            <w:bottom w:val="none" w:sz="0" w:space="0" w:color="auto"/>
            <w:right w:val="none" w:sz="0" w:space="0" w:color="auto"/>
          </w:divBdr>
        </w:div>
        <w:div w:id="1313944589">
          <w:marLeft w:val="0"/>
          <w:marRight w:val="0"/>
          <w:marTop w:val="0"/>
          <w:marBottom w:val="0"/>
          <w:divBdr>
            <w:top w:val="none" w:sz="0" w:space="0" w:color="auto"/>
            <w:left w:val="none" w:sz="0" w:space="0" w:color="auto"/>
            <w:bottom w:val="none" w:sz="0" w:space="0" w:color="auto"/>
            <w:right w:val="none" w:sz="0" w:space="0" w:color="auto"/>
          </w:divBdr>
        </w:div>
        <w:div w:id="1316832754">
          <w:marLeft w:val="0"/>
          <w:marRight w:val="0"/>
          <w:marTop w:val="0"/>
          <w:marBottom w:val="0"/>
          <w:divBdr>
            <w:top w:val="none" w:sz="0" w:space="0" w:color="auto"/>
            <w:left w:val="none" w:sz="0" w:space="0" w:color="auto"/>
            <w:bottom w:val="none" w:sz="0" w:space="0" w:color="auto"/>
            <w:right w:val="none" w:sz="0" w:space="0" w:color="auto"/>
          </w:divBdr>
        </w:div>
        <w:div w:id="1398166488">
          <w:marLeft w:val="0"/>
          <w:marRight w:val="0"/>
          <w:marTop w:val="0"/>
          <w:marBottom w:val="0"/>
          <w:divBdr>
            <w:top w:val="none" w:sz="0" w:space="0" w:color="auto"/>
            <w:left w:val="none" w:sz="0" w:space="0" w:color="auto"/>
            <w:bottom w:val="none" w:sz="0" w:space="0" w:color="auto"/>
            <w:right w:val="none" w:sz="0" w:space="0" w:color="auto"/>
          </w:divBdr>
        </w:div>
        <w:div w:id="1435052403">
          <w:marLeft w:val="0"/>
          <w:marRight w:val="0"/>
          <w:marTop w:val="0"/>
          <w:marBottom w:val="0"/>
          <w:divBdr>
            <w:top w:val="none" w:sz="0" w:space="0" w:color="auto"/>
            <w:left w:val="none" w:sz="0" w:space="0" w:color="auto"/>
            <w:bottom w:val="none" w:sz="0" w:space="0" w:color="auto"/>
            <w:right w:val="none" w:sz="0" w:space="0" w:color="auto"/>
          </w:divBdr>
        </w:div>
        <w:div w:id="1819421461">
          <w:marLeft w:val="0"/>
          <w:marRight w:val="0"/>
          <w:marTop w:val="0"/>
          <w:marBottom w:val="0"/>
          <w:divBdr>
            <w:top w:val="none" w:sz="0" w:space="0" w:color="auto"/>
            <w:left w:val="none" w:sz="0" w:space="0" w:color="auto"/>
            <w:bottom w:val="none" w:sz="0" w:space="0" w:color="auto"/>
            <w:right w:val="none" w:sz="0" w:space="0" w:color="auto"/>
          </w:divBdr>
        </w:div>
        <w:div w:id="2075619991">
          <w:marLeft w:val="0"/>
          <w:marRight w:val="0"/>
          <w:marTop w:val="0"/>
          <w:marBottom w:val="0"/>
          <w:divBdr>
            <w:top w:val="none" w:sz="0" w:space="0" w:color="auto"/>
            <w:left w:val="none" w:sz="0" w:space="0" w:color="auto"/>
            <w:bottom w:val="none" w:sz="0" w:space="0" w:color="auto"/>
            <w:right w:val="none" w:sz="0" w:space="0" w:color="auto"/>
          </w:divBdr>
        </w:div>
      </w:divsChild>
    </w:div>
    <w:div w:id="763649669">
      <w:bodyDiv w:val="1"/>
      <w:marLeft w:val="0"/>
      <w:marRight w:val="0"/>
      <w:marTop w:val="0"/>
      <w:marBottom w:val="0"/>
      <w:divBdr>
        <w:top w:val="none" w:sz="0" w:space="0" w:color="auto"/>
        <w:left w:val="none" w:sz="0" w:space="0" w:color="auto"/>
        <w:bottom w:val="none" w:sz="0" w:space="0" w:color="auto"/>
        <w:right w:val="none" w:sz="0" w:space="0" w:color="auto"/>
      </w:divBdr>
      <w:divsChild>
        <w:div w:id="221136333">
          <w:marLeft w:val="0"/>
          <w:marRight w:val="0"/>
          <w:marTop w:val="0"/>
          <w:marBottom w:val="0"/>
          <w:divBdr>
            <w:top w:val="none" w:sz="0" w:space="0" w:color="auto"/>
            <w:left w:val="none" w:sz="0" w:space="0" w:color="auto"/>
            <w:bottom w:val="none" w:sz="0" w:space="0" w:color="auto"/>
            <w:right w:val="none" w:sz="0" w:space="0" w:color="auto"/>
          </w:divBdr>
        </w:div>
        <w:div w:id="326786467">
          <w:marLeft w:val="0"/>
          <w:marRight w:val="0"/>
          <w:marTop w:val="0"/>
          <w:marBottom w:val="0"/>
          <w:divBdr>
            <w:top w:val="none" w:sz="0" w:space="0" w:color="auto"/>
            <w:left w:val="none" w:sz="0" w:space="0" w:color="auto"/>
            <w:bottom w:val="none" w:sz="0" w:space="0" w:color="auto"/>
            <w:right w:val="none" w:sz="0" w:space="0" w:color="auto"/>
          </w:divBdr>
        </w:div>
        <w:div w:id="337729346">
          <w:marLeft w:val="0"/>
          <w:marRight w:val="0"/>
          <w:marTop w:val="0"/>
          <w:marBottom w:val="0"/>
          <w:divBdr>
            <w:top w:val="none" w:sz="0" w:space="0" w:color="auto"/>
            <w:left w:val="none" w:sz="0" w:space="0" w:color="auto"/>
            <w:bottom w:val="none" w:sz="0" w:space="0" w:color="auto"/>
            <w:right w:val="none" w:sz="0" w:space="0" w:color="auto"/>
          </w:divBdr>
        </w:div>
        <w:div w:id="384060891">
          <w:marLeft w:val="0"/>
          <w:marRight w:val="0"/>
          <w:marTop w:val="0"/>
          <w:marBottom w:val="0"/>
          <w:divBdr>
            <w:top w:val="none" w:sz="0" w:space="0" w:color="auto"/>
            <w:left w:val="none" w:sz="0" w:space="0" w:color="auto"/>
            <w:bottom w:val="none" w:sz="0" w:space="0" w:color="auto"/>
            <w:right w:val="none" w:sz="0" w:space="0" w:color="auto"/>
          </w:divBdr>
        </w:div>
        <w:div w:id="553010227">
          <w:marLeft w:val="0"/>
          <w:marRight w:val="0"/>
          <w:marTop w:val="0"/>
          <w:marBottom w:val="0"/>
          <w:divBdr>
            <w:top w:val="none" w:sz="0" w:space="0" w:color="auto"/>
            <w:left w:val="none" w:sz="0" w:space="0" w:color="auto"/>
            <w:bottom w:val="none" w:sz="0" w:space="0" w:color="auto"/>
            <w:right w:val="none" w:sz="0" w:space="0" w:color="auto"/>
          </w:divBdr>
        </w:div>
        <w:div w:id="734427235">
          <w:marLeft w:val="0"/>
          <w:marRight w:val="0"/>
          <w:marTop w:val="0"/>
          <w:marBottom w:val="0"/>
          <w:divBdr>
            <w:top w:val="none" w:sz="0" w:space="0" w:color="auto"/>
            <w:left w:val="none" w:sz="0" w:space="0" w:color="auto"/>
            <w:bottom w:val="none" w:sz="0" w:space="0" w:color="auto"/>
            <w:right w:val="none" w:sz="0" w:space="0" w:color="auto"/>
          </w:divBdr>
        </w:div>
        <w:div w:id="752894545">
          <w:marLeft w:val="0"/>
          <w:marRight w:val="0"/>
          <w:marTop w:val="0"/>
          <w:marBottom w:val="0"/>
          <w:divBdr>
            <w:top w:val="none" w:sz="0" w:space="0" w:color="auto"/>
            <w:left w:val="none" w:sz="0" w:space="0" w:color="auto"/>
            <w:bottom w:val="none" w:sz="0" w:space="0" w:color="auto"/>
            <w:right w:val="none" w:sz="0" w:space="0" w:color="auto"/>
          </w:divBdr>
        </w:div>
        <w:div w:id="900868520">
          <w:marLeft w:val="0"/>
          <w:marRight w:val="0"/>
          <w:marTop w:val="0"/>
          <w:marBottom w:val="0"/>
          <w:divBdr>
            <w:top w:val="none" w:sz="0" w:space="0" w:color="auto"/>
            <w:left w:val="none" w:sz="0" w:space="0" w:color="auto"/>
            <w:bottom w:val="none" w:sz="0" w:space="0" w:color="auto"/>
            <w:right w:val="none" w:sz="0" w:space="0" w:color="auto"/>
          </w:divBdr>
        </w:div>
        <w:div w:id="1254163364">
          <w:marLeft w:val="0"/>
          <w:marRight w:val="0"/>
          <w:marTop w:val="0"/>
          <w:marBottom w:val="0"/>
          <w:divBdr>
            <w:top w:val="none" w:sz="0" w:space="0" w:color="auto"/>
            <w:left w:val="none" w:sz="0" w:space="0" w:color="auto"/>
            <w:bottom w:val="none" w:sz="0" w:space="0" w:color="auto"/>
            <w:right w:val="none" w:sz="0" w:space="0" w:color="auto"/>
          </w:divBdr>
        </w:div>
        <w:div w:id="1277443075">
          <w:marLeft w:val="0"/>
          <w:marRight w:val="0"/>
          <w:marTop w:val="0"/>
          <w:marBottom w:val="0"/>
          <w:divBdr>
            <w:top w:val="none" w:sz="0" w:space="0" w:color="auto"/>
            <w:left w:val="none" w:sz="0" w:space="0" w:color="auto"/>
            <w:bottom w:val="none" w:sz="0" w:space="0" w:color="auto"/>
            <w:right w:val="none" w:sz="0" w:space="0" w:color="auto"/>
          </w:divBdr>
        </w:div>
        <w:div w:id="1500534757">
          <w:marLeft w:val="0"/>
          <w:marRight w:val="0"/>
          <w:marTop w:val="0"/>
          <w:marBottom w:val="0"/>
          <w:divBdr>
            <w:top w:val="none" w:sz="0" w:space="0" w:color="auto"/>
            <w:left w:val="none" w:sz="0" w:space="0" w:color="auto"/>
            <w:bottom w:val="none" w:sz="0" w:space="0" w:color="auto"/>
            <w:right w:val="none" w:sz="0" w:space="0" w:color="auto"/>
          </w:divBdr>
        </w:div>
        <w:div w:id="1601796174">
          <w:marLeft w:val="0"/>
          <w:marRight w:val="0"/>
          <w:marTop w:val="0"/>
          <w:marBottom w:val="0"/>
          <w:divBdr>
            <w:top w:val="none" w:sz="0" w:space="0" w:color="auto"/>
            <w:left w:val="none" w:sz="0" w:space="0" w:color="auto"/>
            <w:bottom w:val="none" w:sz="0" w:space="0" w:color="auto"/>
            <w:right w:val="none" w:sz="0" w:space="0" w:color="auto"/>
          </w:divBdr>
        </w:div>
        <w:div w:id="1604267259">
          <w:marLeft w:val="0"/>
          <w:marRight w:val="0"/>
          <w:marTop w:val="0"/>
          <w:marBottom w:val="0"/>
          <w:divBdr>
            <w:top w:val="none" w:sz="0" w:space="0" w:color="auto"/>
            <w:left w:val="none" w:sz="0" w:space="0" w:color="auto"/>
            <w:bottom w:val="none" w:sz="0" w:space="0" w:color="auto"/>
            <w:right w:val="none" w:sz="0" w:space="0" w:color="auto"/>
          </w:divBdr>
        </w:div>
        <w:div w:id="1624384861">
          <w:marLeft w:val="0"/>
          <w:marRight w:val="0"/>
          <w:marTop w:val="0"/>
          <w:marBottom w:val="0"/>
          <w:divBdr>
            <w:top w:val="none" w:sz="0" w:space="0" w:color="auto"/>
            <w:left w:val="none" w:sz="0" w:space="0" w:color="auto"/>
            <w:bottom w:val="none" w:sz="0" w:space="0" w:color="auto"/>
            <w:right w:val="none" w:sz="0" w:space="0" w:color="auto"/>
          </w:divBdr>
        </w:div>
        <w:div w:id="1683817551">
          <w:marLeft w:val="0"/>
          <w:marRight w:val="0"/>
          <w:marTop w:val="0"/>
          <w:marBottom w:val="0"/>
          <w:divBdr>
            <w:top w:val="none" w:sz="0" w:space="0" w:color="auto"/>
            <w:left w:val="none" w:sz="0" w:space="0" w:color="auto"/>
            <w:bottom w:val="none" w:sz="0" w:space="0" w:color="auto"/>
            <w:right w:val="none" w:sz="0" w:space="0" w:color="auto"/>
          </w:divBdr>
        </w:div>
        <w:div w:id="1807115241">
          <w:marLeft w:val="0"/>
          <w:marRight w:val="0"/>
          <w:marTop w:val="0"/>
          <w:marBottom w:val="0"/>
          <w:divBdr>
            <w:top w:val="none" w:sz="0" w:space="0" w:color="auto"/>
            <w:left w:val="none" w:sz="0" w:space="0" w:color="auto"/>
            <w:bottom w:val="none" w:sz="0" w:space="0" w:color="auto"/>
            <w:right w:val="none" w:sz="0" w:space="0" w:color="auto"/>
          </w:divBdr>
        </w:div>
        <w:div w:id="1935671875">
          <w:marLeft w:val="0"/>
          <w:marRight w:val="0"/>
          <w:marTop w:val="0"/>
          <w:marBottom w:val="0"/>
          <w:divBdr>
            <w:top w:val="none" w:sz="0" w:space="0" w:color="auto"/>
            <w:left w:val="none" w:sz="0" w:space="0" w:color="auto"/>
            <w:bottom w:val="none" w:sz="0" w:space="0" w:color="auto"/>
            <w:right w:val="none" w:sz="0" w:space="0" w:color="auto"/>
          </w:divBdr>
        </w:div>
        <w:div w:id="2072535361">
          <w:marLeft w:val="0"/>
          <w:marRight w:val="0"/>
          <w:marTop w:val="0"/>
          <w:marBottom w:val="0"/>
          <w:divBdr>
            <w:top w:val="none" w:sz="0" w:space="0" w:color="auto"/>
            <w:left w:val="none" w:sz="0" w:space="0" w:color="auto"/>
            <w:bottom w:val="none" w:sz="0" w:space="0" w:color="auto"/>
            <w:right w:val="none" w:sz="0" w:space="0" w:color="auto"/>
          </w:divBdr>
        </w:div>
        <w:div w:id="2079087343">
          <w:marLeft w:val="0"/>
          <w:marRight w:val="0"/>
          <w:marTop w:val="0"/>
          <w:marBottom w:val="0"/>
          <w:divBdr>
            <w:top w:val="none" w:sz="0" w:space="0" w:color="auto"/>
            <w:left w:val="none" w:sz="0" w:space="0" w:color="auto"/>
            <w:bottom w:val="none" w:sz="0" w:space="0" w:color="auto"/>
            <w:right w:val="none" w:sz="0" w:space="0" w:color="auto"/>
          </w:divBdr>
        </w:div>
      </w:divsChild>
    </w:div>
    <w:div w:id="1043138217">
      <w:bodyDiv w:val="1"/>
      <w:marLeft w:val="0"/>
      <w:marRight w:val="0"/>
      <w:marTop w:val="0"/>
      <w:marBottom w:val="0"/>
      <w:divBdr>
        <w:top w:val="none" w:sz="0" w:space="0" w:color="auto"/>
        <w:left w:val="none" w:sz="0" w:space="0" w:color="auto"/>
        <w:bottom w:val="none" w:sz="0" w:space="0" w:color="auto"/>
        <w:right w:val="none" w:sz="0" w:space="0" w:color="auto"/>
      </w:divBdr>
      <w:divsChild>
        <w:div w:id="439682768">
          <w:marLeft w:val="0"/>
          <w:marRight w:val="0"/>
          <w:marTop w:val="0"/>
          <w:marBottom w:val="360"/>
          <w:divBdr>
            <w:top w:val="none" w:sz="0" w:space="0" w:color="auto"/>
            <w:left w:val="none" w:sz="0" w:space="0" w:color="auto"/>
            <w:bottom w:val="none" w:sz="0" w:space="0" w:color="auto"/>
            <w:right w:val="none" w:sz="0" w:space="0" w:color="auto"/>
          </w:divBdr>
        </w:div>
        <w:div w:id="1604846387">
          <w:marLeft w:val="0"/>
          <w:marRight w:val="0"/>
          <w:marTop w:val="0"/>
          <w:marBottom w:val="360"/>
          <w:divBdr>
            <w:top w:val="none" w:sz="0" w:space="0" w:color="auto"/>
            <w:left w:val="none" w:sz="0" w:space="0" w:color="auto"/>
            <w:bottom w:val="none" w:sz="0" w:space="0" w:color="auto"/>
            <w:right w:val="none" w:sz="0" w:space="0" w:color="auto"/>
          </w:divBdr>
        </w:div>
        <w:div w:id="1003973153">
          <w:marLeft w:val="0"/>
          <w:marRight w:val="0"/>
          <w:marTop w:val="0"/>
          <w:marBottom w:val="360"/>
          <w:divBdr>
            <w:top w:val="none" w:sz="0" w:space="0" w:color="auto"/>
            <w:left w:val="none" w:sz="0" w:space="0" w:color="auto"/>
            <w:bottom w:val="none" w:sz="0" w:space="0" w:color="auto"/>
            <w:right w:val="none" w:sz="0" w:space="0" w:color="auto"/>
          </w:divBdr>
        </w:div>
        <w:div w:id="65346328">
          <w:marLeft w:val="0"/>
          <w:marRight w:val="0"/>
          <w:marTop w:val="0"/>
          <w:marBottom w:val="360"/>
          <w:divBdr>
            <w:top w:val="none" w:sz="0" w:space="0" w:color="auto"/>
            <w:left w:val="none" w:sz="0" w:space="0" w:color="auto"/>
            <w:bottom w:val="none" w:sz="0" w:space="0" w:color="auto"/>
            <w:right w:val="none" w:sz="0" w:space="0" w:color="auto"/>
          </w:divBdr>
        </w:div>
        <w:div w:id="1805073315">
          <w:marLeft w:val="0"/>
          <w:marRight w:val="0"/>
          <w:marTop w:val="0"/>
          <w:marBottom w:val="360"/>
          <w:divBdr>
            <w:top w:val="none" w:sz="0" w:space="0" w:color="auto"/>
            <w:left w:val="none" w:sz="0" w:space="0" w:color="auto"/>
            <w:bottom w:val="none" w:sz="0" w:space="0" w:color="auto"/>
            <w:right w:val="none" w:sz="0" w:space="0" w:color="auto"/>
          </w:divBdr>
        </w:div>
        <w:div w:id="140777087">
          <w:marLeft w:val="0"/>
          <w:marRight w:val="0"/>
          <w:marTop w:val="0"/>
          <w:marBottom w:val="360"/>
          <w:divBdr>
            <w:top w:val="none" w:sz="0" w:space="0" w:color="auto"/>
            <w:left w:val="none" w:sz="0" w:space="0" w:color="auto"/>
            <w:bottom w:val="none" w:sz="0" w:space="0" w:color="auto"/>
            <w:right w:val="none" w:sz="0" w:space="0" w:color="auto"/>
          </w:divBdr>
        </w:div>
        <w:div w:id="1038775359">
          <w:marLeft w:val="0"/>
          <w:marRight w:val="0"/>
          <w:marTop w:val="0"/>
          <w:marBottom w:val="360"/>
          <w:divBdr>
            <w:top w:val="none" w:sz="0" w:space="0" w:color="auto"/>
            <w:left w:val="none" w:sz="0" w:space="0" w:color="auto"/>
            <w:bottom w:val="none" w:sz="0" w:space="0" w:color="auto"/>
            <w:right w:val="none" w:sz="0" w:space="0" w:color="auto"/>
          </w:divBdr>
        </w:div>
        <w:div w:id="1021126961">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eur-lex.europa.eu/legal-content/BG/TXT/HTML/?uri=CELEX:32015R0207&amp;from=EN" TargetMode="External"/><Relationship Id="rId21" Type="http://schemas.openxmlformats.org/officeDocument/2006/relationships/hyperlink" Target="http://eur-lex.europa.eu/legal-content/BG/TXT/HTML/?uri=CELEX:32015R0207&amp;from=EN" TargetMode="External"/><Relationship Id="rId42" Type="http://schemas.openxmlformats.org/officeDocument/2006/relationships/hyperlink" Target="http://eur-lex.europa.eu/legal-content/BG/TXT/HTML/?uri=CELEX:32015R0207&amp;from=EN" TargetMode="External"/><Relationship Id="rId47" Type="http://schemas.openxmlformats.org/officeDocument/2006/relationships/hyperlink" Target="http://eur-lex.europa.eu/legal-content/BG/TXT/HTML/?uri=CELEX:32015R0207&amp;from=EN" TargetMode="External"/><Relationship Id="rId63" Type="http://schemas.openxmlformats.org/officeDocument/2006/relationships/hyperlink" Target="http://eur-lex.europa.eu/legal-content/BG/TXT/HTML/?uri=CELEX:32015R0207&amp;from=EN" TargetMode="External"/><Relationship Id="rId68" Type="http://schemas.openxmlformats.org/officeDocument/2006/relationships/hyperlink" Target="http://eur-lex.europa.eu/legal-content/BG/TXT/HTML/?uri=CELEX:32015R0207&amp;from=EN" TargetMode="External"/><Relationship Id="rId16" Type="http://schemas.openxmlformats.org/officeDocument/2006/relationships/hyperlink" Target="http://eur-lex.europa.eu/legal-content/BG/TXT/HTML/?uri=CELEX:32015R0207&amp;from=EN" TargetMode="External"/><Relationship Id="rId11" Type="http://schemas.openxmlformats.org/officeDocument/2006/relationships/hyperlink" Target="http://eur-lex.europa.eu/legal-content/BG/TXT/HTML/?uri=CELEX:32015R0207&amp;from=EN" TargetMode="External"/><Relationship Id="rId24" Type="http://schemas.openxmlformats.org/officeDocument/2006/relationships/hyperlink" Target="http://eur-lex.europa.eu/legal-content/BG/TXT/HTML/?uri=CELEX:32015R0207&amp;from=EN" TargetMode="External"/><Relationship Id="rId32" Type="http://schemas.openxmlformats.org/officeDocument/2006/relationships/hyperlink" Target="http://eur-lex.europa.eu/legal-content/BG/TXT/HTML/?uri=CELEX:32015R0207&amp;from=EN" TargetMode="External"/><Relationship Id="rId37" Type="http://schemas.openxmlformats.org/officeDocument/2006/relationships/hyperlink" Target="http://eur-lex.europa.eu/legal-content/BG/TXT/HTML/?uri=CELEX:32015R0207&amp;from=EN" TargetMode="External"/><Relationship Id="rId40" Type="http://schemas.openxmlformats.org/officeDocument/2006/relationships/hyperlink" Target="http://eur-lex.europa.eu/legal-content/BG/TXT/HTML/?uri=CELEX:32015R0207&amp;from=EN" TargetMode="External"/><Relationship Id="rId45" Type="http://schemas.openxmlformats.org/officeDocument/2006/relationships/hyperlink" Target="http://eur-lex.europa.eu/legal-content/BG/TXT/HTML/?uri=CELEX:32015R0207&amp;from=EN" TargetMode="External"/><Relationship Id="rId53" Type="http://schemas.openxmlformats.org/officeDocument/2006/relationships/hyperlink" Target="http://eur-lex.europa.eu/legal-content/BG/TXT/HTML/?uri=CELEX:32015R0207&amp;from=EN" TargetMode="External"/><Relationship Id="rId58" Type="http://schemas.openxmlformats.org/officeDocument/2006/relationships/hyperlink" Target="http://eur-lex.europa.eu/legal-content/BG/TXT/HTML/?uri=CELEX:32015R0207&amp;from=EN" TargetMode="External"/><Relationship Id="rId66" Type="http://schemas.openxmlformats.org/officeDocument/2006/relationships/hyperlink" Target="http://eur-lex.europa.eu/legal-content/BG/TXT/HTML/?uri=CELEX:32015R0207&amp;from=EN" TargetMode="External"/><Relationship Id="rId74" Type="http://schemas.openxmlformats.org/officeDocument/2006/relationships/hyperlink" Target="http://www.eufunds.bg" TargetMode="External"/><Relationship Id="rId5" Type="http://schemas.openxmlformats.org/officeDocument/2006/relationships/webSettings" Target="webSettings.xml"/><Relationship Id="rId61" Type="http://schemas.openxmlformats.org/officeDocument/2006/relationships/hyperlink" Target="http://eur-lex.europa.eu/legal-content/BG/TXT/HTML/?uri=CELEX:32015R0207&amp;from=EN" TargetMode="External"/><Relationship Id="rId19" Type="http://schemas.openxmlformats.org/officeDocument/2006/relationships/hyperlink" Target="http://eur-lex.europa.eu/legal-content/BG/TXT/HTML/?uri=CELEX:32015R0207&amp;from=EN" TargetMode="External"/><Relationship Id="rId14" Type="http://schemas.openxmlformats.org/officeDocument/2006/relationships/hyperlink" Target="http://eur-lex.europa.eu/legal-content/BG/TXT/HTML/?uri=CELEX:32015R0207&amp;from=EN" TargetMode="External"/><Relationship Id="rId22" Type="http://schemas.openxmlformats.org/officeDocument/2006/relationships/hyperlink" Target="http://eur-lex.europa.eu/legal-content/BG/TXT/HTML/?uri=CELEX:32015R0207&amp;from=EN" TargetMode="External"/><Relationship Id="rId27" Type="http://schemas.openxmlformats.org/officeDocument/2006/relationships/hyperlink" Target="http://eur-lex.europa.eu/legal-content/BG/TXT/HTML/?uri=CELEX:32015R0207&amp;from=EN" TargetMode="External"/><Relationship Id="rId30" Type="http://schemas.openxmlformats.org/officeDocument/2006/relationships/hyperlink" Target="http://eur-lex.europa.eu/legal-content/BG/TXT/HTML/?uri=CELEX:32015R0207&amp;from=EN" TargetMode="External"/><Relationship Id="rId35" Type="http://schemas.openxmlformats.org/officeDocument/2006/relationships/hyperlink" Target="http://eur-lex.europa.eu/legal-content/BG/TXT/HTML/?uri=CELEX:32015R0207&amp;from=EN" TargetMode="External"/><Relationship Id="rId43" Type="http://schemas.openxmlformats.org/officeDocument/2006/relationships/hyperlink" Target="http://eur-lex.europa.eu/legal-content/BG/TXT/HTML/?uri=CELEX:32015R0207&amp;from=EN" TargetMode="External"/><Relationship Id="rId48" Type="http://schemas.openxmlformats.org/officeDocument/2006/relationships/hyperlink" Target="http://eur-lex.europa.eu/legal-content/BG/TXT/HTML/?uri=CELEX:32015R0207&amp;from=EN" TargetMode="External"/><Relationship Id="rId56" Type="http://schemas.openxmlformats.org/officeDocument/2006/relationships/hyperlink" Target="http://eur-lex.europa.eu/legal-content/BG/TXT/HTML/?uri=CELEX:32015R0207&amp;from=EN" TargetMode="External"/><Relationship Id="rId64" Type="http://schemas.openxmlformats.org/officeDocument/2006/relationships/hyperlink" Target="http://eur-lex.europa.eu/legal-content/BG/TXT/HTML/?uri=CELEX:32015R0207&amp;from=EN" TargetMode="External"/><Relationship Id="rId69" Type="http://schemas.openxmlformats.org/officeDocument/2006/relationships/hyperlink" Target="http://eur-lex.europa.eu/legal-content/BG/TXT/HTML/?uri=CELEX:32015R0207&amp;from=EN" TargetMode="External"/><Relationship Id="rId77" Type="http://schemas.openxmlformats.org/officeDocument/2006/relationships/fontTable" Target="fontTable.xml"/><Relationship Id="rId8" Type="http://schemas.openxmlformats.org/officeDocument/2006/relationships/hyperlink" Target="http://eur-lex.europa.eu/legal-content/BG/TXT/HTML/?uri=CELEX:32015R0207&amp;from=EN" TargetMode="External"/><Relationship Id="rId51" Type="http://schemas.openxmlformats.org/officeDocument/2006/relationships/hyperlink" Target="http://eur-lex.europa.eu/legal-content/BG/TXT/HTML/?uri=CELEX:32015R0207&amp;from=EN" TargetMode="External"/><Relationship Id="rId72" Type="http://schemas.openxmlformats.org/officeDocument/2006/relationships/hyperlink" Target="http://eur-lex.europa.eu/legal-content/BG/TXT/HTML/?uri=CELEX:32015R0207&amp;from=EN" TargetMode="External"/><Relationship Id="rId3" Type="http://schemas.openxmlformats.org/officeDocument/2006/relationships/styles" Target="styles.xml"/><Relationship Id="rId12" Type="http://schemas.openxmlformats.org/officeDocument/2006/relationships/hyperlink" Target="http://eur-lex.europa.eu/legal-content/BG/TXT/HTML/?uri=CELEX:32015R0207&amp;from=EN" TargetMode="External"/><Relationship Id="rId17" Type="http://schemas.openxmlformats.org/officeDocument/2006/relationships/hyperlink" Target="http://eur-lex.europa.eu/legal-content/BG/TXT/HTML/?uri=CELEX:32015R0207&amp;from=EN" TargetMode="External"/><Relationship Id="rId25" Type="http://schemas.openxmlformats.org/officeDocument/2006/relationships/hyperlink" Target="http://eur-lex.europa.eu/legal-content/BG/TXT/HTML/?uri=CELEX:32015R0207&amp;from=EN" TargetMode="External"/><Relationship Id="rId33" Type="http://schemas.openxmlformats.org/officeDocument/2006/relationships/hyperlink" Target="http://eur-lex.europa.eu/legal-content/BG/TXT/HTML/?uri=CELEX:32015R0207&amp;from=EN" TargetMode="External"/><Relationship Id="rId38" Type="http://schemas.openxmlformats.org/officeDocument/2006/relationships/hyperlink" Target="http://eur-lex.europa.eu/legal-content/BG/TXT/HTML/?uri=CELEX:32015R0207&amp;from=EN" TargetMode="External"/><Relationship Id="rId46" Type="http://schemas.openxmlformats.org/officeDocument/2006/relationships/hyperlink" Target="http://eur-lex.europa.eu/legal-content/BG/TXT/HTML/?uri=CELEX:32015R0207&amp;from=EN" TargetMode="External"/><Relationship Id="rId59" Type="http://schemas.openxmlformats.org/officeDocument/2006/relationships/hyperlink" Target="http://eur-lex.europa.eu/legal-content/BG/TXT/HTML/?uri=CELEX:32015R0207&amp;from=EN" TargetMode="External"/><Relationship Id="rId67" Type="http://schemas.openxmlformats.org/officeDocument/2006/relationships/hyperlink" Target="http://eur-lex.europa.eu/legal-content/BG/TXT/HTML/?uri=CELEX:32015R0207&amp;from=EN" TargetMode="External"/><Relationship Id="rId20" Type="http://schemas.openxmlformats.org/officeDocument/2006/relationships/hyperlink" Target="http://eur-lex.europa.eu/legal-content/BG/TXT/HTML/?uri=CELEX:32015R0207&amp;from=EN" TargetMode="External"/><Relationship Id="rId41" Type="http://schemas.openxmlformats.org/officeDocument/2006/relationships/hyperlink" Target="http://eur-lex.europa.eu/legal-content/BG/TXT/HTML/?uri=CELEX:32015R0207&amp;from=EN" TargetMode="External"/><Relationship Id="rId54" Type="http://schemas.openxmlformats.org/officeDocument/2006/relationships/hyperlink" Target="http://eur-lex.europa.eu/legal-content/BG/TXT/HTML/?uri=CELEX:32015R0207&amp;from=EN" TargetMode="External"/><Relationship Id="rId62" Type="http://schemas.openxmlformats.org/officeDocument/2006/relationships/hyperlink" Target="http://eur-lex.europa.eu/legal-content/BG/TXT/HTML/?uri=CELEX:32015R0207&amp;from=EN" TargetMode="External"/><Relationship Id="rId70" Type="http://schemas.openxmlformats.org/officeDocument/2006/relationships/hyperlink" Target="http://eur-lex.europa.eu/legal-content/BG/TXT/HTML/?uri=CELEX:32015R0207&amp;from=EN" TargetMode="External"/><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eur-lex.europa.eu/legal-content/BG/TXT/HTML/?uri=CELEX:32015R0207&amp;from=EN" TargetMode="External"/><Relationship Id="rId23" Type="http://schemas.openxmlformats.org/officeDocument/2006/relationships/hyperlink" Target="http://eur-lex.europa.eu/legal-content/BG/TXT/HTML/?uri=CELEX:32015R0207&amp;from=EN" TargetMode="External"/><Relationship Id="rId28" Type="http://schemas.openxmlformats.org/officeDocument/2006/relationships/hyperlink" Target="http://eur-lex.europa.eu/legal-content/BG/TXT/HTML/?uri=CELEX:32015R0207&amp;from=EN" TargetMode="External"/><Relationship Id="rId36" Type="http://schemas.openxmlformats.org/officeDocument/2006/relationships/hyperlink" Target="http://eur-lex.europa.eu/legal-content/BG/TXT/HTML/?uri=CELEX:32015R0207&amp;from=EN" TargetMode="External"/><Relationship Id="rId49" Type="http://schemas.openxmlformats.org/officeDocument/2006/relationships/hyperlink" Target="http://eur-lex.europa.eu/legal-content/BG/TXT/HTML/?uri=CELEX:32015R0207&amp;from=EN" TargetMode="External"/><Relationship Id="rId57" Type="http://schemas.openxmlformats.org/officeDocument/2006/relationships/hyperlink" Target="http://eur-lex.europa.eu/legal-content/BG/TXT/HTML/?uri=CELEX:32015R0207&amp;from=EN" TargetMode="External"/><Relationship Id="rId10" Type="http://schemas.openxmlformats.org/officeDocument/2006/relationships/hyperlink" Target="http://eur-lex.europa.eu/legal-content/BG/TXT/HTML/?uri=CELEX:32015R0207&amp;from=EN" TargetMode="External"/><Relationship Id="rId31" Type="http://schemas.openxmlformats.org/officeDocument/2006/relationships/hyperlink" Target="http://eur-lex.europa.eu/legal-content/BG/TXT/HTML/?uri=CELEX:32015R0207&amp;from=EN" TargetMode="External"/><Relationship Id="rId44" Type="http://schemas.openxmlformats.org/officeDocument/2006/relationships/hyperlink" Target="http://eur-lex.europa.eu/legal-content/BG/TXT/HTML/?uri=CELEX:32015R0207&amp;from=EN" TargetMode="External"/><Relationship Id="rId52" Type="http://schemas.openxmlformats.org/officeDocument/2006/relationships/hyperlink" Target="http://eur-lex.europa.eu/legal-content/BG/TXT/HTML/?uri=CELEX:32015R0207&amp;from=EN" TargetMode="External"/><Relationship Id="rId60" Type="http://schemas.openxmlformats.org/officeDocument/2006/relationships/hyperlink" Target="http://eur-lex.europa.eu/legal-content/BG/TXT/HTML/?uri=CELEX:32015R0207&amp;from=EN" TargetMode="External"/><Relationship Id="rId65" Type="http://schemas.openxmlformats.org/officeDocument/2006/relationships/hyperlink" Target="http://eur-lex.europa.eu/legal-content/BG/TXT/HTML/?uri=CELEX:32015R0207&amp;from=EN" TargetMode="External"/><Relationship Id="rId73" Type="http://schemas.openxmlformats.org/officeDocument/2006/relationships/hyperlink" Target="http://eur-lex.europa.eu/legal-content/BG/TXT/HTML/?uri=CELEX:32015R0207&amp;from=EN"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ur-lex.europa.eu/legal-content/BG/TXT/HTML/?uri=CELEX:32015R0207&amp;from=EN" TargetMode="External"/><Relationship Id="rId13" Type="http://schemas.openxmlformats.org/officeDocument/2006/relationships/hyperlink" Target="http://eur-lex.europa.eu/legal-content/BG/TXT/HTML/?uri=CELEX:32015R0207&amp;from=EN" TargetMode="External"/><Relationship Id="rId18" Type="http://schemas.openxmlformats.org/officeDocument/2006/relationships/hyperlink" Target="http://eur-lex.europa.eu/legal-content/BG/TXT/HTML/?uri=CELEX:32015R0207&amp;from=EN" TargetMode="External"/><Relationship Id="rId39" Type="http://schemas.openxmlformats.org/officeDocument/2006/relationships/hyperlink" Target="http://eur-lex.europa.eu/legal-content/BG/TXT/HTML/?uri=CELEX:32015R0207&amp;from=EN" TargetMode="External"/><Relationship Id="rId34" Type="http://schemas.openxmlformats.org/officeDocument/2006/relationships/hyperlink" Target="http://eur-lex.europa.eu/legal-content/BG/TXT/HTML/?uri=CELEX:32015R0207&amp;from=EN" TargetMode="External"/><Relationship Id="rId50" Type="http://schemas.openxmlformats.org/officeDocument/2006/relationships/hyperlink" Target="http://eur-lex.europa.eu/legal-content/BG/TXT/HTML/?uri=CELEX:32015R0207&amp;from=EN" TargetMode="External"/><Relationship Id="rId55" Type="http://schemas.openxmlformats.org/officeDocument/2006/relationships/hyperlink" Target="http://eur-lex.europa.eu/legal-content/BG/TXT/HTML/?uri=CELEX:32015R0207&amp;from=EN" TargetMode="External"/><Relationship Id="rId7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eur-lex.europa.eu/legal-content/BG/TXT/HTML/?uri=CELEX:32015R0207&amp;from=EN" TargetMode="External"/><Relationship Id="rId2" Type="http://schemas.openxmlformats.org/officeDocument/2006/relationships/numbering" Target="numbering.xml"/><Relationship Id="rId29" Type="http://schemas.openxmlformats.org/officeDocument/2006/relationships/hyperlink" Target="http://eur-lex.europa.eu/legal-content/BG/TXT/HTML/?uri=CELEX:32015R0207&amp;from=E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90CAA-2DEE-48FA-8E82-41DC59AC1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106</Pages>
  <Words>26458</Words>
  <Characters>150812</Characters>
  <Application>Microsoft Office Word</Application>
  <DocSecurity>0</DocSecurity>
  <Lines>1256</Lines>
  <Paragraphs>353</Paragraphs>
  <ScaleCrop>false</ScaleCrop>
  <HeadingPairs>
    <vt:vector size="2" baseType="variant">
      <vt:variant>
        <vt:lpstr>Title</vt:lpstr>
      </vt:variant>
      <vt:variant>
        <vt:i4>1</vt:i4>
      </vt:variant>
    </vt:vector>
  </HeadingPairs>
  <TitlesOfParts>
    <vt:vector size="1" baseType="lpstr">
      <vt:lpstr/>
    </vt:vector>
  </TitlesOfParts>
  <Company>CoM</Company>
  <LinksUpToDate>false</LinksUpToDate>
  <CharactersWithSpaces>176917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Емилия Герджикова</dc:creator>
  <cp:lastModifiedBy>Луиза Бусерска</cp:lastModifiedBy>
  <cp:revision>93</cp:revision>
  <cp:lastPrinted>2017-05-17T09:56:00Z</cp:lastPrinted>
  <dcterms:created xsi:type="dcterms:W3CDTF">2017-06-05T12:24:00Z</dcterms:created>
  <dcterms:modified xsi:type="dcterms:W3CDTF">2017-06-29T13:54:00Z</dcterms:modified>
</cp:coreProperties>
</file>