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A5A" w:rsidRDefault="00FF7A5A" w:rsidP="00C13D95"/>
    <w:p w:rsidR="00451678" w:rsidRDefault="00451678" w:rsidP="000221DF">
      <w:pPr>
        <w:spacing w:after="160" w:line="259" w:lineRule="auto"/>
        <w:jc w:val="center"/>
        <w:rPr>
          <w:rFonts w:eastAsia="Calibri"/>
          <w:b/>
          <w:lang w:eastAsia="en-US"/>
        </w:rPr>
      </w:pPr>
    </w:p>
    <w:p w:rsidR="000221DF" w:rsidRPr="000221DF" w:rsidRDefault="000221DF" w:rsidP="000221DF">
      <w:pPr>
        <w:spacing w:after="160" w:line="259" w:lineRule="auto"/>
        <w:jc w:val="center"/>
        <w:rPr>
          <w:rFonts w:eastAsia="Calibri"/>
          <w:b/>
          <w:lang w:eastAsia="en-US"/>
        </w:rPr>
      </w:pPr>
      <w:r w:rsidRPr="000221DF">
        <w:rPr>
          <w:rFonts w:eastAsia="Calibri"/>
          <w:b/>
          <w:lang w:eastAsia="en-US"/>
        </w:rPr>
        <w:t xml:space="preserve">ПРЕДЛОЖЕНИЕ ЗА ИЗМЕНЕНИЕ </w:t>
      </w:r>
      <w:r w:rsidR="00FF42FA">
        <w:rPr>
          <w:rFonts w:eastAsia="Calibri"/>
          <w:b/>
          <w:lang w:eastAsia="en-US"/>
        </w:rPr>
        <w:t xml:space="preserve">НА </w:t>
      </w:r>
      <w:r w:rsidRPr="000221DF">
        <w:rPr>
          <w:rFonts w:eastAsia="Calibri"/>
          <w:b/>
          <w:lang w:eastAsia="en-US"/>
        </w:rPr>
        <w:t>КРИТЕРИИ ЗА ПОДБОР НА ОПЕРАЦИИ ПО ОПЕРАТИВНА ПРОГРАМА „ДОБРО УПРАВЛЕНИЕ“</w:t>
      </w:r>
      <w:r w:rsidR="00E65E04">
        <w:rPr>
          <w:rFonts w:eastAsia="Calibri"/>
          <w:b/>
          <w:lang w:eastAsia="en-US"/>
        </w:rPr>
        <w:t xml:space="preserve"> </w:t>
      </w:r>
      <w:r w:rsidR="00E65E04" w:rsidRPr="00E65E04">
        <w:rPr>
          <w:rFonts w:eastAsia="Calibri"/>
          <w:b/>
          <w:lang w:eastAsia="en-US"/>
        </w:rPr>
        <w:t>ВЪВ ВРЪЗКА С ПРОМЕНИ В ПРИЛОЖИМАТА НОРМАТИВНАТА УРЕДБА</w:t>
      </w:r>
    </w:p>
    <w:p w:rsidR="000221DF" w:rsidRPr="000221DF" w:rsidRDefault="000221DF" w:rsidP="000221DF">
      <w:pPr>
        <w:spacing w:after="160" w:line="259" w:lineRule="auto"/>
        <w:rPr>
          <w:rFonts w:eastAsia="Calibri"/>
          <w:lang w:eastAsia="en-US"/>
        </w:rPr>
      </w:pPr>
    </w:p>
    <w:p w:rsidR="00E65E04" w:rsidRPr="00E65E04" w:rsidRDefault="00E65E04" w:rsidP="000221DF">
      <w:pPr>
        <w:spacing w:after="160" w:line="259" w:lineRule="auto"/>
        <w:ind w:firstLine="851"/>
        <w:jc w:val="both"/>
        <w:rPr>
          <w:rFonts w:eastAsia="Calibri"/>
          <w:b/>
          <w:lang w:eastAsia="en-US"/>
        </w:rPr>
      </w:pPr>
      <w:r w:rsidRPr="00E65E04">
        <w:rPr>
          <w:rFonts w:eastAsia="Calibri"/>
          <w:b/>
          <w:lang w:eastAsia="en-US"/>
        </w:rPr>
        <w:t>І. Предложения, свързани с промени в нормативната уредба относно допустимостта на разходите по програмите съфинансирани от Европейските структурни и инвестиционни фондове, за програмен период 2014 – 2020 г.</w:t>
      </w:r>
    </w:p>
    <w:p w:rsidR="00A45A94" w:rsidRDefault="00A45A94" w:rsidP="000221DF">
      <w:pPr>
        <w:spacing w:after="160" w:line="259" w:lineRule="auto"/>
        <w:ind w:firstLine="851"/>
        <w:jc w:val="both"/>
        <w:rPr>
          <w:rFonts w:eastAsia="Calibri"/>
          <w:lang w:eastAsia="en-US"/>
        </w:rPr>
      </w:pPr>
    </w:p>
    <w:p w:rsidR="000221DF" w:rsidRPr="000221DF" w:rsidRDefault="000221DF" w:rsidP="000221DF">
      <w:pPr>
        <w:spacing w:after="160" w:line="259" w:lineRule="auto"/>
        <w:ind w:firstLine="851"/>
        <w:jc w:val="both"/>
        <w:rPr>
          <w:rFonts w:eastAsia="Calibri"/>
          <w:lang w:eastAsia="en-US"/>
        </w:rPr>
      </w:pPr>
      <w:r w:rsidRPr="000221DF">
        <w:rPr>
          <w:rFonts w:eastAsia="Calibri"/>
          <w:lang w:eastAsia="en-US"/>
        </w:rPr>
        <w:t xml:space="preserve">Във връзка с </w:t>
      </w:r>
      <w:r w:rsidRPr="008A62C7">
        <w:rPr>
          <w:rFonts w:eastAsia="Calibri"/>
          <w:b/>
          <w:lang w:eastAsia="en-US"/>
        </w:rPr>
        <w:t xml:space="preserve">отмяната </w:t>
      </w:r>
      <w:r w:rsidRPr="008A62C7">
        <w:rPr>
          <w:rFonts w:eastAsia="Calibri"/>
          <w:lang w:eastAsia="en-US"/>
        </w:rPr>
        <w:t xml:space="preserve">на </w:t>
      </w:r>
      <w:r w:rsidRPr="008A62C7">
        <w:rPr>
          <w:rFonts w:eastAsia="Calibri"/>
          <w:i/>
          <w:lang w:eastAsia="en-US"/>
        </w:rPr>
        <w:t>Постановление № 119</w:t>
      </w:r>
      <w:r w:rsidRPr="000221DF">
        <w:rPr>
          <w:rFonts w:eastAsia="Calibri"/>
          <w:i/>
          <w:lang w:eastAsia="en-US"/>
        </w:rPr>
        <w:t xml:space="preserve"> на Министерския съвет от 2014 г. за приемане на национални правила за допустимост на разходите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за финансовата рамка 2014 – 2020 г.</w:t>
      </w:r>
      <w:r w:rsidRPr="000221DF">
        <w:rPr>
          <w:rFonts w:eastAsia="Calibri"/>
          <w:lang w:eastAsia="en-US"/>
        </w:rPr>
        <w:t xml:space="preserve"> </w:t>
      </w:r>
      <w:r w:rsidR="00713E2F">
        <w:rPr>
          <w:rFonts w:eastAsia="Calibri"/>
          <w:lang w:eastAsia="en-US"/>
        </w:rPr>
        <w:t xml:space="preserve">(ПМС № 119/2014 г.) </w:t>
      </w:r>
      <w:r w:rsidRPr="000221DF">
        <w:rPr>
          <w:rFonts w:eastAsia="Calibri"/>
          <w:lang w:eastAsia="en-US"/>
        </w:rPr>
        <w:t xml:space="preserve">и </w:t>
      </w:r>
      <w:r w:rsidRPr="008A62C7">
        <w:rPr>
          <w:rFonts w:eastAsia="Calibri"/>
          <w:b/>
          <w:lang w:eastAsia="en-US"/>
        </w:rPr>
        <w:t xml:space="preserve">влизането в сила, считано от </w:t>
      </w:r>
      <w:r w:rsidR="00526B67" w:rsidRPr="008A62C7">
        <w:rPr>
          <w:rFonts w:eastAsia="Calibri"/>
          <w:b/>
          <w:lang w:eastAsia="en-US"/>
        </w:rPr>
        <w:t>05.08.2016</w:t>
      </w:r>
      <w:r w:rsidR="00334117" w:rsidRPr="008A62C7">
        <w:rPr>
          <w:rFonts w:eastAsia="Calibri"/>
          <w:b/>
          <w:lang w:eastAsia="en-US"/>
        </w:rPr>
        <w:t xml:space="preserve"> </w:t>
      </w:r>
      <w:r w:rsidR="00526B67" w:rsidRPr="008A62C7">
        <w:rPr>
          <w:rFonts w:eastAsia="Calibri"/>
          <w:b/>
          <w:lang w:eastAsia="en-US"/>
        </w:rPr>
        <w:t>г.</w:t>
      </w:r>
      <w:r w:rsidR="004069DF">
        <w:rPr>
          <w:rFonts w:eastAsia="Calibri"/>
          <w:lang w:eastAsia="en-US"/>
        </w:rPr>
        <w:t>,</w:t>
      </w:r>
      <w:r w:rsidRPr="00526B67">
        <w:rPr>
          <w:rFonts w:eastAsia="Calibri"/>
          <w:lang w:eastAsia="en-US"/>
        </w:rPr>
        <w:t xml:space="preserve"> н</w:t>
      </w:r>
      <w:r w:rsidRPr="000221DF">
        <w:rPr>
          <w:rFonts w:eastAsia="Calibri"/>
          <w:lang w:eastAsia="en-US"/>
        </w:rPr>
        <w:t xml:space="preserve">а </w:t>
      </w:r>
      <w:r w:rsidRPr="000221DF">
        <w:rPr>
          <w:rFonts w:eastAsia="Calibri"/>
          <w:i/>
          <w:lang w:eastAsia="en-US"/>
        </w:rPr>
        <w:t>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r w:rsidRPr="000221DF">
        <w:rPr>
          <w:rFonts w:eastAsia="Calibri"/>
          <w:lang w:eastAsia="en-US"/>
        </w:rPr>
        <w:t xml:space="preserve"> </w:t>
      </w:r>
      <w:r w:rsidR="00E87E4C">
        <w:rPr>
          <w:rFonts w:eastAsia="Calibri"/>
          <w:lang w:eastAsia="en-US"/>
        </w:rPr>
        <w:t xml:space="preserve">(ПМС № 189/2016 г.) </w:t>
      </w:r>
      <w:r w:rsidRPr="000221DF">
        <w:rPr>
          <w:rFonts w:eastAsia="Calibri"/>
          <w:lang w:eastAsia="en-US"/>
        </w:rPr>
        <w:t>Управляващият орган на Оперативна програма „Добро управление“ (ОПДУ) предлага на Комитета за наблюдение на програмата да бъдат извършени необходимите изменения на критериите за подбор на операции по следн</w:t>
      </w:r>
      <w:r w:rsidR="00DE2D37">
        <w:rPr>
          <w:rFonts w:eastAsia="Calibri"/>
          <w:lang w:eastAsia="en-US"/>
        </w:rPr>
        <w:t>ите процедури</w:t>
      </w:r>
      <w:r w:rsidR="004069DF">
        <w:rPr>
          <w:rFonts w:eastAsia="Calibri"/>
          <w:lang w:eastAsia="en-US"/>
        </w:rPr>
        <w:t>, включени в</w:t>
      </w:r>
      <w:r w:rsidRPr="000221DF">
        <w:rPr>
          <w:rFonts w:eastAsia="Calibri"/>
          <w:lang w:eastAsia="en-US"/>
        </w:rPr>
        <w:t xml:space="preserve"> Индикативните годишни работни програми (ИГРП) </w:t>
      </w:r>
      <w:r w:rsidR="00DE2D37">
        <w:rPr>
          <w:rFonts w:eastAsia="Calibri"/>
          <w:lang w:eastAsia="en-US"/>
        </w:rPr>
        <w:t>на</w:t>
      </w:r>
      <w:r w:rsidRPr="000221DF">
        <w:rPr>
          <w:rFonts w:eastAsia="Calibri"/>
          <w:lang w:eastAsia="en-US"/>
        </w:rPr>
        <w:t xml:space="preserve"> ОПДУ за 2015 и 2016 г.:</w:t>
      </w:r>
    </w:p>
    <w:p w:rsidR="000221DF" w:rsidRPr="000221DF" w:rsidRDefault="000221DF" w:rsidP="000221DF">
      <w:pPr>
        <w:spacing w:after="160" w:line="259" w:lineRule="auto"/>
        <w:rPr>
          <w:rFonts w:eastAsia="Calibri"/>
          <w:lang w:eastAsia="en-US"/>
        </w:rPr>
      </w:pPr>
    </w:p>
    <w:tbl>
      <w:tblPr>
        <w:tblStyle w:val="TableGrid1"/>
        <w:tblW w:w="0" w:type="auto"/>
        <w:jc w:val="center"/>
        <w:tblLook w:val="04A0" w:firstRow="1" w:lastRow="0" w:firstColumn="1" w:lastColumn="0" w:noHBand="0" w:noVBand="1"/>
      </w:tblPr>
      <w:tblGrid>
        <w:gridCol w:w="988"/>
        <w:gridCol w:w="8825"/>
      </w:tblGrid>
      <w:tr w:rsidR="000221DF" w:rsidRPr="000221DF" w:rsidTr="00F17640">
        <w:trPr>
          <w:trHeight w:val="601"/>
          <w:jc w:val="center"/>
        </w:trPr>
        <w:tc>
          <w:tcPr>
            <w:tcW w:w="988" w:type="dxa"/>
            <w:shd w:val="clear" w:color="auto" w:fill="A8D08D"/>
            <w:vAlign w:val="center"/>
          </w:tcPr>
          <w:p w:rsidR="000221DF" w:rsidRPr="000221DF" w:rsidRDefault="000221DF" w:rsidP="000221DF">
            <w:pPr>
              <w:jc w:val="center"/>
              <w:rPr>
                <w:rFonts w:ascii="Times New Roman" w:hAnsi="Times New Roman"/>
                <w:b/>
              </w:rPr>
            </w:pPr>
            <w:r w:rsidRPr="000221DF">
              <w:rPr>
                <w:rFonts w:ascii="Times New Roman" w:hAnsi="Times New Roman"/>
                <w:b/>
              </w:rPr>
              <w:t>№ по ред</w:t>
            </w:r>
          </w:p>
        </w:tc>
        <w:tc>
          <w:tcPr>
            <w:tcW w:w="8825" w:type="dxa"/>
            <w:shd w:val="clear" w:color="auto" w:fill="A8D08D"/>
            <w:vAlign w:val="center"/>
          </w:tcPr>
          <w:p w:rsidR="000221DF" w:rsidRPr="000221DF" w:rsidRDefault="000221DF" w:rsidP="000221DF">
            <w:pPr>
              <w:jc w:val="center"/>
              <w:rPr>
                <w:rFonts w:ascii="Times New Roman" w:hAnsi="Times New Roman"/>
                <w:b/>
              </w:rPr>
            </w:pPr>
            <w:r w:rsidRPr="000221DF">
              <w:rPr>
                <w:rFonts w:ascii="Times New Roman" w:hAnsi="Times New Roman"/>
                <w:b/>
              </w:rPr>
              <w:t>Наименование на процедурата</w:t>
            </w:r>
          </w:p>
        </w:tc>
      </w:tr>
      <w:tr w:rsidR="000221DF" w:rsidRPr="000221DF" w:rsidTr="001B4515">
        <w:trPr>
          <w:trHeight w:val="553"/>
          <w:jc w:val="center"/>
        </w:trPr>
        <w:tc>
          <w:tcPr>
            <w:tcW w:w="9813" w:type="dxa"/>
            <w:gridSpan w:val="2"/>
            <w:shd w:val="clear" w:color="auto" w:fill="FFC000"/>
            <w:vAlign w:val="center"/>
          </w:tcPr>
          <w:p w:rsidR="000221DF" w:rsidRPr="000221DF" w:rsidRDefault="001B4515" w:rsidP="000221DF">
            <w:pPr>
              <w:jc w:val="center"/>
              <w:rPr>
                <w:rFonts w:ascii="Times New Roman" w:hAnsi="Times New Roman"/>
                <w:b/>
              </w:rPr>
            </w:pPr>
            <w:r w:rsidRPr="000221DF">
              <w:rPr>
                <w:rFonts w:ascii="Times New Roman" w:hAnsi="Times New Roman"/>
                <w:b/>
              </w:rPr>
              <w:t xml:space="preserve">Процедури от ИГРП </w:t>
            </w:r>
            <w:r w:rsidRPr="00335EC1">
              <w:rPr>
                <w:rFonts w:ascii="Times New Roman" w:hAnsi="Times New Roman"/>
                <w:b/>
              </w:rPr>
              <w:t>на</w:t>
            </w:r>
            <w:r w:rsidRPr="000221DF">
              <w:rPr>
                <w:rFonts w:ascii="Times New Roman" w:hAnsi="Times New Roman"/>
                <w:b/>
              </w:rPr>
              <w:t xml:space="preserve"> ОПДУ за 2015 г.</w:t>
            </w:r>
          </w:p>
        </w:tc>
      </w:tr>
      <w:tr w:rsidR="000221DF" w:rsidRPr="000221DF" w:rsidTr="00F17640">
        <w:trPr>
          <w:jc w:val="center"/>
        </w:trPr>
        <w:tc>
          <w:tcPr>
            <w:tcW w:w="988" w:type="dxa"/>
          </w:tcPr>
          <w:p w:rsidR="000221DF" w:rsidRPr="000221DF" w:rsidRDefault="000221DF" w:rsidP="000221DF">
            <w:pPr>
              <w:numPr>
                <w:ilvl w:val="0"/>
                <w:numId w:val="2"/>
              </w:numPr>
              <w:contextualSpacing/>
              <w:rPr>
                <w:rFonts w:ascii="Times New Roman" w:hAnsi="Times New Roman"/>
              </w:rPr>
            </w:pPr>
          </w:p>
        </w:tc>
        <w:tc>
          <w:tcPr>
            <w:tcW w:w="8825" w:type="dxa"/>
          </w:tcPr>
          <w:p w:rsidR="000221DF" w:rsidRPr="00A45A94" w:rsidRDefault="001B4515" w:rsidP="000221DF">
            <w:pPr>
              <w:jc w:val="both"/>
              <w:rPr>
                <w:rFonts w:ascii="Times New Roman" w:hAnsi="Times New Roman"/>
                <w:i/>
              </w:rPr>
            </w:pPr>
            <w:r w:rsidRPr="00A45A94">
              <w:rPr>
                <w:rFonts w:ascii="Times New Roman" w:hAnsi="Times New Roman"/>
                <w:i/>
              </w:rPr>
              <w:t xml:space="preserve">Техническа помощ за </w:t>
            </w:r>
            <w:r w:rsidR="00F02F17" w:rsidRPr="00A45A94">
              <w:rPr>
                <w:rFonts w:ascii="Times New Roman" w:hAnsi="Times New Roman"/>
                <w:i/>
              </w:rPr>
              <w:t>УО на ОПДУ 2014 – 2020 г.</w:t>
            </w:r>
          </w:p>
        </w:tc>
      </w:tr>
      <w:tr w:rsidR="000221DF" w:rsidRPr="000221DF" w:rsidTr="00F17640">
        <w:trPr>
          <w:jc w:val="center"/>
        </w:trPr>
        <w:tc>
          <w:tcPr>
            <w:tcW w:w="988" w:type="dxa"/>
          </w:tcPr>
          <w:p w:rsidR="000221DF" w:rsidRPr="000221DF" w:rsidRDefault="000221DF" w:rsidP="000221DF">
            <w:pPr>
              <w:numPr>
                <w:ilvl w:val="0"/>
                <w:numId w:val="2"/>
              </w:numPr>
              <w:contextualSpacing/>
              <w:rPr>
                <w:rFonts w:ascii="Times New Roman" w:hAnsi="Times New Roman"/>
              </w:rPr>
            </w:pPr>
          </w:p>
        </w:tc>
        <w:tc>
          <w:tcPr>
            <w:tcW w:w="8825" w:type="dxa"/>
          </w:tcPr>
          <w:p w:rsidR="000221DF" w:rsidRPr="00A45A94" w:rsidRDefault="00AD737C" w:rsidP="000221DF">
            <w:pPr>
              <w:jc w:val="both"/>
              <w:rPr>
                <w:rFonts w:ascii="Times New Roman" w:hAnsi="Times New Roman"/>
                <w:bCs/>
                <w:i/>
              </w:rPr>
            </w:pPr>
            <w:r w:rsidRPr="00A45A94">
              <w:rPr>
                <w:rFonts w:ascii="Times New Roman" w:hAnsi="Times New Roman"/>
                <w:bCs/>
                <w:i/>
              </w:rPr>
              <w:t>Структуриране на данни и аналитични дейности в изпълнение на стратегическите документи за развитие на държавната администрация, развитие на електронното управление и въвеждане на електронното управление в сектор „Правосъдие“</w:t>
            </w:r>
          </w:p>
        </w:tc>
      </w:tr>
      <w:tr w:rsidR="000221DF" w:rsidRPr="000221DF" w:rsidTr="00F17640">
        <w:trPr>
          <w:jc w:val="center"/>
        </w:trPr>
        <w:tc>
          <w:tcPr>
            <w:tcW w:w="988" w:type="dxa"/>
          </w:tcPr>
          <w:p w:rsidR="000221DF" w:rsidRPr="000221DF" w:rsidRDefault="000221DF" w:rsidP="000221DF">
            <w:pPr>
              <w:numPr>
                <w:ilvl w:val="0"/>
                <w:numId w:val="2"/>
              </w:numPr>
              <w:contextualSpacing/>
              <w:rPr>
                <w:rFonts w:ascii="Times New Roman" w:hAnsi="Times New Roman"/>
              </w:rPr>
            </w:pPr>
          </w:p>
        </w:tc>
        <w:tc>
          <w:tcPr>
            <w:tcW w:w="8825" w:type="dxa"/>
          </w:tcPr>
          <w:p w:rsidR="00AD737C" w:rsidRPr="00A45A94" w:rsidRDefault="00DE2D37" w:rsidP="00AD737C">
            <w:pPr>
              <w:jc w:val="both"/>
              <w:rPr>
                <w:rFonts w:ascii="Times New Roman" w:hAnsi="Times New Roman"/>
                <w:bCs/>
                <w:i/>
              </w:rPr>
            </w:pPr>
            <w:r w:rsidRPr="00A45A94">
              <w:rPr>
                <w:rFonts w:ascii="Times New Roman" w:hAnsi="Times New Roman"/>
                <w:bCs/>
                <w:i/>
              </w:rPr>
              <w:t>Стратегически проекти в изпълнение на актуализирана стратегия за продължаване на реформата в съдебната система и стратегията</w:t>
            </w:r>
          </w:p>
          <w:p w:rsidR="00AD737C" w:rsidRPr="00A45A94" w:rsidRDefault="00DE2D37" w:rsidP="00AD737C">
            <w:pPr>
              <w:jc w:val="both"/>
              <w:rPr>
                <w:rFonts w:ascii="Times New Roman" w:hAnsi="Times New Roman"/>
                <w:bCs/>
                <w:i/>
              </w:rPr>
            </w:pPr>
            <w:r w:rsidRPr="00A45A94">
              <w:rPr>
                <w:rFonts w:ascii="Times New Roman" w:hAnsi="Times New Roman"/>
                <w:bCs/>
                <w:i/>
              </w:rPr>
              <w:t>за въвеждане на електронно управление и електронно правосъдие в</w:t>
            </w:r>
          </w:p>
          <w:p w:rsidR="000221DF" w:rsidRPr="00A45A94" w:rsidRDefault="00DE2D37" w:rsidP="00AD737C">
            <w:pPr>
              <w:jc w:val="both"/>
              <w:rPr>
                <w:rFonts w:ascii="Times New Roman" w:hAnsi="Times New Roman"/>
                <w:bCs/>
                <w:i/>
              </w:rPr>
            </w:pPr>
            <w:r w:rsidRPr="00A45A94">
              <w:rPr>
                <w:rFonts w:ascii="Times New Roman" w:hAnsi="Times New Roman"/>
                <w:bCs/>
                <w:i/>
              </w:rPr>
              <w:t>сектор „правосъдие” 2014-2020 г</w:t>
            </w:r>
            <w:r w:rsidR="00AD737C" w:rsidRPr="00A45A94">
              <w:rPr>
                <w:rFonts w:ascii="Times New Roman" w:hAnsi="Times New Roman"/>
                <w:bCs/>
                <w:i/>
              </w:rPr>
              <w:t>.</w:t>
            </w:r>
          </w:p>
        </w:tc>
      </w:tr>
      <w:tr w:rsidR="000221DF" w:rsidRPr="000221DF" w:rsidTr="00F17640">
        <w:trPr>
          <w:jc w:val="center"/>
        </w:trPr>
        <w:tc>
          <w:tcPr>
            <w:tcW w:w="988" w:type="dxa"/>
          </w:tcPr>
          <w:p w:rsidR="000221DF" w:rsidRPr="000221DF" w:rsidRDefault="000221DF" w:rsidP="000221DF">
            <w:pPr>
              <w:numPr>
                <w:ilvl w:val="0"/>
                <w:numId w:val="2"/>
              </w:numPr>
              <w:contextualSpacing/>
              <w:rPr>
                <w:rFonts w:ascii="Times New Roman" w:hAnsi="Times New Roman"/>
              </w:rPr>
            </w:pPr>
          </w:p>
        </w:tc>
        <w:tc>
          <w:tcPr>
            <w:tcW w:w="8825" w:type="dxa"/>
          </w:tcPr>
          <w:p w:rsidR="000221DF" w:rsidRPr="00A45A94" w:rsidRDefault="00DE2D37" w:rsidP="000221DF">
            <w:pPr>
              <w:jc w:val="both"/>
              <w:rPr>
                <w:rFonts w:ascii="Times New Roman" w:hAnsi="Times New Roman"/>
                <w:bCs/>
                <w:i/>
              </w:rPr>
            </w:pPr>
            <w:r w:rsidRPr="00A45A94">
              <w:rPr>
                <w:rFonts w:ascii="Times New Roman" w:hAnsi="Times New Roman"/>
                <w:bCs/>
                <w:i/>
              </w:rPr>
              <w:t>Повишаване на компетентността на магистратите и съдебните служители чрез ефективно обучение в НИП</w:t>
            </w:r>
          </w:p>
        </w:tc>
      </w:tr>
      <w:tr w:rsidR="000221DF" w:rsidRPr="000221DF" w:rsidTr="00F17640">
        <w:trPr>
          <w:jc w:val="center"/>
        </w:trPr>
        <w:tc>
          <w:tcPr>
            <w:tcW w:w="988" w:type="dxa"/>
          </w:tcPr>
          <w:p w:rsidR="000221DF" w:rsidRPr="000221DF" w:rsidRDefault="000221DF" w:rsidP="000221DF">
            <w:pPr>
              <w:numPr>
                <w:ilvl w:val="0"/>
                <w:numId w:val="2"/>
              </w:numPr>
              <w:contextualSpacing/>
              <w:rPr>
                <w:rFonts w:ascii="Times New Roman" w:hAnsi="Times New Roman"/>
              </w:rPr>
            </w:pPr>
          </w:p>
        </w:tc>
        <w:tc>
          <w:tcPr>
            <w:tcW w:w="8825" w:type="dxa"/>
          </w:tcPr>
          <w:p w:rsidR="000221DF" w:rsidRPr="00A45A94" w:rsidRDefault="00DE2D37" w:rsidP="000221DF">
            <w:pPr>
              <w:jc w:val="both"/>
              <w:rPr>
                <w:rFonts w:ascii="Times New Roman" w:hAnsi="Times New Roman"/>
                <w:bCs/>
                <w:i/>
              </w:rPr>
            </w:pPr>
            <w:r w:rsidRPr="00A45A94">
              <w:rPr>
                <w:rFonts w:ascii="Times New Roman" w:hAnsi="Times New Roman"/>
                <w:bCs/>
                <w:i/>
              </w:rPr>
              <w:t>Осигуряване функционирането на националната мрежа от областни информационни центрове (ОИЦ)</w:t>
            </w:r>
          </w:p>
        </w:tc>
      </w:tr>
      <w:tr w:rsidR="000221DF" w:rsidRPr="000221DF" w:rsidTr="00F17640">
        <w:trPr>
          <w:jc w:val="center"/>
        </w:trPr>
        <w:tc>
          <w:tcPr>
            <w:tcW w:w="988" w:type="dxa"/>
          </w:tcPr>
          <w:p w:rsidR="000221DF" w:rsidRPr="000221DF" w:rsidRDefault="000221DF" w:rsidP="000221DF">
            <w:pPr>
              <w:numPr>
                <w:ilvl w:val="0"/>
                <w:numId w:val="2"/>
              </w:numPr>
              <w:contextualSpacing/>
              <w:rPr>
                <w:rFonts w:ascii="Times New Roman" w:hAnsi="Times New Roman"/>
              </w:rPr>
            </w:pPr>
          </w:p>
        </w:tc>
        <w:tc>
          <w:tcPr>
            <w:tcW w:w="8825" w:type="dxa"/>
          </w:tcPr>
          <w:p w:rsidR="000221DF" w:rsidRPr="00A45A94" w:rsidRDefault="002562F0" w:rsidP="000221DF">
            <w:pPr>
              <w:jc w:val="both"/>
              <w:rPr>
                <w:rFonts w:ascii="Times New Roman" w:hAnsi="Times New Roman"/>
                <w:bCs/>
                <w:i/>
              </w:rPr>
            </w:pPr>
            <w:r w:rsidRPr="00A45A94">
              <w:rPr>
                <w:rFonts w:ascii="Times New Roman" w:hAnsi="Times New Roman"/>
                <w:bCs/>
                <w:i/>
              </w:rPr>
              <w:t>Техническа помощ за хоризонталните структури за програмиране, наблюдение, управление, контрол, координация, сертифициране и одит на ЕСИФ</w:t>
            </w:r>
          </w:p>
        </w:tc>
      </w:tr>
      <w:tr w:rsidR="00F17640" w:rsidRPr="000221DF" w:rsidTr="001B4515">
        <w:trPr>
          <w:trHeight w:val="609"/>
          <w:jc w:val="center"/>
        </w:trPr>
        <w:tc>
          <w:tcPr>
            <w:tcW w:w="9813" w:type="dxa"/>
            <w:gridSpan w:val="2"/>
            <w:shd w:val="clear" w:color="auto" w:fill="FFC000"/>
            <w:vAlign w:val="center"/>
          </w:tcPr>
          <w:p w:rsidR="00F17640" w:rsidRPr="00F17640" w:rsidRDefault="001B4515" w:rsidP="00F17640">
            <w:pPr>
              <w:jc w:val="center"/>
              <w:rPr>
                <w:rFonts w:ascii="Times New Roman" w:hAnsi="Times New Roman"/>
                <w:b/>
                <w:bCs/>
              </w:rPr>
            </w:pPr>
            <w:r>
              <w:rPr>
                <w:rFonts w:ascii="Times New Roman" w:hAnsi="Times New Roman"/>
                <w:b/>
                <w:bCs/>
              </w:rPr>
              <w:lastRenderedPageBreak/>
              <w:t xml:space="preserve">Процедури от </w:t>
            </w:r>
            <w:r w:rsidR="00F17640">
              <w:rPr>
                <w:rFonts w:ascii="Times New Roman" w:hAnsi="Times New Roman"/>
                <w:b/>
                <w:bCs/>
              </w:rPr>
              <w:t xml:space="preserve">ИГРП </w:t>
            </w:r>
            <w:r>
              <w:rPr>
                <w:rFonts w:ascii="Times New Roman" w:hAnsi="Times New Roman"/>
                <w:b/>
                <w:bCs/>
              </w:rPr>
              <w:t xml:space="preserve">на ОПДУ за </w:t>
            </w:r>
            <w:r w:rsidR="00F17640">
              <w:rPr>
                <w:rFonts w:ascii="Times New Roman" w:hAnsi="Times New Roman"/>
                <w:b/>
                <w:bCs/>
              </w:rPr>
              <w:t>2016</w:t>
            </w:r>
            <w:r>
              <w:rPr>
                <w:rFonts w:ascii="Times New Roman" w:hAnsi="Times New Roman"/>
                <w:b/>
                <w:bCs/>
              </w:rPr>
              <w:t xml:space="preserve"> г.</w:t>
            </w:r>
          </w:p>
        </w:tc>
      </w:tr>
      <w:tr w:rsidR="00F17640" w:rsidRPr="00376A1B" w:rsidTr="00376A1B">
        <w:trPr>
          <w:jc w:val="center"/>
        </w:trPr>
        <w:tc>
          <w:tcPr>
            <w:tcW w:w="988" w:type="dxa"/>
            <w:shd w:val="clear" w:color="auto" w:fill="auto"/>
          </w:tcPr>
          <w:p w:rsidR="00F17640" w:rsidRPr="000221DF" w:rsidRDefault="00F17640" w:rsidP="000221DF">
            <w:pPr>
              <w:numPr>
                <w:ilvl w:val="0"/>
                <w:numId w:val="2"/>
              </w:numPr>
              <w:contextualSpacing/>
              <w:rPr>
                <w:rFonts w:ascii="Times New Roman" w:hAnsi="Times New Roman"/>
              </w:rPr>
            </w:pPr>
          </w:p>
        </w:tc>
        <w:tc>
          <w:tcPr>
            <w:tcW w:w="8825" w:type="dxa"/>
            <w:shd w:val="clear" w:color="auto" w:fill="auto"/>
          </w:tcPr>
          <w:p w:rsidR="00F17640" w:rsidRPr="00A45A94" w:rsidRDefault="00F17640" w:rsidP="000221DF">
            <w:pPr>
              <w:jc w:val="both"/>
              <w:rPr>
                <w:rFonts w:ascii="Times New Roman" w:hAnsi="Times New Roman"/>
                <w:bCs/>
                <w:i/>
              </w:rPr>
            </w:pPr>
            <w:r w:rsidRPr="00A45A94">
              <w:rPr>
                <w:rFonts w:ascii="Times New Roman" w:hAnsi="Times New Roman"/>
                <w:bCs/>
                <w:i/>
              </w:rPr>
              <w:t xml:space="preserve">Стратегически проекти в изпълнение на </w:t>
            </w:r>
            <w:r w:rsidR="00C9284E" w:rsidRPr="00A45A94">
              <w:rPr>
                <w:rFonts w:ascii="Times New Roman" w:hAnsi="Times New Roman"/>
                <w:bCs/>
                <w:i/>
              </w:rPr>
              <w:t xml:space="preserve">Стратегията </w:t>
            </w:r>
            <w:r w:rsidRPr="00A45A94">
              <w:rPr>
                <w:rFonts w:ascii="Times New Roman" w:hAnsi="Times New Roman"/>
                <w:bCs/>
                <w:i/>
              </w:rPr>
              <w:t>за развитие на държавната</w:t>
            </w:r>
            <w:r w:rsidRPr="00A45A94">
              <w:rPr>
                <w:i/>
              </w:rPr>
              <w:t xml:space="preserve"> </w:t>
            </w:r>
            <w:r w:rsidRPr="00A45A94">
              <w:rPr>
                <w:rFonts w:ascii="Times New Roman" w:hAnsi="Times New Roman"/>
                <w:bCs/>
                <w:i/>
              </w:rPr>
              <w:t>администрация 2014-2020 г.,</w:t>
            </w:r>
            <w:r w:rsidRPr="00A45A94">
              <w:rPr>
                <w:i/>
              </w:rPr>
              <w:t xml:space="preserve"> </w:t>
            </w:r>
            <w:r w:rsidRPr="00A45A94">
              <w:rPr>
                <w:rFonts w:ascii="Times New Roman" w:hAnsi="Times New Roman"/>
                <w:bCs/>
                <w:i/>
              </w:rPr>
              <w:t>ПОС, ПИК и НАТУРА 2000</w:t>
            </w:r>
          </w:p>
        </w:tc>
      </w:tr>
      <w:tr w:rsidR="005A5990" w:rsidRPr="000221DF" w:rsidTr="00376A1B">
        <w:trPr>
          <w:jc w:val="center"/>
        </w:trPr>
        <w:tc>
          <w:tcPr>
            <w:tcW w:w="988" w:type="dxa"/>
            <w:shd w:val="clear" w:color="auto" w:fill="auto"/>
          </w:tcPr>
          <w:p w:rsidR="005A5990" w:rsidRPr="00376A1B" w:rsidRDefault="005A5990" w:rsidP="000221DF">
            <w:pPr>
              <w:numPr>
                <w:ilvl w:val="0"/>
                <w:numId w:val="2"/>
              </w:numPr>
              <w:contextualSpacing/>
            </w:pPr>
          </w:p>
        </w:tc>
        <w:tc>
          <w:tcPr>
            <w:tcW w:w="8825" w:type="dxa"/>
            <w:shd w:val="clear" w:color="auto" w:fill="auto"/>
          </w:tcPr>
          <w:p w:rsidR="005A5990" w:rsidRPr="00A45A94" w:rsidRDefault="005A5990" w:rsidP="00C9284E">
            <w:pPr>
              <w:contextualSpacing/>
              <w:jc w:val="both"/>
              <w:rPr>
                <w:rFonts w:ascii="Times New Roman" w:hAnsi="Times New Roman"/>
                <w:bCs/>
                <w:i/>
              </w:rPr>
            </w:pPr>
            <w:r w:rsidRPr="00A45A94">
              <w:rPr>
                <w:rFonts w:ascii="Times New Roman" w:hAnsi="Times New Roman"/>
                <w:bCs/>
                <w:i/>
              </w:rPr>
              <w:t xml:space="preserve">Приоритетни проекти в изпълнение на </w:t>
            </w:r>
            <w:r w:rsidR="00BB3DA4" w:rsidRPr="00A45A94">
              <w:rPr>
                <w:rFonts w:ascii="Times New Roman" w:hAnsi="Times New Roman"/>
                <w:bCs/>
                <w:i/>
              </w:rPr>
              <w:t xml:space="preserve">Пътната карта за изпълнение на </w:t>
            </w:r>
            <w:r w:rsidR="00C9284E" w:rsidRPr="00A45A94">
              <w:rPr>
                <w:rFonts w:ascii="Times New Roman" w:hAnsi="Times New Roman"/>
                <w:bCs/>
                <w:i/>
              </w:rPr>
              <w:t xml:space="preserve">Стратегията </w:t>
            </w:r>
            <w:r w:rsidRPr="00A45A94">
              <w:rPr>
                <w:rFonts w:ascii="Times New Roman" w:hAnsi="Times New Roman"/>
                <w:bCs/>
                <w:i/>
              </w:rPr>
              <w:t>за развитие на електронното управление в Република България за периода 2016-2020</w:t>
            </w:r>
          </w:p>
        </w:tc>
      </w:tr>
    </w:tbl>
    <w:p w:rsidR="000221DF" w:rsidRPr="00334117" w:rsidRDefault="000221DF" w:rsidP="000221DF">
      <w:pPr>
        <w:spacing w:after="160" w:line="259" w:lineRule="auto"/>
        <w:rPr>
          <w:rFonts w:eastAsia="Calibri"/>
          <w:lang w:val="ru-RU" w:eastAsia="en-US"/>
        </w:rPr>
      </w:pPr>
    </w:p>
    <w:p w:rsidR="00DC6097" w:rsidRDefault="00394B15" w:rsidP="00A068F0">
      <w:pPr>
        <w:ind w:firstLine="567"/>
        <w:jc w:val="both"/>
      </w:pPr>
      <w:r>
        <w:t>Предложени</w:t>
      </w:r>
      <w:r w:rsidR="00BC5B4B">
        <w:t>т</w:t>
      </w:r>
      <w:r>
        <w:t xml:space="preserve">е промени </w:t>
      </w:r>
      <w:r w:rsidR="00B127C7">
        <w:t xml:space="preserve">в критериите </w:t>
      </w:r>
      <w:r>
        <w:t>са технически</w:t>
      </w:r>
      <w:r w:rsidR="00E87E4C">
        <w:t xml:space="preserve"> като в текстовете, касаещи допустимостта на разходите по съответната процедура препращането вече е към новия нормативен акт </w:t>
      </w:r>
      <w:r w:rsidR="00B127C7">
        <w:t>(ПМС № </w:t>
      </w:r>
      <w:r w:rsidR="00E87E4C">
        <w:t xml:space="preserve">189/2016 г.) вместо към отмененото </w:t>
      </w:r>
      <w:r w:rsidR="00E87E4C" w:rsidRPr="00E87E4C">
        <w:t>ПМС № 119/2014 г.</w:t>
      </w:r>
      <w:r w:rsidR="00E87E4C">
        <w:t xml:space="preserve"> В допълнение, термините </w:t>
      </w:r>
      <w:r w:rsidR="000D705A">
        <w:t>„публичност и визуализация“</w:t>
      </w:r>
      <w:r w:rsidR="00E87E4C">
        <w:t xml:space="preserve">, които бяха </w:t>
      </w:r>
      <w:r w:rsidR="00B127C7">
        <w:t>част от стилистиката</w:t>
      </w:r>
      <w:r w:rsidR="00E87E4C">
        <w:t xml:space="preserve"> </w:t>
      </w:r>
      <w:r w:rsidR="00B127C7">
        <w:t>на</w:t>
      </w:r>
      <w:r w:rsidR="00E87E4C">
        <w:t xml:space="preserve"> чл. 9, ал. 2, т. 2 на ПМС № 119/2014 г. </w:t>
      </w:r>
      <w:r w:rsidR="000D705A">
        <w:t>с</w:t>
      </w:r>
      <w:r w:rsidR="00E87E4C">
        <w:t xml:space="preserve">а заменени с </w:t>
      </w:r>
      <w:r w:rsidR="000D705A">
        <w:t>„информация и комуникация“</w:t>
      </w:r>
      <w:r w:rsidR="00E87E4C">
        <w:t xml:space="preserve"> </w:t>
      </w:r>
      <w:r w:rsidR="00B127C7">
        <w:t>–</w:t>
      </w:r>
      <w:r w:rsidR="00E87E4C">
        <w:t xml:space="preserve"> понятия</w:t>
      </w:r>
      <w:r w:rsidR="00B127C7">
        <w:t xml:space="preserve">, употребени в чл. 7, ал. 2, т. 1 от ПМС № 189/2016 г. както и в </w:t>
      </w:r>
      <w:r w:rsidR="00B127C7" w:rsidRPr="00B127C7">
        <w:rPr>
          <w:i/>
        </w:rPr>
        <w:t>Раздел ІІІ „Информация и комуникация, насочени към обществеността, относно финансовата подкрепа от ЕСИФ“</w:t>
      </w:r>
      <w:r w:rsidR="00B127C7">
        <w:t xml:space="preserve"> на Глава втора на Закона за управление на средствата от Европейските структурни и инвестиционни фондове</w:t>
      </w:r>
      <w:r>
        <w:t>.</w:t>
      </w:r>
      <w:r w:rsidR="00A068F0">
        <w:t xml:space="preserve"> </w:t>
      </w:r>
    </w:p>
    <w:p w:rsidR="008A62C7" w:rsidRDefault="008A62C7" w:rsidP="00A068F0">
      <w:pPr>
        <w:ind w:firstLine="567"/>
        <w:jc w:val="both"/>
      </w:pPr>
    </w:p>
    <w:p w:rsidR="001B4515" w:rsidRDefault="003D200C" w:rsidP="00A068F0">
      <w:pPr>
        <w:ind w:firstLine="567"/>
        <w:jc w:val="both"/>
      </w:pPr>
      <w:r>
        <w:t>С предлаганите изменения ще се осигури формално съответствие между посочените по- горе критерии за подбор на операции</w:t>
      </w:r>
      <w:r w:rsidR="00DC6097">
        <w:t>, приложимата нормативна уредба</w:t>
      </w:r>
      <w:r>
        <w:t xml:space="preserve"> и насоките</w:t>
      </w:r>
      <w:r w:rsidR="00713E2F">
        <w:t>/указанията</w:t>
      </w:r>
      <w:r>
        <w:t xml:space="preserve"> за кандидатстване по </w:t>
      </w:r>
      <w:r w:rsidR="00713E2F">
        <w:t xml:space="preserve">съответните </w:t>
      </w:r>
      <w:r>
        <w:t xml:space="preserve">процедури, които също ще бъдат изменени от Управляващият орган на ОПДУ </w:t>
      </w:r>
      <w:r w:rsidR="00DC6097">
        <w:t>в тази връзка</w:t>
      </w:r>
      <w:r w:rsidR="00B127C7">
        <w:t>.</w:t>
      </w:r>
    </w:p>
    <w:p w:rsidR="001B4515" w:rsidRDefault="001B4515" w:rsidP="00F17640">
      <w:pPr>
        <w:ind w:firstLine="567"/>
        <w:jc w:val="both"/>
      </w:pPr>
    </w:p>
    <w:p w:rsidR="001B4515" w:rsidRPr="00E65E04" w:rsidRDefault="003D200C" w:rsidP="001B4515">
      <w:pPr>
        <w:ind w:firstLine="567"/>
        <w:jc w:val="both"/>
      </w:pPr>
      <w:r>
        <w:t>Критерии</w:t>
      </w:r>
      <w:r w:rsidR="00713E2F">
        <w:t>те</w:t>
      </w:r>
      <w:r>
        <w:t xml:space="preserve"> за подбор на операции </w:t>
      </w:r>
      <w:r w:rsidR="00EF35C8">
        <w:t>по процедури</w:t>
      </w:r>
      <w:r w:rsidR="00C9284E">
        <w:t xml:space="preserve"> </w:t>
      </w:r>
      <w:r w:rsidR="00EF35C8" w:rsidRPr="00713E2F">
        <w:rPr>
          <w:i/>
        </w:rPr>
        <w:t>„</w:t>
      </w:r>
      <w:r w:rsidR="00E85D3F" w:rsidRPr="00713E2F">
        <w:rPr>
          <w:i/>
        </w:rPr>
        <w:t>Повишаване на експертния капацитет на служителите в администрацията</w:t>
      </w:r>
      <w:r w:rsidR="00EF35C8" w:rsidRPr="00713E2F">
        <w:rPr>
          <w:i/>
        </w:rPr>
        <w:t>“</w:t>
      </w:r>
      <w:r w:rsidR="00443B25">
        <w:t>,</w:t>
      </w:r>
      <w:r w:rsidR="00443B25" w:rsidRPr="00443B25">
        <w:t xml:space="preserve"> </w:t>
      </w:r>
      <w:r w:rsidR="00EF35C8" w:rsidRPr="00713E2F">
        <w:rPr>
          <w:i/>
        </w:rPr>
        <w:t>„</w:t>
      </w:r>
      <w:r w:rsidR="00443B25" w:rsidRPr="00713E2F">
        <w:rPr>
          <w:i/>
        </w:rPr>
        <w:t>Въвеждане на Общата рамка за оценка (CAF) в администрациите</w:t>
      </w:r>
      <w:r w:rsidR="00EF35C8" w:rsidRPr="00713E2F">
        <w:rPr>
          <w:i/>
        </w:rPr>
        <w:t>“</w:t>
      </w:r>
      <w:r w:rsidR="0001663C">
        <w:t xml:space="preserve">, </w:t>
      </w:r>
      <w:r w:rsidR="00EF35C8" w:rsidRPr="00713E2F">
        <w:rPr>
          <w:i/>
        </w:rPr>
        <w:t>„</w:t>
      </w:r>
      <w:r w:rsidR="0001663C" w:rsidRPr="00713E2F">
        <w:rPr>
          <w:i/>
        </w:rPr>
        <w:t>Ефективно прилагане на правилата на ЕС за държавните помощи при предоставяне на услуги от общ икономически интерес (УОИИ)</w:t>
      </w:r>
      <w:r w:rsidR="00EF35C8" w:rsidRPr="00713E2F">
        <w:rPr>
          <w:i/>
        </w:rPr>
        <w:t>“</w:t>
      </w:r>
      <w:r w:rsidR="0001663C" w:rsidRPr="0001663C">
        <w:t xml:space="preserve"> </w:t>
      </w:r>
      <w:r w:rsidR="00EF35C8">
        <w:t xml:space="preserve">от ИГРП на ОПДУ за 2016 г. </w:t>
      </w:r>
      <w:r>
        <w:t xml:space="preserve">не се предлагат за изменение, тъй като в тях формално не се споменава </w:t>
      </w:r>
      <w:r w:rsidR="00713E2F" w:rsidRPr="00713E2F">
        <w:t>ПМС № 119/2014 г.</w:t>
      </w:r>
      <w:r w:rsidR="00E65E04" w:rsidRPr="00E65E04">
        <w:rPr>
          <w:lang w:val="ru-RU"/>
        </w:rPr>
        <w:t xml:space="preserve"> </w:t>
      </w:r>
      <w:r w:rsidR="00E65E04">
        <w:t xml:space="preserve">и </w:t>
      </w:r>
      <w:r w:rsidR="00AF4C55">
        <w:t xml:space="preserve">във връзка с допустимостта на разходите </w:t>
      </w:r>
      <w:r w:rsidR="00E65E04">
        <w:t>са употребени понятията „</w:t>
      </w:r>
      <w:r w:rsidR="001A487F" w:rsidRPr="001A487F">
        <w:t>информация и комуникация</w:t>
      </w:r>
      <w:r w:rsidR="00E65E04">
        <w:t>“</w:t>
      </w:r>
      <w:r w:rsidR="00AF4C55">
        <w:t>,</w:t>
      </w:r>
      <w:bookmarkStart w:id="0" w:name="_GoBack"/>
      <w:bookmarkEnd w:id="0"/>
      <w:r w:rsidR="001A487F">
        <w:t xml:space="preserve"> в съответствие с приложимата към момента нормативна уредба</w:t>
      </w:r>
      <w:r w:rsidR="00E65E04">
        <w:t>.</w:t>
      </w:r>
    </w:p>
    <w:p w:rsidR="001B4515" w:rsidRDefault="001B4515" w:rsidP="001B4515">
      <w:pPr>
        <w:spacing w:after="160" w:line="259" w:lineRule="auto"/>
        <w:rPr>
          <w:rFonts w:eastAsia="Calibri"/>
          <w:b/>
          <w:i/>
          <w:lang w:eastAsia="en-US"/>
        </w:rPr>
      </w:pPr>
    </w:p>
    <w:p w:rsidR="00E65E04" w:rsidRPr="00E65E04" w:rsidRDefault="00A45A94" w:rsidP="00E65E04">
      <w:pPr>
        <w:spacing w:after="160" w:line="259" w:lineRule="auto"/>
        <w:ind w:firstLine="851"/>
        <w:jc w:val="both"/>
        <w:rPr>
          <w:rFonts w:eastAsia="Calibri"/>
          <w:b/>
          <w:lang w:eastAsia="en-US"/>
        </w:rPr>
      </w:pPr>
      <w:r>
        <w:rPr>
          <w:rFonts w:eastAsia="Calibri"/>
          <w:b/>
          <w:lang w:eastAsia="en-US"/>
        </w:rPr>
        <w:t>І</w:t>
      </w:r>
      <w:r w:rsidR="00E65E04" w:rsidRPr="00E65E04">
        <w:rPr>
          <w:rFonts w:eastAsia="Calibri"/>
          <w:b/>
          <w:lang w:eastAsia="en-US"/>
        </w:rPr>
        <w:t xml:space="preserve">І. </w:t>
      </w:r>
      <w:r>
        <w:rPr>
          <w:rFonts w:eastAsia="Calibri"/>
          <w:b/>
          <w:lang w:eastAsia="en-US"/>
        </w:rPr>
        <w:t>Изменения</w:t>
      </w:r>
      <w:r w:rsidR="00E65E04" w:rsidRPr="00E65E04">
        <w:rPr>
          <w:rFonts w:eastAsia="Calibri"/>
          <w:b/>
          <w:lang w:eastAsia="en-US"/>
        </w:rPr>
        <w:t xml:space="preserve"> в нормативната уредба</w:t>
      </w:r>
      <w:r>
        <w:rPr>
          <w:rFonts w:eastAsia="Calibri"/>
          <w:b/>
          <w:lang w:eastAsia="en-US"/>
        </w:rPr>
        <w:t>,</w:t>
      </w:r>
      <w:r w:rsidR="00E65E04" w:rsidRPr="00E65E04">
        <w:rPr>
          <w:rFonts w:eastAsia="Calibri"/>
          <w:b/>
          <w:lang w:eastAsia="en-US"/>
        </w:rPr>
        <w:t xml:space="preserve"> </w:t>
      </w:r>
      <w:r>
        <w:rPr>
          <w:rFonts w:eastAsia="Calibri"/>
          <w:b/>
          <w:lang w:eastAsia="en-US"/>
        </w:rPr>
        <w:t>с които са извършени структурни промени в администрацията</w:t>
      </w:r>
    </w:p>
    <w:p w:rsidR="00E87E4C" w:rsidRPr="00A45A94" w:rsidRDefault="00A45A94" w:rsidP="00A45A94">
      <w:pPr>
        <w:ind w:firstLine="567"/>
        <w:jc w:val="both"/>
      </w:pPr>
      <w:r>
        <w:t>С</w:t>
      </w:r>
      <w:r w:rsidR="00E87E4C" w:rsidRPr="00A45A94">
        <w:t xml:space="preserve"> последните </w:t>
      </w:r>
      <w:r w:rsidR="00E87E4C" w:rsidRPr="008A62C7">
        <w:rPr>
          <w:b/>
        </w:rPr>
        <w:t>изменения на Закона за електронното управление</w:t>
      </w:r>
      <w:r w:rsidR="00E87E4C" w:rsidRPr="00A45A94">
        <w:t xml:space="preserve">, в сила от </w:t>
      </w:r>
      <w:r>
        <w:t>0</w:t>
      </w:r>
      <w:r w:rsidR="00E87E4C" w:rsidRPr="00A45A94">
        <w:t>1.</w:t>
      </w:r>
      <w:r>
        <w:t>0</w:t>
      </w:r>
      <w:r w:rsidR="00E87E4C" w:rsidRPr="00A45A94">
        <w:t>7.2016</w:t>
      </w:r>
      <w:r>
        <w:t xml:space="preserve"> </w:t>
      </w:r>
      <w:r w:rsidR="00E87E4C" w:rsidRPr="00A45A94">
        <w:t>г.,:</w:t>
      </w:r>
    </w:p>
    <w:p w:rsidR="00E87E4C" w:rsidRPr="00A45A94" w:rsidRDefault="00E87E4C" w:rsidP="00A45A94">
      <w:pPr>
        <w:numPr>
          <w:ilvl w:val="0"/>
          <w:numId w:val="3"/>
        </w:numPr>
        <w:spacing w:after="160" w:line="259" w:lineRule="auto"/>
        <w:jc w:val="both"/>
        <w:rPr>
          <w:rFonts w:eastAsia="Calibri"/>
          <w:lang w:eastAsia="en-US"/>
        </w:rPr>
      </w:pPr>
      <w:r w:rsidRPr="00A45A94">
        <w:rPr>
          <w:rFonts w:eastAsia="Calibri"/>
          <w:lang w:eastAsia="en-US"/>
        </w:rPr>
        <w:t>се закрива Изпълнителна агенция „Електронно съобщителни мрежи и информационни системи“ към министъра на транспорта, информационните технологии и съобщенията (§46, ал. 1 от Преходните и заключителни разпоредби (ПЗР) на Закона за изменение и допълнение на Закона за електронното управление (ЗИД на ЗУЕ);</w:t>
      </w:r>
    </w:p>
    <w:p w:rsidR="00E87E4C" w:rsidRPr="00A45A94" w:rsidRDefault="00E87E4C" w:rsidP="00A45A94">
      <w:pPr>
        <w:numPr>
          <w:ilvl w:val="0"/>
          <w:numId w:val="3"/>
        </w:numPr>
        <w:spacing w:after="160" w:line="259" w:lineRule="auto"/>
        <w:jc w:val="both"/>
        <w:rPr>
          <w:rFonts w:eastAsia="Calibri"/>
          <w:lang w:eastAsia="en-US"/>
        </w:rPr>
      </w:pPr>
      <w:r w:rsidRPr="00A45A94">
        <w:rPr>
          <w:rFonts w:eastAsia="Calibri"/>
          <w:lang w:eastAsia="en-US"/>
        </w:rPr>
        <w:t>активите, пасивите, архивът, както и другите права и задължения на закритата Изпълнителна агенция „Електронни съобщителни мрежи и информационни системи" преминават към Държавна агенция „Електронно управление" (§46, ал. 2 от ПЗР на ЗИД на ЗУЕ).</w:t>
      </w:r>
    </w:p>
    <w:p w:rsidR="00E87E4C" w:rsidRDefault="00E87E4C" w:rsidP="00A45A94">
      <w:pPr>
        <w:ind w:firstLine="567"/>
        <w:jc w:val="both"/>
      </w:pPr>
      <w:r w:rsidRPr="00A45A94">
        <w:t xml:space="preserve">Във връзка с посочената законодателна промяна </w:t>
      </w:r>
      <w:r w:rsidRPr="008A62C7">
        <w:rPr>
          <w:b/>
        </w:rPr>
        <w:t>Държавна агенция „Електронно управление" следва да се счита за допустим кандидат</w:t>
      </w:r>
      <w:r w:rsidRPr="00A45A94">
        <w:t xml:space="preserve"> вместо Изпълнителна агенция „Електронни съобщителни мрежи и информационни системи“ към министъра на транспорта, </w:t>
      </w:r>
      <w:r w:rsidRPr="00A45A94">
        <w:lastRenderedPageBreak/>
        <w:t>информационните технологии и съобщенията в следните процедури по ОПДУ, критерии за подбор на които са одобрени от КН на ОПДУ:</w:t>
      </w:r>
    </w:p>
    <w:p w:rsidR="00A45A94" w:rsidRPr="00A45A94" w:rsidRDefault="00A45A94" w:rsidP="00A45A94">
      <w:pPr>
        <w:ind w:firstLine="567"/>
        <w:jc w:val="both"/>
      </w:pPr>
    </w:p>
    <w:p w:rsidR="00E87E4C" w:rsidRPr="00A45A94" w:rsidRDefault="00E87E4C" w:rsidP="00E87E4C">
      <w:pPr>
        <w:numPr>
          <w:ilvl w:val="0"/>
          <w:numId w:val="4"/>
        </w:numPr>
        <w:spacing w:after="160" w:line="259" w:lineRule="auto"/>
        <w:rPr>
          <w:rFonts w:eastAsia="Calibri"/>
          <w:u w:val="single"/>
          <w:lang w:eastAsia="en-US"/>
        </w:rPr>
      </w:pPr>
      <w:r w:rsidRPr="00A45A94">
        <w:rPr>
          <w:rFonts w:eastAsia="Calibri"/>
          <w:u w:val="single"/>
          <w:lang w:eastAsia="en-US"/>
        </w:rPr>
        <w:t xml:space="preserve">от </w:t>
      </w:r>
      <w:r w:rsidR="00A45A94">
        <w:rPr>
          <w:rFonts w:eastAsia="Calibri"/>
          <w:u w:val="single"/>
          <w:lang w:eastAsia="en-US"/>
        </w:rPr>
        <w:t>ИГРП</w:t>
      </w:r>
      <w:r w:rsidRPr="00A45A94">
        <w:rPr>
          <w:rFonts w:eastAsia="Calibri"/>
          <w:u w:val="single"/>
          <w:lang w:eastAsia="en-US"/>
        </w:rPr>
        <w:t xml:space="preserve"> на ОПДУ за 2015 г.:</w:t>
      </w:r>
    </w:p>
    <w:p w:rsidR="00E87E4C" w:rsidRPr="00A45A94" w:rsidRDefault="00E87E4C" w:rsidP="00A45A94">
      <w:pPr>
        <w:ind w:firstLine="567"/>
        <w:jc w:val="both"/>
      </w:pPr>
      <w:r w:rsidRPr="00A45A94">
        <w:rPr>
          <w:i/>
        </w:rPr>
        <w:t>„Структуриране на данни и аналитични дейности в изпълнение на стратегическите документи за развитие на държавната администрация, развитие на електронното управление и въвеждане на електронното управление в сектор „Правосъдие“</w:t>
      </w:r>
      <w:r w:rsidRPr="00A45A94">
        <w:t>;</w:t>
      </w:r>
    </w:p>
    <w:p w:rsidR="00E87E4C" w:rsidRPr="00A45A94" w:rsidRDefault="00E87E4C" w:rsidP="00E87E4C">
      <w:pPr>
        <w:spacing w:after="160" w:line="259" w:lineRule="auto"/>
        <w:rPr>
          <w:rFonts w:eastAsia="Calibri"/>
          <w:lang w:eastAsia="en-US"/>
        </w:rPr>
      </w:pPr>
    </w:p>
    <w:p w:rsidR="00E87E4C" w:rsidRPr="00A45A94" w:rsidRDefault="00E87E4C" w:rsidP="00E87E4C">
      <w:pPr>
        <w:numPr>
          <w:ilvl w:val="0"/>
          <w:numId w:val="4"/>
        </w:numPr>
        <w:spacing w:after="160" w:line="259" w:lineRule="auto"/>
        <w:rPr>
          <w:rFonts w:eastAsia="Calibri"/>
          <w:u w:val="single"/>
          <w:lang w:eastAsia="en-US"/>
        </w:rPr>
      </w:pPr>
      <w:r w:rsidRPr="00A45A94">
        <w:rPr>
          <w:rFonts w:eastAsia="Calibri"/>
          <w:u w:val="single"/>
          <w:lang w:eastAsia="en-US"/>
        </w:rPr>
        <w:t xml:space="preserve">от </w:t>
      </w:r>
      <w:r w:rsidR="00A45A94">
        <w:rPr>
          <w:rFonts w:eastAsia="Calibri"/>
          <w:u w:val="single"/>
          <w:lang w:eastAsia="en-US"/>
        </w:rPr>
        <w:t>ИГРП</w:t>
      </w:r>
      <w:r w:rsidRPr="00A45A94">
        <w:rPr>
          <w:rFonts w:eastAsia="Calibri"/>
          <w:u w:val="single"/>
          <w:lang w:eastAsia="en-US"/>
        </w:rPr>
        <w:t xml:space="preserve"> на ОПДУ за 2016 г.:</w:t>
      </w:r>
    </w:p>
    <w:p w:rsidR="00E87E4C" w:rsidRPr="00A45A94" w:rsidRDefault="00E87E4C" w:rsidP="00A45A94">
      <w:pPr>
        <w:ind w:firstLine="567"/>
        <w:jc w:val="both"/>
        <w:rPr>
          <w:i/>
        </w:rPr>
      </w:pPr>
      <w:r w:rsidRPr="00A45A94">
        <w:rPr>
          <w:i/>
        </w:rPr>
        <w:t>„Приоритетни проекти в изпълнение на Пътната карта за изпълнение на Стратегията за развитие на електронното управление в Република България за периода 2016-2020 г.”</w:t>
      </w:r>
    </w:p>
    <w:p w:rsidR="00E87E4C" w:rsidRPr="00E87E4C" w:rsidRDefault="00E87E4C" w:rsidP="00E87E4C">
      <w:pPr>
        <w:spacing w:after="160" w:line="259" w:lineRule="auto"/>
        <w:rPr>
          <w:rFonts w:eastAsia="Calibri"/>
          <w:b/>
          <w:i/>
          <w:lang w:eastAsia="en-US"/>
        </w:rPr>
      </w:pPr>
    </w:p>
    <w:p w:rsidR="00E87E4C" w:rsidRPr="00A45A94" w:rsidRDefault="00E87E4C" w:rsidP="00A45A94">
      <w:pPr>
        <w:spacing w:after="160" w:line="259" w:lineRule="auto"/>
        <w:jc w:val="both"/>
        <w:rPr>
          <w:rFonts w:eastAsia="Calibri"/>
          <w:lang w:val="ru-RU" w:eastAsia="en-US"/>
        </w:rPr>
      </w:pPr>
      <w:r w:rsidRPr="00A45A94">
        <w:rPr>
          <w:rFonts w:eastAsia="Calibri"/>
          <w:lang w:eastAsia="en-US"/>
        </w:rPr>
        <w:t xml:space="preserve">Управляващият орган на ОПДУ счита, че </w:t>
      </w:r>
      <w:r w:rsidRPr="00A45A94">
        <w:rPr>
          <w:rFonts w:eastAsia="Calibri"/>
          <w:b/>
          <w:lang w:eastAsia="en-US"/>
        </w:rPr>
        <w:t xml:space="preserve">не е необходимо да бъдат извършени изменения на одобрените от КН на ОПДУ критерии за </w:t>
      </w:r>
      <w:r w:rsidRPr="008A62C7">
        <w:rPr>
          <w:rFonts w:eastAsia="Calibri"/>
          <w:b/>
          <w:lang w:eastAsia="en-US"/>
        </w:rPr>
        <w:t xml:space="preserve">подбор </w:t>
      </w:r>
      <w:r w:rsidR="008A62C7" w:rsidRPr="008A62C7">
        <w:rPr>
          <w:rFonts w:eastAsia="Calibri"/>
          <w:b/>
          <w:lang w:eastAsia="en-US"/>
        </w:rPr>
        <w:t>на операции</w:t>
      </w:r>
      <w:r w:rsidR="008A62C7">
        <w:rPr>
          <w:rFonts w:eastAsia="Calibri"/>
          <w:lang w:eastAsia="en-US"/>
        </w:rPr>
        <w:t xml:space="preserve"> по</w:t>
      </w:r>
      <w:r w:rsidRPr="00A45A94">
        <w:rPr>
          <w:rFonts w:eastAsia="Calibri"/>
          <w:lang w:eastAsia="en-US"/>
        </w:rPr>
        <w:t xml:space="preserve"> изброените процедури </w:t>
      </w:r>
      <w:r w:rsidRPr="00A45A94">
        <w:rPr>
          <w:rFonts w:eastAsia="Calibri"/>
          <w:b/>
          <w:lang w:eastAsia="en-US"/>
        </w:rPr>
        <w:t>във връзка с посочената структурна промяна</w:t>
      </w:r>
      <w:r w:rsidRPr="00A45A94">
        <w:rPr>
          <w:rFonts w:eastAsia="Calibri"/>
          <w:lang w:eastAsia="en-US"/>
        </w:rPr>
        <w:t>, тъй като е налице установено със закон универсално правоприемство между</w:t>
      </w:r>
      <w:r w:rsidR="008A62C7">
        <w:rPr>
          <w:rFonts w:eastAsia="Calibri"/>
          <w:lang w:eastAsia="en-US"/>
        </w:rPr>
        <w:t xml:space="preserve"> посочените по-горе</w:t>
      </w:r>
      <w:r w:rsidRPr="00A45A94">
        <w:rPr>
          <w:rFonts w:eastAsia="Calibri"/>
          <w:lang w:eastAsia="en-US"/>
        </w:rPr>
        <w:t xml:space="preserve"> закрита и ново</w:t>
      </w:r>
      <w:r w:rsidR="008A62C7">
        <w:rPr>
          <w:rFonts w:eastAsia="Calibri"/>
          <w:lang w:eastAsia="en-US"/>
        </w:rPr>
        <w:t>създадена</w:t>
      </w:r>
      <w:r w:rsidRPr="00A45A94">
        <w:rPr>
          <w:rFonts w:eastAsia="Calibri"/>
          <w:lang w:eastAsia="en-US"/>
        </w:rPr>
        <w:t xml:space="preserve"> административна структура.</w:t>
      </w:r>
    </w:p>
    <w:p w:rsidR="00E87E4C" w:rsidRDefault="00E87E4C" w:rsidP="001B4515">
      <w:pPr>
        <w:spacing w:after="160" w:line="259" w:lineRule="auto"/>
        <w:rPr>
          <w:rFonts w:eastAsia="Calibri"/>
          <w:b/>
          <w:i/>
          <w:lang w:eastAsia="en-US"/>
        </w:rPr>
      </w:pPr>
    </w:p>
    <w:p w:rsidR="001B4515" w:rsidRPr="000221DF" w:rsidRDefault="001B4515" w:rsidP="001B4515">
      <w:pPr>
        <w:spacing w:after="160" w:line="259" w:lineRule="auto"/>
        <w:rPr>
          <w:rFonts w:eastAsia="Calibri"/>
          <w:lang w:eastAsia="en-US"/>
        </w:rPr>
      </w:pPr>
      <w:r w:rsidRPr="000221DF">
        <w:rPr>
          <w:rFonts w:eastAsia="Calibri"/>
          <w:b/>
          <w:i/>
          <w:lang w:eastAsia="en-US"/>
        </w:rPr>
        <w:t xml:space="preserve">Приложения: </w:t>
      </w:r>
      <w:r w:rsidRPr="000221DF">
        <w:rPr>
          <w:rFonts w:eastAsia="Calibri"/>
          <w:lang w:eastAsia="en-US"/>
        </w:rPr>
        <w:t>Проекти на критерии за подбор на операции.</w:t>
      </w:r>
    </w:p>
    <w:p w:rsidR="00560514" w:rsidRPr="00C13D95" w:rsidRDefault="00560514" w:rsidP="00F17640">
      <w:pPr>
        <w:ind w:firstLine="567"/>
        <w:jc w:val="both"/>
      </w:pPr>
    </w:p>
    <w:sectPr w:rsidR="00560514" w:rsidRPr="00C13D95" w:rsidSect="006F3207">
      <w:headerReference w:type="default" r:id="rId8"/>
      <w:footerReference w:type="default" r:id="rId9"/>
      <w:pgSz w:w="11906" w:h="16838"/>
      <w:pgMar w:top="0" w:right="992" w:bottom="1134" w:left="992" w:header="709" w:footer="4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FB8" w:rsidRDefault="00AE3FB8" w:rsidP="00C5450D">
      <w:r>
        <w:separator/>
      </w:r>
    </w:p>
  </w:endnote>
  <w:endnote w:type="continuationSeparator" w:id="0">
    <w:p w:rsidR="00AE3FB8" w:rsidRDefault="00AE3FB8"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ebarU">
    <w:panose1 w:val="00000400000000000000"/>
    <w:charset w:val="00"/>
    <w:family w:val="auto"/>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0E2" w:rsidRDefault="00AF4C55" w:rsidP="005A60E2">
    <w:pPr>
      <w:pStyle w:val="Footer"/>
      <w:jc w:val="center"/>
      <w:rPr>
        <w:i/>
        <w:lang w:val="en-US"/>
      </w:rPr>
    </w:pPr>
    <w:r>
      <w:rPr>
        <w:i/>
        <w:lang w:val="en-US"/>
      </w:rPr>
      <w:pict>
        <v:rect id="_x0000_i1026" style="width:0;height:1.5pt" o:hralign="center" o:hrstd="t" o:hr="t" fillcolor="#a0a0a0" stroked="f"/>
      </w:pict>
    </w:r>
  </w:p>
  <w:p w:rsidR="00E33D3D" w:rsidRPr="005A60E2" w:rsidRDefault="00E33D3D" w:rsidP="005A60E2">
    <w:pPr>
      <w:pStyle w:val="Footer"/>
      <w:jc w:val="center"/>
      <w:rPr>
        <w:i/>
        <w:color w:val="7F7F7F" w:themeColor="text1" w:themeTint="80"/>
        <w:lang w:val="en-US"/>
      </w:rPr>
    </w:pPr>
    <w:r w:rsidRPr="005A60E2">
      <w:rPr>
        <w:i/>
        <w:color w:val="7F7F7F" w:themeColor="text1" w:themeTint="80"/>
        <w:lang w:val="en-US"/>
      </w:rPr>
      <w:t>www.eufunds.bg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FB8" w:rsidRDefault="00AE3FB8" w:rsidP="00C5450D">
      <w:r>
        <w:separator/>
      </w:r>
    </w:p>
  </w:footnote>
  <w:footnote w:type="continuationSeparator" w:id="0">
    <w:p w:rsidR="00AE3FB8" w:rsidRDefault="00AE3FB8" w:rsidP="00C54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D3D" w:rsidRDefault="00AE3FB8" w:rsidP="0000196D">
    <w:pPr>
      <w:pStyle w:val="Header"/>
      <w:pBdr>
        <w:bottom w:val="single" w:sz="6" w:space="1" w:color="auto"/>
      </w:pBdr>
      <w:tabs>
        <w:tab w:val="clear" w:pos="4536"/>
        <w:tab w:val="clear" w:pos="9072"/>
        <w:tab w:val="center" w:pos="4961"/>
        <w:tab w:val="right" w:pos="9922"/>
      </w:tabs>
      <w:rPr>
        <w:lang w:val="en-US"/>
      </w:rPr>
    </w:pPr>
    <w:r>
      <w:rPr>
        <w:noProof/>
        <w:lang w:val="en-US"/>
      </w:rPr>
      <w:t xml:space="preserve">  </w:t>
    </w:r>
    <w:r w:rsidR="00E87E4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36.85pt">
          <v:imagedata r:id="rId1" o:title="EU_SEFright"/>
        </v:shape>
      </w:pict>
    </w:r>
    <w:r>
      <w:rPr>
        <w:lang w:val="en-US"/>
      </w:rPr>
      <w:t xml:space="preserve">   </w:t>
    </w:r>
    <w:r w:rsidR="00E33D3D">
      <w:rPr>
        <w:lang w:val="en-US"/>
      </w:rPr>
      <w:t xml:space="preserve">                                                                    </w:t>
    </w:r>
    <w:r>
      <w:rPr>
        <w:lang w:val="en-US"/>
      </w:rPr>
      <w:t xml:space="preserve"> </w:t>
    </w:r>
    <w:r w:rsidR="00E33D3D">
      <w:rPr>
        <w:noProof/>
      </w:rPr>
      <w:drawing>
        <wp:inline distT="0" distB="0" distL="0" distR="0" wp14:anchorId="7BF476C2" wp14:editId="6C7CE36A">
          <wp:extent cx="1818859" cy="638628"/>
          <wp:effectExtent l="0" t="0" r="0" b="9525"/>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
                    <a:extLst>
                      <a:ext uri="{28A0092B-C50C-407E-A947-70E740481C1C}">
                        <a14:useLocalDpi xmlns:a14="http://schemas.microsoft.com/office/drawing/2010/main" val="0"/>
                      </a:ext>
                    </a:extLst>
                  </a:blip>
                  <a:srcRect t="-1" r="7172" b="13502"/>
                  <a:stretch/>
                </pic:blipFill>
                <pic:spPr bwMode="auto">
                  <a:xfrm>
                    <a:off x="0" y="0"/>
                    <a:ext cx="1828991" cy="642186"/>
                  </a:xfrm>
                  <a:prstGeom prst="rect">
                    <a:avLst/>
                  </a:prstGeom>
                  <a:noFill/>
                  <a:ln>
                    <a:noFill/>
                  </a:ln>
                  <a:extLst>
                    <a:ext uri="{53640926-AAD7-44D8-BBD7-CCE9431645EC}">
                      <a14:shadowObscured xmlns:a14="http://schemas.microsoft.com/office/drawing/2010/main"/>
                    </a:ext>
                  </a:extLst>
                </pic:spPr>
              </pic:pic>
            </a:graphicData>
          </a:graphic>
        </wp:inline>
      </w:drawing>
    </w:r>
  </w:p>
  <w:p w:rsidR="00AE3FB8" w:rsidRDefault="00AE3FB8" w:rsidP="0000196D">
    <w:pPr>
      <w:pStyle w:val="Header"/>
      <w:pBdr>
        <w:bottom w:val="single" w:sz="6" w:space="1" w:color="auto"/>
      </w:pBdr>
      <w:tabs>
        <w:tab w:val="clear" w:pos="4536"/>
        <w:tab w:val="clear" w:pos="9072"/>
        <w:tab w:val="center" w:pos="4961"/>
        <w:tab w:val="right" w:pos="9922"/>
      </w:tabs>
      <w:rPr>
        <w:lang w:val="en-US"/>
      </w:rPr>
    </w:pPr>
    <w:r>
      <w:rPr>
        <w:lang w:val="en-US"/>
      </w:rPr>
      <w:t xml:space="preserve">                   </w:t>
    </w:r>
    <w:r w:rsidR="006F3207">
      <w:rPr>
        <w:lang w:val="en-US"/>
      </w:rPr>
      <w:t xml:space="preserve">                  </w:t>
    </w:r>
    <w:r>
      <w:rPr>
        <w:noProof/>
        <w:lang w:val="en-US"/>
      </w:rPr>
      <w:t xml:space="preserve">  </w:t>
    </w:r>
    <w:r>
      <w:rPr>
        <w:noProof/>
        <w:lang w:val="en-US"/>
      </w:rPr>
      <w:tab/>
    </w:r>
  </w:p>
  <w:p w:rsidR="00AE3FB8" w:rsidRPr="00C5450D" w:rsidRDefault="00AE3FB8">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1206C"/>
    <w:multiLevelType w:val="hybridMultilevel"/>
    <w:tmpl w:val="F1B09A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2D75CFA"/>
    <w:multiLevelType w:val="hybridMultilevel"/>
    <w:tmpl w:val="1F405BDC"/>
    <w:lvl w:ilvl="0" w:tplc="F186270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4BF06EFD"/>
    <w:multiLevelType w:val="hybridMultilevel"/>
    <w:tmpl w:val="76EA875C"/>
    <w:lvl w:ilvl="0" w:tplc="B51434FE">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 w15:restartNumberingAfterBreak="0">
    <w:nsid w:val="52EA19BE"/>
    <w:multiLevelType w:val="hybridMultilevel"/>
    <w:tmpl w:val="B9CAEBA2"/>
    <w:lvl w:ilvl="0" w:tplc="2BA84038">
      <w:start w:val="1"/>
      <w:numFmt w:val="decimal"/>
      <w:lvlText w:val="%1."/>
      <w:lvlJc w:val="left"/>
      <w:pPr>
        <w:ind w:left="644"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710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93E"/>
    <w:rsid w:val="0000196D"/>
    <w:rsid w:val="0001663C"/>
    <w:rsid w:val="000221DF"/>
    <w:rsid w:val="00047DDE"/>
    <w:rsid w:val="00050CE8"/>
    <w:rsid w:val="00095771"/>
    <w:rsid w:val="000A0E09"/>
    <w:rsid w:val="000D705A"/>
    <w:rsid w:val="000E18A6"/>
    <w:rsid w:val="000F1A76"/>
    <w:rsid w:val="0010033E"/>
    <w:rsid w:val="001209E1"/>
    <w:rsid w:val="00127AB7"/>
    <w:rsid w:val="00140935"/>
    <w:rsid w:val="001636C0"/>
    <w:rsid w:val="00177B85"/>
    <w:rsid w:val="00177F0D"/>
    <w:rsid w:val="001A487F"/>
    <w:rsid w:val="001B4515"/>
    <w:rsid w:val="00221A75"/>
    <w:rsid w:val="002562F0"/>
    <w:rsid w:val="0027266F"/>
    <w:rsid w:val="00281C22"/>
    <w:rsid w:val="00283419"/>
    <w:rsid w:val="0028424A"/>
    <w:rsid w:val="00285A16"/>
    <w:rsid w:val="002C5A74"/>
    <w:rsid w:val="002F5769"/>
    <w:rsid w:val="002F6DF0"/>
    <w:rsid w:val="003269D5"/>
    <w:rsid w:val="00334117"/>
    <w:rsid w:val="00335EC1"/>
    <w:rsid w:val="003564B0"/>
    <w:rsid w:val="00376763"/>
    <w:rsid w:val="00376A1B"/>
    <w:rsid w:val="00394B15"/>
    <w:rsid w:val="003A2F0F"/>
    <w:rsid w:val="003B3AAE"/>
    <w:rsid w:val="003D200C"/>
    <w:rsid w:val="003E7DF0"/>
    <w:rsid w:val="004069DF"/>
    <w:rsid w:val="00415AB2"/>
    <w:rsid w:val="00443B25"/>
    <w:rsid w:val="00451678"/>
    <w:rsid w:val="004C764D"/>
    <w:rsid w:val="004C7BF5"/>
    <w:rsid w:val="004E09B2"/>
    <w:rsid w:val="004F33A6"/>
    <w:rsid w:val="00526B67"/>
    <w:rsid w:val="0055272D"/>
    <w:rsid w:val="00560514"/>
    <w:rsid w:val="00571779"/>
    <w:rsid w:val="005A5990"/>
    <w:rsid w:val="005A60E2"/>
    <w:rsid w:val="00624AC3"/>
    <w:rsid w:val="00625AD2"/>
    <w:rsid w:val="006313F3"/>
    <w:rsid w:val="0064206A"/>
    <w:rsid w:val="006460D6"/>
    <w:rsid w:val="0065193E"/>
    <w:rsid w:val="0069312C"/>
    <w:rsid w:val="006A6E00"/>
    <w:rsid w:val="006B7C00"/>
    <w:rsid w:val="006D79DD"/>
    <w:rsid w:val="006F3207"/>
    <w:rsid w:val="0071161F"/>
    <w:rsid w:val="00713782"/>
    <w:rsid w:val="00713E2F"/>
    <w:rsid w:val="0073772C"/>
    <w:rsid w:val="00747027"/>
    <w:rsid w:val="00760ED5"/>
    <w:rsid w:val="007C3DA7"/>
    <w:rsid w:val="00867380"/>
    <w:rsid w:val="008A62C7"/>
    <w:rsid w:val="009179FE"/>
    <w:rsid w:val="00954B1F"/>
    <w:rsid w:val="00957235"/>
    <w:rsid w:val="00981D0B"/>
    <w:rsid w:val="009B56DF"/>
    <w:rsid w:val="00A068F0"/>
    <w:rsid w:val="00A0788F"/>
    <w:rsid w:val="00A217F4"/>
    <w:rsid w:val="00A45938"/>
    <w:rsid w:val="00A45A94"/>
    <w:rsid w:val="00A705CC"/>
    <w:rsid w:val="00A834BB"/>
    <w:rsid w:val="00AA0178"/>
    <w:rsid w:val="00AC3863"/>
    <w:rsid w:val="00AD737C"/>
    <w:rsid w:val="00AE3FB8"/>
    <w:rsid w:val="00AF4C55"/>
    <w:rsid w:val="00B127C7"/>
    <w:rsid w:val="00BB3DA4"/>
    <w:rsid w:val="00BC5B4B"/>
    <w:rsid w:val="00BD0EC9"/>
    <w:rsid w:val="00C12ECE"/>
    <w:rsid w:val="00C13D95"/>
    <w:rsid w:val="00C23D5D"/>
    <w:rsid w:val="00C5450D"/>
    <w:rsid w:val="00C9284E"/>
    <w:rsid w:val="00CC0CB0"/>
    <w:rsid w:val="00CC23F4"/>
    <w:rsid w:val="00CC2E7E"/>
    <w:rsid w:val="00CF186B"/>
    <w:rsid w:val="00D049FF"/>
    <w:rsid w:val="00D33C3B"/>
    <w:rsid w:val="00D363C4"/>
    <w:rsid w:val="00D476D8"/>
    <w:rsid w:val="00D50912"/>
    <w:rsid w:val="00D702DD"/>
    <w:rsid w:val="00D70963"/>
    <w:rsid w:val="00DB14A4"/>
    <w:rsid w:val="00DC6097"/>
    <w:rsid w:val="00DE2D37"/>
    <w:rsid w:val="00DF7517"/>
    <w:rsid w:val="00E33D3D"/>
    <w:rsid w:val="00E365F1"/>
    <w:rsid w:val="00E65E04"/>
    <w:rsid w:val="00E85D3F"/>
    <w:rsid w:val="00E87E4C"/>
    <w:rsid w:val="00EC164D"/>
    <w:rsid w:val="00ED19B4"/>
    <w:rsid w:val="00ED2149"/>
    <w:rsid w:val="00EE440A"/>
    <w:rsid w:val="00EF35C8"/>
    <w:rsid w:val="00F02F17"/>
    <w:rsid w:val="00F17640"/>
    <w:rsid w:val="00F41CD1"/>
    <w:rsid w:val="00F47E18"/>
    <w:rsid w:val="00F60A40"/>
    <w:rsid w:val="00F77062"/>
    <w:rsid w:val="00F92E8A"/>
    <w:rsid w:val="00FD7D82"/>
    <w:rsid w:val="00FE65F9"/>
    <w:rsid w:val="00FF42FA"/>
    <w:rsid w:val="00FF5490"/>
    <w:rsid w:val="00FF7A5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7"/>
    <o:shapelayout v:ext="edit">
      <o:idmap v:ext="edit" data="1"/>
    </o:shapelayout>
  </w:shapeDefaults>
  <w:decimalSymbol w:val=","/>
  <w:listSeparator w:val=";"/>
  <w15:docId w15:val="{5FDDFE81-1EB0-4D44-91BB-122934044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062"/>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D476D8"/>
    <w:rPr>
      <w:rFonts w:ascii="Tahoma" w:hAnsi="Tahoma" w:cs="Tahoma"/>
      <w:sz w:val="16"/>
      <w:szCs w:val="16"/>
    </w:rPr>
  </w:style>
  <w:style w:type="character" w:customStyle="1" w:styleId="BalloonTextChar">
    <w:name w:val="Balloon Text Char"/>
    <w:basedOn w:val="DefaultParagraphFont"/>
    <w:link w:val="BalloonText"/>
    <w:uiPriority w:val="99"/>
    <w:locked/>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uiPriority w:val="99"/>
    <w:locked/>
    <w:rsid w:val="00C5450D"/>
    <w:rPr>
      <w:rFonts w:cs="Times New Roman"/>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locked/>
    <w:rsid w:val="00C5450D"/>
    <w:rPr>
      <w:rFonts w:cs="Times New Roman"/>
      <w:sz w:val="24"/>
      <w:szCs w:val="24"/>
    </w:rPr>
  </w:style>
  <w:style w:type="character" w:styleId="Hyperlink">
    <w:name w:val="Hyperlink"/>
    <w:basedOn w:val="DefaultParagraphFont"/>
    <w:uiPriority w:val="99"/>
    <w:rsid w:val="004E09B2"/>
    <w:rPr>
      <w:rFonts w:cs="Times New Roman"/>
      <w:color w:val="0000FF"/>
      <w:u w:val="single"/>
    </w:rPr>
  </w:style>
  <w:style w:type="character" w:customStyle="1" w:styleId="newsheader">
    <w:name w:val="news_header"/>
    <w:basedOn w:val="DefaultParagraphFont"/>
    <w:uiPriority w:val="99"/>
    <w:rsid w:val="00A45938"/>
    <w:rPr>
      <w:rFonts w:cs="Times New Roman"/>
    </w:rPr>
  </w:style>
  <w:style w:type="character" w:customStyle="1" w:styleId="HeaderChar1">
    <w:name w:val="Header Char1"/>
    <w:semiHidden/>
    <w:locked/>
    <w:rsid w:val="00D363C4"/>
    <w:rPr>
      <w:rFonts w:ascii="HebarU" w:hAnsi="HebarU"/>
      <w:sz w:val="24"/>
      <w:szCs w:val="20"/>
      <w:lang w:eastAsia="en-US"/>
    </w:rPr>
  </w:style>
  <w:style w:type="paragraph" w:customStyle="1" w:styleId="CharChar1CharCharChar1CharCharChar2CharCharCharCharCharCharChar3CharChar1CharCharCharCharCharChar">
    <w:name w:val="Char Char1 Char Char Char1 Char Char Char2 Char Char Char Char Char Char Char3 Char Char1 Char Char Char Char Char Char"/>
    <w:basedOn w:val="Normal"/>
    <w:rsid w:val="00560514"/>
    <w:pPr>
      <w:tabs>
        <w:tab w:val="left" w:pos="709"/>
      </w:tabs>
      <w:spacing w:before="120" w:after="120"/>
      <w:jc w:val="both"/>
    </w:pPr>
    <w:rPr>
      <w:rFonts w:ascii="Tahoma" w:hAnsi="Tahoma"/>
      <w:szCs w:val="20"/>
      <w:lang w:val="pl-PL" w:eastAsia="pl-PL"/>
    </w:rPr>
  </w:style>
  <w:style w:type="paragraph" w:styleId="ListParagraph">
    <w:name w:val="List Paragraph"/>
    <w:basedOn w:val="Normal"/>
    <w:uiPriority w:val="34"/>
    <w:qFormat/>
    <w:rsid w:val="003564B0"/>
    <w:pPr>
      <w:ind w:left="720"/>
      <w:contextualSpacing/>
    </w:pPr>
  </w:style>
  <w:style w:type="table" w:customStyle="1" w:styleId="TableGrid1">
    <w:name w:val="Table Grid1"/>
    <w:basedOn w:val="TableNormal"/>
    <w:next w:val="TableGrid"/>
    <w:uiPriority w:val="39"/>
    <w:rsid w:val="000221DF"/>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locked/>
    <w:rsid w:val="000221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295979">
      <w:bodyDiv w:val="1"/>
      <w:marLeft w:val="0"/>
      <w:marRight w:val="0"/>
      <w:marTop w:val="0"/>
      <w:marBottom w:val="0"/>
      <w:divBdr>
        <w:top w:val="none" w:sz="0" w:space="0" w:color="auto"/>
        <w:left w:val="none" w:sz="0" w:space="0" w:color="auto"/>
        <w:bottom w:val="none" w:sz="0" w:space="0" w:color="auto"/>
        <w:right w:val="none" w:sz="0" w:space="0" w:color="auto"/>
      </w:divBdr>
    </w:div>
    <w:div w:id="1145776087">
      <w:bodyDiv w:val="1"/>
      <w:marLeft w:val="0"/>
      <w:marRight w:val="0"/>
      <w:marTop w:val="0"/>
      <w:marBottom w:val="0"/>
      <w:divBdr>
        <w:top w:val="none" w:sz="0" w:space="0" w:color="auto"/>
        <w:left w:val="none" w:sz="0" w:space="0" w:color="auto"/>
        <w:bottom w:val="none" w:sz="0" w:space="0" w:color="auto"/>
        <w:right w:val="none" w:sz="0" w:space="0" w:color="auto"/>
      </w:divBdr>
    </w:div>
    <w:div w:id="1436557627">
      <w:bodyDiv w:val="1"/>
      <w:marLeft w:val="0"/>
      <w:marRight w:val="0"/>
      <w:marTop w:val="0"/>
      <w:marBottom w:val="0"/>
      <w:divBdr>
        <w:top w:val="none" w:sz="0" w:space="0" w:color="auto"/>
        <w:left w:val="none" w:sz="0" w:space="0" w:color="auto"/>
        <w:bottom w:val="none" w:sz="0" w:space="0" w:color="auto"/>
        <w:right w:val="none" w:sz="0" w:space="0" w:color="auto"/>
      </w:divBdr>
    </w:div>
    <w:div w:id="17732787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4ACF3-84AA-46A8-81CE-1F3AABA17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3</Pages>
  <Words>884</Words>
  <Characters>5225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НА 28 МАЙ ЩЕ СЕ ПРОВЕДЕ ИЗЛОЖЕНИЕ</vt:lpstr>
    </vt:vector>
  </TitlesOfParts>
  <Company>CM</Company>
  <LinksUpToDate>false</LinksUpToDate>
  <CharactersWithSpaces>6097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28 МАЙ ЩЕ СЕ ПРОВЕДЕ ИЗЛОЖЕНИЕ</dc:title>
  <dc:subject/>
  <dc:creator>Милена Виденова</dc:creator>
  <cp:keywords/>
  <dc:description/>
  <cp:lastModifiedBy>Мариана Димитрова</cp:lastModifiedBy>
  <cp:revision>43</cp:revision>
  <cp:lastPrinted>2016-01-12T08:33:00Z</cp:lastPrinted>
  <dcterms:created xsi:type="dcterms:W3CDTF">2016-08-19T10:51:00Z</dcterms:created>
  <dcterms:modified xsi:type="dcterms:W3CDTF">2016-08-23T08:19:00Z</dcterms:modified>
</cp:coreProperties>
</file>