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7A5A" w:rsidRDefault="00FF7A5A" w:rsidP="00C13D95"/>
    <w:p w:rsidR="000221DF" w:rsidRPr="000221DF" w:rsidRDefault="000221DF" w:rsidP="000221DF">
      <w:pPr>
        <w:spacing w:after="160" w:line="259" w:lineRule="auto"/>
        <w:jc w:val="center"/>
        <w:rPr>
          <w:rFonts w:eastAsia="Calibri"/>
          <w:b/>
          <w:lang w:eastAsia="en-US"/>
        </w:rPr>
      </w:pPr>
      <w:r w:rsidRPr="000221DF">
        <w:rPr>
          <w:rFonts w:eastAsia="Calibri"/>
          <w:b/>
          <w:lang w:eastAsia="en-US"/>
        </w:rPr>
        <w:t xml:space="preserve">ПРЕДЛОЖЕНИЕ ЗА ИЗМЕНЕНИЕ </w:t>
      </w:r>
      <w:r w:rsidR="00FF42FA">
        <w:rPr>
          <w:rFonts w:eastAsia="Calibri"/>
          <w:b/>
          <w:lang w:eastAsia="en-US"/>
        </w:rPr>
        <w:t xml:space="preserve">НА </w:t>
      </w:r>
      <w:r w:rsidRPr="000221DF">
        <w:rPr>
          <w:rFonts w:eastAsia="Calibri"/>
          <w:b/>
          <w:lang w:eastAsia="en-US"/>
        </w:rPr>
        <w:t>КРИТЕРИИ ЗА ПОДБОР НА ОПЕРАЦИИ ПО ОПЕРАТИВНА ПРОГРАМА „ДОБРО УПРАВЛЕНИЕ“</w:t>
      </w:r>
      <w:r w:rsidR="00E65E04">
        <w:rPr>
          <w:rFonts w:eastAsia="Calibri"/>
          <w:b/>
          <w:lang w:eastAsia="en-US"/>
        </w:rPr>
        <w:t xml:space="preserve"> </w:t>
      </w:r>
      <w:r w:rsidR="00B06D33">
        <w:rPr>
          <w:rFonts w:eastAsia="Calibri"/>
          <w:b/>
          <w:lang w:eastAsia="en-US"/>
        </w:rPr>
        <w:t>ВЪВ ВРЪЗКА С КОНСТАТИРАНО ЗАБАВЯНЕ</w:t>
      </w:r>
      <w:r w:rsidR="00C139D1" w:rsidRPr="00A01B0E">
        <w:rPr>
          <w:rFonts w:eastAsia="Calibri"/>
          <w:b/>
          <w:lang w:val="ru-RU" w:eastAsia="en-US"/>
        </w:rPr>
        <w:t xml:space="preserve"> </w:t>
      </w:r>
      <w:r w:rsidR="00C139D1">
        <w:rPr>
          <w:rFonts w:eastAsia="Calibri"/>
          <w:b/>
          <w:lang w:eastAsia="en-US"/>
        </w:rPr>
        <w:t>В ИЗПЪЛНЕНИЕТО НА</w:t>
      </w:r>
      <w:r w:rsidR="00B06D33">
        <w:rPr>
          <w:rFonts w:eastAsia="Calibri"/>
          <w:b/>
          <w:lang w:eastAsia="en-US"/>
        </w:rPr>
        <w:t xml:space="preserve"> ОДОБРЕНИТЕ ПРОЕКТИ </w:t>
      </w:r>
    </w:p>
    <w:p w:rsidR="009D4663" w:rsidRDefault="009D4663" w:rsidP="00E77F94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</w:p>
    <w:p w:rsidR="00E77F94" w:rsidRPr="00E77F94" w:rsidRDefault="00C139D1" w:rsidP="00E77F94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 рамките на </w:t>
      </w:r>
      <w:r w:rsidR="00DB06B4" w:rsidRPr="00E77F94">
        <w:rPr>
          <w:rFonts w:eastAsia="Calibri"/>
          <w:lang w:eastAsia="en-US"/>
        </w:rPr>
        <w:t>осъществявания мониторинг на одобрените по ОПД</w:t>
      </w:r>
      <w:r w:rsidR="00DB06B4">
        <w:rPr>
          <w:rFonts w:eastAsia="Calibri"/>
          <w:lang w:eastAsia="en-US"/>
        </w:rPr>
        <w:t xml:space="preserve">У проекти </w:t>
      </w:r>
      <w:r>
        <w:rPr>
          <w:rFonts w:eastAsia="Calibri"/>
          <w:lang w:eastAsia="en-US"/>
        </w:rPr>
        <w:t xml:space="preserve">бе констатирано </w:t>
      </w:r>
      <w:r w:rsidR="00E77F94" w:rsidRPr="00E77F94">
        <w:rPr>
          <w:rFonts w:eastAsia="Calibri"/>
          <w:lang w:eastAsia="en-US"/>
        </w:rPr>
        <w:t>значително забавяне в изпълняваните от б</w:t>
      </w:r>
      <w:r w:rsidR="00DB06B4">
        <w:rPr>
          <w:rFonts w:eastAsia="Calibri"/>
          <w:lang w:eastAsia="en-US"/>
        </w:rPr>
        <w:t xml:space="preserve">енефициентите дейности, </w:t>
      </w:r>
      <w:r w:rsidR="009D6D66" w:rsidRPr="009D6D66">
        <w:rPr>
          <w:rFonts w:eastAsia="Calibri"/>
          <w:lang w:eastAsia="en-US"/>
        </w:rPr>
        <w:t xml:space="preserve">което не може да бъде преодоляно в рамките на определения срок </w:t>
      </w:r>
      <w:r w:rsidR="009D6D66">
        <w:rPr>
          <w:rFonts w:eastAsia="Calibri"/>
          <w:lang w:eastAsia="en-US"/>
        </w:rPr>
        <w:t xml:space="preserve">за изпълнение на проектите, посочен </w:t>
      </w:r>
      <w:r w:rsidR="009D6D66" w:rsidRPr="009D6D66">
        <w:rPr>
          <w:rFonts w:eastAsia="Calibri"/>
          <w:lang w:eastAsia="en-US"/>
        </w:rPr>
        <w:t xml:space="preserve">в Критериите за подбор на операции </w:t>
      </w:r>
      <w:r w:rsidR="009D6D66">
        <w:rPr>
          <w:rFonts w:eastAsia="Calibri"/>
          <w:lang w:eastAsia="en-US"/>
        </w:rPr>
        <w:t>по</w:t>
      </w:r>
      <w:r w:rsidR="009D6D66" w:rsidRPr="009D6D66">
        <w:rPr>
          <w:rFonts w:eastAsia="Calibri"/>
          <w:lang w:eastAsia="en-US"/>
        </w:rPr>
        <w:t xml:space="preserve"> отделните процедури.</w:t>
      </w:r>
      <w:r w:rsidR="009D6D66">
        <w:rPr>
          <w:rFonts w:eastAsia="Calibri"/>
          <w:lang w:eastAsia="en-US"/>
        </w:rPr>
        <w:t xml:space="preserve"> Резултатите от извършения мониторинг показват, че генерираното забавяне най-често се дължи на</w:t>
      </w:r>
      <w:r>
        <w:rPr>
          <w:rFonts w:eastAsia="Calibri"/>
          <w:lang w:eastAsia="en-US"/>
        </w:rPr>
        <w:t xml:space="preserve"> следните причини</w:t>
      </w:r>
      <w:r w:rsidR="00E77F94" w:rsidRPr="00E77F94">
        <w:rPr>
          <w:rFonts w:eastAsia="Calibri"/>
          <w:lang w:eastAsia="en-US"/>
        </w:rPr>
        <w:t>:</w:t>
      </w:r>
    </w:p>
    <w:p w:rsidR="00E77F94" w:rsidRPr="00E77F94" w:rsidRDefault="00E77F94" w:rsidP="00E77F94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  <w:r w:rsidRPr="00E77F94">
        <w:rPr>
          <w:rFonts w:eastAsia="Calibri"/>
          <w:lang w:eastAsia="en-US"/>
        </w:rPr>
        <w:t>1.</w:t>
      </w:r>
      <w:r w:rsidRPr="00E77F94">
        <w:rPr>
          <w:rFonts w:eastAsia="Calibri"/>
          <w:lang w:eastAsia="en-US"/>
        </w:rPr>
        <w:tab/>
      </w:r>
      <w:r w:rsidR="00C139D1">
        <w:rPr>
          <w:rFonts w:eastAsia="Calibri"/>
          <w:lang w:eastAsia="en-US"/>
        </w:rPr>
        <w:t>Бенефициентите срещат затруднения при</w:t>
      </w:r>
      <w:r w:rsidRPr="00E77F94">
        <w:rPr>
          <w:rFonts w:eastAsia="Calibri"/>
          <w:lang w:eastAsia="en-US"/>
        </w:rPr>
        <w:t xml:space="preserve"> сформиране</w:t>
      </w:r>
      <w:r w:rsidR="00C139D1">
        <w:rPr>
          <w:rFonts w:eastAsia="Calibri"/>
          <w:lang w:eastAsia="en-US"/>
        </w:rPr>
        <w:t>то</w:t>
      </w:r>
      <w:r w:rsidRPr="00E77F94">
        <w:rPr>
          <w:rFonts w:eastAsia="Calibri"/>
          <w:lang w:eastAsia="en-US"/>
        </w:rPr>
        <w:t xml:space="preserve"> на екипи за организация и управление </w:t>
      </w:r>
      <w:r w:rsidR="00C139D1">
        <w:rPr>
          <w:rFonts w:eastAsia="Calibri"/>
          <w:lang w:eastAsia="en-US"/>
        </w:rPr>
        <w:t xml:space="preserve">на проектите </w:t>
      </w:r>
      <w:r w:rsidRPr="00E77F94">
        <w:rPr>
          <w:rFonts w:eastAsia="Calibri"/>
          <w:lang w:eastAsia="en-US"/>
        </w:rPr>
        <w:t>по</w:t>
      </w:r>
      <w:r w:rsidR="00CB795F">
        <w:rPr>
          <w:rFonts w:eastAsia="Calibri"/>
          <w:lang w:eastAsia="en-US"/>
        </w:rPr>
        <w:t xml:space="preserve">ради невъзможността </w:t>
      </w:r>
      <w:r w:rsidRPr="00E77F94">
        <w:rPr>
          <w:rFonts w:eastAsia="Calibri"/>
          <w:lang w:eastAsia="en-US"/>
        </w:rPr>
        <w:t>да изплаща</w:t>
      </w:r>
      <w:r w:rsidR="00CB795F">
        <w:rPr>
          <w:rFonts w:eastAsia="Calibri"/>
          <w:lang w:eastAsia="en-US"/>
        </w:rPr>
        <w:t>т</w:t>
      </w:r>
      <w:r w:rsidR="00C139D1">
        <w:rPr>
          <w:rFonts w:eastAsia="Calibri"/>
          <w:lang w:eastAsia="en-US"/>
        </w:rPr>
        <w:t xml:space="preserve"> допълнително</w:t>
      </w:r>
      <w:r w:rsidRPr="00E77F94">
        <w:rPr>
          <w:rFonts w:eastAsia="Calibri"/>
          <w:lang w:eastAsia="en-US"/>
        </w:rPr>
        <w:t xml:space="preserve"> възнаграждение на собствените си служители за изпълнение на функции и дейности по одобрените проектни предложения на </w:t>
      </w:r>
      <w:r w:rsidR="00CB795F">
        <w:rPr>
          <w:rFonts w:eastAsia="Calibri"/>
          <w:lang w:eastAsia="en-US"/>
        </w:rPr>
        <w:t>база сключен граждански договор</w:t>
      </w:r>
      <w:r w:rsidRPr="00E77F94">
        <w:rPr>
          <w:rFonts w:eastAsia="Calibri"/>
          <w:lang w:eastAsia="en-US"/>
        </w:rPr>
        <w:t xml:space="preserve">. Промяната в подхода на възлагане и на получаване на заплащане, в сравнение с програмен период 2007-2013 г., води </w:t>
      </w:r>
      <w:r w:rsidR="00A01B0E">
        <w:rPr>
          <w:rFonts w:eastAsia="Calibri"/>
          <w:lang w:eastAsia="en-US"/>
        </w:rPr>
        <w:t xml:space="preserve">масово </w:t>
      </w:r>
      <w:r w:rsidRPr="00E77F94">
        <w:rPr>
          <w:rFonts w:eastAsia="Calibri"/>
          <w:lang w:eastAsia="en-US"/>
        </w:rPr>
        <w:t>до трудно сформиране на екип по проекта и ниска ангажираност на служителите на бенефициента.</w:t>
      </w:r>
    </w:p>
    <w:p w:rsidR="00E77F94" w:rsidRPr="00E77F94" w:rsidRDefault="00E77F94" w:rsidP="00E77F94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  <w:r w:rsidRPr="00E77F94">
        <w:rPr>
          <w:rFonts w:eastAsia="Calibri"/>
          <w:lang w:eastAsia="en-US"/>
        </w:rPr>
        <w:t>2.</w:t>
      </w:r>
      <w:r w:rsidRPr="00E77F94">
        <w:rPr>
          <w:rFonts w:eastAsia="Calibri"/>
          <w:lang w:eastAsia="en-US"/>
        </w:rPr>
        <w:tab/>
        <w:t xml:space="preserve">Почти всички дейности по одобрените проектни предложения се изпълняват чрез възлагане по реда на Закона за обществените поръчки, което води до сериозни затруднения и забавяне в </w:t>
      </w:r>
      <w:r w:rsidR="00C139D1">
        <w:rPr>
          <w:rFonts w:eastAsia="Calibri"/>
          <w:lang w:eastAsia="en-US"/>
        </w:rPr>
        <w:t>изпълнението на отделните дейности</w:t>
      </w:r>
      <w:r w:rsidRPr="00E77F94">
        <w:rPr>
          <w:rFonts w:eastAsia="Calibri"/>
          <w:lang w:eastAsia="en-US"/>
        </w:rPr>
        <w:t xml:space="preserve">. Основно предизвикателство се явява </w:t>
      </w:r>
      <w:r w:rsidR="00C139D1">
        <w:rPr>
          <w:rFonts w:eastAsia="Calibri"/>
          <w:lang w:eastAsia="en-US"/>
        </w:rPr>
        <w:t>идентифицираната по много от проектите необходимост</w:t>
      </w:r>
      <w:r w:rsidRPr="00E77F94">
        <w:rPr>
          <w:rFonts w:eastAsia="Calibri"/>
          <w:lang w:eastAsia="en-US"/>
        </w:rPr>
        <w:t xml:space="preserve"> от привличане на външни изпълнители, които да разработят техническото задание</w:t>
      </w:r>
      <w:r w:rsidR="00C139D1">
        <w:rPr>
          <w:rFonts w:eastAsia="Calibri"/>
          <w:lang w:eastAsia="en-US"/>
        </w:rPr>
        <w:t>, поради спецификата на обществената поръчка</w:t>
      </w:r>
      <w:r w:rsidRPr="00E77F94">
        <w:rPr>
          <w:rFonts w:eastAsia="Calibri"/>
          <w:lang w:eastAsia="en-US"/>
        </w:rPr>
        <w:t xml:space="preserve">.  </w:t>
      </w:r>
    </w:p>
    <w:p w:rsidR="00E77F94" w:rsidRPr="00E77F94" w:rsidRDefault="00E77F94" w:rsidP="00E77F94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  <w:r w:rsidRPr="00E77F94">
        <w:rPr>
          <w:rFonts w:eastAsia="Calibri"/>
          <w:lang w:eastAsia="en-US"/>
        </w:rPr>
        <w:t>3.</w:t>
      </w:r>
      <w:r w:rsidRPr="00E77F94">
        <w:rPr>
          <w:rFonts w:eastAsia="Calibri"/>
          <w:lang w:eastAsia="en-US"/>
        </w:rPr>
        <w:tab/>
      </w:r>
      <w:r w:rsidR="008A4594">
        <w:rPr>
          <w:rFonts w:eastAsia="Calibri"/>
          <w:lang w:eastAsia="en-US"/>
        </w:rPr>
        <w:t>О</w:t>
      </w:r>
      <w:r w:rsidRPr="00E77F94">
        <w:rPr>
          <w:rFonts w:eastAsia="Calibri"/>
          <w:lang w:eastAsia="en-US"/>
        </w:rPr>
        <w:t>бжалването на обществените поръчки</w:t>
      </w:r>
      <w:r w:rsidR="008A4594">
        <w:rPr>
          <w:rFonts w:eastAsia="Calibri"/>
          <w:lang w:eastAsia="en-US"/>
        </w:rPr>
        <w:t xml:space="preserve"> води до допълнително забавяне в изпълнението на проектите</w:t>
      </w:r>
      <w:r w:rsidRPr="00E77F94">
        <w:rPr>
          <w:rFonts w:eastAsia="Calibri"/>
          <w:lang w:eastAsia="en-US"/>
        </w:rPr>
        <w:t>. Произнасянето на двете инстанции (КЗК и ВАС) отнема минимум 4 месеца.</w:t>
      </w:r>
    </w:p>
    <w:p w:rsidR="00A177FF" w:rsidRPr="00B34F30" w:rsidRDefault="00A177FF" w:rsidP="00A177FF">
      <w:pPr>
        <w:spacing w:after="160" w:line="259" w:lineRule="auto"/>
        <w:ind w:firstLine="851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Във връзка с </w:t>
      </w:r>
      <w:r w:rsidR="009D6D66">
        <w:rPr>
          <w:rFonts w:eastAsia="Calibri"/>
          <w:lang w:eastAsia="en-US"/>
        </w:rPr>
        <w:t>гореизложеното,</w:t>
      </w:r>
      <w:r>
        <w:rPr>
          <w:rFonts w:eastAsia="Calibri"/>
          <w:lang w:eastAsia="en-US"/>
        </w:rPr>
        <w:t xml:space="preserve"> </w:t>
      </w:r>
      <w:r w:rsidRPr="000221DF">
        <w:rPr>
          <w:rFonts w:eastAsia="Calibri"/>
          <w:lang w:eastAsia="en-US"/>
        </w:rPr>
        <w:t>Управляващият орган на Оперативна програма „Добро управление“ (ОПДУ) предлага на Комитета за наблюдение на програмата да бъдат извършени необходимите изменения на критериите за подбор на операции</w:t>
      </w:r>
      <w:r w:rsidR="00A17F79">
        <w:rPr>
          <w:rFonts w:eastAsia="Calibri"/>
          <w:lang w:eastAsia="en-US"/>
        </w:rPr>
        <w:t xml:space="preserve"> в частта „срок за изпълнение на проектите“</w:t>
      </w:r>
      <w:r w:rsidRPr="000221DF">
        <w:rPr>
          <w:rFonts w:eastAsia="Calibri"/>
          <w:lang w:eastAsia="en-US"/>
        </w:rPr>
        <w:t xml:space="preserve"> по следн</w:t>
      </w:r>
      <w:r>
        <w:rPr>
          <w:rFonts w:eastAsia="Calibri"/>
          <w:lang w:eastAsia="en-US"/>
        </w:rPr>
        <w:t>ите процедури, включени в</w:t>
      </w:r>
      <w:r w:rsidRPr="000221DF">
        <w:rPr>
          <w:rFonts w:eastAsia="Calibri"/>
          <w:lang w:eastAsia="en-US"/>
        </w:rPr>
        <w:t xml:space="preserve"> Индикативните годишни работни програми (ИГРП) </w:t>
      </w:r>
      <w:r>
        <w:rPr>
          <w:rFonts w:eastAsia="Calibri"/>
          <w:lang w:eastAsia="en-US"/>
        </w:rPr>
        <w:t>на</w:t>
      </w:r>
      <w:r w:rsidRPr="000221DF">
        <w:rPr>
          <w:rFonts w:eastAsia="Calibri"/>
          <w:lang w:eastAsia="en-US"/>
        </w:rPr>
        <w:t xml:space="preserve"> ОПДУ за 2015 </w:t>
      </w:r>
      <w:r>
        <w:rPr>
          <w:rFonts w:eastAsia="Calibri"/>
          <w:lang w:eastAsia="en-US"/>
        </w:rPr>
        <w:t>г. и 2016 г.</w:t>
      </w:r>
    </w:p>
    <w:p w:rsidR="009D4663" w:rsidRPr="000221DF" w:rsidRDefault="009D4663" w:rsidP="000221DF">
      <w:pPr>
        <w:spacing w:after="160" w:line="259" w:lineRule="auto"/>
        <w:rPr>
          <w:rFonts w:eastAsia="Calibri"/>
          <w:lang w:eastAsia="en-US"/>
        </w:rPr>
      </w:pPr>
    </w:p>
    <w:tbl>
      <w:tblPr>
        <w:tblStyle w:val="TableGrid1"/>
        <w:tblW w:w="0" w:type="auto"/>
        <w:jc w:val="center"/>
        <w:tblLook w:val="04A0" w:firstRow="1" w:lastRow="0" w:firstColumn="1" w:lastColumn="0" w:noHBand="0" w:noVBand="1"/>
      </w:tblPr>
      <w:tblGrid>
        <w:gridCol w:w="988"/>
        <w:gridCol w:w="8825"/>
      </w:tblGrid>
      <w:tr w:rsidR="000221DF" w:rsidRPr="000221DF" w:rsidTr="00F17640">
        <w:trPr>
          <w:trHeight w:val="601"/>
          <w:jc w:val="center"/>
        </w:trPr>
        <w:tc>
          <w:tcPr>
            <w:tcW w:w="988" w:type="dxa"/>
            <w:shd w:val="clear" w:color="auto" w:fill="A8D08D"/>
            <w:vAlign w:val="center"/>
          </w:tcPr>
          <w:p w:rsidR="000221DF" w:rsidRPr="000221DF" w:rsidRDefault="000221DF" w:rsidP="000221DF">
            <w:pPr>
              <w:jc w:val="center"/>
              <w:rPr>
                <w:rFonts w:ascii="Times New Roman" w:hAnsi="Times New Roman"/>
                <w:b/>
              </w:rPr>
            </w:pPr>
            <w:r w:rsidRPr="000221DF">
              <w:rPr>
                <w:rFonts w:ascii="Times New Roman" w:hAnsi="Times New Roman"/>
                <w:b/>
              </w:rPr>
              <w:t>№ по ред</w:t>
            </w:r>
          </w:p>
        </w:tc>
        <w:tc>
          <w:tcPr>
            <w:tcW w:w="8825" w:type="dxa"/>
            <w:shd w:val="clear" w:color="auto" w:fill="A8D08D"/>
            <w:vAlign w:val="center"/>
          </w:tcPr>
          <w:p w:rsidR="000221DF" w:rsidRPr="000221DF" w:rsidRDefault="000221DF" w:rsidP="000221DF">
            <w:pPr>
              <w:jc w:val="center"/>
              <w:rPr>
                <w:rFonts w:ascii="Times New Roman" w:hAnsi="Times New Roman"/>
                <w:b/>
              </w:rPr>
            </w:pPr>
            <w:r w:rsidRPr="000221DF">
              <w:rPr>
                <w:rFonts w:ascii="Times New Roman" w:hAnsi="Times New Roman"/>
                <w:b/>
              </w:rPr>
              <w:t>Наименование на процедурата</w:t>
            </w:r>
          </w:p>
        </w:tc>
      </w:tr>
      <w:tr w:rsidR="000221DF" w:rsidRPr="000221DF" w:rsidTr="001B4515">
        <w:trPr>
          <w:trHeight w:val="553"/>
          <w:jc w:val="center"/>
        </w:trPr>
        <w:tc>
          <w:tcPr>
            <w:tcW w:w="9813" w:type="dxa"/>
            <w:gridSpan w:val="2"/>
            <w:shd w:val="clear" w:color="auto" w:fill="FFC000"/>
            <w:vAlign w:val="center"/>
          </w:tcPr>
          <w:p w:rsidR="000221DF" w:rsidRPr="000221DF" w:rsidRDefault="001B4515" w:rsidP="000221DF">
            <w:pPr>
              <w:jc w:val="center"/>
              <w:rPr>
                <w:rFonts w:ascii="Times New Roman" w:hAnsi="Times New Roman"/>
                <w:b/>
              </w:rPr>
            </w:pPr>
            <w:r w:rsidRPr="000221DF">
              <w:rPr>
                <w:rFonts w:ascii="Times New Roman" w:hAnsi="Times New Roman"/>
                <w:b/>
              </w:rPr>
              <w:t xml:space="preserve">Процедури от ИГРП </w:t>
            </w:r>
            <w:r w:rsidRPr="00335EC1">
              <w:rPr>
                <w:rFonts w:ascii="Times New Roman" w:hAnsi="Times New Roman"/>
                <w:b/>
              </w:rPr>
              <w:t>на</w:t>
            </w:r>
            <w:r w:rsidRPr="000221DF">
              <w:rPr>
                <w:rFonts w:ascii="Times New Roman" w:hAnsi="Times New Roman"/>
                <w:b/>
              </w:rPr>
              <w:t xml:space="preserve"> ОПДУ за 2015 г.</w:t>
            </w:r>
          </w:p>
        </w:tc>
      </w:tr>
      <w:tr w:rsidR="000221DF" w:rsidRPr="000221DF" w:rsidTr="00F17640">
        <w:trPr>
          <w:jc w:val="center"/>
        </w:trPr>
        <w:tc>
          <w:tcPr>
            <w:tcW w:w="988" w:type="dxa"/>
          </w:tcPr>
          <w:p w:rsidR="000221DF" w:rsidRPr="000221DF" w:rsidRDefault="000221DF" w:rsidP="000221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8825" w:type="dxa"/>
          </w:tcPr>
          <w:p w:rsidR="000221DF" w:rsidRPr="00B34F30" w:rsidRDefault="00C25212" w:rsidP="00B34F30">
            <w:pPr>
              <w:jc w:val="both"/>
              <w:rPr>
                <w:rFonts w:ascii="Times New Roman" w:hAnsi="Times New Roman"/>
                <w:i/>
              </w:rPr>
            </w:pPr>
            <w:r w:rsidRPr="00C25212">
              <w:rPr>
                <w:rFonts w:ascii="Times New Roman" w:hAnsi="Times New Roman"/>
                <w:i/>
              </w:rPr>
              <w:t>Структуриране на данни и аналитични дейности в изпълнение на стратегическите документи за развитие на държавната администрация, развитие на електронното управление и въвеждане на електронното управление в сектор „Правосъдие"</w:t>
            </w:r>
            <w:r w:rsidRPr="00B34F30">
              <w:rPr>
                <w:rFonts w:ascii="Times New Roman" w:hAnsi="Times New Roman"/>
                <w:i/>
              </w:rPr>
              <w:t xml:space="preserve"> </w:t>
            </w:r>
            <w:r w:rsidRPr="00C11D6A">
              <w:rPr>
                <w:rFonts w:ascii="Times New Roman" w:hAnsi="Times New Roman"/>
                <w:b/>
                <w:bCs/>
                <w:i/>
              </w:rPr>
              <w:t xml:space="preserve">- срокът 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за изпълнение на проекти по приоритетни оси 1 и 2 </w:t>
            </w:r>
            <w:r w:rsidR="00DB06B4">
              <w:rPr>
                <w:rFonts w:ascii="Times New Roman" w:hAnsi="Times New Roman"/>
                <w:b/>
                <w:bCs/>
                <w:i/>
              </w:rPr>
              <w:t>по</w:t>
            </w:r>
            <w:r w:rsidR="00DB06B4" w:rsidRPr="00C11D6A">
              <w:rPr>
                <w:rFonts w:ascii="Times New Roman" w:hAnsi="Times New Roman"/>
                <w:b/>
                <w:bCs/>
                <w:i/>
              </w:rPr>
              <w:t xml:space="preserve"> процедурата </w:t>
            </w:r>
            <w:r>
              <w:rPr>
                <w:rFonts w:ascii="Times New Roman" w:hAnsi="Times New Roman"/>
                <w:b/>
                <w:bCs/>
                <w:i/>
              </w:rPr>
              <w:t xml:space="preserve">да се удължи до </w:t>
            </w:r>
            <w:r w:rsidRPr="00C11D6A">
              <w:rPr>
                <w:rFonts w:ascii="Times New Roman" w:hAnsi="Times New Roman"/>
                <w:b/>
                <w:bCs/>
                <w:i/>
              </w:rPr>
              <w:t>2020 г.</w:t>
            </w:r>
          </w:p>
        </w:tc>
      </w:tr>
      <w:tr w:rsidR="00A17F79" w:rsidRPr="000221DF" w:rsidTr="00F17640">
        <w:trPr>
          <w:jc w:val="center"/>
        </w:trPr>
        <w:tc>
          <w:tcPr>
            <w:tcW w:w="988" w:type="dxa"/>
          </w:tcPr>
          <w:p w:rsidR="00A17F79" w:rsidRPr="000221DF" w:rsidRDefault="00A17F79" w:rsidP="00D4716F">
            <w:pPr>
              <w:numPr>
                <w:ilvl w:val="0"/>
                <w:numId w:val="2"/>
              </w:numPr>
              <w:contextualSpacing/>
            </w:pPr>
          </w:p>
        </w:tc>
        <w:tc>
          <w:tcPr>
            <w:tcW w:w="8825" w:type="dxa"/>
          </w:tcPr>
          <w:p w:rsidR="00A17F79" w:rsidRPr="00A45A94" w:rsidRDefault="00A17F79" w:rsidP="00B34F30">
            <w:pPr>
              <w:jc w:val="both"/>
              <w:rPr>
                <w:bCs/>
                <w:i/>
              </w:rPr>
            </w:pPr>
            <w:r w:rsidRPr="00A45A94">
              <w:rPr>
                <w:rFonts w:ascii="Times New Roman" w:hAnsi="Times New Roman"/>
                <w:bCs/>
                <w:i/>
              </w:rPr>
              <w:t>Стратегически проекти в изпълнение на Актуализирана стратегия за продължаване на реформата в съдебната система и Стратегията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 w:rsidRPr="00A45A94">
              <w:rPr>
                <w:rFonts w:ascii="Times New Roman" w:hAnsi="Times New Roman"/>
                <w:bCs/>
                <w:i/>
              </w:rPr>
              <w:t xml:space="preserve">за въвеждане </w:t>
            </w:r>
            <w:r w:rsidRPr="00A45A94">
              <w:rPr>
                <w:rFonts w:ascii="Times New Roman" w:hAnsi="Times New Roman"/>
                <w:bCs/>
                <w:i/>
              </w:rPr>
              <w:lastRenderedPageBreak/>
              <w:t>на електронно управление и електронно правосъдие в</w:t>
            </w:r>
            <w:r>
              <w:rPr>
                <w:rFonts w:ascii="Times New Roman" w:hAnsi="Times New Roman"/>
                <w:bCs/>
                <w:i/>
              </w:rPr>
              <w:t xml:space="preserve"> </w:t>
            </w:r>
            <w:r w:rsidRPr="00A45A94">
              <w:rPr>
                <w:rFonts w:ascii="Times New Roman" w:hAnsi="Times New Roman"/>
                <w:bCs/>
                <w:i/>
              </w:rPr>
              <w:t>сектор „Правосъдие” 2014-2020 г.</w:t>
            </w:r>
            <w:r w:rsidR="00C11D6A">
              <w:rPr>
                <w:rFonts w:ascii="Times New Roman" w:hAnsi="Times New Roman"/>
                <w:bCs/>
                <w:i/>
              </w:rPr>
              <w:t xml:space="preserve"> </w:t>
            </w:r>
            <w:r w:rsidR="00C11D6A" w:rsidRPr="00C11D6A">
              <w:rPr>
                <w:rFonts w:ascii="Times New Roman" w:hAnsi="Times New Roman"/>
                <w:b/>
                <w:bCs/>
                <w:i/>
              </w:rPr>
              <w:t>- срокът на процедурата да се удължи до 2020 г.</w:t>
            </w:r>
            <w:r w:rsidR="00C11D6A">
              <w:rPr>
                <w:rFonts w:ascii="Times New Roman" w:hAnsi="Times New Roman"/>
                <w:bCs/>
                <w:i/>
              </w:rPr>
              <w:t xml:space="preserve"> </w:t>
            </w:r>
          </w:p>
        </w:tc>
      </w:tr>
      <w:tr w:rsidR="000221DF" w:rsidRPr="000221DF" w:rsidTr="00F17640">
        <w:trPr>
          <w:jc w:val="center"/>
        </w:trPr>
        <w:tc>
          <w:tcPr>
            <w:tcW w:w="988" w:type="dxa"/>
          </w:tcPr>
          <w:p w:rsidR="000221DF" w:rsidRPr="000221DF" w:rsidRDefault="000221DF" w:rsidP="000221DF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8825" w:type="dxa"/>
          </w:tcPr>
          <w:p w:rsidR="000221DF" w:rsidRPr="00A45A94" w:rsidRDefault="00B06D33" w:rsidP="00B34F30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A45A94">
              <w:rPr>
                <w:rFonts w:ascii="Times New Roman" w:hAnsi="Times New Roman"/>
                <w:bCs/>
                <w:i/>
              </w:rPr>
              <w:t>Повишаване на компетентността на магистратите и съдебните служители чрез ефективно обучение в НИП</w:t>
            </w:r>
            <w:r w:rsidR="00C11D6A">
              <w:rPr>
                <w:rFonts w:ascii="Times New Roman" w:hAnsi="Times New Roman"/>
                <w:bCs/>
                <w:i/>
              </w:rPr>
              <w:t xml:space="preserve">- </w:t>
            </w:r>
            <w:r w:rsidR="00C11D6A" w:rsidRPr="00C11D6A">
              <w:rPr>
                <w:rFonts w:ascii="Times New Roman" w:hAnsi="Times New Roman"/>
                <w:b/>
                <w:bCs/>
                <w:i/>
              </w:rPr>
              <w:t>срокът на процедурата да се удължи до 20</w:t>
            </w:r>
            <w:r w:rsidR="00BA4713" w:rsidRPr="00B34F30">
              <w:rPr>
                <w:rFonts w:ascii="Times New Roman" w:hAnsi="Times New Roman"/>
                <w:b/>
                <w:bCs/>
                <w:i/>
              </w:rPr>
              <w:t>19</w:t>
            </w:r>
            <w:r w:rsidR="00C11D6A" w:rsidRPr="00C11D6A">
              <w:rPr>
                <w:rFonts w:ascii="Times New Roman" w:hAnsi="Times New Roman"/>
                <w:b/>
                <w:bCs/>
                <w:i/>
              </w:rPr>
              <w:t xml:space="preserve"> г.</w:t>
            </w:r>
          </w:p>
        </w:tc>
      </w:tr>
      <w:tr w:rsidR="00F17640" w:rsidRPr="000221DF" w:rsidTr="001B4515">
        <w:trPr>
          <w:trHeight w:val="609"/>
          <w:jc w:val="center"/>
        </w:trPr>
        <w:tc>
          <w:tcPr>
            <w:tcW w:w="9813" w:type="dxa"/>
            <w:gridSpan w:val="2"/>
            <w:shd w:val="clear" w:color="auto" w:fill="FFC000"/>
            <w:vAlign w:val="center"/>
          </w:tcPr>
          <w:p w:rsidR="00F17640" w:rsidRPr="00F17640" w:rsidRDefault="001B4515" w:rsidP="00F17640">
            <w:pPr>
              <w:jc w:val="center"/>
              <w:rPr>
                <w:rFonts w:ascii="Times New Roman" w:hAnsi="Times New Roman"/>
                <w:b/>
                <w:bCs/>
              </w:rPr>
            </w:pPr>
            <w:r>
              <w:rPr>
                <w:rFonts w:ascii="Times New Roman" w:hAnsi="Times New Roman"/>
                <w:b/>
                <w:bCs/>
              </w:rPr>
              <w:t xml:space="preserve">Процедури от </w:t>
            </w:r>
            <w:r w:rsidR="00F17640">
              <w:rPr>
                <w:rFonts w:ascii="Times New Roman" w:hAnsi="Times New Roman"/>
                <w:b/>
                <w:bCs/>
              </w:rPr>
              <w:t xml:space="preserve">ИГРП </w:t>
            </w:r>
            <w:r>
              <w:rPr>
                <w:rFonts w:ascii="Times New Roman" w:hAnsi="Times New Roman"/>
                <w:b/>
                <w:bCs/>
              </w:rPr>
              <w:t xml:space="preserve">на ОПДУ за </w:t>
            </w:r>
            <w:r w:rsidR="00F17640">
              <w:rPr>
                <w:rFonts w:ascii="Times New Roman" w:hAnsi="Times New Roman"/>
                <w:b/>
                <w:bCs/>
              </w:rPr>
              <w:t>2016</w:t>
            </w:r>
            <w:r>
              <w:rPr>
                <w:rFonts w:ascii="Times New Roman" w:hAnsi="Times New Roman"/>
                <w:b/>
                <w:bCs/>
              </w:rPr>
              <w:t xml:space="preserve"> г.</w:t>
            </w:r>
          </w:p>
        </w:tc>
      </w:tr>
      <w:tr w:rsidR="00A17F79" w:rsidRPr="00376A1B" w:rsidTr="00376A1B">
        <w:trPr>
          <w:jc w:val="center"/>
        </w:trPr>
        <w:tc>
          <w:tcPr>
            <w:tcW w:w="988" w:type="dxa"/>
            <w:shd w:val="clear" w:color="auto" w:fill="auto"/>
          </w:tcPr>
          <w:p w:rsidR="00A17F79" w:rsidRPr="000221DF" w:rsidRDefault="00A17F79" w:rsidP="00A17F79">
            <w:pPr>
              <w:numPr>
                <w:ilvl w:val="0"/>
                <w:numId w:val="2"/>
              </w:numPr>
              <w:contextualSpacing/>
              <w:rPr>
                <w:rFonts w:ascii="Times New Roman" w:hAnsi="Times New Roman"/>
              </w:rPr>
            </w:pPr>
          </w:p>
        </w:tc>
        <w:tc>
          <w:tcPr>
            <w:tcW w:w="8825" w:type="dxa"/>
            <w:shd w:val="clear" w:color="auto" w:fill="auto"/>
          </w:tcPr>
          <w:p w:rsidR="00A17F79" w:rsidRPr="00B34F30" w:rsidRDefault="00A17F79" w:rsidP="00B34F30">
            <w:pPr>
              <w:jc w:val="both"/>
              <w:rPr>
                <w:rFonts w:ascii="Times New Roman" w:hAnsi="Times New Roman"/>
                <w:bCs/>
                <w:i/>
              </w:rPr>
            </w:pPr>
            <w:r w:rsidRPr="00D728CC">
              <w:rPr>
                <w:rFonts w:ascii="Times New Roman" w:hAnsi="Times New Roman"/>
                <w:bCs/>
                <w:i/>
              </w:rPr>
              <w:t>Стратегически проекти в изпълнение на Стратегията за развитие на държавната администрация 2014-2020 г., ПОС, ПИК и НАТУРА 2000</w:t>
            </w:r>
            <w:r w:rsidR="00F810DA" w:rsidRPr="00B34F30">
              <w:rPr>
                <w:rFonts w:ascii="Times New Roman" w:hAnsi="Times New Roman"/>
                <w:bCs/>
                <w:i/>
              </w:rPr>
              <w:t xml:space="preserve"> </w:t>
            </w:r>
            <w:r w:rsidR="00F810DA" w:rsidRPr="00C11D6A">
              <w:rPr>
                <w:rFonts w:ascii="Times New Roman" w:hAnsi="Times New Roman"/>
                <w:b/>
                <w:bCs/>
                <w:i/>
              </w:rPr>
              <w:t xml:space="preserve">- срокът на процедурата </w:t>
            </w:r>
            <w:r w:rsidR="00F810DA">
              <w:rPr>
                <w:rFonts w:ascii="Times New Roman" w:hAnsi="Times New Roman"/>
                <w:b/>
                <w:bCs/>
                <w:i/>
              </w:rPr>
              <w:t>да се удължи до 2019</w:t>
            </w:r>
            <w:r w:rsidR="00F810DA" w:rsidRPr="00C11D6A">
              <w:rPr>
                <w:rFonts w:ascii="Times New Roman" w:hAnsi="Times New Roman"/>
                <w:b/>
                <w:bCs/>
                <w:i/>
              </w:rPr>
              <w:t xml:space="preserve"> г.</w:t>
            </w:r>
          </w:p>
        </w:tc>
      </w:tr>
      <w:tr w:rsidR="00A17F79" w:rsidRPr="000221DF" w:rsidTr="00376A1B">
        <w:trPr>
          <w:jc w:val="center"/>
        </w:trPr>
        <w:tc>
          <w:tcPr>
            <w:tcW w:w="988" w:type="dxa"/>
            <w:shd w:val="clear" w:color="auto" w:fill="auto"/>
          </w:tcPr>
          <w:p w:rsidR="00A17F79" w:rsidRPr="00376A1B" w:rsidRDefault="00A17F79" w:rsidP="00A17F79">
            <w:pPr>
              <w:numPr>
                <w:ilvl w:val="0"/>
                <w:numId w:val="2"/>
              </w:numPr>
              <w:contextualSpacing/>
            </w:pPr>
          </w:p>
        </w:tc>
        <w:tc>
          <w:tcPr>
            <w:tcW w:w="8825" w:type="dxa"/>
            <w:shd w:val="clear" w:color="auto" w:fill="auto"/>
          </w:tcPr>
          <w:p w:rsidR="00A17F79" w:rsidRDefault="00A17F79" w:rsidP="00B34F30">
            <w:r w:rsidRPr="00D728CC">
              <w:rPr>
                <w:rFonts w:ascii="Times New Roman" w:hAnsi="Times New Roman"/>
                <w:bCs/>
                <w:i/>
              </w:rPr>
              <w:t>Приоритетни проекти в изпълнение на Пътната карта за изпълнение на Стратегията за развитие на електронното управление в Република България за периода 2016-2020</w:t>
            </w:r>
            <w:r w:rsidR="00DB06B4">
              <w:rPr>
                <w:rFonts w:ascii="Times New Roman" w:hAnsi="Times New Roman"/>
                <w:bCs/>
                <w:i/>
              </w:rPr>
              <w:t xml:space="preserve"> </w:t>
            </w:r>
            <w:r w:rsidR="00DB06B4" w:rsidRPr="00A45A94">
              <w:rPr>
                <w:rFonts w:ascii="Times New Roman" w:hAnsi="Times New Roman"/>
                <w:bCs/>
                <w:i/>
              </w:rPr>
              <w:t>.</w:t>
            </w:r>
            <w:r w:rsidR="00DB06B4">
              <w:rPr>
                <w:rFonts w:ascii="Times New Roman" w:hAnsi="Times New Roman"/>
                <w:bCs/>
                <w:i/>
              </w:rPr>
              <w:t xml:space="preserve"> </w:t>
            </w:r>
            <w:r w:rsidR="00DB06B4" w:rsidRPr="00C11D6A">
              <w:rPr>
                <w:rFonts w:ascii="Times New Roman" w:hAnsi="Times New Roman"/>
                <w:b/>
                <w:bCs/>
                <w:i/>
              </w:rPr>
              <w:t>- срокът на процедурата да се удължи до 2020 г.</w:t>
            </w:r>
          </w:p>
        </w:tc>
      </w:tr>
      <w:tr w:rsidR="00F810DA" w:rsidRPr="000221DF" w:rsidTr="00376A1B">
        <w:trPr>
          <w:jc w:val="center"/>
        </w:trPr>
        <w:tc>
          <w:tcPr>
            <w:tcW w:w="988" w:type="dxa"/>
            <w:shd w:val="clear" w:color="auto" w:fill="auto"/>
          </w:tcPr>
          <w:p w:rsidR="00F810DA" w:rsidRPr="00376A1B" w:rsidRDefault="00F810DA" w:rsidP="00A17F79">
            <w:pPr>
              <w:numPr>
                <w:ilvl w:val="0"/>
                <w:numId w:val="2"/>
              </w:numPr>
              <w:contextualSpacing/>
            </w:pPr>
          </w:p>
        </w:tc>
        <w:tc>
          <w:tcPr>
            <w:tcW w:w="8825" w:type="dxa"/>
            <w:shd w:val="clear" w:color="auto" w:fill="auto"/>
          </w:tcPr>
          <w:p w:rsidR="00F810DA" w:rsidRPr="00B34F30" w:rsidRDefault="00F810DA" w:rsidP="00B34F30">
            <w:pPr>
              <w:rPr>
                <w:rFonts w:ascii="Times New Roman" w:hAnsi="Times New Roman"/>
                <w:bCs/>
                <w:i/>
              </w:rPr>
            </w:pPr>
            <w:r w:rsidRPr="00F810DA">
              <w:rPr>
                <w:rFonts w:ascii="Times New Roman" w:hAnsi="Times New Roman"/>
                <w:bCs/>
                <w:i/>
              </w:rPr>
              <w:t>Повишаване на експертния капацитет на служителите в администрацията</w:t>
            </w:r>
            <w:r w:rsidRPr="00B34F30">
              <w:rPr>
                <w:rFonts w:ascii="Times New Roman" w:hAnsi="Times New Roman"/>
                <w:bCs/>
                <w:i/>
              </w:rPr>
              <w:t xml:space="preserve"> </w:t>
            </w:r>
            <w:r w:rsidRPr="00C11D6A">
              <w:rPr>
                <w:rFonts w:ascii="Times New Roman" w:hAnsi="Times New Roman"/>
                <w:b/>
                <w:bCs/>
                <w:i/>
              </w:rPr>
              <w:t>- срокът н</w:t>
            </w:r>
            <w:r>
              <w:rPr>
                <w:rFonts w:ascii="Times New Roman" w:hAnsi="Times New Roman"/>
                <w:b/>
                <w:bCs/>
                <w:i/>
              </w:rPr>
              <w:t>а процедурата да се удължи до 2019</w:t>
            </w:r>
            <w:r w:rsidRPr="00C11D6A">
              <w:rPr>
                <w:rFonts w:ascii="Times New Roman" w:hAnsi="Times New Roman"/>
                <w:b/>
                <w:bCs/>
                <w:i/>
              </w:rPr>
              <w:t xml:space="preserve"> г.</w:t>
            </w:r>
          </w:p>
        </w:tc>
      </w:tr>
      <w:tr w:rsidR="00A01B0E" w:rsidRPr="000221DF" w:rsidTr="00376A1B">
        <w:trPr>
          <w:jc w:val="center"/>
        </w:trPr>
        <w:tc>
          <w:tcPr>
            <w:tcW w:w="988" w:type="dxa"/>
            <w:shd w:val="clear" w:color="auto" w:fill="auto"/>
          </w:tcPr>
          <w:p w:rsidR="00A01B0E" w:rsidRPr="00376A1B" w:rsidRDefault="00A01B0E" w:rsidP="00A17F79">
            <w:pPr>
              <w:numPr>
                <w:ilvl w:val="0"/>
                <w:numId w:val="2"/>
              </w:numPr>
              <w:contextualSpacing/>
            </w:pPr>
          </w:p>
        </w:tc>
        <w:tc>
          <w:tcPr>
            <w:tcW w:w="8825" w:type="dxa"/>
            <w:shd w:val="clear" w:color="auto" w:fill="auto"/>
          </w:tcPr>
          <w:p w:rsidR="00A01B0E" w:rsidRPr="00F810DA" w:rsidRDefault="00A01B0E" w:rsidP="00A01B0E">
            <w:pPr>
              <w:rPr>
                <w:bCs/>
                <w:i/>
              </w:rPr>
            </w:pPr>
            <w:r w:rsidRPr="00A01B0E">
              <w:rPr>
                <w:rFonts w:ascii="Times New Roman" w:hAnsi="Times New Roman"/>
                <w:bCs/>
                <w:i/>
              </w:rPr>
              <w:t>Ефективно прилагане на правилата на ЕС за държавните помощи при предоставяне на услуги от общ икономически интерес (УОИИ)</w:t>
            </w:r>
            <w:r>
              <w:rPr>
                <w:rFonts w:ascii="Times New Roman" w:hAnsi="Times New Roman"/>
                <w:bCs/>
                <w:i/>
              </w:rPr>
              <w:t xml:space="preserve"> - </w:t>
            </w:r>
            <w:bookmarkStart w:id="0" w:name="_GoBack"/>
            <w:bookmarkEnd w:id="0"/>
            <w:r w:rsidRPr="00C11D6A">
              <w:rPr>
                <w:rFonts w:ascii="Times New Roman" w:hAnsi="Times New Roman"/>
                <w:b/>
                <w:bCs/>
                <w:i/>
              </w:rPr>
              <w:t>срокът на процедурата да се удължи до 2020 г.</w:t>
            </w:r>
          </w:p>
        </w:tc>
      </w:tr>
    </w:tbl>
    <w:p w:rsidR="000221DF" w:rsidRPr="00334117" w:rsidRDefault="000221DF" w:rsidP="000221DF">
      <w:pPr>
        <w:spacing w:after="160" w:line="259" w:lineRule="auto"/>
        <w:rPr>
          <w:rFonts w:eastAsia="Calibri"/>
          <w:lang w:val="ru-RU" w:eastAsia="en-US"/>
        </w:rPr>
      </w:pPr>
    </w:p>
    <w:p w:rsidR="001B4515" w:rsidRDefault="003D200C" w:rsidP="00A068F0">
      <w:pPr>
        <w:ind w:firstLine="567"/>
        <w:jc w:val="both"/>
      </w:pPr>
      <w:r>
        <w:t xml:space="preserve">С предлаганите изменения ще се осигури </w:t>
      </w:r>
      <w:r w:rsidR="00C11D6A">
        <w:t xml:space="preserve">възможност за </w:t>
      </w:r>
      <w:r w:rsidR="009D6D66">
        <w:t>успешно приключване</w:t>
      </w:r>
      <w:r w:rsidR="00C11D6A">
        <w:t xml:space="preserve"> </w:t>
      </w:r>
      <w:r w:rsidR="009D6D66">
        <w:t xml:space="preserve">на </w:t>
      </w:r>
      <w:r w:rsidR="00C11D6A">
        <w:t xml:space="preserve">одобрените проектни предложения по </w:t>
      </w:r>
      <w:r w:rsidR="009D6D66">
        <w:t>посочените процедури</w:t>
      </w:r>
      <w:r w:rsidR="00C11D6A">
        <w:t xml:space="preserve">, както и </w:t>
      </w:r>
      <w:r w:rsidR="009D6D66">
        <w:t xml:space="preserve">за </w:t>
      </w:r>
      <w:r w:rsidR="00C11D6A">
        <w:t>постигане на предвидените по ОП „Добро управление“ индикатори</w:t>
      </w:r>
      <w:r w:rsidR="00CB795F">
        <w:t xml:space="preserve"> за изпълнение и резултат</w:t>
      </w:r>
      <w:r w:rsidR="00C11D6A">
        <w:t xml:space="preserve">. След одобрение </w:t>
      </w:r>
      <w:r w:rsidR="00CB795F">
        <w:t xml:space="preserve">на </w:t>
      </w:r>
      <w:r w:rsidR="009D6D66">
        <w:t>измененията</w:t>
      </w:r>
      <w:r w:rsidR="00C11D6A">
        <w:t xml:space="preserve"> в критериите за подбор на операции</w:t>
      </w:r>
      <w:r w:rsidR="009D6D66">
        <w:t xml:space="preserve"> от Комитета за наблюдение</w:t>
      </w:r>
      <w:r w:rsidR="00CB795F">
        <w:t>,</w:t>
      </w:r>
      <w:r w:rsidR="00C11D6A">
        <w:t xml:space="preserve"> </w:t>
      </w:r>
      <w:r w:rsidR="009D6D66">
        <w:t xml:space="preserve">Управляващият орган на ОПДУ ще предприеме необходимите действия за извършване на съответните промени и в </w:t>
      </w:r>
      <w:r w:rsidR="00A01B0E">
        <w:t>Н</w:t>
      </w:r>
      <w:r>
        <w:t>асоките за кандидатстване по процедури</w:t>
      </w:r>
      <w:r w:rsidR="009D6D66">
        <w:t>те</w:t>
      </w:r>
      <w:r w:rsidR="00A01B0E">
        <w:rPr>
          <w:bCs/>
          <w:lang w:eastAsia="fr-FR"/>
        </w:rPr>
        <w:t>, както и в конкретните административни договори.</w:t>
      </w:r>
    </w:p>
    <w:p w:rsidR="001B4515" w:rsidRDefault="001B4515" w:rsidP="00F17640">
      <w:pPr>
        <w:ind w:firstLine="567"/>
        <w:jc w:val="both"/>
      </w:pPr>
    </w:p>
    <w:p w:rsidR="001B4515" w:rsidRPr="00A01B0E" w:rsidRDefault="001B4515" w:rsidP="001B4515">
      <w:pPr>
        <w:spacing w:after="160" w:line="259" w:lineRule="auto"/>
        <w:rPr>
          <w:rFonts w:eastAsia="Calibri"/>
          <w:lang w:val="en-US" w:eastAsia="en-US"/>
        </w:rPr>
      </w:pPr>
      <w:r w:rsidRPr="000221DF">
        <w:rPr>
          <w:rFonts w:eastAsia="Calibri"/>
          <w:b/>
          <w:i/>
          <w:lang w:eastAsia="en-US"/>
        </w:rPr>
        <w:t xml:space="preserve">Приложения: </w:t>
      </w:r>
      <w:r w:rsidRPr="000221DF">
        <w:rPr>
          <w:rFonts w:eastAsia="Calibri"/>
          <w:lang w:eastAsia="en-US"/>
        </w:rPr>
        <w:t>Проекти на</w:t>
      </w:r>
      <w:r w:rsidR="00A01B0E">
        <w:rPr>
          <w:rFonts w:eastAsia="Calibri"/>
          <w:lang w:eastAsia="en-US"/>
        </w:rPr>
        <w:t xml:space="preserve"> критерии за подбор на операции по седем процедури.</w:t>
      </w:r>
    </w:p>
    <w:p w:rsidR="00560514" w:rsidRPr="00C13D95" w:rsidRDefault="00560514" w:rsidP="00F17640">
      <w:pPr>
        <w:ind w:firstLine="567"/>
        <w:jc w:val="both"/>
      </w:pPr>
    </w:p>
    <w:sectPr w:rsidR="00560514" w:rsidRPr="00C13D95" w:rsidSect="006F3207">
      <w:headerReference w:type="default" r:id="rId8"/>
      <w:footerReference w:type="default" r:id="rId9"/>
      <w:pgSz w:w="11906" w:h="16838"/>
      <w:pgMar w:top="0" w:right="992" w:bottom="1134" w:left="992" w:header="709" w:footer="44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3FB8" w:rsidRDefault="00AE3FB8" w:rsidP="00C5450D">
      <w:r>
        <w:separator/>
      </w:r>
    </w:p>
  </w:endnote>
  <w:endnote w:type="continuationSeparator" w:id="0">
    <w:p w:rsidR="00AE3FB8" w:rsidRDefault="00AE3FB8" w:rsidP="00C545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barU">
    <w:panose1 w:val="00000400000000000000"/>
    <w:charset w:val="00"/>
    <w:family w:val="auto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A60E2" w:rsidRDefault="00A01B0E" w:rsidP="005A60E2">
    <w:pPr>
      <w:pStyle w:val="Footer"/>
      <w:jc w:val="center"/>
      <w:rPr>
        <w:i/>
        <w:lang w:val="en-US"/>
      </w:rPr>
    </w:pPr>
    <w:r>
      <w:rPr>
        <w:i/>
        <w:lang w:val="en-US"/>
      </w:rPr>
      <w:pict>
        <v:rect id="_x0000_i1026" style="width:0;height:1.5pt" o:hralign="center" o:hrstd="t" o:hr="t" fillcolor="#a0a0a0" stroked="f"/>
      </w:pict>
    </w:r>
  </w:p>
  <w:p w:rsidR="00E33D3D" w:rsidRPr="005A60E2" w:rsidRDefault="00E33D3D" w:rsidP="005A60E2">
    <w:pPr>
      <w:pStyle w:val="Footer"/>
      <w:jc w:val="center"/>
      <w:rPr>
        <w:i/>
        <w:color w:val="7F7F7F" w:themeColor="text1" w:themeTint="80"/>
        <w:lang w:val="en-US"/>
      </w:rPr>
    </w:pPr>
    <w:r w:rsidRPr="005A60E2">
      <w:rPr>
        <w:i/>
        <w:color w:val="7F7F7F" w:themeColor="text1" w:themeTint="80"/>
        <w:lang w:val="en-US"/>
      </w:rPr>
      <w:t>www.eufunds.bg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3FB8" w:rsidRDefault="00AE3FB8" w:rsidP="00C5450D">
      <w:r>
        <w:separator/>
      </w:r>
    </w:p>
  </w:footnote>
  <w:footnote w:type="continuationSeparator" w:id="0">
    <w:p w:rsidR="00AE3FB8" w:rsidRDefault="00AE3FB8" w:rsidP="00C545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33D3D" w:rsidRDefault="00AE3FB8" w:rsidP="0000196D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noProof/>
        <w:lang w:val="en-US"/>
      </w:rPr>
      <w:t xml:space="preserve">  </w:t>
    </w:r>
    <w:r w:rsidR="00A01B0E"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28.95pt;height:36.55pt">
          <v:imagedata r:id="rId1" o:title="EU_SEFright"/>
        </v:shape>
      </w:pict>
    </w:r>
    <w:r>
      <w:rPr>
        <w:lang w:val="en-US"/>
      </w:rPr>
      <w:t xml:space="preserve">   </w:t>
    </w:r>
    <w:r w:rsidR="00E33D3D">
      <w:rPr>
        <w:lang w:val="en-US"/>
      </w:rPr>
      <w:t xml:space="preserve">                                                                    </w:t>
    </w:r>
    <w:r>
      <w:rPr>
        <w:lang w:val="en-US"/>
      </w:rPr>
      <w:t xml:space="preserve"> </w:t>
    </w:r>
    <w:r w:rsidR="00E33D3D">
      <w:rPr>
        <w:noProof/>
      </w:rPr>
      <w:drawing>
        <wp:inline distT="0" distB="0" distL="0" distR="0" wp14:anchorId="7BF476C2" wp14:editId="6C7CE36A">
          <wp:extent cx="1818859" cy="638628"/>
          <wp:effectExtent l="0" t="0" r="0" b="9525"/>
          <wp:docPr id="1" name="Pictur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/>
                  <pic:cNvPicPr>
                    <a:picLocks noChangeAspect="1" noChangeArrowheads="1"/>
                  </pic:cNvPicPr>
                </pic:nvPicPr>
                <pic:blipFill rotWithShape="1"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-1" r="7172" b="13502"/>
                  <a:stretch/>
                </pic:blipFill>
                <pic:spPr bwMode="auto">
                  <a:xfrm>
                    <a:off x="0" y="0"/>
                    <a:ext cx="1828991" cy="64218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:rsidR="00AE3FB8" w:rsidRDefault="00AE3FB8" w:rsidP="0000196D">
    <w:pPr>
      <w:pStyle w:val="Header"/>
      <w:pBdr>
        <w:bottom w:val="single" w:sz="6" w:space="1" w:color="auto"/>
      </w:pBdr>
      <w:tabs>
        <w:tab w:val="clear" w:pos="4536"/>
        <w:tab w:val="clear" w:pos="9072"/>
        <w:tab w:val="center" w:pos="4961"/>
        <w:tab w:val="right" w:pos="9922"/>
      </w:tabs>
      <w:rPr>
        <w:lang w:val="en-US"/>
      </w:rPr>
    </w:pPr>
    <w:r>
      <w:rPr>
        <w:lang w:val="en-US"/>
      </w:rPr>
      <w:t xml:space="preserve">                   </w:t>
    </w:r>
    <w:r w:rsidR="006F3207">
      <w:rPr>
        <w:lang w:val="en-US"/>
      </w:rPr>
      <w:t xml:space="preserve">                  </w:t>
    </w:r>
    <w:r>
      <w:rPr>
        <w:noProof/>
        <w:lang w:val="en-US"/>
      </w:rPr>
      <w:t xml:space="preserve">  </w:t>
    </w:r>
    <w:r>
      <w:rPr>
        <w:noProof/>
        <w:lang w:val="en-US"/>
      </w:rPr>
      <w:tab/>
    </w:r>
  </w:p>
  <w:p w:rsidR="00AE3FB8" w:rsidRPr="00C5450D" w:rsidRDefault="00AE3FB8">
    <w:pPr>
      <w:pStyle w:val="Header"/>
      <w:rPr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01206C"/>
    <w:multiLevelType w:val="hybridMultilevel"/>
    <w:tmpl w:val="F1B09A9E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2D75CFA"/>
    <w:multiLevelType w:val="hybridMultilevel"/>
    <w:tmpl w:val="1F405BDC"/>
    <w:lvl w:ilvl="0" w:tplc="F18627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800" w:hanging="360"/>
      </w:pPr>
    </w:lvl>
    <w:lvl w:ilvl="2" w:tplc="0402001B" w:tentative="1">
      <w:start w:val="1"/>
      <w:numFmt w:val="lowerRoman"/>
      <w:lvlText w:val="%3."/>
      <w:lvlJc w:val="right"/>
      <w:pPr>
        <w:ind w:left="2520" w:hanging="180"/>
      </w:pPr>
    </w:lvl>
    <w:lvl w:ilvl="3" w:tplc="0402000F" w:tentative="1">
      <w:start w:val="1"/>
      <w:numFmt w:val="decimal"/>
      <w:lvlText w:val="%4."/>
      <w:lvlJc w:val="left"/>
      <w:pPr>
        <w:ind w:left="3240" w:hanging="360"/>
      </w:pPr>
    </w:lvl>
    <w:lvl w:ilvl="4" w:tplc="04020019" w:tentative="1">
      <w:start w:val="1"/>
      <w:numFmt w:val="lowerLetter"/>
      <w:lvlText w:val="%5."/>
      <w:lvlJc w:val="left"/>
      <w:pPr>
        <w:ind w:left="3960" w:hanging="360"/>
      </w:pPr>
    </w:lvl>
    <w:lvl w:ilvl="5" w:tplc="0402001B" w:tentative="1">
      <w:start w:val="1"/>
      <w:numFmt w:val="lowerRoman"/>
      <w:lvlText w:val="%6."/>
      <w:lvlJc w:val="right"/>
      <w:pPr>
        <w:ind w:left="4680" w:hanging="180"/>
      </w:pPr>
    </w:lvl>
    <w:lvl w:ilvl="6" w:tplc="0402000F" w:tentative="1">
      <w:start w:val="1"/>
      <w:numFmt w:val="decimal"/>
      <w:lvlText w:val="%7."/>
      <w:lvlJc w:val="left"/>
      <w:pPr>
        <w:ind w:left="5400" w:hanging="360"/>
      </w:pPr>
    </w:lvl>
    <w:lvl w:ilvl="7" w:tplc="04020019" w:tentative="1">
      <w:start w:val="1"/>
      <w:numFmt w:val="lowerLetter"/>
      <w:lvlText w:val="%8."/>
      <w:lvlJc w:val="left"/>
      <w:pPr>
        <w:ind w:left="6120" w:hanging="360"/>
      </w:pPr>
    </w:lvl>
    <w:lvl w:ilvl="8" w:tplc="040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4BF06EFD"/>
    <w:multiLevelType w:val="hybridMultilevel"/>
    <w:tmpl w:val="76EA875C"/>
    <w:lvl w:ilvl="0" w:tplc="B51434FE">
      <w:numFmt w:val="bullet"/>
      <w:lvlText w:val="-"/>
      <w:lvlJc w:val="left"/>
      <w:pPr>
        <w:ind w:left="1287" w:hanging="360"/>
      </w:pPr>
      <w:rPr>
        <w:rFonts w:ascii="Times New Roman" w:eastAsia="Times New Roman" w:hAnsi="Times New Roman" w:cs="Times New Roman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52EA19BE"/>
    <w:multiLevelType w:val="hybridMultilevel"/>
    <w:tmpl w:val="B9CAEBA2"/>
    <w:lvl w:ilvl="0" w:tplc="2BA84038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6963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93E"/>
    <w:rsid w:val="0000196D"/>
    <w:rsid w:val="0001663C"/>
    <w:rsid w:val="000221DF"/>
    <w:rsid w:val="00047DDE"/>
    <w:rsid w:val="00050CE8"/>
    <w:rsid w:val="00073329"/>
    <w:rsid w:val="00095771"/>
    <w:rsid w:val="000A0E09"/>
    <w:rsid w:val="000D705A"/>
    <w:rsid w:val="000E18A6"/>
    <w:rsid w:val="000F1A76"/>
    <w:rsid w:val="0010033E"/>
    <w:rsid w:val="001209E1"/>
    <w:rsid w:val="00127AB7"/>
    <w:rsid w:val="00140935"/>
    <w:rsid w:val="001636C0"/>
    <w:rsid w:val="00177B85"/>
    <w:rsid w:val="00177F0D"/>
    <w:rsid w:val="001A487F"/>
    <w:rsid w:val="001B4515"/>
    <w:rsid w:val="00221A75"/>
    <w:rsid w:val="002562F0"/>
    <w:rsid w:val="0027266F"/>
    <w:rsid w:val="00281C22"/>
    <w:rsid w:val="00283419"/>
    <w:rsid w:val="0028424A"/>
    <w:rsid w:val="00285A16"/>
    <w:rsid w:val="002C5A74"/>
    <w:rsid w:val="002F5769"/>
    <w:rsid w:val="002F6DF0"/>
    <w:rsid w:val="003269D5"/>
    <w:rsid w:val="00334117"/>
    <w:rsid w:val="00335EC1"/>
    <w:rsid w:val="003564B0"/>
    <w:rsid w:val="00376763"/>
    <w:rsid w:val="00376A1B"/>
    <w:rsid w:val="00394B15"/>
    <w:rsid w:val="003A2F0F"/>
    <w:rsid w:val="003B3AAE"/>
    <w:rsid w:val="003D200C"/>
    <w:rsid w:val="003E7DF0"/>
    <w:rsid w:val="004069DF"/>
    <w:rsid w:val="00415AB2"/>
    <w:rsid w:val="00443B25"/>
    <w:rsid w:val="00451678"/>
    <w:rsid w:val="004C764D"/>
    <w:rsid w:val="004C7BF5"/>
    <w:rsid w:val="004E09B2"/>
    <w:rsid w:val="004F33A6"/>
    <w:rsid w:val="00526B67"/>
    <w:rsid w:val="0055272D"/>
    <w:rsid w:val="00560514"/>
    <w:rsid w:val="00571779"/>
    <w:rsid w:val="005A5990"/>
    <w:rsid w:val="005A60E2"/>
    <w:rsid w:val="00624AC3"/>
    <w:rsid w:val="00625AD2"/>
    <w:rsid w:val="006313F3"/>
    <w:rsid w:val="0064206A"/>
    <w:rsid w:val="006460D6"/>
    <w:rsid w:val="0065193E"/>
    <w:rsid w:val="00652076"/>
    <w:rsid w:val="0069312C"/>
    <w:rsid w:val="006A6E00"/>
    <w:rsid w:val="006B7C00"/>
    <w:rsid w:val="006D79DD"/>
    <w:rsid w:val="006F3207"/>
    <w:rsid w:val="0071161F"/>
    <w:rsid w:val="00713782"/>
    <w:rsid w:val="00713E2F"/>
    <w:rsid w:val="0073772C"/>
    <w:rsid w:val="00747027"/>
    <w:rsid w:val="00760ED5"/>
    <w:rsid w:val="00773268"/>
    <w:rsid w:val="007C3DA7"/>
    <w:rsid w:val="00811312"/>
    <w:rsid w:val="00867380"/>
    <w:rsid w:val="008A4594"/>
    <w:rsid w:val="008A62C7"/>
    <w:rsid w:val="009179FE"/>
    <w:rsid w:val="00954B1F"/>
    <w:rsid w:val="00957235"/>
    <w:rsid w:val="00981D0B"/>
    <w:rsid w:val="009B56DF"/>
    <w:rsid w:val="009C0B27"/>
    <w:rsid w:val="009D4663"/>
    <w:rsid w:val="009D6D66"/>
    <w:rsid w:val="00A01B0E"/>
    <w:rsid w:val="00A068F0"/>
    <w:rsid w:val="00A0788F"/>
    <w:rsid w:val="00A177FF"/>
    <w:rsid w:val="00A17F79"/>
    <w:rsid w:val="00A217F4"/>
    <w:rsid w:val="00A45938"/>
    <w:rsid w:val="00A45A94"/>
    <w:rsid w:val="00A705CC"/>
    <w:rsid w:val="00A834BB"/>
    <w:rsid w:val="00AA0178"/>
    <w:rsid w:val="00AC3863"/>
    <w:rsid w:val="00AD737C"/>
    <w:rsid w:val="00AE3FB8"/>
    <w:rsid w:val="00AF4C55"/>
    <w:rsid w:val="00B06D33"/>
    <w:rsid w:val="00B127C7"/>
    <w:rsid w:val="00B34F30"/>
    <w:rsid w:val="00BA4713"/>
    <w:rsid w:val="00BB3DA4"/>
    <w:rsid w:val="00BC5B4B"/>
    <w:rsid w:val="00BD0EC9"/>
    <w:rsid w:val="00C11D6A"/>
    <w:rsid w:val="00C12ECE"/>
    <w:rsid w:val="00C139D1"/>
    <w:rsid w:val="00C13D95"/>
    <w:rsid w:val="00C23D5D"/>
    <w:rsid w:val="00C25212"/>
    <w:rsid w:val="00C5450D"/>
    <w:rsid w:val="00C9284E"/>
    <w:rsid w:val="00CB795F"/>
    <w:rsid w:val="00CC0CB0"/>
    <w:rsid w:val="00CC23F4"/>
    <w:rsid w:val="00CC2E7E"/>
    <w:rsid w:val="00CF186B"/>
    <w:rsid w:val="00D049FF"/>
    <w:rsid w:val="00D267AB"/>
    <w:rsid w:val="00D33C3B"/>
    <w:rsid w:val="00D363C4"/>
    <w:rsid w:val="00D4716F"/>
    <w:rsid w:val="00D476D8"/>
    <w:rsid w:val="00D50912"/>
    <w:rsid w:val="00D702DD"/>
    <w:rsid w:val="00D70963"/>
    <w:rsid w:val="00DB06B4"/>
    <w:rsid w:val="00DB14A4"/>
    <w:rsid w:val="00DC6097"/>
    <w:rsid w:val="00DE2D37"/>
    <w:rsid w:val="00DF7517"/>
    <w:rsid w:val="00E33D3D"/>
    <w:rsid w:val="00E365F1"/>
    <w:rsid w:val="00E65E04"/>
    <w:rsid w:val="00E77F94"/>
    <w:rsid w:val="00E85D3F"/>
    <w:rsid w:val="00E87E4C"/>
    <w:rsid w:val="00EC164D"/>
    <w:rsid w:val="00ED19B4"/>
    <w:rsid w:val="00ED2149"/>
    <w:rsid w:val="00EE440A"/>
    <w:rsid w:val="00EF35C8"/>
    <w:rsid w:val="00F02F17"/>
    <w:rsid w:val="00F17640"/>
    <w:rsid w:val="00F41CD1"/>
    <w:rsid w:val="00F47E18"/>
    <w:rsid w:val="00F60A40"/>
    <w:rsid w:val="00F77062"/>
    <w:rsid w:val="00F810DA"/>
    <w:rsid w:val="00F92E8A"/>
    <w:rsid w:val="00FD7D82"/>
    <w:rsid w:val="00FE65F9"/>
    <w:rsid w:val="00FF42FA"/>
    <w:rsid w:val="00FF5490"/>
    <w:rsid w:val="00FF7A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5"/>
    <o:shapelayout v:ext="edit">
      <o:idmap v:ext="edit" data="1"/>
    </o:shapelayout>
  </w:shapeDefaults>
  <w:decimalSymbol w:val=","/>
  <w:listSeparator w:val=";"/>
  <w15:docId w15:val="{5FDDFE81-1EB0-4D44-91BB-1229340448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7062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rsid w:val="00D476D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D476D8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rsid w:val="00C5450D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C5450D"/>
    <w:rPr>
      <w:rFonts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C5450D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C5450D"/>
    <w:rPr>
      <w:rFonts w:cs="Times New Roman"/>
      <w:sz w:val="24"/>
      <w:szCs w:val="24"/>
    </w:rPr>
  </w:style>
  <w:style w:type="character" w:styleId="Hyperlink">
    <w:name w:val="Hyperlink"/>
    <w:basedOn w:val="DefaultParagraphFont"/>
    <w:uiPriority w:val="99"/>
    <w:rsid w:val="004E09B2"/>
    <w:rPr>
      <w:rFonts w:cs="Times New Roman"/>
      <w:color w:val="0000FF"/>
      <w:u w:val="single"/>
    </w:rPr>
  </w:style>
  <w:style w:type="character" w:customStyle="1" w:styleId="newsheader">
    <w:name w:val="news_header"/>
    <w:basedOn w:val="DefaultParagraphFont"/>
    <w:uiPriority w:val="99"/>
    <w:rsid w:val="00A45938"/>
    <w:rPr>
      <w:rFonts w:cs="Times New Roman"/>
    </w:rPr>
  </w:style>
  <w:style w:type="character" w:customStyle="1" w:styleId="HeaderChar1">
    <w:name w:val="Header Char1"/>
    <w:semiHidden/>
    <w:locked/>
    <w:rsid w:val="00D363C4"/>
    <w:rPr>
      <w:rFonts w:ascii="HebarU" w:hAnsi="HebarU"/>
      <w:sz w:val="24"/>
      <w:szCs w:val="20"/>
      <w:lang w:eastAsia="en-US"/>
    </w:rPr>
  </w:style>
  <w:style w:type="paragraph" w:customStyle="1" w:styleId="CharChar1CharCharChar1CharCharChar2CharCharCharCharCharCharChar3CharChar1CharCharCharCharCharChar">
    <w:name w:val="Char Char1 Char Char Char1 Char Char Char2 Char Char Char Char Char Char Char3 Char Char1 Char Char Char Char Char Char"/>
    <w:basedOn w:val="Normal"/>
    <w:rsid w:val="00560514"/>
    <w:pPr>
      <w:tabs>
        <w:tab w:val="left" w:pos="709"/>
      </w:tabs>
      <w:spacing w:before="120" w:after="120"/>
      <w:jc w:val="both"/>
    </w:pPr>
    <w:rPr>
      <w:rFonts w:ascii="Tahoma" w:hAnsi="Tahoma"/>
      <w:szCs w:val="20"/>
      <w:lang w:val="pl-PL" w:eastAsia="pl-PL"/>
    </w:rPr>
  </w:style>
  <w:style w:type="paragraph" w:styleId="ListParagraph">
    <w:name w:val="List Paragraph"/>
    <w:basedOn w:val="Normal"/>
    <w:uiPriority w:val="34"/>
    <w:qFormat/>
    <w:rsid w:val="003564B0"/>
    <w:pPr>
      <w:ind w:left="720"/>
      <w:contextualSpacing/>
    </w:pPr>
  </w:style>
  <w:style w:type="table" w:customStyle="1" w:styleId="TableGrid1">
    <w:name w:val="Table Grid1"/>
    <w:basedOn w:val="TableNormal"/>
    <w:next w:val="TableGrid"/>
    <w:uiPriority w:val="39"/>
    <w:rsid w:val="000221DF"/>
    <w:rPr>
      <w:rFonts w:ascii="Calibri" w:eastAsia="Calibri" w:hAnsi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locked/>
    <w:rsid w:val="000221D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64295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557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2787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35BB1F-9BB6-4209-B2C4-EAD9AB81C3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617</Words>
  <Characters>3601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НА 28 МАЙ ЩЕ СЕ ПРОВЕДЕ ИЗЛОЖЕНИЕ</vt:lpstr>
    </vt:vector>
  </TitlesOfParts>
  <Company>CM</Company>
  <LinksUpToDate>false</LinksUpToDate>
  <CharactersWithSpaces>4210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 28 МАЙ ЩЕ СЕ ПРОВЕДЕ ИЗЛОЖЕНИЕ</dc:title>
  <dc:subject/>
  <dc:creator>Милена Виденова</dc:creator>
  <cp:keywords/>
  <dc:description/>
  <cp:lastModifiedBy>Николина Стоянова</cp:lastModifiedBy>
  <cp:revision>62</cp:revision>
  <cp:lastPrinted>2016-01-12T08:33:00Z</cp:lastPrinted>
  <dcterms:created xsi:type="dcterms:W3CDTF">2016-08-19T10:51:00Z</dcterms:created>
  <dcterms:modified xsi:type="dcterms:W3CDTF">2018-03-26T12:17:00Z</dcterms:modified>
</cp:coreProperties>
</file>