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505E0768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2EDF3199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437E82AA" w14:textId="77777777" w:rsidR="00192D80" w:rsidRPr="005F012B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  <w:lang w:val="bg-BG"/>
              </w:rPr>
            </w:pPr>
            <w:r w:rsidRPr="005F012B">
              <w:rPr>
                <w:rStyle w:val="Emphasis"/>
                <w:b/>
                <w:i w:val="0"/>
                <w:lang w:val="bg-BG"/>
              </w:rPr>
              <w:t>Приоритетна ос</w:t>
            </w:r>
            <w:r w:rsidR="00770441" w:rsidRPr="005F012B">
              <w:rPr>
                <w:rStyle w:val="Emphasis"/>
                <w:b/>
                <w:i w:val="0"/>
                <w:lang w:val="bg-BG"/>
              </w:rPr>
              <w:t>:</w:t>
            </w:r>
            <w:r w:rsidR="006417C7" w:rsidRPr="005F012B"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B07D93" w:rsidRPr="005F012B">
              <w:rPr>
                <w:b/>
                <w:sz w:val="20"/>
                <w:lang w:val="bg-BG"/>
              </w:rPr>
              <w:t>ПО 1</w:t>
            </w:r>
          </w:p>
          <w:p w14:paraId="67678F0E" w14:textId="77777777" w:rsidR="00147CD5" w:rsidRPr="008D3B76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5F012B">
              <w:rPr>
                <w:rStyle w:val="Emphasis"/>
                <w:b/>
                <w:i w:val="0"/>
                <w:lang w:val="bg-BG"/>
              </w:rPr>
              <w:t>Номер на индикатора: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8D3B76">
              <w:rPr>
                <w:bCs/>
                <w:color w:val="000000"/>
                <w:sz w:val="20"/>
                <w:szCs w:val="20"/>
                <w:lang w:val="bg-BG"/>
              </w:rPr>
              <w:t>О</w:t>
            </w:r>
            <w:r w:rsidR="00B07D93" w:rsidRPr="001D6787">
              <w:rPr>
                <w:bCs/>
                <w:color w:val="000000"/>
                <w:sz w:val="20"/>
                <w:szCs w:val="20"/>
                <w:lang w:val="en-US"/>
              </w:rPr>
              <w:t>1-</w:t>
            </w:r>
            <w:r w:rsidR="00A26796">
              <w:rPr>
                <w:bCs/>
                <w:color w:val="000000"/>
                <w:sz w:val="20"/>
                <w:szCs w:val="20"/>
                <w:lang w:val="bg-BG"/>
              </w:rPr>
              <w:t>2</w:t>
            </w:r>
          </w:p>
          <w:p w14:paraId="0AE805C6" w14:textId="77777777" w:rsidR="00B07D93" w:rsidRPr="00564910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proofErr w:type="spellStart"/>
            <w:r w:rsidRPr="001D6787">
              <w:rPr>
                <w:rStyle w:val="Emphasis"/>
                <w:b/>
                <w:i w:val="0"/>
              </w:rPr>
              <w:t>Индикатор</w:t>
            </w:r>
            <w:proofErr w:type="spellEnd"/>
            <w:r w:rsidR="00770441" w:rsidRPr="001D6787">
              <w:rPr>
                <w:rStyle w:val="Emphasis"/>
                <w:b/>
                <w:i w:val="0"/>
              </w:rPr>
              <w:t>:</w:t>
            </w:r>
            <w:bookmarkEnd w:id="1"/>
            <w:r w:rsidR="00192D80" w:rsidRPr="001D6787">
              <w:rPr>
                <w:rStyle w:val="Emphasis"/>
                <w:b/>
                <w:i w:val="0"/>
              </w:rPr>
              <w:t xml:space="preserve"> </w:t>
            </w:r>
            <w:r w:rsidR="00A26796" w:rsidRPr="00A26796">
              <w:rPr>
                <w:bCs/>
                <w:iCs/>
                <w:color w:val="000000"/>
                <w:sz w:val="20"/>
                <w:szCs w:val="20"/>
                <w:lang w:val="bg-BG"/>
              </w:rPr>
              <w:t>Брой нормативни актове, за които са извършени  оценки на въздействието</w:t>
            </w:r>
            <w:r w:rsidR="001D2346" w:rsidRPr="001D6787">
              <w:rPr>
                <w:rStyle w:val="Emphasis"/>
                <w:b/>
                <w:i w:val="0"/>
              </w:rPr>
              <w:t xml:space="preserve">  </w:t>
            </w:r>
          </w:p>
          <w:p w14:paraId="02322FCF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 xml:space="preserve">за </w:t>
            </w:r>
            <w:r w:rsidR="008D3B76">
              <w:rPr>
                <w:i/>
                <w:lang w:val="bg-BG"/>
              </w:rPr>
              <w:t>изпълнение</w:t>
            </w:r>
            <w:r w:rsidR="00147CD5" w:rsidRPr="00147CD5">
              <w:rPr>
                <w:i/>
                <w:lang w:val="bg-BG"/>
              </w:rPr>
              <w:t>, специфичен</w:t>
            </w:r>
          </w:p>
          <w:p w14:paraId="5A60D87D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424F0303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4BF46F7D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C3368F2" w14:textId="77777777" w:rsidR="00A7314F" w:rsidRDefault="00A23486" w:rsidP="003835A1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0B4E0A79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1626135A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B65FCB4" w14:textId="77777777" w:rsidR="007D3DDD" w:rsidRPr="005205F1" w:rsidRDefault="00816726" w:rsidP="003835A1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29C6D9E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451CA1EA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DC12C13" w14:textId="77777777" w:rsidR="007D3DDD" w:rsidRPr="005205F1" w:rsidRDefault="00816726" w:rsidP="003835A1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6C4C094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797DA3C8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67C7807" w14:textId="77777777" w:rsidR="007D3DDD" w:rsidRPr="005205F1" w:rsidRDefault="00816726" w:rsidP="003835A1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015A592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363048D7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4013660" w14:textId="77777777" w:rsidR="007D3DDD" w:rsidRPr="005205F1" w:rsidRDefault="002A5B8F" w:rsidP="003835A1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D8FF17F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5D253F46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5672051" w14:textId="77777777" w:rsidR="007D3DDD" w:rsidRPr="005205F1" w:rsidRDefault="002A5B8F" w:rsidP="003835A1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04FB6D2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7858F01D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8F947FA" w14:textId="77777777" w:rsidR="007D3DDD" w:rsidRPr="005205F1" w:rsidRDefault="002A5B8F" w:rsidP="003835A1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E4B4313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472DB6F7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7007BEE" w14:textId="77777777" w:rsidR="007D3DDD" w:rsidRPr="005205F1" w:rsidRDefault="00AB0674" w:rsidP="003835A1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89F0273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4E6CA6FA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FD0FC9E" w14:textId="77777777" w:rsidR="007D3DDD" w:rsidRPr="005205F1" w:rsidRDefault="00AB0674" w:rsidP="003835A1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F781FE6" w14:textId="77777777" w:rsidR="007D3DDD" w:rsidRPr="005205F1" w:rsidRDefault="000410D2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lang w:val="en-US"/>
              </w:rPr>
              <w:t>940 25 19</w:t>
            </w:r>
          </w:p>
        </w:tc>
      </w:tr>
    </w:tbl>
    <w:p w14:paraId="394E984B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6F67BBD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7353610" w14:textId="77777777" w:rsidR="00346D8F" w:rsidRPr="005205F1" w:rsidRDefault="00A006F6" w:rsidP="003835A1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5992536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99EBBAA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4F9C536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D959C5C" w14:textId="628AB130" w:rsidR="00832DF3" w:rsidRPr="00147CD5" w:rsidRDefault="00E9351E" w:rsidP="00154253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>Н</w:t>
            </w:r>
            <w:r w:rsidR="00A26796" w:rsidRPr="00A26796">
              <w:rPr>
                <w:i/>
                <w:lang w:val="bg-BG"/>
              </w:rPr>
              <w:t xml:space="preserve">ормативни актове, за които са </w:t>
            </w:r>
            <w:r w:rsidR="00A26796" w:rsidRPr="0005034F">
              <w:rPr>
                <w:i/>
                <w:lang w:val="bg-BG"/>
              </w:rPr>
              <w:t xml:space="preserve">извършени последващи оценки на въздействието, както и проекти на нормативни актове, за които са извършени </w:t>
            </w:r>
            <w:r w:rsidR="009D152C">
              <w:rPr>
                <w:i/>
                <w:lang w:val="bg-BG"/>
              </w:rPr>
              <w:t xml:space="preserve">цялостни </w:t>
            </w:r>
            <w:r w:rsidR="00A26796" w:rsidRPr="0005034F">
              <w:rPr>
                <w:i/>
                <w:lang w:val="bg-BG"/>
              </w:rPr>
              <w:t>предварителни оценки на въздействието</w:t>
            </w:r>
            <w:r w:rsidR="005F7F6A" w:rsidRPr="0005034F">
              <w:rPr>
                <w:i/>
                <w:lang w:val="bg-BG"/>
              </w:rPr>
              <w:t>.</w:t>
            </w:r>
          </w:p>
        </w:tc>
      </w:tr>
      <w:tr w:rsidR="00A23486" w:rsidRPr="005205F1" w14:paraId="6130FF77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B37A7E6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55DD9E6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FC55B10" w14:textId="77777777" w:rsidR="00722809" w:rsidRDefault="00147CD5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5A6406">
              <w:rPr>
                <w:i/>
                <w:szCs w:val="24"/>
                <w:lang w:val="bg-BG"/>
              </w:rPr>
              <w:t>агрегирани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proofErr w:type="spellStart"/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>данни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</w:t>
            </w:r>
          </w:p>
          <w:p w14:paraId="0ED1F3EA" w14:textId="77777777" w:rsidR="009D152C" w:rsidRDefault="009D152C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  <w:p w14:paraId="278712AE" w14:textId="03E4594F" w:rsidR="009D152C" w:rsidRDefault="009D152C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Отчитат се:</w:t>
            </w:r>
          </w:p>
          <w:p w14:paraId="41433EB1" w14:textId="3EEF3DD1" w:rsidR="00063C76" w:rsidRDefault="00A26796" w:rsidP="000C11B2">
            <w:pPr>
              <w:pStyle w:val="Xreftext"/>
              <w:numPr>
                <w:ilvl w:val="0"/>
                <w:numId w:val="5"/>
              </w:numPr>
              <w:jc w:val="both"/>
              <w:rPr>
                <w:i/>
                <w:szCs w:val="24"/>
                <w:lang w:val="bg-BG"/>
              </w:rPr>
            </w:pPr>
            <w:r w:rsidRPr="00A26796">
              <w:rPr>
                <w:i/>
                <w:szCs w:val="24"/>
                <w:lang w:val="bg-BG"/>
              </w:rPr>
              <w:t xml:space="preserve">Брой </w:t>
            </w:r>
            <w:r w:rsidR="000C11B2">
              <w:rPr>
                <w:i/>
                <w:szCs w:val="24"/>
                <w:lang w:val="bg-BG"/>
              </w:rPr>
              <w:t xml:space="preserve"> </w:t>
            </w:r>
            <w:r w:rsidR="0005034F">
              <w:rPr>
                <w:i/>
                <w:szCs w:val="24"/>
                <w:lang w:val="bg-BG"/>
              </w:rPr>
              <w:t>нормативни акт</w:t>
            </w:r>
            <w:r w:rsidR="00283336">
              <w:rPr>
                <w:i/>
                <w:szCs w:val="24"/>
                <w:lang w:val="bg-BG"/>
              </w:rPr>
              <w:t>о</w:t>
            </w:r>
            <w:r w:rsidR="0005034F">
              <w:rPr>
                <w:i/>
                <w:szCs w:val="24"/>
                <w:lang w:val="bg-BG"/>
              </w:rPr>
              <w:t>ве</w:t>
            </w:r>
            <w:r w:rsidR="0005034F" w:rsidRPr="000C11B2">
              <w:rPr>
                <w:i/>
                <w:szCs w:val="24"/>
                <w:lang w:val="en-US"/>
              </w:rPr>
              <w:t xml:space="preserve">, </w:t>
            </w:r>
            <w:r w:rsidR="0005034F">
              <w:rPr>
                <w:i/>
                <w:szCs w:val="24"/>
                <w:lang w:val="bg-BG"/>
              </w:rPr>
              <w:t xml:space="preserve">на които </w:t>
            </w:r>
            <w:r w:rsidR="000C11B2">
              <w:rPr>
                <w:i/>
                <w:szCs w:val="24"/>
                <w:lang w:val="bg-BG"/>
              </w:rPr>
              <w:t xml:space="preserve"> </w:t>
            </w:r>
            <w:r w:rsidR="0005034F">
              <w:rPr>
                <w:i/>
                <w:szCs w:val="24"/>
                <w:lang w:val="bg-BG"/>
              </w:rPr>
              <w:t>са</w:t>
            </w:r>
            <w:r w:rsidR="005F7F6A">
              <w:rPr>
                <w:i/>
                <w:szCs w:val="24"/>
                <w:lang w:val="bg-BG"/>
              </w:rPr>
              <w:t xml:space="preserve"> </w:t>
            </w:r>
            <w:r w:rsidR="005C1480">
              <w:rPr>
                <w:i/>
                <w:szCs w:val="24"/>
                <w:lang w:val="bg-BG"/>
              </w:rPr>
              <w:t>извърш</w:t>
            </w:r>
            <w:r w:rsidR="0005034F">
              <w:rPr>
                <w:i/>
                <w:szCs w:val="24"/>
                <w:lang w:val="bg-BG"/>
              </w:rPr>
              <w:t xml:space="preserve">ени </w:t>
            </w:r>
            <w:r w:rsidR="005C1480" w:rsidRPr="00283336">
              <w:rPr>
                <w:i/>
                <w:szCs w:val="24"/>
                <w:lang w:val="bg-BG"/>
              </w:rPr>
              <w:t>последващ</w:t>
            </w:r>
            <w:r w:rsidR="0005034F">
              <w:rPr>
                <w:i/>
                <w:szCs w:val="24"/>
                <w:lang w:val="bg-BG"/>
              </w:rPr>
              <w:t>и</w:t>
            </w:r>
            <w:r w:rsidR="005C1480">
              <w:rPr>
                <w:i/>
                <w:szCs w:val="24"/>
                <w:lang w:val="bg-BG"/>
              </w:rPr>
              <w:t xml:space="preserve"> оценк</w:t>
            </w:r>
            <w:r w:rsidR="0005034F">
              <w:rPr>
                <w:i/>
                <w:szCs w:val="24"/>
                <w:lang w:val="bg-BG"/>
              </w:rPr>
              <w:t>и</w:t>
            </w:r>
            <w:r w:rsidR="005C1480">
              <w:rPr>
                <w:i/>
                <w:szCs w:val="24"/>
                <w:lang w:val="bg-BG"/>
              </w:rPr>
              <w:t xml:space="preserve"> на въздействието</w:t>
            </w:r>
            <w:r w:rsidR="00283336">
              <w:rPr>
                <w:i/>
                <w:szCs w:val="24"/>
                <w:lang w:val="bg-BG"/>
              </w:rPr>
              <w:t xml:space="preserve"> в съответствие със </w:t>
            </w:r>
            <w:r w:rsidR="009D152C">
              <w:rPr>
                <w:i/>
                <w:szCs w:val="24"/>
                <w:lang w:val="bg-BG"/>
              </w:rPr>
              <w:t>Закона за нормативните актове</w:t>
            </w:r>
          </w:p>
          <w:p w14:paraId="4BC8E9E3" w14:textId="77777777" w:rsidR="00063C76" w:rsidRDefault="00063C76" w:rsidP="000C11B2">
            <w:pPr>
              <w:pStyle w:val="Xreftext"/>
              <w:numPr>
                <w:ilvl w:val="0"/>
                <w:numId w:val="0"/>
              </w:numPr>
              <w:ind w:left="720"/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и/или</w:t>
            </w:r>
          </w:p>
          <w:p w14:paraId="75C17E48" w14:textId="7B235476" w:rsidR="0005034F" w:rsidRPr="00A26796" w:rsidRDefault="005C1480" w:rsidP="005F012B">
            <w:pPr>
              <w:pStyle w:val="Xreftext"/>
              <w:numPr>
                <w:ilvl w:val="0"/>
                <w:numId w:val="5"/>
              </w:numPr>
              <w:jc w:val="both"/>
              <w:rPr>
                <w:i/>
                <w:szCs w:val="24"/>
                <w:lang w:val="bg-BG"/>
              </w:rPr>
            </w:pPr>
            <w:r w:rsidRPr="00063C76">
              <w:rPr>
                <w:i/>
                <w:szCs w:val="24"/>
                <w:lang w:val="bg-BG"/>
              </w:rPr>
              <w:t xml:space="preserve">Брой </w:t>
            </w:r>
            <w:r w:rsidR="0005034F" w:rsidRPr="00063C76">
              <w:rPr>
                <w:i/>
                <w:szCs w:val="24"/>
                <w:lang w:val="bg-BG"/>
              </w:rPr>
              <w:t xml:space="preserve">проекти на </w:t>
            </w:r>
            <w:r w:rsidR="0005034F" w:rsidRPr="0050309B">
              <w:rPr>
                <w:i/>
                <w:szCs w:val="24"/>
                <w:lang w:val="bg-BG"/>
              </w:rPr>
              <w:t>нормативни актове</w:t>
            </w:r>
            <w:r w:rsidR="009D152C">
              <w:rPr>
                <w:i/>
                <w:szCs w:val="24"/>
                <w:lang w:val="bg-BG"/>
              </w:rPr>
              <w:t xml:space="preserve"> на централно ниво</w:t>
            </w:r>
            <w:r w:rsidR="001D6787" w:rsidRPr="0050309B">
              <w:rPr>
                <w:i/>
                <w:szCs w:val="24"/>
                <w:lang w:val="bg-BG"/>
              </w:rPr>
              <w:t>,</w:t>
            </w:r>
            <w:r w:rsidR="0005034F" w:rsidRPr="0050309B">
              <w:rPr>
                <w:i/>
                <w:szCs w:val="24"/>
                <w:lang w:val="bg-BG"/>
              </w:rPr>
              <w:t xml:space="preserve"> на които са извърш</w:t>
            </w:r>
            <w:r w:rsidR="00283336" w:rsidRPr="0050309B">
              <w:rPr>
                <w:i/>
                <w:szCs w:val="24"/>
                <w:lang w:val="bg-BG"/>
              </w:rPr>
              <w:t>е</w:t>
            </w:r>
            <w:r w:rsidR="0005034F" w:rsidRPr="0050309B">
              <w:rPr>
                <w:i/>
                <w:szCs w:val="24"/>
                <w:lang w:val="bg-BG"/>
              </w:rPr>
              <w:t xml:space="preserve">ни </w:t>
            </w:r>
            <w:r w:rsidR="009D152C">
              <w:rPr>
                <w:i/>
                <w:szCs w:val="24"/>
                <w:lang w:val="bg-BG"/>
              </w:rPr>
              <w:t xml:space="preserve">цялостни </w:t>
            </w:r>
            <w:r w:rsidR="005F7F6A" w:rsidRPr="003C52EF">
              <w:rPr>
                <w:i/>
                <w:szCs w:val="24"/>
                <w:lang w:val="bg-BG"/>
              </w:rPr>
              <w:t>предварителн</w:t>
            </w:r>
            <w:r w:rsidR="005F7F6A" w:rsidRPr="000C11B2">
              <w:rPr>
                <w:i/>
                <w:szCs w:val="24"/>
                <w:lang w:val="bg-BG"/>
              </w:rPr>
              <w:t>и оценки на въздействието</w:t>
            </w:r>
            <w:r w:rsidR="0005034F" w:rsidRPr="000C11B2">
              <w:rPr>
                <w:i/>
                <w:szCs w:val="24"/>
                <w:lang w:val="bg-BG"/>
              </w:rPr>
              <w:t xml:space="preserve"> </w:t>
            </w:r>
            <w:r w:rsidR="00A26796" w:rsidRPr="000C11B2">
              <w:rPr>
                <w:i/>
                <w:szCs w:val="24"/>
                <w:lang w:val="bg-BG"/>
              </w:rPr>
              <w:t>в съответствие с</w:t>
            </w:r>
            <w:r w:rsidR="00283336" w:rsidRPr="000C11B2">
              <w:rPr>
                <w:i/>
                <w:szCs w:val="24"/>
                <w:lang w:val="bg-BG"/>
              </w:rPr>
              <w:t xml:space="preserve">ъс </w:t>
            </w:r>
            <w:r w:rsidR="009D152C" w:rsidRPr="009D152C">
              <w:rPr>
                <w:i/>
                <w:szCs w:val="24"/>
                <w:lang w:val="bg-BG"/>
              </w:rPr>
              <w:t>Закона за нормативните актове</w:t>
            </w:r>
            <w:r w:rsidR="00283336" w:rsidRPr="000C11B2">
              <w:rPr>
                <w:i/>
                <w:szCs w:val="24"/>
                <w:lang w:val="bg-BG"/>
              </w:rPr>
              <w:t>.</w:t>
            </w:r>
            <w:r w:rsidR="00A26796" w:rsidRPr="000C11B2">
              <w:rPr>
                <w:i/>
                <w:szCs w:val="24"/>
                <w:lang w:val="bg-BG"/>
              </w:rPr>
              <w:t xml:space="preserve"> </w:t>
            </w:r>
          </w:p>
          <w:p w14:paraId="1B1681AD" w14:textId="77777777" w:rsidR="0050309B" w:rsidRDefault="0050309B" w:rsidP="00A2679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  <w:p w14:paraId="49798484" w14:textId="77777777" w:rsidR="008D3B76" w:rsidRPr="005A6406" w:rsidRDefault="00A26796" w:rsidP="00A2679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A26796">
              <w:rPr>
                <w:i/>
                <w:szCs w:val="24"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1B7C99B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212EF8C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02A105D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620C7E3" w14:textId="77777777" w:rsidR="00E84386" w:rsidRPr="005A6406" w:rsidRDefault="00E84386" w:rsidP="00A2679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78F4EAD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66AC42D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028CD41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6E1E14A" w14:textId="77777777" w:rsidR="00832DF3" w:rsidRPr="005A6406" w:rsidRDefault="00A2679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Брой нормативни актове</w:t>
            </w:r>
          </w:p>
        </w:tc>
      </w:tr>
      <w:tr w:rsidR="005A6406" w:rsidRPr="005205F1" w14:paraId="79655025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FB121A9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7FD4C707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EC0A709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721E36A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0E451AE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77049DD6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C24B371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lastRenderedPageBreak/>
              <w:t>За страната</w:t>
            </w:r>
          </w:p>
        </w:tc>
      </w:tr>
      <w:tr w:rsidR="00EB51B6" w:rsidRPr="005205F1" w14:paraId="2576CC14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72805E5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1A419D2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97FE358" w14:textId="39099305" w:rsidR="00E16FC2" w:rsidRPr="00AF7CEF" w:rsidRDefault="003C5537" w:rsidP="003C5537">
            <w:pPr>
              <w:rPr>
                <w:i/>
                <w:lang w:val="bg-BG"/>
              </w:rPr>
            </w:pPr>
            <w:r>
              <w:rPr>
                <w:bCs/>
                <w:i/>
                <w:lang w:val="bg-BG"/>
              </w:rPr>
              <w:t xml:space="preserve">–В съответствие с приоритетната ос се </w:t>
            </w:r>
            <w:r>
              <w:rPr>
                <w:i/>
                <w:lang w:val="bg-BG"/>
              </w:rPr>
              <w:t>о</w:t>
            </w:r>
            <w:r w:rsidR="00623FE2" w:rsidRPr="002D2778">
              <w:rPr>
                <w:i/>
                <w:lang w:val="bg-BG"/>
              </w:rPr>
              <w:t>пределят се пр</w:t>
            </w:r>
            <w:r w:rsidR="001D6787">
              <w:rPr>
                <w:i/>
                <w:lang w:val="bg-BG"/>
              </w:rPr>
              <w:t>еди</w:t>
            </w:r>
            <w:r w:rsidR="00623FE2" w:rsidRPr="002D2778">
              <w:rPr>
                <w:i/>
                <w:lang w:val="bg-BG"/>
              </w:rPr>
              <w:t xml:space="preserve"> стартиране на процедура</w:t>
            </w:r>
            <w:r>
              <w:rPr>
                <w:i/>
                <w:lang w:val="bg-BG"/>
              </w:rPr>
              <w:t>та</w:t>
            </w:r>
            <w:r w:rsidR="00623FE2" w:rsidRPr="002D2778">
              <w:rPr>
                <w:i/>
                <w:lang w:val="bg-BG"/>
              </w:rPr>
              <w:t xml:space="preserve"> в съответствие с критериите</w:t>
            </w:r>
            <w:r>
              <w:rPr>
                <w:i/>
                <w:lang w:val="bg-BG"/>
              </w:rPr>
              <w:t>,</w:t>
            </w:r>
            <w:r w:rsidR="00623FE2" w:rsidRPr="002D2778">
              <w:rPr>
                <w:i/>
                <w:lang w:val="bg-BG"/>
              </w:rPr>
              <w:t xml:space="preserve"> одобрени от Комитета за наблюдение.</w:t>
            </w:r>
          </w:p>
        </w:tc>
      </w:tr>
      <w:tr w:rsidR="00EB51B6" w:rsidRPr="005205F1" w14:paraId="48C4DD1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235E5FC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1D7FC22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361E44A" w14:textId="77777777" w:rsidR="00EB51B6" w:rsidRPr="00B166D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110F86D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9490347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080DBE31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BB4F452" w14:textId="77777777" w:rsidR="00EB51B6" w:rsidRPr="005205F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247F0910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12460D75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585C0FA5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B7032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5ED112D8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6B75204D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5CCC382" w14:textId="77777777" w:rsidR="00346D8F" w:rsidRPr="00A23486" w:rsidRDefault="0084659B" w:rsidP="003835A1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4ADCC27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7650E28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1186984A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21D0FF9" w14:textId="77777777" w:rsidR="00042285" w:rsidRPr="001D6787" w:rsidRDefault="004C4E1C" w:rsidP="003835A1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1D6787">
              <w:rPr>
                <w:i/>
                <w:szCs w:val="24"/>
                <w:lang w:val="bg-BG"/>
              </w:rPr>
              <w:t xml:space="preserve">Регламент </w:t>
            </w:r>
            <w:r w:rsidRPr="005F012B">
              <w:rPr>
                <w:i/>
                <w:lang w:val="bg-BG"/>
              </w:rPr>
              <w:t>(</w:t>
            </w:r>
            <w:r w:rsidRPr="001D6787">
              <w:rPr>
                <w:i/>
                <w:szCs w:val="24"/>
                <w:lang w:val="bg-BG"/>
              </w:rPr>
              <w:t>ЕС</w:t>
            </w:r>
            <w:r w:rsidRPr="005F012B">
              <w:rPr>
                <w:i/>
                <w:lang w:val="bg-BG"/>
              </w:rPr>
              <w:t>)</w:t>
            </w:r>
            <w:r w:rsidR="00C717DD" w:rsidRPr="001D6787">
              <w:rPr>
                <w:i/>
                <w:szCs w:val="24"/>
                <w:lang w:val="bg-BG"/>
              </w:rPr>
              <w:t xml:space="preserve"> </w:t>
            </w:r>
            <w:r w:rsidRPr="001D6787"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</w:t>
            </w:r>
            <w:proofErr w:type="spellStart"/>
            <w:r w:rsidRPr="001D6787">
              <w:rPr>
                <w:i/>
                <w:szCs w:val="24"/>
                <w:lang w:val="bg-BG"/>
              </w:rPr>
              <w:t>общоприложими</w:t>
            </w:r>
            <w:proofErr w:type="spellEnd"/>
            <w:r w:rsidRPr="001D6787">
              <w:rPr>
                <w:i/>
                <w:szCs w:val="24"/>
                <w:lang w:val="bg-BG"/>
              </w:rPr>
              <w:t xml:space="preserve">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 w:rsidRPr="005F012B">
              <w:rPr>
                <w:i/>
                <w:lang w:val="bg-BG"/>
              </w:rPr>
              <w:t>(</w:t>
            </w:r>
            <w:r w:rsidRPr="001D6787">
              <w:rPr>
                <w:i/>
                <w:szCs w:val="24"/>
                <w:lang w:val="bg-BG"/>
              </w:rPr>
              <w:t>ЕО</w:t>
            </w:r>
            <w:r w:rsidRPr="005F012B">
              <w:rPr>
                <w:i/>
                <w:lang w:val="bg-BG"/>
              </w:rPr>
              <w:t>)</w:t>
            </w:r>
            <w:r w:rsidRPr="001D6787">
              <w:rPr>
                <w:i/>
                <w:szCs w:val="24"/>
                <w:lang w:val="bg-BG"/>
              </w:rPr>
              <w:t xml:space="preserve">№ 1083/2006 на Съвета. </w:t>
            </w:r>
          </w:p>
          <w:p w14:paraId="7FFA7488" w14:textId="77777777" w:rsidR="00247438" w:rsidRPr="001D6787" w:rsidRDefault="00247438" w:rsidP="003835A1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5F012B">
              <w:rPr>
                <w:rFonts w:ascii="TimesNewRomanPS-BoldMT" w:hAnsi="TimesNewRomanPS-BoldMT"/>
                <w:b/>
                <w:lang w:val="bg-BG"/>
              </w:rPr>
              <w:t>Стратегия за развитие на държавната администрация</w:t>
            </w:r>
            <w:r w:rsidRPr="001D6787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5F012B">
              <w:rPr>
                <w:rFonts w:ascii="TimesNewRomanPS-BoldMT" w:hAnsi="TimesNewRomanPS-BoldMT"/>
                <w:b/>
                <w:lang w:val="bg-BG"/>
              </w:rPr>
              <w:t>(2014 - 2020 г.)</w:t>
            </w:r>
          </w:p>
          <w:p w14:paraId="465584A2" w14:textId="3F5A01DB" w:rsidR="00247438" w:rsidRPr="001D6787" w:rsidRDefault="00247438" w:rsidP="003835A1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1D6787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Национална</w:t>
            </w:r>
            <w:r w:rsidRPr="005F012B">
              <w:rPr>
                <w:rFonts w:ascii="TimesNewRomanPS-BoldMT" w:hAnsi="TimesNewRomanPS-BoldMT"/>
                <w:b/>
                <w:lang w:val="bg-BG"/>
              </w:rPr>
              <w:t xml:space="preserve"> програма за реформи на Република България в изпълнение на Стратегията „Европа 2020“ </w:t>
            </w:r>
          </w:p>
          <w:p w14:paraId="59CE252C" w14:textId="77777777" w:rsidR="00C717DD" w:rsidRPr="001D6787" w:rsidRDefault="004C4E1C" w:rsidP="003835A1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5F012B">
              <w:rPr>
                <w:rFonts w:ascii="TimesNewRomanPS-BoldMT" w:hAnsi="TimesNewRomanPS-BoldMT"/>
                <w:b/>
                <w:lang w:val="bg-BG"/>
              </w:rPr>
              <w:t>Национална програма за</w:t>
            </w:r>
            <w:r w:rsidRPr="001D6787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5F012B">
              <w:rPr>
                <w:rFonts w:ascii="TimesNewRomanPS-BoldMT" w:hAnsi="TimesNewRomanPS-BoldMT"/>
                <w:b/>
                <w:lang w:val="bg-BG"/>
              </w:rPr>
              <w:t>развитие</w:t>
            </w:r>
            <w:r w:rsidR="00C717DD" w:rsidRPr="001D6787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:</w:t>
            </w:r>
            <w:r w:rsidRPr="005F012B">
              <w:rPr>
                <w:rFonts w:ascii="TimesNewRomanPS-BoldMT" w:hAnsi="TimesNewRomanPS-BoldMT"/>
                <w:b/>
                <w:lang w:val="bg-BG"/>
              </w:rPr>
              <w:t xml:space="preserve"> България 2020</w:t>
            </w:r>
          </w:p>
          <w:p w14:paraId="5474FF85" w14:textId="77777777" w:rsidR="004C4E1C" w:rsidRPr="001D6787" w:rsidRDefault="004C4E1C" w:rsidP="003835A1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5F012B">
              <w:rPr>
                <w:rFonts w:ascii="TimesNewRomanPS-BoldMT" w:hAnsi="TimesNewRomanPS-BoldMT"/>
                <w:b/>
                <w:lang w:val="bg-BG"/>
              </w:rPr>
              <w:t>Споразумение за</w:t>
            </w:r>
            <w:r w:rsidRPr="001D6787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5F012B">
              <w:rPr>
                <w:rFonts w:ascii="TimesNewRomanPS-BoldMT" w:hAnsi="TimesNewRomanPS-BoldMT"/>
                <w:b/>
                <w:lang w:val="bg-BG"/>
              </w:rPr>
              <w:t>партньорство</w:t>
            </w:r>
          </w:p>
          <w:p w14:paraId="277B78CB" w14:textId="77777777" w:rsidR="007F09FD" w:rsidRPr="001D6787" w:rsidRDefault="007F09FD" w:rsidP="007F09FD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1D6787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Устройствен правилник на Министерския съвет и </w:t>
            </w:r>
            <w:r w:rsidR="005F7F6A" w:rsidRPr="001D6787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на </w:t>
            </w:r>
            <w:r w:rsidRPr="001D6787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неговата администрация</w:t>
            </w:r>
          </w:p>
          <w:p w14:paraId="46D5D7AA" w14:textId="77777777" w:rsidR="007F09FD" w:rsidRPr="001D6787" w:rsidRDefault="007F09FD" w:rsidP="007F09FD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1D6787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ограничаване на административното регулиране и административния контрол върху стопанката дейност</w:t>
            </w:r>
          </w:p>
          <w:p w14:paraId="14BF7F62" w14:textId="77777777" w:rsidR="001D6787" w:rsidRPr="00B166D1" w:rsidRDefault="001D6787" w:rsidP="007F09FD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нормативните актове</w:t>
            </w:r>
            <w:r w:rsidR="000571B5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="000571B5" w:rsidRPr="00FC23C0">
              <w:rPr>
                <w:rFonts w:ascii="TimesNewRomanPS-BoldMT" w:hAnsi="TimesNewRomanPS-BoldMT" w:cs="TimesNewRomanPS-BoldMT"/>
                <w:b/>
                <w:bCs/>
                <w:lang w:val="ru-RU" w:eastAsia="en-US"/>
              </w:rPr>
              <w:t>(</w:t>
            </w:r>
            <w:r w:rsidR="000571B5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ЗНА</w:t>
            </w:r>
            <w:r w:rsidR="000571B5" w:rsidRPr="00FC23C0">
              <w:rPr>
                <w:rFonts w:ascii="TimesNewRomanPS-BoldMT" w:hAnsi="TimesNewRomanPS-BoldMT" w:cs="TimesNewRomanPS-BoldMT"/>
                <w:b/>
                <w:bCs/>
                <w:lang w:val="ru-RU" w:eastAsia="en-US"/>
              </w:rPr>
              <w:t>)</w:t>
            </w:r>
          </w:p>
        </w:tc>
      </w:tr>
    </w:tbl>
    <w:p w14:paraId="738CFF82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5A799B43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3331A03" w14:textId="77777777" w:rsidR="00346D8F" w:rsidRPr="005205F1" w:rsidRDefault="002D0F3D" w:rsidP="003835A1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50065ECA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6463FB3" w14:textId="77777777" w:rsidR="00D507D8" w:rsidRPr="005205F1" w:rsidRDefault="00623FE2" w:rsidP="00623FE2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126C462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F6F3E08" w14:textId="77777777" w:rsidR="00634BC6" w:rsidRPr="005205F1" w:rsidRDefault="00634BC6" w:rsidP="003835A1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09AB79CC" w14:textId="77777777" w:rsidR="00D507D8" w:rsidRPr="005205F1" w:rsidRDefault="00634BC6" w:rsidP="003835A1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2E54FDD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ECB0A3F" w14:textId="77777777" w:rsidR="00D507D8" w:rsidRPr="00A23486" w:rsidRDefault="00623FE2" w:rsidP="00623FE2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60C40BFB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D99CFC2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5C0C9976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3B534BDE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A6838AE" w14:textId="77777777" w:rsidR="00346D8F" w:rsidRPr="005205F1" w:rsidRDefault="00C3069E" w:rsidP="003835A1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lastRenderedPageBreak/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FC23C0" w14:paraId="5CEB012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59269A1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3E973F4E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68583686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B6477E4" w14:textId="77777777" w:rsidR="00346D8F" w:rsidRPr="005A6406" w:rsidRDefault="005A6E5A" w:rsidP="003835A1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3426527A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B30A493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7C377348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D36D934" w14:textId="77777777" w:rsidR="004A606E" w:rsidRPr="005205F1" w:rsidRDefault="00114E7A" w:rsidP="00623FE2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764E97B9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17DAC2E4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01F9D1A" w14:textId="77777777" w:rsidR="00346D8F" w:rsidRPr="005A6406" w:rsidRDefault="0047448B" w:rsidP="003835A1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FC23C0" w14:paraId="6E22EB0F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E737381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48EA9EBA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CA09E6D" w14:textId="4CD7FA65" w:rsidR="004A606E" w:rsidRPr="005205F1" w:rsidRDefault="0070609B" w:rsidP="0070609B">
            <w:pPr>
              <w:rPr>
                <w:lang w:val="bg-BG"/>
              </w:rPr>
            </w:pPr>
            <w:r>
              <w:rPr>
                <w:lang w:val="bg-BG"/>
              </w:rPr>
              <w:t>Ръководство за извършване на оценка на въздействието</w:t>
            </w:r>
            <w:r w:rsidR="000776CB">
              <w:rPr>
                <w:lang w:val="bg-BG"/>
              </w:rPr>
              <w:t xml:space="preserve"> на законодателството в Р България</w:t>
            </w:r>
          </w:p>
        </w:tc>
      </w:tr>
      <w:tr w:rsidR="005A6406" w:rsidRPr="005A6406" w14:paraId="5F02DC41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6BD82B52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25E390C3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88002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26355FFC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4384996D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8B00389" w14:textId="77777777" w:rsidR="000E38D3" w:rsidRPr="005205F1" w:rsidRDefault="0073457D" w:rsidP="003835A1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5ABF977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0FED1B3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1D6787" w14:paraId="64B205AD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322AF76" w14:textId="6D8776BA" w:rsidR="0086601C" w:rsidRPr="001D6787" w:rsidRDefault="004C4E1C" w:rsidP="00247438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 w:rsidRPr="005F012B">
              <w:rPr>
                <w:lang w:val="bg-BG"/>
              </w:rPr>
              <w:t>Доклади на бенефициенти, ИСУН, мониторинг от УО</w:t>
            </w:r>
            <w:r w:rsidR="00BD1DAC" w:rsidRPr="001D6787">
              <w:rPr>
                <w:szCs w:val="24"/>
                <w:lang w:val="bg-BG"/>
              </w:rPr>
              <w:t xml:space="preserve">, </w:t>
            </w:r>
            <w:r w:rsidR="00457971" w:rsidRPr="001D6787">
              <w:rPr>
                <w:szCs w:val="24"/>
                <w:lang w:val="bg-BG"/>
              </w:rPr>
              <w:t>Доклад за състоянието на администрацията</w:t>
            </w:r>
            <w:r w:rsidR="00A47C32">
              <w:rPr>
                <w:szCs w:val="24"/>
                <w:lang w:val="bg-BG"/>
              </w:rPr>
              <w:t xml:space="preserve"> и/или ИИСДА</w:t>
            </w:r>
          </w:p>
        </w:tc>
      </w:tr>
      <w:tr w:rsidR="0086601C" w:rsidRPr="001D6787" w14:paraId="744E6A2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C90A674" w14:textId="77777777" w:rsidR="0086601C" w:rsidRPr="005F012B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lang w:val="bg-BG"/>
              </w:rPr>
            </w:pPr>
            <w:r w:rsidRPr="001D6787">
              <w:rPr>
                <w:b/>
                <w:szCs w:val="24"/>
                <w:lang w:val="bg-BG"/>
              </w:rPr>
              <w:t>8</w:t>
            </w:r>
            <w:r w:rsidR="0086601C" w:rsidRPr="005F012B">
              <w:rPr>
                <w:b/>
                <w:lang w:val="bg-BG"/>
              </w:rPr>
              <w:t xml:space="preserve">.2 </w:t>
            </w:r>
            <w:r w:rsidR="0073457D" w:rsidRPr="001D6787">
              <w:rPr>
                <w:b/>
                <w:szCs w:val="24"/>
                <w:lang w:val="bg-BG"/>
              </w:rPr>
              <w:t>Честота</w:t>
            </w:r>
            <w:r w:rsidR="0073457D" w:rsidRPr="005F012B">
              <w:rPr>
                <w:b/>
                <w:lang w:val="bg-BG"/>
              </w:rPr>
              <w:t xml:space="preserve"> на </w:t>
            </w:r>
            <w:r w:rsidR="0073457D" w:rsidRPr="001D6787">
              <w:rPr>
                <w:b/>
                <w:szCs w:val="24"/>
                <w:lang w:val="bg-BG"/>
              </w:rPr>
              <w:t>събиране</w:t>
            </w:r>
            <w:r w:rsidR="0073457D" w:rsidRPr="005F012B">
              <w:rPr>
                <w:b/>
                <w:lang w:val="bg-BG"/>
              </w:rPr>
              <w:t xml:space="preserve"> на </w:t>
            </w:r>
            <w:r w:rsidR="0073457D" w:rsidRPr="001D6787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1D6787" w14:paraId="69BC667D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F4A8AD1" w14:textId="77777777" w:rsidR="0086601C" w:rsidRPr="001D6787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 w:rsidRPr="001D6787">
              <w:rPr>
                <w:szCs w:val="24"/>
                <w:lang w:val="bg-BG"/>
              </w:rPr>
              <w:t>годишно</w:t>
            </w:r>
          </w:p>
        </w:tc>
      </w:tr>
      <w:tr w:rsidR="0086601C" w:rsidRPr="001D6787" w14:paraId="601AAF8D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BB4BF45" w14:textId="77777777" w:rsidR="0086601C" w:rsidRPr="005F012B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lang w:val="bg-BG"/>
              </w:rPr>
            </w:pPr>
            <w:r w:rsidRPr="001D6787">
              <w:rPr>
                <w:b/>
                <w:szCs w:val="24"/>
                <w:lang w:val="bg-BG"/>
              </w:rPr>
              <w:t>8</w:t>
            </w:r>
            <w:r w:rsidR="0086601C" w:rsidRPr="005F012B">
              <w:rPr>
                <w:b/>
                <w:lang w:val="bg-BG"/>
              </w:rPr>
              <w:t xml:space="preserve">.3 </w:t>
            </w:r>
            <w:r w:rsidR="00584348" w:rsidRPr="001D6787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1D6787" w14:paraId="3F7B97AF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ACDAD3B" w14:textId="77777777" w:rsidR="0086601C" w:rsidRPr="001D6787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 w:rsidRPr="001D6787"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1D6787" w14:paraId="0665960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376FA1B" w14:textId="77777777" w:rsidR="0086601C" w:rsidRPr="001D6787" w:rsidRDefault="00623FE2" w:rsidP="00623FE2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 w:rsidRPr="001D6787">
              <w:rPr>
                <w:b/>
                <w:szCs w:val="24"/>
                <w:lang w:val="bg-BG"/>
              </w:rPr>
              <w:t>8</w:t>
            </w:r>
            <w:r w:rsidR="0086601C" w:rsidRPr="005F012B">
              <w:rPr>
                <w:b/>
                <w:lang w:val="bg-BG"/>
              </w:rPr>
              <w:t>.</w:t>
            </w:r>
            <w:r w:rsidR="00E933F9" w:rsidRPr="005F012B">
              <w:rPr>
                <w:b/>
                <w:lang w:val="bg-BG"/>
              </w:rPr>
              <w:t>4</w:t>
            </w:r>
            <w:r w:rsidR="0086601C" w:rsidRPr="005F012B">
              <w:rPr>
                <w:b/>
                <w:lang w:val="bg-BG"/>
              </w:rPr>
              <w:t xml:space="preserve"> </w:t>
            </w:r>
            <w:r w:rsidR="0073457D" w:rsidRPr="001D6787">
              <w:rPr>
                <w:b/>
                <w:szCs w:val="24"/>
                <w:lang w:val="bg-BG"/>
              </w:rPr>
              <w:t>Валидиране</w:t>
            </w:r>
            <w:r w:rsidR="0073457D" w:rsidRPr="005F012B">
              <w:rPr>
                <w:b/>
                <w:lang w:val="bg-BG"/>
              </w:rPr>
              <w:t xml:space="preserve"> на данни</w:t>
            </w:r>
            <w:r w:rsidR="00584348" w:rsidRPr="001D6787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1D6787" w14:paraId="4DA1934D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238870C" w14:textId="77777777" w:rsidR="0086601C" w:rsidRPr="001D6787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1D6787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1D6787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4A9CD6CD" w14:textId="77777777" w:rsidR="00047F09" w:rsidRPr="001D6787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7D5000FC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DE9618B" w14:textId="77777777" w:rsidR="00584348" w:rsidRPr="005205F1" w:rsidRDefault="00584348" w:rsidP="003835A1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7AFA5BDF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142CE8B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71A36EC0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03EDDD" w14:textId="77777777" w:rsidR="005F012B" w:rsidRPr="00753C8C" w:rsidRDefault="005F012B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0099FF2E" w14:textId="77777777" w:rsidR="005F012B" w:rsidRPr="00753C8C" w:rsidRDefault="005F012B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074FCBFE" w14:textId="77777777" w:rsidR="005F012B" w:rsidRDefault="005F01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E597C" w14:textId="77777777" w:rsidR="00134237" w:rsidRDefault="001342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DCA0FB" w14:textId="1C2AEE51" w:rsidR="00BB456D" w:rsidRDefault="00134237" w:rsidP="00385CEA">
    <w:pPr>
      <w:pStyle w:val="Footer"/>
    </w:pPr>
    <w:proofErr w:type="spellStart"/>
    <w:r w:rsidRPr="00134237">
      <w:rPr>
        <w:i/>
        <w:lang w:val="en-GB" w:eastAsia="en-GB"/>
      </w:rPr>
      <w:t>Версия</w:t>
    </w:r>
    <w:proofErr w:type="spellEnd"/>
    <w:r w:rsidRPr="00134237">
      <w:rPr>
        <w:i/>
        <w:lang w:val="en-GB" w:eastAsia="en-GB"/>
      </w:rPr>
      <w:t xml:space="preserve"> № 2 </w:t>
    </w:r>
    <w:proofErr w:type="spellStart"/>
    <w:r w:rsidRPr="00134237">
      <w:rPr>
        <w:i/>
        <w:lang w:val="en-GB" w:eastAsia="en-GB"/>
      </w:rPr>
      <w:t>от</w:t>
    </w:r>
    <w:proofErr w:type="spellEnd"/>
    <w:r w:rsidRPr="00134237">
      <w:rPr>
        <w:i/>
        <w:lang w:val="en-GB" w:eastAsia="en-GB"/>
      </w:rPr>
      <w:t xml:space="preserve"> 12.09.2016 г.                     </w:t>
    </w:r>
    <w:r w:rsidR="00BB456D">
      <w:fldChar w:fldCharType="begin"/>
    </w:r>
    <w:r w:rsidR="00BB456D">
      <w:instrText xml:space="preserve"> PAGE   \* MERGEFORMAT </w:instrText>
    </w:r>
    <w:r w:rsidR="00BB456D">
      <w:fldChar w:fldCharType="separate"/>
    </w:r>
    <w:r w:rsidR="00385CEA">
      <w:rPr>
        <w:noProof/>
      </w:rPr>
      <w:t>3</w:t>
    </w:r>
    <w:r w:rsidR="00BB456D">
      <w:fldChar w:fldCharType="end"/>
    </w:r>
  </w:p>
  <w:p w14:paraId="1C187FF2" w14:textId="77777777" w:rsidR="00BB456D" w:rsidRDefault="00BB45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6660E" w14:textId="77777777" w:rsidR="00134237" w:rsidRDefault="001342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E2854A" w14:textId="77777777" w:rsidR="005F012B" w:rsidRPr="00753C8C" w:rsidRDefault="005F012B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2E383FE4" w14:textId="77777777" w:rsidR="005F012B" w:rsidRPr="00753C8C" w:rsidRDefault="005F012B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0314126F" w14:textId="77777777" w:rsidR="005F012B" w:rsidRDefault="005F012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B41318" w14:textId="77777777" w:rsidR="00134237" w:rsidRDefault="0013423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3407C" w14:textId="77777777" w:rsidR="005F012B" w:rsidRDefault="005F012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F699A" w14:textId="77777777" w:rsidR="00134237" w:rsidRDefault="001342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" w15:restartNumberingAfterBreak="0">
    <w:nsid w:val="750178AA"/>
    <w:multiLevelType w:val="hybridMultilevel"/>
    <w:tmpl w:val="EB20EE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C2"/>
    <w:rsid w:val="00004707"/>
    <w:rsid w:val="0000632D"/>
    <w:rsid w:val="0001044B"/>
    <w:rsid w:val="00010C1C"/>
    <w:rsid w:val="0001151D"/>
    <w:rsid w:val="0001749C"/>
    <w:rsid w:val="00017590"/>
    <w:rsid w:val="00024914"/>
    <w:rsid w:val="000279D5"/>
    <w:rsid w:val="000410D2"/>
    <w:rsid w:val="00042285"/>
    <w:rsid w:val="00043837"/>
    <w:rsid w:val="00045166"/>
    <w:rsid w:val="00047F09"/>
    <w:rsid w:val="0005034F"/>
    <w:rsid w:val="000571B5"/>
    <w:rsid w:val="000615D4"/>
    <w:rsid w:val="00063C76"/>
    <w:rsid w:val="000711A1"/>
    <w:rsid w:val="00073AD2"/>
    <w:rsid w:val="000776CB"/>
    <w:rsid w:val="000803EA"/>
    <w:rsid w:val="000847D9"/>
    <w:rsid w:val="00086261"/>
    <w:rsid w:val="00090B6A"/>
    <w:rsid w:val="000A37A9"/>
    <w:rsid w:val="000A57D5"/>
    <w:rsid w:val="000A68B3"/>
    <w:rsid w:val="000A6AB3"/>
    <w:rsid w:val="000C11B2"/>
    <w:rsid w:val="000C20DF"/>
    <w:rsid w:val="000C7E30"/>
    <w:rsid w:val="000E1F7D"/>
    <w:rsid w:val="000E38D3"/>
    <w:rsid w:val="000F36DC"/>
    <w:rsid w:val="000F6446"/>
    <w:rsid w:val="000F781C"/>
    <w:rsid w:val="001012E6"/>
    <w:rsid w:val="001022EB"/>
    <w:rsid w:val="0011243A"/>
    <w:rsid w:val="00114E7A"/>
    <w:rsid w:val="00124097"/>
    <w:rsid w:val="00134237"/>
    <w:rsid w:val="00147CD5"/>
    <w:rsid w:val="00150301"/>
    <w:rsid w:val="00154253"/>
    <w:rsid w:val="0015599A"/>
    <w:rsid w:val="0016196A"/>
    <w:rsid w:val="00186AC2"/>
    <w:rsid w:val="00192D80"/>
    <w:rsid w:val="001A1E0A"/>
    <w:rsid w:val="001A227A"/>
    <w:rsid w:val="001D2346"/>
    <w:rsid w:val="001D6787"/>
    <w:rsid w:val="001F25DE"/>
    <w:rsid w:val="002005D1"/>
    <w:rsid w:val="00203221"/>
    <w:rsid w:val="0020346B"/>
    <w:rsid w:val="002111A1"/>
    <w:rsid w:val="00211D34"/>
    <w:rsid w:val="00212943"/>
    <w:rsid w:val="00214733"/>
    <w:rsid w:val="002263FF"/>
    <w:rsid w:val="002448BC"/>
    <w:rsid w:val="0024677F"/>
    <w:rsid w:val="00247438"/>
    <w:rsid w:val="00250142"/>
    <w:rsid w:val="00271E46"/>
    <w:rsid w:val="002756A2"/>
    <w:rsid w:val="00283336"/>
    <w:rsid w:val="002960B3"/>
    <w:rsid w:val="002978FA"/>
    <w:rsid w:val="002A0C24"/>
    <w:rsid w:val="002A382E"/>
    <w:rsid w:val="002A5B8F"/>
    <w:rsid w:val="002B1C6D"/>
    <w:rsid w:val="002B411B"/>
    <w:rsid w:val="002C1EA8"/>
    <w:rsid w:val="002C2A03"/>
    <w:rsid w:val="002D0F3D"/>
    <w:rsid w:val="002D1E7A"/>
    <w:rsid w:val="002D24FB"/>
    <w:rsid w:val="002D2778"/>
    <w:rsid w:val="002D71B2"/>
    <w:rsid w:val="002D760B"/>
    <w:rsid w:val="002F53B1"/>
    <w:rsid w:val="00301EF7"/>
    <w:rsid w:val="00313BDF"/>
    <w:rsid w:val="0031431C"/>
    <w:rsid w:val="0032317F"/>
    <w:rsid w:val="00324F35"/>
    <w:rsid w:val="003317F0"/>
    <w:rsid w:val="00346D8F"/>
    <w:rsid w:val="00350D16"/>
    <w:rsid w:val="00372CEE"/>
    <w:rsid w:val="00373828"/>
    <w:rsid w:val="0037503E"/>
    <w:rsid w:val="003835A1"/>
    <w:rsid w:val="00385CEA"/>
    <w:rsid w:val="00387F03"/>
    <w:rsid w:val="003A2193"/>
    <w:rsid w:val="003B1353"/>
    <w:rsid w:val="003C3A24"/>
    <w:rsid w:val="003C41C8"/>
    <w:rsid w:val="003C52EF"/>
    <w:rsid w:val="003C5537"/>
    <w:rsid w:val="003C60CF"/>
    <w:rsid w:val="003C6DE4"/>
    <w:rsid w:val="003D43E8"/>
    <w:rsid w:val="003F60FB"/>
    <w:rsid w:val="00412C02"/>
    <w:rsid w:val="00417F16"/>
    <w:rsid w:val="00430135"/>
    <w:rsid w:val="00451226"/>
    <w:rsid w:val="00451B29"/>
    <w:rsid w:val="004545AF"/>
    <w:rsid w:val="00457971"/>
    <w:rsid w:val="00472327"/>
    <w:rsid w:val="004737FC"/>
    <w:rsid w:val="0047448B"/>
    <w:rsid w:val="0047531A"/>
    <w:rsid w:val="00480125"/>
    <w:rsid w:val="00480C47"/>
    <w:rsid w:val="00486B32"/>
    <w:rsid w:val="004938B0"/>
    <w:rsid w:val="004A0A1D"/>
    <w:rsid w:val="004A606E"/>
    <w:rsid w:val="004B4263"/>
    <w:rsid w:val="004C4E1C"/>
    <w:rsid w:val="004C531F"/>
    <w:rsid w:val="004C72D3"/>
    <w:rsid w:val="004D4AE3"/>
    <w:rsid w:val="004F0D39"/>
    <w:rsid w:val="004F1025"/>
    <w:rsid w:val="004F5070"/>
    <w:rsid w:val="004F6153"/>
    <w:rsid w:val="00502D8E"/>
    <w:rsid w:val="0050309B"/>
    <w:rsid w:val="005076D8"/>
    <w:rsid w:val="00516360"/>
    <w:rsid w:val="005205F1"/>
    <w:rsid w:val="005250B3"/>
    <w:rsid w:val="005264EF"/>
    <w:rsid w:val="0053253A"/>
    <w:rsid w:val="00533C12"/>
    <w:rsid w:val="00536D60"/>
    <w:rsid w:val="005458B3"/>
    <w:rsid w:val="00553A2F"/>
    <w:rsid w:val="00553E9A"/>
    <w:rsid w:val="00561CD5"/>
    <w:rsid w:val="00564910"/>
    <w:rsid w:val="00575615"/>
    <w:rsid w:val="005800CD"/>
    <w:rsid w:val="00584348"/>
    <w:rsid w:val="00592EB3"/>
    <w:rsid w:val="0059322A"/>
    <w:rsid w:val="00595560"/>
    <w:rsid w:val="005A24F6"/>
    <w:rsid w:val="005A639F"/>
    <w:rsid w:val="005A6406"/>
    <w:rsid w:val="005A6E5A"/>
    <w:rsid w:val="005A7F00"/>
    <w:rsid w:val="005C1480"/>
    <w:rsid w:val="005C223C"/>
    <w:rsid w:val="005C6CD3"/>
    <w:rsid w:val="005E3A13"/>
    <w:rsid w:val="005E69B5"/>
    <w:rsid w:val="005F012B"/>
    <w:rsid w:val="005F3284"/>
    <w:rsid w:val="005F6BB2"/>
    <w:rsid w:val="005F75C7"/>
    <w:rsid w:val="005F7F6A"/>
    <w:rsid w:val="0061425B"/>
    <w:rsid w:val="00615246"/>
    <w:rsid w:val="00615650"/>
    <w:rsid w:val="006169BF"/>
    <w:rsid w:val="00616F56"/>
    <w:rsid w:val="0062024B"/>
    <w:rsid w:val="00623FE2"/>
    <w:rsid w:val="00625624"/>
    <w:rsid w:val="00626E8D"/>
    <w:rsid w:val="00634BC6"/>
    <w:rsid w:val="006417C7"/>
    <w:rsid w:val="00647F17"/>
    <w:rsid w:val="00651CA0"/>
    <w:rsid w:val="00661090"/>
    <w:rsid w:val="00665330"/>
    <w:rsid w:val="00665B09"/>
    <w:rsid w:val="0067071B"/>
    <w:rsid w:val="00671DFE"/>
    <w:rsid w:val="00674115"/>
    <w:rsid w:val="0068472E"/>
    <w:rsid w:val="00691119"/>
    <w:rsid w:val="00695802"/>
    <w:rsid w:val="006B394A"/>
    <w:rsid w:val="006B4C14"/>
    <w:rsid w:val="006C4E7D"/>
    <w:rsid w:val="006E4A86"/>
    <w:rsid w:val="006E6DCF"/>
    <w:rsid w:val="006F0562"/>
    <w:rsid w:val="006F4F94"/>
    <w:rsid w:val="006F6ED0"/>
    <w:rsid w:val="006F7269"/>
    <w:rsid w:val="0070609B"/>
    <w:rsid w:val="00710B17"/>
    <w:rsid w:val="00711DE2"/>
    <w:rsid w:val="007123D1"/>
    <w:rsid w:val="00722809"/>
    <w:rsid w:val="00727955"/>
    <w:rsid w:val="00730121"/>
    <w:rsid w:val="0073457D"/>
    <w:rsid w:val="007407D6"/>
    <w:rsid w:val="0075200E"/>
    <w:rsid w:val="00753C8C"/>
    <w:rsid w:val="007635DB"/>
    <w:rsid w:val="00770441"/>
    <w:rsid w:val="007740B6"/>
    <w:rsid w:val="00780471"/>
    <w:rsid w:val="0079092E"/>
    <w:rsid w:val="00791849"/>
    <w:rsid w:val="007A591D"/>
    <w:rsid w:val="007B0B92"/>
    <w:rsid w:val="007B3E24"/>
    <w:rsid w:val="007B53BE"/>
    <w:rsid w:val="007B546B"/>
    <w:rsid w:val="007D1D2B"/>
    <w:rsid w:val="007D35B4"/>
    <w:rsid w:val="007D39BF"/>
    <w:rsid w:val="007D3DDD"/>
    <w:rsid w:val="007D53E3"/>
    <w:rsid w:val="007D5560"/>
    <w:rsid w:val="007E030B"/>
    <w:rsid w:val="007F012B"/>
    <w:rsid w:val="007F0741"/>
    <w:rsid w:val="007F09FD"/>
    <w:rsid w:val="007F6D9A"/>
    <w:rsid w:val="00800C61"/>
    <w:rsid w:val="00801849"/>
    <w:rsid w:val="0081394E"/>
    <w:rsid w:val="00816726"/>
    <w:rsid w:val="0081771D"/>
    <w:rsid w:val="00823A73"/>
    <w:rsid w:val="00824AE7"/>
    <w:rsid w:val="0083029F"/>
    <w:rsid w:val="00832DF3"/>
    <w:rsid w:val="00835619"/>
    <w:rsid w:val="0084659B"/>
    <w:rsid w:val="00847940"/>
    <w:rsid w:val="00850FDC"/>
    <w:rsid w:val="0086601C"/>
    <w:rsid w:val="00870808"/>
    <w:rsid w:val="008908D3"/>
    <w:rsid w:val="008B5ECC"/>
    <w:rsid w:val="008C6AFE"/>
    <w:rsid w:val="008D206F"/>
    <w:rsid w:val="008D3B76"/>
    <w:rsid w:val="008D5A70"/>
    <w:rsid w:val="008E31C8"/>
    <w:rsid w:val="008E4C30"/>
    <w:rsid w:val="008F1630"/>
    <w:rsid w:val="0090021F"/>
    <w:rsid w:val="0090315C"/>
    <w:rsid w:val="00916F0E"/>
    <w:rsid w:val="00935DE9"/>
    <w:rsid w:val="00937B89"/>
    <w:rsid w:val="0094443D"/>
    <w:rsid w:val="00944AE8"/>
    <w:rsid w:val="00954B99"/>
    <w:rsid w:val="00957398"/>
    <w:rsid w:val="0096356D"/>
    <w:rsid w:val="0097171C"/>
    <w:rsid w:val="00973C89"/>
    <w:rsid w:val="00976916"/>
    <w:rsid w:val="00985865"/>
    <w:rsid w:val="00994DCE"/>
    <w:rsid w:val="009B50C4"/>
    <w:rsid w:val="009C14A9"/>
    <w:rsid w:val="009C701A"/>
    <w:rsid w:val="009D152C"/>
    <w:rsid w:val="009F024A"/>
    <w:rsid w:val="009F2ACD"/>
    <w:rsid w:val="00A006F6"/>
    <w:rsid w:val="00A04708"/>
    <w:rsid w:val="00A06BFA"/>
    <w:rsid w:val="00A20AC9"/>
    <w:rsid w:val="00A23486"/>
    <w:rsid w:val="00A26612"/>
    <w:rsid w:val="00A26648"/>
    <w:rsid w:val="00A26796"/>
    <w:rsid w:val="00A47C32"/>
    <w:rsid w:val="00A5706B"/>
    <w:rsid w:val="00A66499"/>
    <w:rsid w:val="00A7314F"/>
    <w:rsid w:val="00A758EC"/>
    <w:rsid w:val="00A766FD"/>
    <w:rsid w:val="00A77C72"/>
    <w:rsid w:val="00A803D4"/>
    <w:rsid w:val="00A81193"/>
    <w:rsid w:val="00A8158C"/>
    <w:rsid w:val="00A8735F"/>
    <w:rsid w:val="00AA531F"/>
    <w:rsid w:val="00AB0674"/>
    <w:rsid w:val="00AC7D42"/>
    <w:rsid w:val="00AD05DB"/>
    <w:rsid w:val="00AD0D49"/>
    <w:rsid w:val="00AD4057"/>
    <w:rsid w:val="00AD4388"/>
    <w:rsid w:val="00AE7B1E"/>
    <w:rsid w:val="00AF7CEF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26F83"/>
    <w:rsid w:val="00B303B2"/>
    <w:rsid w:val="00B32E56"/>
    <w:rsid w:val="00B3502C"/>
    <w:rsid w:val="00B37D76"/>
    <w:rsid w:val="00B454A1"/>
    <w:rsid w:val="00B510BA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973BE"/>
    <w:rsid w:val="00BA3F66"/>
    <w:rsid w:val="00BA4498"/>
    <w:rsid w:val="00BB456D"/>
    <w:rsid w:val="00BB61D9"/>
    <w:rsid w:val="00BB7180"/>
    <w:rsid w:val="00BD1DAC"/>
    <w:rsid w:val="00BD7FD3"/>
    <w:rsid w:val="00BE3BB5"/>
    <w:rsid w:val="00BE6E7C"/>
    <w:rsid w:val="00C04190"/>
    <w:rsid w:val="00C120E2"/>
    <w:rsid w:val="00C26FB5"/>
    <w:rsid w:val="00C274E3"/>
    <w:rsid w:val="00C3069E"/>
    <w:rsid w:val="00C34A73"/>
    <w:rsid w:val="00C425C7"/>
    <w:rsid w:val="00C46204"/>
    <w:rsid w:val="00C5220A"/>
    <w:rsid w:val="00C56DCC"/>
    <w:rsid w:val="00C624EC"/>
    <w:rsid w:val="00C62AF5"/>
    <w:rsid w:val="00C717DD"/>
    <w:rsid w:val="00C747F2"/>
    <w:rsid w:val="00C757EA"/>
    <w:rsid w:val="00CA5DB6"/>
    <w:rsid w:val="00CA68A9"/>
    <w:rsid w:val="00CB2D5E"/>
    <w:rsid w:val="00CB7298"/>
    <w:rsid w:val="00CC5BE0"/>
    <w:rsid w:val="00CD3E3F"/>
    <w:rsid w:val="00CE21BD"/>
    <w:rsid w:val="00CE664C"/>
    <w:rsid w:val="00CF72C1"/>
    <w:rsid w:val="00D001EA"/>
    <w:rsid w:val="00D01141"/>
    <w:rsid w:val="00D014AF"/>
    <w:rsid w:val="00D130D6"/>
    <w:rsid w:val="00D3315F"/>
    <w:rsid w:val="00D41EEB"/>
    <w:rsid w:val="00D4714F"/>
    <w:rsid w:val="00D507D8"/>
    <w:rsid w:val="00D53722"/>
    <w:rsid w:val="00D6010C"/>
    <w:rsid w:val="00D65A73"/>
    <w:rsid w:val="00D6789D"/>
    <w:rsid w:val="00D70EC9"/>
    <w:rsid w:val="00D77DDA"/>
    <w:rsid w:val="00D9518F"/>
    <w:rsid w:val="00D978BA"/>
    <w:rsid w:val="00DB04D6"/>
    <w:rsid w:val="00DB2EC6"/>
    <w:rsid w:val="00DC0088"/>
    <w:rsid w:val="00DC3977"/>
    <w:rsid w:val="00DE0DFC"/>
    <w:rsid w:val="00DE34EC"/>
    <w:rsid w:val="00DE4AA1"/>
    <w:rsid w:val="00DE7EAB"/>
    <w:rsid w:val="00DF647C"/>
    <w:rsid w:val="00E059A0"/>
    <w:rsid w:val="00E059F8"/>
    <w:rsid w:val="00E0655C"/>
    <w:rsid w:val="00E10759"/>
    <w:rsid w:val="00E10824"/>
    <w:rsid w:val="00E11D03"/>
    <w:rsid w:val="00E16FC2"/>
    <w:rsid w:val="00E2598E"/>
    <w:rsid w:val="00E31D36"/>
    <w:rsid w:val="00E31F13"/>
    <w:rsid w:val="00E34528"/>
    <w:rsid w:val="00E35B38"/>
    <w:rsid w:val="00E404F0"/>
    <w:rsid w:val="00E45C8A"/>
    <w:rsid w:val="00E46DAD"/>
    <w:rsid w:val="00E5078E"/>
    <w:rsid w:val="00E63310"/>
    <w:rsid w:val="00E636F4"/>
    <w:rsid w:val="00E649D3"/>
    <w:rsid w:val="00E7608A"/>
    <w:rsid w:val="00E84386"/>
    <w:rsid w:val="00E84BB7"/>
    <w:rsid w:val="00E9113D"/>
    <w:rsid w:val="00E933F9"/>
    <w:rsid w:val="00E9351E"/>
    <w:rsid w:val="00E97325"/>
    <w:rsid w:val="00EB2ED1"/>
    <w:rsid w:val="00EB51B6"/>
    <w:rsid w:val="00EC436E"/>
    <w:rsid w:val="00EC7B83"/>
    <w:rsid w:val="00ED1327"/>
    <w:rsid w:val="00ED6A96"/>
    <w:rsid w:val="00EF0C99"/>
    <w:rsid w:val="00EF377D"/>
    <w:rsid w:val="00F23705"/>
    <w:rsid w:val="00F32DE6"/>
    <w:rsid w:val="00F33FDE"/>
    <w:rsid w:val="00F43BF2"/>
    <w:rsid w:val="00F46FF8"/>
    <w:rsid w:val="00F5417A"/>
    <w:rsid w:val="00F64C63"/>
    <w:rsid w:val="00F653A9"/>
    <w:rsid w:val="00F7226F"/>
    <w:rsid w:val="00F735A4"/>
    <w:rsid w:val="00F76C0B"/>
    <w:rsid w:val="00F82F2E"/>
    <w:rsid w:val="00F87792"/>
    <w:rsid w:val="00F92550"/>
    <w:rsid w:val="00FA0FDF"/>
    <w:rsid w:val="00FA6409"/>
    <w:rsid w:val="00FB0D8E"/>
    <w:rsid w:val="00FC0408"/>
    <w:rsid w:val="00FC23C0"/>
    <w:rsid w:val="00FD392F"/>
    <w:rsid w:val="00FE602C"/>
    <w:rsid w:val="00FE61F4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9628A5"/>
  <w15:chartTrackingRefBased/>
  <w15:docId w15:val="{E8FC8169-B097-495E-8641-A28A4DE1B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05034F"/>
    <w:rPr>
      <w:sz w:val="16"/>
      <w:szCs w:val="16"/>
    </w:rPr>
  </w:style>
  <w:style w:type="paragraph" w:styleId="CommentText">
    <w:name w:val="annotation text"/>
    <w:basedOn w:val="Normal"/>
    <w:link w:val="CommentTextChar"/>
    <w:rsid w:val="0005034F"/>
    <w:rPr>
      <w:sz w:val="20"/>
      <w:szCs w:val="20"/>
    </w:rPr>
  </w:style>
  <w:style w:type="character" w:customStyle="1" w:styleId="CommentTextChar">
    <w:name w:val="Comment Text Char"/>
    <w:link w:val="CommentText"/>
    <w:rsid w:val="0005034F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05034F"/>
    <w:rPr>
      <w:b/>
      <w:bCs/>
    </w:rPr>
  </w:style>
  <w:style w:type="character" w:customStyle="1" w:styleId="CommentSubjectChar">
    <w:name w:val="Comment Subject Char"/>
    <w:link w:val="CommentSubject"/>
    <w:rsid w:val="0005034F"/>
    <w:rPr>
      <w:b/>
      <w:bCs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22</TotalTime>
  <Pages>3</Pages>
  <Words>638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7</cp:revision>
  <cp:lastPrinted>2016-07-04T10:18:00Z</cp:lastPrinted>
  <dcterms:created xsi:type="dcterms:W3CDTF">2016-06-24T06:21:00Z</dcterms:created>
  <dcterms:modified xsi:type="dcterms:W3CDTF">2016-09-15T11:54:00Z</dcterms:modified>
</cp:coreProperties>
</file>