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110C9515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1DA4BE01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5419F8A4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036481F9" w14:textId="77777777" w:rsidR="00147CD5" w:rsidRPr="008D3B7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1-</w:t>
            </w:r>
            <w:r w:rsidR="006D417F">
              <w:rPr>
                <w:bCs/>
                <w:color w:val="000000"/>
                <w:sz w:val="20"/>
                <w:szCs w:val="20"/>
                <w:lang w:val="bg-BG"/>
              </w:rPr>
              <w:t>5</w:t>
            </w:r>
          </w:p>
          <w:p w14:paraId="41DAF17E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6D417F" w:rsidRPr="006D417F">
              <w:rPr>
                <w:bCs/>
                <w:iCs/>
                <w:color w:val="000000"/>
                <w:sz w:val="20"/>
                <w:szCs w:val="20"/>
                <w:lang w:val="bg-BG"/>
              </w:rPr>
              <w:t xml:space="preserve">Контролни, приходни и регулаторни органи, подкрепени за развитие на организационен и аналитичен капацитет, </w:t>
            </w:r>
            <w:r w:rsidR="006D417F" w:rsidRPr="00270F94">
              <w:rPr>
                <w:bCs/>
                <w:iCs/>
                <w:color w:val="000000"/>
                <w:sz w:val="20"/>
                <w:szCs w:val="20"/>
                <w:lang w:val="bg-BG"/>
              </w:rPr>
              <w:t>включително за извършване на съвместни проверки</w:t>
            </w:r>
          </w:p>
          <w:p w14:paraId="076F45EB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52DA055D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2AC0075E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5756AA04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3E77897" w14:textId="77777777" w:rsidR="00A7314F" w:rsidRDefault="00A23486" w:rsidP="00AD4B22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020A11B9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649AB88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2C5440E" w14:textId="77777777" w:rsidR="007D3DDD" w:rsidRPr="005205F1" w:rsidRDefault="00816726" w:rsidP="00AD4B22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4D0AD71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1E9F224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EA59272" w14:textId="77777777" w:rsidR="007D3DDD" w:rsidRPr="005205F1" w:rsidRDefault="00816726" w:rsidP="00AD4B22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0EFE7DE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2064C62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9F34746" w14:textId="77777777" w:rsidR="007D3DDD" w:rsidRPr="005205F1" w:rsidRDefault="00816726" w:rsidP="00AD4B22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50232D3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0ED5F89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512CFE3" w14:textId="77777777" w:rsidR="007D3DDD" w:rsidRPr="005205F1" w:rsidRDefault="002A5B8F" w:rsidP="00AD4B22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DBE0BC2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7B8901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1AE1D35" w14:textId="77777777" w:rsidR="007D3DDD" w:rsidRPr="005205F1" w:rsidRDefault="002A5B8F" w:rsidP="00AD4B22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FA3531E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5456AE7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E7BEB24" w14:textId="77777777" w:rsidR="007D3DDD" w:rsidRPr="005205F1" w:rsidRDefault="002A5B8F" w:rsidP="00AD4B22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2F88D6F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5D7DB35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C710971" w14:textId="77777777" w:rsidR="007D3DDD" w:rsidRPr="005205F1" w:rsidRDefault="00AB0674" w:rsidP="00AD4B22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783FC95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28180B9A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A573C26" w14:textId="77777777" w:rsidR="007D3DDD" w:rsidRPr="005205F1" w:rsidRDefault="00AB0674" w:rsidP="00AD4B22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FAB4237" w14:textId="77777777" w:rsidR="007D3DDD" w:rsidRPr="005205F1" w:rsidRDefault="00FA2D09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3D81E1B2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2E9A3D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ABC3FD5" w14:textId="77777777" w:rsidR="00346D8F" w:rsidRPr="005205F1" w:rsidRDefault="00A006F6" w:rsidP="00AD4B22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1E4EFB3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8408584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2477147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70718EF" w14:textId="70DE620D" w:rsidR="00E20D21" w:rsidRDefault="00E20D21" w:rsidP="00823796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За целите на индикатора:</w:t>
            </w:r>
          </w:p>
          <w:p w14:paraId="6EF22EFE" w14:textId="7F4C0CE1" w:rsidR="001D20C8" w:rsidRDefault="001D20C8" w:rsidP="00B2243D">
            <w:pPr>
              <w:numPr>
                <w:ilvl w:val="0"/>
                <w:numId w:val="6"/>
              </w:numPr>
              <w:jc w:val="both"/>
              <w:rPr>
                <w:i/>
                <w:lang w:val="bg-BG"/>
              </w:rPr>
            </w:pPr>
            <w:r w:rsidRPr="00DF19DD">
              <w:rPr>
                <w:i/>
                <w:lang w:val="bg-BG"/>
              </w:rPr>
              <w:t xml:space="preserve">Контролни органи са органи, </w:t>
            </w:r>
            <w:r>
              <w:rPr>
                <w:i/>
                <w:lang w:val="bg-BG"/>
              </w:rPr>
              <w:t xml:space="preserve">които самостоятелно или чрез администрацията, която ги подпомага, по силата на закон </w:t>
            </w:r>
            <w:r w:rsidRPr="00DF19DD">
              <w:rPr>
                <w:i/>
                <w:lang w:val="bg-BG"/>
              </w:rPr>
              <w:t>осъществява</w:t>
            </w:r>
            <w:r>
              <w:rPr>
                <w:i/>
                <w:lang w:val="bg-BG"/>
              </w:rPr>
              <w:t xml:space="preserve">т чрез </w:t>
            </w:r>
            <w:r w:rsidRPr="00DF19DD">
              <w:rPr>
                <w:i/>
                <w:lang w:val="bg-BG"/>
              </w:rPr>
              <w:t xml:space="preserve"> проверки на място </w:t>
            </w:r>
            <w:r w:rsidRPr="00EA1550">
              <w:rPr>
                <w:i/>
                <w:lang w:val="bg-BG"/>
              </w:rPr>
              <w:t>административен</w:t>
            </w:r>
            <w:r w:rsidRPr="00DF19DD">
              <w:rPr>
                <w:i/>
                <w:lang w:val="bg-BG"/>
              </w:rPr>
              <w:t xml:space="preserve"> контрол</w:t>
            </w:r>
            <w:r>
              <w:rPr>
                <w:i/>
                <w:lang w:val="bg-BG"/>
              </w:rPr>
              <w:t xml:space="preserve"> спрямо</w:t>
            </w:r>
            <w:r w:rsidR="00595472">
              <w:rPr>
                <w:i/>
                <w:lang w:val="bg-BG"/>
              </w:rPr>
              <w:t xml:space="preserve"> външни за администрацията лица, относно спазването на определени нормативни изисквания;</w:t>
            </w:r>
            <w:r w:rsidRPr="00DF19DD">
              <w:rPr>
                <w:i/>
                <w:lang w:val="bg-BG"/>
              </w:rPr>
              <w:t xml:space="preserve"> </w:t>
            </w:r>
          </w:p>
          <w:p w14:paraId="46546104" w14:textId="1E649339" w:rsidR="00E20D21" w:rsidRPr="00DF19DD" w:rsidRDefault="006D417F" w:rsidP="00B2243D">
            <w:pPr>
              <w:numPr>
                <w:ilvl w:val="0"/>
                <w:numId w:val="6"/>
              </w:numPr>
              <w:jc w:val="both"/>
              <w:rPr>
                <w:i/>
                <w:lang w:val="bg-BG"/>
              </w:rPr>
            </w:pPr>
            <w:r w:rsidRPr="00DF19DD">
              <w:rPr>
                <w:i/>
                <w:lang w:val="bg-BG"/>
              </w:rPr>
              <w:t>Приходни органи са НАП, Агенция „Митници“ и общини</w:t>
            </w:r>
            <w:r w:rsidR="00AD7A01">
              <w:rPr>
                <w:i/>
                <w:lang w:val="bg-BG"/>
              </w:rPr>
              <w:t>;</w:t>
            </w:r>
            <w:r w:rsidRPr="00DF19DD">
              <w:rPr>
                <w:i/>
                <w:lang w:val="bg-BG"/>
              </w:rPr>
              <w:t xml:space="preserve"> </w:t>
            </w:r>
          </w:p>
          <w:p w14:paraId="2E1AA847" w14:textId="42E4DF27" w:rsidR="00DF19DD" w:rsidRDefault="006D417F" w:rsidP="00B2243D">
            <w:pPr>
              <w:numPr>
                <w:ilvl w:val="0"/>
                <w:numId w:val="6"/>
              </w:numPr>
              <w:jc w:val="both"/>
              <w:rPr>
                <w:i/>
                <w:lang w:val="bg-BG"/>
              </w:rPr>
            </w:pPr>
            <w:r w:rsidRPr="00DF19DD">
              <w:rPr>
                <w:i/>
                <w:lang w:val="bg-BG"/>
              </w:rPr>
              <w:t>Регулаторни органи са</w:t>
            </w:r>
            <w:r w:rsidR="00595472">
              <w:rPr>
                <w:i/>
                <w:lang w:val="bg-BG"/>
              </w:rPr>
              <w:t xml:space="preserve"> държавните комисии</w:t>
            </w:r>
            <w:r w:rsidR="00B10F93">
              <w:rPr>
                <w:i/>
                <w:lang w:val="bg-BG"/>
              </w:rPr>
              <w:t>;</w:t>
            </w:r>
            <w:r w:rsidRPr="00DF19DD">
              <w:rPr>
                <w:i/>
                <w:lang w:val="bg-BG"/>
              </w:rPr>
              <w:t xml:space="preserve"> </w:t>
            </w:r>
            <w:r w:rsidR="00595472">
              <w:rPr>
                <w:i/>
                <w:lang w:val="bg-BG"/>
              </w:rPr>
              <w:t>независими колективни органи, отчитащи се пред Народното събрание</w:t>
            </w:r>
            <w:r w:rsidR="00B10F93">
              <w:rPr>
                <w:i/>
                <w:lang w:val="bg-BG"/>
              </w:rPr>
              <w:t>,</w:t>
            </w:r>
            <w:r w:rsidR="004B3E60">
              <w:rPr>
                <w:i/>
                <w:lang w:val="bg-BG"/>
              </w:rPr>
              <w:t xml:space="preserve"> осъществяващи</w:t>
            </w:r>
            <w:r w:rsidR="00DF19DD">
              <w:rPr>
                <w:i/>
                <w:lang w:val="bg-BG"/>
              </w:rPr>
              <w:t xml:space="preserve"> регулаторни функции</w:t>
            </w:r>
            <w:r w:rsidR="00595472">
              <w:rPr>
                <w:i/>
                <w:lang w:val="bg-BG"/>
              </w:rPr>
              <w:t xml:space="preserve"> в </w:t>
            </w:r>
            <w:r w:rsidR="00B10F93">
              <w:rPr>
                <w:i/>
                <w:lang w:val="bg-BG"/>
              </w:rPr>
              <w:t>определени</w:t>
            </w:r>
            <w:r w:rsidR="00595472">
              <w:rPr>
                <w:i/>
                <w:lang w:val="bg-BG"/>
              </w:rPr>
              <w:t xml:space="preserve"> икономически отрасли/сектори</w:t>
            </w:r>
            <w:r w:rsidR="00B10F93">
              <w:rPr>
                <w:i/>
                <w:lang w:val="bg-BG"/>
              </w:rPr>
              <w:t xml:space="preserve"> (Комисия за регулиране на съобщенията, Комисия за финансов надзор, Комисия за енергийно и водно регулиране, Съвет за електронни медии и др.)</w:t>
            </w:r>
            <w:r w:rsidR="00860081">
              <w:rPr>
                <w:i/>
                <w:lang w:val="bg-BG"/>
              </w:rPr>
              <w:t>.</w:t>
            </w:r>
          </w:p>
          <w:p w14:paraId="4FB66CC1" w14:textId="6DC0777B" w:rsidR="00832DF3" w:rsidRPr="00147CD5" w:rsidRDefault="00832DF3" w:rsidP="002543D4">
            <w:pPr>
              <w:ind w:left="720"/>
              <w:jc w:val="both"/>
              <w:rPr>
                <w:i/>
                <w:lang w:val="bg-BG"/>
              </w:rPr>
            </w:pPr>
          </w:p>
        </w:tc>
      </w:tr>
      <w:tr w:rsidR="00A23486" w:rsidRPr="005205F1" w14:paraId="72B26471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758BF5F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6757B52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0C44773" w14:textId="2305C503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44F5DF1E" w14:textId="7AB66C80" w:rsidR="006D417F" w:rsidRPr="006D417F" w:rsidRDefault="001B392C" w:rsidP="006D417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Отчита</w:t>
            </w:r>
            <w:r w:rsidR="00B13A67">
              <w:rPr>
                <w:i/>
                <w:szCs w:val="24"/>
                <w:lang w:val="bg-BG"/>
              </w:rPr>
              <w:t>т</w:t>
            </w:r>
            <w:r>
              <w:rPr>
                <w:i/>
                <w:szCs w:val="24"/>
                <w:lang w:val="bg-BG"/>
              </w:rPr>
              <w:t xml:space="preserve"> се б</w:t>
            </w:r>
            <w:r w:rsidR="006D417F" w:rsidRPr="006D417F">
              <w:rPr>
                <w:i/>
                <w:szCs w:val="24"/>
                <w:lang w:val="bg-BG"/>
              </w:rPr>
              <w:t xml:space="preserve">рой контролни, приходни и регулаторни органи, които са подкрепени за: </w:t>
            </w:r>
          </w:p>
          <w:p w14:paraId="247BBA20" w14:textId="742527DD" w:rsidR="00860081" w:rsidRDefault="00860081" w:rsidP="002543D4">
            <w:pPr>
              <w:pStyle w:val="Xreftext"/>
              <w:numPr>
                <w:ilvl w:val="0"/>
                <w:numId w:val="9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осъществяване на съвместни или координирани проверки или инспекционни дейности;</w:t>
            </w:r>
          </w:p>
          <w:p w14:paraId="50185D73" w14:textId="3F03F2B2" w:rsidR="00860081" w:rsidRDefault="004032CB" w:rsidP="002543D4">
            <w:pPr>
              <w:pStyle w:val="Xreftext"/>
              <w:numPr>
                <w:ilvl w:val="0"/>
                <w:numId w:val="7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създаване или усъвършенстване </w:t>
            </w:r>
            <w:r w:rsidR="00860081">
              <w:rPr>
                <w:i/>
                <w:szCs w:val="24"/>
                <w:lang w:val="bg-BG"/>
              </w:rPr>
              <w:t xml:space="preserve"> на </w:t>
            </w:r>
            <w:r>
              <w:rPr>
                <w:i/>
                <w:szCs w:val="24"/>
                <w:lang w:val="bg-BG"/>
              </w:rPr>
              <w:t>системи или инструменти</w:t>
            </w:r>
            <w:r w:rsidR="00860081">
              <w:rPr>
                <w:i/>
                <w:szCs w:val="24"/>
                <w:lang w:val="bg-BG"/>
              </w:rPr>
              <w:t xml:space="preserve"> за </w:t>
            </w:r>
            <w:r>
              <w:rPr>
                <w:i/>
                <w:szCs w:val="24"/>
                <w:lang w:val="bg-BG"/>
              </w:rPr>
              <w:t xml:space="preserve">извършване </w:t>
            </w:r>
            <w:r w:rsidR="00860081">
              <w:rPr>
                <w:i/>
                <w:szCs w:val="24"/>
                <w:lang w:val="bg-BG"/>
              </w:rPr>
              <w:t>на проверки, основани на оценка на риска;</w:t>
            </w:r>
            <w:r w:rsidR="001B392C">
              <w:rPr>
                <w:i/>
                <w:szCs w:val="24"/>
                <w:lang w:val="bg-BG"/>
              </w:rPr>
              <w:t xml:space="preserve"> или</w:t>
            </w:r>
          </w:p>
          <w:p w14:paraId="1018491E" w14:textId="10FEF219" w:rsidR="006D417F" w:rsidRPr="00FF0943" w:rsidRDefault="002678EB" w:rsidP="002543D4">
            <w:pPr>
              <w:pStyle w:val="Xreftext"/>
              <w:numPr>
                <w:ilvl w:val="0"/>
                <w:numId w:val="9"/>
              </w:numPr>
              <w:jc w:val="both"/>
              <w:rPr>
                <w:i/>
                <w:lang w:val="en-US"/>
              </w:rPr>
            </w:pPr>
            <w:r>
              <w:rPr>
                <w:i/>
                <w:szCs w:val="24"/>
                <w:lang w:val="bg-BG"/>
              </w:rPr>
              <w:t>п</w:t>
            </w:r>
            <w:r w:rsidR="006D417F" w:rsidRPr="00EA1550">
              <w:rPr>
                <w:i/>
                <w:szCs w:val="24"/>
                <w:lang w:val="bg-BG"/>
              </w:rPr>
              <w:t>одобряване на информационните системи</w:t>
            </w:r>
            <w:r>
              <w:rPr>
                <w:i/>
                <w:szCs w:val="24"/>
                <w:lang w:val="bg-BG"/>
              </w:rPr>
              <w:t>, във връзка с подобряване на административното обслужване и</w:t>
            </w:r>
            <w:r w:rsidR="00C02136">
              <w:rPr>
                <w:i/>
                <w:szCs w:val="24"/>
                <w:lang w:val="bg-BG"/>
              </w:rPr>
              <w:t>ли</w:t>
            </w:r>
            <w:r>
              <w:rPr>
                <w:i/>
                <w:szCs w:val="24"/>
                <w:lang w:val="bg-BG"/>
              </w:rPr>
              <w:t xml:space="preserve"> намаляване на административната тежест</w:t>
            </w:r>
            <w:r w:rsidRPr="002678EB">
              <w:rPr>
                <w:i/>
                <w:szCs w:val="24"/>
                <w:lang w:val="bg-BG"/>
              </w:rPr>
              <w:t xml:space="preserve"> за гражданите и бизнеса</w:t>
            </w:r>
            <w:r w:rsidR="006D417F" w:rsidRPr="00EA1550">
              <w:rPr>
                <w:i/>
                <w:szCs w:val="24"/>
                <w:lang w:val="bg-BG"/>
              </w:rPr>
              <w:t>.</w:t>
            </w:r>
            <w:r w:rsidR="006D417F" w:rsidRPr="006D417F">
              <w:rPr>
                <w:i/>
                <w:szCs w:val="24"/>
                <w:lang w:val="bg-BG"/>
              </w:rPr>
              <w:t xml:space="preserve"> </w:t>
            </w:r>
          </w:p>
          <w:p w14:paraId="2663E0AC" w14:textId="66EDF3F5" w:rsidR="001B392C" w:rsidRDefault="001B392C" w:rsidP="006D417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en-US"/>
              </w:rPr>
            </w:pPr>
            <w:r>
              <w:rPr>
                <w:i/>
                <w:szCs w:val="24"/>
                <w:lang w:val="bg-BG"/>
              </w:rPr>
              <w:lastRenderedPageBreak/>
              <w:t>Отчита</w:t>
            </w:r>
            <w:r w:rsidR="00B13A67">
              <w:rPr>
                <w:i/>
                <w:szCs w:val="24"/>
                <w:lang w:val="bg-BG"/>
              </w:rPr>
              <w:t>т</w:t>
            </w:r>
            <w:r>
              <w:rPr>
                <w:i/>
                <w:szCs w:val="24"/>
                <w:lang w:val="bg-BG"/>
              </w:rPr>
              <w:t xml:space="preserve"> се б</w:t>
            </w:r>
            <w:r w:rsidRPr="001B392C">
              <w:rPr>
                <w:i/>
                <w:szCs w:val="24"/>
                <w:lang w:val="en-US"/>
              </w:rPr>
              <w:t>рой приходни и регулаторни органи, които са подкрепени за</w:t>
            </w:r>
            <w:r w:rsidR="00B13A67">
              <w:rPr>
                <w:i/>
                <w:szCs w:val="24"/>
                <w:lang w:val="bg-BG"/>
              </w:rPr>
              <w:t xml:space="preserve"> развитие на организационен и аналитичен капацитет за</w:t>
            </w:r>
            <w:r w:rsidRPr="001B392C">
              <w:rPr>
                <w:i/>
                <w:szCs w:val="24"/>
                <w:lang w:val="en-US"/>
              </w:rPr>
              <w:t>:</w:t>
            </w:r>
          </w:p>
          <w:p w14:paraId="38049646" w14:textId="02D2E48B" w:rsidR="00B13A67" w:rsidRDefault="002678EB" w:rsidP="002543D4">
            <w:pPr>
              <w:pStyle w:val="Xreftext"/>
              <w:numPr>
                <w:ilvl w:val="0"/>
                <w:numId w:val="11"/>
              </w:numPr>
              <w:jc w:val="both"/>
              <w:rPr>
                <w:i/>
                <w:szCs w:val="24"/>
                <w:lang w:val="bg-BG"/>
              </w:rPr>
            </w:pPr>
            <w:r w:rsidRPr="002678EB">
              <w:rPr>
                <w:i/>
                <w:szCs w:val="24"/>
                <w:lang w:val="en-US"/>
              </w:rPr>
              <w:t>подобряване събираемостта на приходите</w:t>
            </w:r>
            <w:r w:rsidR="00CE274B">
              <w:rPr>
                <w:i/>
                <w:szCs w:val="24"/>
                <w:lang w:val="bg-BG"/>
              </w:rPr>
              <w:t xml:space="preserve"> и намаляване на административната тежест</w:t>
            </w:r>
            <w:r w:rsidR="00B13A67">
              <w:rPr>
                <w:i/>
                <w:szCs w:val="24"/>
                <w:lang w:val="bg-BG"/>
              </w:rPr>
              <w:t>;</w:t>
            </w:r>
            <w:r w:rsidR="00CE274B">
              <w:rPr>
                <w:i/>
                <w:szCs w:val="24"/>
                <w:lang w:val="bg-BG"/>
              </w:rPr>
              <w:t xml:space="preserve"> или</w:t>
            </w:r>
          </w:p>
          <w:p w14:paraId="0EB9CAA2" w14:textId="0191E32C" w:rsidR="009D66F0" w:rsidRPr="002543D4" w:rsidRDefault="00B13A67" w:rsidP="002543D4">
            <w:pPr>
              <w:pStyle w:val="Xreftext"/>
              <w:numPr>
                <w:ilvl w:val="0"/>
                <w:numId w:val="11"/>
              </w:numPr>
              <w:jc w:val="both"/>
              <w:rPr>
                <w:i/>
                <w:szCs w:val="24"/>
                <w:lang w:val="en-US"/>
              </w:rPr>
            </w:pPr>
            <w:r>
              <w:rPr>
                <w:i/>
                <w:szCs w:val="24"/>
                <w:lang w:val="bg-BG"/>
              </w:rPr>
              <w:t xml:space="preserve">по-добро регулиране на пазара и ефективна защита на потребителите. </w:t>
            </w:r>
          </w:p>
          <w:p w14:paraId="3E48C100" w14:textId="77777777" w:rsidR="004032CB" w:rsidRPr="00B2243D" w:rsidRDefault="004032CB" w:rsidP="002543D4">
            <w:pPr>
              <w:pStyle w:val="Xreftext"/>
              <w:numPr>
                <w:ilvl w:val="0"/>
                <w:numId w:val="0"/>
              </w:numPr>
              <w:ind w:left="720"/>
              <w:jc w:val="both"/>
              <w:rPr>
                <w:i/>
                <w:szCs w:val="24"/>
                <w:lang w:val="en-US"/>
              </w:rPr>
            </w:pPr>
          </w:p>
          <w:p w14:paraId="089F6E50" w14:textId="77777777" w:rsidR="008D3B76" w:rsidRPr="005A6406" w:rsidRDefault="006D417F" w:rsidP="006D417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6D417F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2232D9E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ACD5496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55A8D85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3DE63D7" w14:textId="77777777" w:rsidR="00E84386" w:rsidRPr="005A6406" w:rsidRDefault="00133C8A" w:rsidP="00AD4B22">
            <w:pPr>
              <w:pStyle w:val="Xreftext"/>
              <w:numPr>
                <w:ilvl w:val="0"/>
                <w:numId w:val="5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Административен регистър</w:t>
            </w:r>
          </w:p>
        </w:tc>
      </w:tr>
      <w:tr w:rsidR="00832DF3" w:rsidRPr="005205F1" w14:paraId="3932C9D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97F7185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0B6BFBC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C7624BB" w14:textId="77777777" w:rsidR="00832DF3" w:rsidRPr="005A6406" w:rsidRDefault="00823796" w:rsidP="00EF622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23796">
              <w:rPr>
                <w:i/>
                <w:szCs w:val="24"/>
                <w:lang w:val="bg-BG"/>
              </w:rPr>
              <w:t>Брой контролни, приходни и регулаторни органи.</w:t>
            </w:r>
          </w:p>
        </w:tc>
      </w:tr>
      <w:tr w:rsidR="005A6406" w:rsidRPr="005205F1" w14:paraId="56BE2360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A756EA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1A1DA23D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76007F2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6FC58CE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DE5B108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316D49FB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8BC0DE2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6AEC0FF3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BBE279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3B09029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D2CCEDD" w14:textId="011292E3" w:rsidR="00E16FC2" w:rsidRPr="00AF7CEF" w:rsidRDefault="003A0072" w:rsidP="003A0072">
            <w:pPr>
              <w:rPr>
                <w:i/>
                <w:lang w:val="bg-BG"/>
              </w:rPr>
            </w:pPr>
            <w:r>
              <w:rPr>
                <w:bCs/>
                <w:i/>
                <w:lang w:val="bg-BG"/>
              </w:rPr>
              <w:t xml:space="preserve">В съответствие с приоритетната ос се </w:t>
            </w:r>
            <w:r>
              <w:rPr>
                <w:i/>
                <w:lang w:val="bg-BG"/>
              </w:rPr>
              <w:t>о</w:t>
            </w:r>
            <w:r w:rsidR="00F77182" w:rsidRPr="00C9457D">
              <w:rPr>
                <w:i/>
                <w:lang w:val="bg-BG"/>
              </w:rPr>
              <w:t>пределят пр</w:t>
            </w:r>
            <w:r w:rsidR="00923B63">
              <w:rPr>
                <w:i/>
                <w:lang w:val="bg-BG"/>
              </w:rPr>
              <w:t>еди</w:t>
            </w:r>
            <w:r w:rsidR="00F77182" w:rsidRPr="00C9457D">
              <w:rPr>
                <w:i/>
                <w:lang w:val="bg-BG"/>
              </w:rPr>
              <w:t xml:space="preserve"> стартиране на процедурата в съответствие с критериите</w:t>
            </w:r>
            <w:r>
              <w:rPr>
                <w:i/>
                <w:lang w:val="bg-BG"/>
              </w:rPr>
              <w:t>,</w:t>
            </w:r>
            <w:r w:rsidR="00F77182" w:rsidRPr="00C9457D">
              <w:rPr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22586F5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3B498D8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548CAD5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5B3FA0E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02ECD86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3E2128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6EB36DF4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3368C5B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099DDB30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748E13E3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60E4B50F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E6D53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4102EB39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59A0E4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806BD54" w14:textId="77777777" w:rsidR="00346D8F" w:rsidRPr="00A23486" w:rsidRDefault="0084659B" w:rsidP="00AD4B22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11BA6C8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2221CDF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5947A49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7E1745E" w14:textId="77777777" w:rsidR="00042285" w:rsidRDefault="004C4E1C" w:rsidP="00AD4B22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5F3A1C61" w14:textId="77777777" w:rsidR="00247438" w:rsidRPr="00247438" w:rsidRDefault="00247438" w:rsidP="00AD4B22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247438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 за развитие на държавната администрация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(2014 - 2020 г.)</w:t>
            </w:r>
          </w:p>
          <w:p w14:paraId="535F9419" w14:textId="77777777" w:rsidR="004C4E1C" w:rsidRPr="00203349" w:rsidRDefault="004C4E1C" w:rsidP="00AD4B22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</w:p>
          <w:p w14:paraId="14C15B47" w14:textId="77777777" w:rsidR="00203349" w:rsidRPr="00203349" w:rsidRDefault="00203349" w:rsidP="00AD4B22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  <w:p w14:paraId="58D75E40" w14:textId="77777777" w:rsidR="00203349" w:rsidRPr="00B166D1" w:rsidRDefault="00F26AD5" w:rsidP="00BB7869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F26AD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Специализирани нормативни актове за контролните</w:t>
            </w:r>
            <w:r w:rsidR="00BB786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, </w:t>
            </w:r>
            <w:r w:rsidR="00BB7869" w:rsidRPr="00BB786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приходни</w:t>
            </w:r>
            <w:r w:rsidR="00BB786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те</w:t>
            </w:r>
            <w:r w:rsidRPr="00F26AD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и регулаторните органи</w:t>
            </w:r>
          </w:p>
        </w:tc>
      </w:tr>
    </w:tbl>
    <w:p w14:paraId="2C8187C0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03A8B8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0419D42" w14:textId="77777777" w:rsidR="00346D8F" w:rsidRPr="005205F1" w:rsidRDefault="002D0F3D" w:rsidP="00AD4B22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0820D2E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10857E6" w14:textId="77777777" w:rsidR="00D507D8" w:rsidRPr="005205F1" w:rsidRDefault="00F77182" w:rsidP="00F7718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69653CB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E485C55" w14:textId="77777777" w:rsidR="00634BC6" w:rsidRPr="005205F1" w:rsidRDefault="00634BC6" w:rsidP="00AD4B22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690B1659" w14:textId="77777777" w:rsidR="00D507D8" w:rsidRPr="005205F1" w:rsidRDefault="00634BC6" w:rsidP="00AD4B22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lastRenderedPageBreak/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298C883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BD6C691" w14:textId="77777777" w:rsidR="00D507D8" w:rsidRPr="00A23486" w:rsidRDefault="00F77182" w:rsidP="00F7718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62E8CA13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F5249E0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179D217B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2FE6D7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21A38B7" w14:textId="77777777" w:rsidR="00346D8F" w:rsidRPr="005205F1" w:rsidRDefault="00C3069E" w:rsidP="00AD4B22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4879CB8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5BA55C9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0382974D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5D26862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3F3057E" w14:textId="77777777" w:rsidR="00346D8F" w:rsidRPr="005A6406" w:rsidRDefault="005A6E5A" w:rsidP="00AD4B22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5D644A8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9F5FFD5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0F77EC25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B8CB13A" w14:textId="77777777" w:rsidR="004A606E" w:rsidRPr="005205F1" w:rsidRDefault="00114E7A" w:rsidP="00F77182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06AAF47A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E007BC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771A62A" w14:textId="77777777" w:rsidR="00346D8F" w:rsidRPr="005A6406" w:rsidRDefault="0047448B" w:rsidP="00AD4B22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7DB75BD1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399C8C1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0582EBE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E4A5A9B" w14:textId="77777777" w:rsidR="004A606E" w:rsidRPr="005205F1" w:rsidRDefault="004A606E" w:rsidP="00133C8A">
            <w:pPr>
              <w:rPr>
                <w:lang w:val="bg-BG"/>
              </w:rPr>
            </w:pPr>
          </w:p>
        </w:tc>
      </w:tr>
      <w:tr w:rsidR="005A6406" w:rsidRPr="005A6406" w14:paraId="64C98779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0AA13060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3585AFE6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F1A6E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64B9DE66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13C159E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995D2B6" w14:textId="77777777" w:rsidR="000E38D3" w:rsidRPr="005205F1" w:rsidRDefault="0073457D" w:rsidP="00AD4B22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4BD91AA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BA38959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398C39A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2DFAA11" w14:textId="4C1D4D39" w:rsidR="0086601C" w:rsidRPr="00BB7869" w:rsidRDefault="004C4E1C" w:rsidP="00BB7869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 на бенефициенти, ИСУН, мониторинг от УО</w:t>
            </w:r>
            <w:r w:rsidR="00BB7869">
              <w:rPr>
                <w:szCs w:val="24"/>
                <w:lang w:val="bg-BG"/>
              </w:rPr>
              <w:t>, Д</w:t>
            </w:r>
            <w:r w:rsidR="00BB7869" w:rsidRPr="00BB7869">
              <w:rPr>
                <w:szCs w:val="24"/>
                <w:lang w:val="bg-BG"/>
              </w:rPr>
              <w:t>оклад за състоянието на администрацията</w:t>
            </w:r>
            <w:r w:rsidR="006F1132">
              <w:rPr>
                <w:szCs w:val="24"/>
                <w:lang w:val="bg-BG"/>
              </w:rPr>
              <w:t xml:space="preserve"> и/или ИИСДА</w:t>
            </w:r>
          </w:p>
        </w:tc>
      </w:tr>
      <w:tr w:rsidR="0086601C" w:rsidRPr="005205F1" w14:paraId="280A205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38B74BC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780049A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786C355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2126950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E175BB9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11E4AB5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02F4E88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223F0C4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C8D428E" w14:textId="77777777" w:rsidR="0086601C" w:rsidRPr="00584348" w:rsidRDefault="00F77182" w:rsidP="00F77182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6464008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7C75064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6B75A3C5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1A5199E4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B189D27" w14:textId="77777777" w:rsidR="00584348" w:rsidRPr="005205F1" w:rsidRDefault="00584348" w:rsidP="00AD4B22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01FC07C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789868F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3CC2F904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42EAB" w14:textId="77777777" w:rsidR="00FF0943" w:rsidRPr="00753C8C" w:rsidRDefault="00FF0943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5E73DAFB" w14:textId="77777777" w:rsidR="00FF0943" w:rsidRPr="00753C8C" w:rsidRDefault="00FF0943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0469D843" w14:textId="77777777" w:rsidR="00FF0943" w:rsidRDefault="00FF0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31E7B" w14:textId="77777777" w:rsidR="00306C52" w:rsidRDefault="00306C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7F03D" w14:textId="2323214A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43D4">
      <w:rPr>
        <w:noProof/>
      </w:rPr>
      <w:t>3</w:t>
    </w:r>
    <w:r>
      <w:fldChar w:fldCharType="end"/>
    </w:r>
  </w:p>
  <w:p w14:paraId="5D282036" w14:textId="03AD6977" w:rsidR="00BB456D" w:rsidRDefault="00306C52">
    <w:pPr>
      <w:pStyle w:val="Footer"/>
    </w:pPr>
    <w:r w:rsidRPr="00306C52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C5AE0" w14:textId="77777777" w:rsidR="00306C52" w:rsidRDefault="00306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EE346" w14:textId="77777777" w:rsidR="00FF0943" w:rsidRPr="00753C8C" w:rsidRDefault="00FF0943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61B02504" w14:textId="77777777" w:rsidR="00FF0943" w:rsidRPr="00753C8C" w:rsidRDefault="00FF0943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1AED6B47" w14:textId="77777777" w:rsidR="00FF0943" w:rsidRDefault="00FF09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7EE5" w14:textId="77777777" w:rsidR="00306C52" w:rsidRDefault="00306C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AF5A8" w14:textId="77777777" w:rsidR="00FF0943" w:rsidRDefault="00FF09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22B67" w14:textId="77777777" w:rsidR="00306C52" w:rsidRDefault="00306C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3EEF"/>
    <w:multiLevelType w:val="hybridMultilevel"/>
    <w:tmpl w:val="2C2C10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F565EB"/>
    <w:multiLevelType w:val="hybridMultilevel"/>
    <w:tmpl w:val="D0109F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4FA817AF"/>
    <w:multiLevelType w:val="hybridMultilevel"/>
    <w:tmpl w:val="74D229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7B10FD"/>
    <w:multiLevelType w:val="hybridMultilevel"/>
    <w:tmpl w:val="F9220F04"/>
    <w:lvl w:ilvl="0" w:tplc="1108B17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81958"/>
    <w:multiLevelType w:val="hybridMultilevel"/>
    <w:tmpl w:val="1512C3B8"/>
    <w:lvl w:ilvl="0" w:tplc="1108B17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F5130"/>
    <w:multiLevelType w:val="hybridMultilevel"/>
    <w:tmpl w:val="CC128E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8919B3"/>
    <w:multiLevelType w:val="hybridMultilevel"/>
    <w:tmpl w:val="3E20BF50"/>
    <w:lvl w:ilvl="0" w:tplc="1108B17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10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5037A"/>
    <w:rsid w:val="00057B72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2925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27DD6"/>
    <w:rsid w:val="00133C8A"/>
    <w:rsid w:val="00147CD5"/>
    <w:rsid w:val="00150301"/>
    <w:rsid w:val="0015599A"/>
    <w:rsid w:val="0016196A"/>
    <w:rsid w:val="00186AC2"/>
    <w:rsid w:val="00192D80"/>
    <w:rsid w:val="001A1E0A"/>
    <w:rsid w:val="001A227A"/>
    <w:rsid w:val="001B392C"/>
    <w:rsid w:val="001D20C8"/>
    <w:rsid w:val="001D2346"/>
    <w:rsid w:val="001F25DE"/>
    <w:rsid w:val="002005D1"/>
    <w:rsid w:val="00203221"/>
    <w:rsid w:val="00203349"/>
    <w:rsid w:val="0020346B"/>
    <w:rsid w:val="002111A1"/>
    <w:rsid w:val="00211D34"/>
    <w:rsid w:val="00212943"/>
    <w:rsid w:val="00214733"/>
    <w:rsid w:val="0022239E"/>
    <w:rsid w:val="002263FF"/>
    <w:rsid w:val="002448BC"/>
    <w:rsid w:val="0024677F"/>
    <w:rsid w:val="00247438"/>
    <w:rsid w:val="00250142"/>
    <w:rsid w:val="002543D4"/>
    <w:rsid w:val="002678EB"/>
    <w:rsid w:val="00270F94"/>
    <w:rsid w:val="00271E46"/>
    <w:rsid w:val="002756A2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5F51"/>
    <w:rsid w:val="002D71B2"/>
    <w:rsid w:val="002D760B"/>
    <w:rsid w:val="002F53B1"/>
    <w:rsid w:val="00301EF7"/>
    <w:rsid w:val="00306C52"/>
    <w:rsid w:val="00313BDF"/>
    <w:rsid w:val="0031431C"/>
    <w:rsid w:val="0032317F"/>
    <w:rsid w:val="00324F35"/>
    <w:rsid w:val="003317F0"/>
    <w:rsid w:val="00346D8F"/>
    <w:rsid w:val="00347128"/>
    <w:rsid w:val="00350D16"/>
    <w:rsid w:val="00372CEE"/>
    <w:rsid w:val="00373828"/>
    <w:rsid w:val="0037503E"/>
    <w:rsid w:val="00387F03"/>
    <w:rsid w:val="003A0072"/>
    <w:rsid w:val="003A2193"/>
    <w:rsid w:val="003B1353"/>
    <w:rsid w:val="003C41C8"/>
    <w:rsid w:val="003C60CF"/>
    <w:rsid w:val="003C6D99"/>
    <w:rsid w:val="003C6DE4"/>
    <w:rsid w:val="003D43E8"/>
    <w:rsid w:val="003D7111"/>
    <w:rsid w:val="003F60FB"/>
    <w:rsid w:val="004032CB"/>
    <w:rsid w:val="00412C02"/>
    <w:rsid w:val="00417F16"/>
    <w:rsid w:val="00430135"/>
    <w:rsid w:val="00451226"/>
    <w:rsid w:val="00451B29"/>
    <w:rsid w:val="004545AF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3E60"/>
    <w:rsid w:val="004B4263"/>
    <w:rsid w:val="004C4E1C"/>
    <w:rsid w:val="004C531F"/>
    <w:rsid w:val="004C72D3"/>
    <w:rsid w:val="004D4AE3"/>
    <w:rsid w:val="004E2B84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871BA"/>
    <w:rsid w:val="00592EB3"/>
    <w:rsid w:val="0059322A"/>
    <w:rsid w:val="00595472"/>
    <w:rsid w:val="00595560"/>
    <w:rsid w:val="005A24F6"/>
    <w:rsid w:val="005A639F"/>
    <w:rsid w:val="005A6406"/>
    <w:rsid w:val="005A6E5A"/>
    <w:rsid w:val="005A7F00"/>
    <w:rsid w:val="005C223C"/>
    <w:rsid w:val="005C6CD3"/>
    <w:rsid w:val="005E3A13"/>
    <w:rsid w:val="005E69B5"/>
    <w:rsid w:val="005F3284"/>
    <w:rsid w:val="005F6BB2"/>
    <w:rsid w:val="005F75C7"/>
    <w:rsid w:val="006135EF"/>
    <w:rsid w:val="0061425B"/>
    <w:rsid w:val="00615246"/>
    <w:rsid w:val="00615650"/>
    <w:rsid w:val="006169BF"/>
    <w:rsid w:val="0062024B"/>
    <w:rsid w:val="00625624"/>
    <w:rsid w:val="00626E8D"/>
    <w:rsid w:val="00630776"/>
    <w:rsid w:val="00634BC6"/>
    <w:rsid w:val="00634F28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1D2E"/>
    <w:rsid w:val="0068472E"/>
    <w:rsid w:val="00691119"/>
    <w:rsid w:val="00695802"/>
    <w:rsid w:val="006B4C14"/>
    <w:rsid w:val="006C4E7D"/>
    <w:rsid w:val="006D124B"/>
    <w:rsid w:val="006D417F"/>
    <w:rsid w:val="006E4A86"/>
    <w:rsid w:val="006E6DCF"/>
    <w:rsid w:val="006F0562"/>
    <w:rsid w:val="006F113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2CC4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C25E4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6726"/>
    <w:rsid w:val="0081771D"/>
    <w:rsid w:val="00823796"/>
    <w:rsid w:val="00823A73"/>
    <w:rsid w:val="00824AE7"/>
    <w:rsid w:val="0083029F"/>
    <w:rsid w:val="00832DF3"/>
    <w:rsid w:val="00835619"/>
    <w:rsid w:val="0084659B"/>
    <w:rsid w:val="00847940"/>
    <w:rsid w:val="00850FDC"/>
    <w:rsid w:val="00860081"/>
    <w:rsid w:val="0086601C"/>
    <w:rsid w:val="00870808"/>
    <w:rsid w:val="008908D3"/>
    <w:rsid w:val="008B5ECC"/>
    <w:rsid w:val="008C6AFE"/>
    <w:rsid w:val="008D206F"/>
    <w:rsid w:val="008D3B76"/>
    <w:rsid w:val="008D5A70"/>
    <w:rsid w:val="008D6BB4"/>
    <w:rsid w:val="008E31C8"/>
    <w:rsid w:val="008E4C30"/>
    <w:rsid w:val="008F1630"/>
    <w:rsid w:val="0090021F"/>
    <w:rsid w:val="0090315C"/>
    <w:rsid w:val="00916F0E"/>
    <w:rsid w:val="00923B63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B50C4"/>
    <w:rsid w:val="009C14A9"/>
    <w:rsid w:val="009C701A"/>
    <w:rsid w:val="009D66F0"/>
    <w:rsid w:val="009F024A"/>
    <w:rsid w:val="009F2ACD"/>
    <w:rsid w:val="00A006F6"/>
    <w:rsid w:val="00A04708"/>
    <w:rsid w:val="00A06BFA"/>
    <w:rsid w:val="00A20AC9"/>
    <w:rsid w:val="00A23486"/>
    <w:rsid w:val="00A26648"/>
    <w:rsid w:val="00A26796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C7D42"/>
    <w:rsid w:val="00AD05DB"/>
    <w:rsid w:val="00AD0D49"/>
    <w:rsid w:val="00AD4057"/>
    <w:rsid w:val="00AD4388"/>
    <w:rsid w:val="00AD4B22"/>
    <w:rsid w:val="00AD77E8"/>
    <w:rsid w:val="00AD7A01"/>
    <w:rsid w:val="00AE7B1E"/>
    <w:rsid w:val="00AF7CEF"/>
    <w:rsid w:val="00B038C4"/>
    <w:rsid w:val="00B0742A"/>
    <w:rsid w:val="00B07D93"/>
    <w:rsid w:val="00B100E0"/>
    <w:rsid w:val="00B1086B"/>
    <w:rsid w:val="00B10F93"/>
    <w:rsid w:val="00B136A9"/>
    <w:rsid w:val="00B13A67"/>
    <w:rsid w:val="00B166D1"/>
    <w:rsid w:val="00B2165F"/>
    <w:rsid w:val="00B2243D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9787C"/>
    <w:rsid w:val="00BA3F66"/>
    <w:rsid w:val="00BA4498"/>
    <w:rsid w:val="00BB456D"/>
    <w:rsid w:val="00BB61D9"/>
    <w:rsid w:val="00BB7180"/>
    <w:rsid w:val="00BB7869"/>
    <w:rsid w:val="00BD1DAC"/>
    <w:rsid w:val="00BD41F4"/>
    <w:rsid w:val="00BD7FD3"/>
    <w:rsid w:val="00BE6E7C"/>
    <w:rsid w:val="00C02136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8753D"/>
    <w:rsid w:val="00C9457D"/>
    <w:rsid w:val="00CA5DB6"/>
    <w:rsid w:val="00CA68A9"/>
    <w:rsid w:val="00CB2D5E"/>
    <w:rsid w:val="00CB7298"/>
    <w:rsid w:val="00CC5BE0"/>
    <w:rsid w:val="00CD3E3F"/>
    <w:rsid w:val="00CE21BD"/>
    <w:rsid w:val="00CE274B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579A"/>
    <w:rsid w:val="00D77DDA"/>
    <w:rsid w:val="00D9518F"/>
    <w:rsid w:val="00D978BA"/>
    <w:rsid w:val="00DB04D6"/>
    <w:rsid w:val="00DB2EC6"/>
    <w:rsid w:val="00DC0088"/>
    <w:rsid w:val="00DC3977"/>
    <w:rsid w:val="00DE0DFC"/>
    <w:rsid w:val="00DE34EC"/>
    <w:rsid w:val="00DE4AA1"/>
    <w:rsid w:val="00DE7EAB"/>
    <w:rsid w:val="00DF19DD"/>
    <w:rsid w:val="00DF647C"/>
    <w:rsid w:val="00E059A0"/>
    <w:rsid w:val="00E0655C"/>
    <w:rsid w:val="00E10824"/>
    <w:rsid w:val="00E11D03"/>
    <w:rsid w:val="00E16FC2"/>
    <w:rsid w:val="00E20D21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1B88"/>
    <w:rsid w:val="00E63310"/>
    <w:rsid w:val="00E636F4"/>
    <w:rsid w:val="00E649D3"/>
    <w:rsid w:val="00E7608A"/>
    <w:rsid w:val="00E84386"/>
    <w:rsid w:val="00E84BB7"/>
    <w:rsid w:val="00E9113D"/>
    <w:rsid w:val="00E933F9"/>
    <w:rsid w:val="00E97325"/>
    <w:rsid w:val="00EA1550"/>
    <w:rsid w:val="00EB2ED1"/>
    <w:rsid w:val="00EB51B6"/>
    <w:rsid w:val="00EC436E"/>
    <w:rsid w:val="00EC7B83"/>
    <w:rsid w:val="00ED131A"/>
    <w:rsid w:val="00ED1327"/>
    <w:rsid w:val="00ED6A96"/>
    <w:rsid w:val="00EF0C99"/>
    <w:rsid w:val="00EF377D"/>
    <w:rsid w:val="00EF622E"/>
    <w:rsid w:val="00F07463"/>
    <w:rsid w:val="00F0779A"/>
    <w:rsid w:val="00F23705"/>
    <w:rsid w:val="00F26AD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77182"/>
    <w:rsid w:val="00F82F2E"/>
    <w:rsid w:val="00F87792"/>
    <w:rsid w:val="00F910B3"/>
    <w:rsid w:val="00F92550"/>
    <w:rsid w:val="00FA0FDF"/>
    <w:rsid w:val="00FA2D09"/>
    <w:rsid w:val="00FA6409"/>
    <w:rsid w:val="00FB0D8E"/>
    <w:rsid w:val="00FB239C"/>
    <w:rsid w:val="00FC0408"/>
    <w:rsid w:val="00FC7927"/>
    <w:rsid w:val="00FD392F"/>
    <w:rsid w:val="00FE602C"/>
    <w:rsid w:val="00FE61F4"/>
    <w:rsid w:val="00FE6503"/>
    <w:rsid w:val="00FF094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7ADFA"/>
  <w15:chartTrackingRefBased/>
  <w15:docId w15:val="{F6095A10-3BCB-479E-A4EE-E85824CB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270F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0F94"/>
    <w:rPr>
      <w:sz w:val="20"/>
      <w:szCs w:val="20"/>
    </w:rPr>
  </w:style>
  <w:style w:type="character" w:customStyle="1" w:styleId="CommentTextChar">
    <w:name w:val="Comment Text Char"/>
    <w:link w:val="CommentText"/>
    <w:rsid w:val="00270F94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270F94"/>
    <w:rPr>
      <w:b/>
      <w:bCs/>
    </w:rPr>
  </w:style>
  <w:style w:type="character" w:customStyle="1" w:styleId="CommentSubjectChar">
    <w:name w:val="Comment Subject Char"/>
    <w:link w:val="CommentSubject"/>
    <w:rsid w:val="00270F94"/>
    <w:rPr>
      <w:b/>
      <w:bCs/>
      <w:lang w:val="en-GB" w:eastAsia="en-GB"/>
    </w:rPr>
  </w:style>
  <w:style w:type="paragraph" w:styleId="Revision">
    <w:name w:val="Revision"/>
    <w:hidden/>
    <w:uiPriority w:val="99"/>
    <w:semiHidden/>
    <w:rsid w:val="00EA1550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8CFDA-9BF4-4450-9462-285065E5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169</TotalTime>
  <Pages>3</Pages>
  <Words>718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12</cp:revision>
  <cp:lastPrinted>2015-05-15T08:14:00Z</cp:lastPrinted>
  <dcterms:created xsi:type="dcterms:W3CDTF">2016-06-27T12:49:00Z</dcterms:created>
  <dcterms:modified xsi:type="dcterms:W3CDTF">2016-09-15T11:55:00Z</dcterms:modified>
</cp:coreProperties>
</file>