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A35947D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5D92D569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511F5DC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7D11D528" w14:textId="77777777" w:rsidR="00147CD5" w:rsidRPr="00147CD5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R1-1</w:t>
            </w:r>
          </w:p>
          <w:p w14:paraId="302B5060" w14:textId="77777777" w:rsidR="00B07D93" w:rsidRDefault="00CA5DB6" w:rsidP="00B07D93">
            <w:pPr>
              <w:pStyle w:val="NoSpacing"/>
              <w:spacing w:line="360" w:lineRule="auto"/>
              <w:rPr>
                <w:sz w:val="20"/>
                <w:szCs w:val="20"/>
              </w:rPr>
            </w:pPr>
            <w:bookmarkStart w:id="0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0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Брой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внедрени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услуги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от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типа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„</w:t>
            </w:r>
            <w:proofErr w:type="spellStart"/>
            <w:r w:rsidR="00B07D93" w:rsidRPr="00EB2F1E">
              <w:rPr>
                <w:sz w:val="20"/>
                <w:szCs w:val="20"/>
              </w:rPr>
              <w:t>епизоди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от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живота</w:t>
            </w:r>
            <w:proofErr w:type="spellEnd"/>
            <w:r w:rsidR="00B07D93" w:rsidRPr="00EB2F1E">
              <w:rPr>
                <w:sz w:val="20"/>
                <w:szCs w:val="20"/>
              </w:rPr>
              <w:t>“ и „</w:t>
            </w:r>
            <w:proofErr w:type="spellStart"/>
            <w:r w:rsidR="00B07D93" w:rsidRPr="00EB2F1E">
              <w:rPr>
                <w:sz w:val="20"/>
                <w:szCs w:val="20"/>
              </w:rPr>
              <w:t>бизнес</w:t>
            </w:r>
            <w:proofErr w:type="spellEnd"/>
            <w:r w:rsidR="00B07D93" w:rsidRPr="00EB2F1E">
              <w:rPr>
                <w:sz w:val="20"/>
                <w:szCs w:val="20"/>
              </w:rPr>
              <w:t xml:space="preserve"> </w:t>
            </w:r>
            <w:proofErr w:type="spellStart"/>
            <w:r w:rsidR="00B07D93" w:rsidRPr="00EB2F1E">
              <w:rPr>
                <w:sz w:val="20"/>
                <w:szCs w:val="20"/>
              </w:rPr>
              <w:t>събития</w:t>
            </w:r>
            <w:proofErr w:type="spellEnd"/>
            <w:r w:rsidR="00B07D93" w:rsidRPr="00EB2F1E">
              <w:rPr>
                <w:sz w:val="20"/>
                <w:szCs w:val="20"/>
              </w:rPr>
              <w:t>“</w:t>
            </w:r>
          </w:p>
          <w:p w14:paraId="08B73BA2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787777A3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48E4506" w14:textId="77777777" w:rsidR="00C624EC" w:rsidRPr="005205F1" w:rsidRDefault="00C624EC" w:rsidP="00EE79F0">
      <w:pPr>
        <w:pStyle w:val="Xreftext"/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1" w:name="contact"/>
      <w:bookmarkEnd w:id="1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07F2631B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0FAA0D7" w14:textId="77777777" w:rsidR="00A7314F" w:rsidRDefault="00A23486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2" w:name="data"/>
            <w:bookmarkEnd w:id="2"/>
            <w:r>
              <w:rPr>
                <w:b/>
                <w:lang w:val="bg-BG"/>
              </w:rPr>
              <w:t>Източник на данни</w:t>
            </w:r>
          </w:p>
          <w:p w14:paraId="19F931A6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214184" w:rsidRPr="005205F1" w14:paraId="649B15C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8D0C651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C550483" w14:textId="77777777" w:rsidR="00214184" w:rsidRPr="005205F1" w:rsidRDefault="00214184" w:rsidP="00EE79F0">
            <w:pPr>
              <w:pStyle w:val="Xreftext"/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214184" w:rsidRPr="005205F1" w14:paraId="5ED2AA7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C9FDE7F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Отдел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C276822" w14:textId="77777777" w:rsidR="00214184" w:rsidRPr="005205F1" w:rsidRDefault="00214184" w:rsidP="00EE79F0">
            <w:pPr>
              <w:pStyle w:val="Xreftext"/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214184" w:rsidRPr="005205F1" w14:paraId="5F8A5BF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2E216A1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68B0D4F" w14:textId="77777777" w:rsidR="00214184" w:rsidRPr="005205F1" w:rsidRDefault="00214184" w:rsidP="00EE79F0">
            <w:pPr>
              <w:pStyle w:val="Xreftext"/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214184" w:rsidRPr="005205F1" w14:paraId="761E669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9F75C36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1996E05" w14:textId="77777777" w:rsidR="00214184" w:rsidRPr="005205F1" w:rsidRDefault="00214184" w:rsidP="00EE79F0">
            <w:pPr>
              <w:pStyle w:val="Xreftext"/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214184" w:rsidRPr="005205F1" w14:paraId="3ED846D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752B894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B7FBF3D" w14:textId="77777777" w:rsidR="00214184" w:rsidRPr="005205F1" w:rsidRDefault="00214184" w:rsidP="00EE79F0">
            <w:pPr>
              <w:pStyle w:val="Xreftext"/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214184" w:rsidRPr="005205F1" w14:paraId="1025C9D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A22DBCF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6575A08" w14:textId="77777777" w:rsidR="00214184" w:rsidRPr="00DE4AA1" w:rsidRDefault="00214184" w:rsidP="00EE79F0">
            <w:pPr>
              <w:pStyle w:val="Xreftext"/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214184" w:rsidRPr="005205F1" w14:paraId="25C0F53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4BCE3FF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D836B87" w14:textId="77777777" w:rsidR="00214184" w:rsidRPr="005205F1" w:rsidRDefault="00214184" w:rsidP="00EE79F0">
            <w:pPr>
              <w:pStyle w:val="Xreftext"/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214184" w:rsidRPr="005205F1" w14:paraId="281E32BE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68CB471" w14:textId="77777777" w:rsidR="00214184" w:rsidRPr="005205F1" w:rsidRDefault="00214184" w:rsidP="006E476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EF3555B" w14:textId="77777777" w:rsidR="00214184" w:rsidRPr="00570DC1" w:rsidRDefault="00570DC1" w:rsidP="00EE79F0">
            <w:pPr>
              <w:pStyle w:val="Xreftext"/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298D5CB8" w14:textId="77777777" w:rsidR="00B1086B" w:rsidRPr="005205F1" w:rsidRDefault="00B1086B" w:rsidP="00EE79F0">
      <w:pPr>
        <w:pStyle w:val="Xreftext"/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3" w:name="access"/>
      <w:bookmarkStart w:id="4" w:name="integrity"/>
      <w:bookmarkEnd w:id="3"/>
      <w:bookmarkEnd w:id="4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8FE4C4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F2AD370" w14:textId="77777777" w:rsidR="00346D8F" w:rsidRPr="005205F1" w:rsidRDefault="00A006F6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0AB40D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EC1ECED" w14:textId="77777777" w:rsidR="00832DF3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6928874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4E2BAE3" w14:textId="6FF32F6F" w:rsidR="00832DF3" w:rsidRPr="00147CD5" w:rsidRDefault="00B07D93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214184">
              <w:rPr>
                <w:i/>
                <w:szCs w:val="24"/>
                <w:lang w:val="bg-BG"/>
              </w:rPr>
              <w:t>Административни услуги</w:t>
            </w:r>
            <w:r w:rsidR="00413001">
              <w:rPr>
                <w:i/>
                <w:szCs w:val="24"/>
                <w:lang w:val="bg-BG"/>
              </w:rPr>
              <w:t xml:space="preserve"> </w:t>
            </w:r>
            <w:r w:rsidRPr="00214184">
              <w:rPr>
                <w:i/>
                <w:szCs w:val="24"/>
                <w:lang w:val="bg-BG"/>
              </w:rPr>
              <w:t xml:space="preserve">на една и/или няколко администрации и/или доставчици на </w:t>
            </w:r>
            <w:r w:rsidR="003F77E4">
              <w:rPr>
                <w:i/>
                <w:szCs w:val="24"/>
                <w:lang w:val="bg-BG"/>
              </w:rPr>
              <w:t>обществени</w:t>
            </w:r>
            <w:r w:rsidR="003F77E4" w:rsidRPr="00214184">
              <w:rPr>
                <w:i/>
                <w:szCs w:val="24"/>
                <w:lang w:val="bg-BG"/>
              </w:rPr>
              <w:t xml:space="preserve"> </w:t>
            </w:r>
            <w:r w:rsidRPr="00214184">
              <w:rPr>
                <w:i/>
                <w:szCs w:val="24"/>
                <w:lang w:val="bg-BG"/>
              </w:rPr>
              <w:t>услуги, групирани по основни важни моменти или епизоди от живота на гражданите или бизнеса.</w:t>
            </w:r>
          </w:p>
        </w:tc>
      </w:tr>
      <w:tr w:rsidR="00A23486" w:rsidRPr="005205F1" w14:paraId="50214C8D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DBAA4E" w14:textId="77777777" w:rsidR="00A23486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1DB5D53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828B60" w14:textId="1C159BFB" w:rsidR="00A23486" w:rsidRDefault="00147CD5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3329A6A9" w14:textId="5F6FB274" w:rsidR="005A1D42" w:rsidRDefault="005A1D42" w:rsidP="00722809">
            <w:pPr>
              <w:pStyle w:val="Xreftext"/>
              <w:jc w:val="both"/>
              <w:rPr>
                <w:i/>
                <w:szCs w:val="24"/>
                <w:lang w:val="bg-BG"/>
              </w:rPr>
            </w:pPr>
          </w:p>
          <w:p w14:paraId="5FEB717E" w14:textId="1563D8A4" w:rsidR="00413001" w:rsidRDefault="005A1D42" w:rsidP="0041443B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2C19D7">
              <w:rPr>
                <w:i/>
                <w:lang w:val="bg-BG"/>
              </w:rPr>
              <w:t xml:space="preserve">Брой </w:t>
            </w:r>
            <w:r w:rsidR="003F77E4">
              <w:rPr>
                <w:i/>
                <w:lang w:val="bg-BG"/>
              </w:rPr>
              <w:t xml:space="preserve">внедрени </w:t>
            </w:r>
            <w:r w:rsidR="00413001">
              <w:rPr>
                <w:i/>
                <w:lang w:val="bg-BG"/>
              </w:rPr>
              <w:t>услуги от типа</w:t>
            </w:r>
            <w:r w:rsidRPr="002C19D7">
              <w:rPr>
                <w:i/>
                <w:lang w:val="bg-BG"/>
              </w:rPr>
              <w:t xml:space="preserve"> „епизоди от живота“ и/или „бизнес събития“, </w:t>
            </w:r>
            <w:r w:rsidR="00413001" w:rsidRPr="00413001">
              <w:rPr>
                <w:i/>
                <w:lang w:val="bg-BG"/>
              </w:rPr>
              <w:t>в</w:t>
            </w:r>
            <w:r w:rsidR="00413001">
              <w:rPr>
                <w:i/>
                <w:lang w:val="bg-BG"/>
              </w:rPr>
              <w:t>писани</w:t>
            </w:r>
            <w:r w:rsidR="00413001" w:rsidRPr="00413001">
              <w:rPr>
                <w:i/>
                <w:lang w:val="bg-BG"/>
              </w:rPr>
              <w:t xml:space="preserve"> в Административния регистър, </w:t>
            </w:r>
            <w:r w:rsidR="00413001">
              <w:rPr>
                <w:i/>
                <w:lang w:val="bg-BG"/>
              </w:rPr>
              <w:t xml:space="preserve">за </w:t>
            </w:r>
            <w:r w:rsidR="00722809" w:rsidRPr="00214184">
              <w:rPr>
                <w:i/>
                <w:lang w:val="bg-BG"/>
              </w:rPr>
              <w:t xml:space="preserve">които </w:t>
            </w:r>
            <w:r w:rsidR="00413001">
              <w:rPr>
                <w:i/>
                <w:lang w:val="bg-BG"/>
              </w:rPr>
              <w:t>е</w:t>
            </w:r>
            <w:r w:rsidR="00413001" w:rsidRPr="00214184">
              <w:rPr>
                <w:i/>
                <w:lang w:val="bg-BG"/>
              </w:rPr>
              <w:t xml:space="preserve"> </w:t>
            </w:r>
            <w:r w:rsidR="00722809" w:rsidRPr="00214184">
              <w:rPr>
                <w:i/>
                <w:lang w:val="bg-BG"/>
              </w:rPr>
              <w:t xml:space="preserve">извършен </w:t>
            </w:r>
            <w:proofErr w:type="spellStart"/>
            <w:r w:rsidR="00722809" w:rsidRPr="00214184">
              <w:rPr>
                <w:i/>
                <w:lang w:val="bg-BG"/>
              </w:rPr>
              <w:t>реинженеринг</w:t>
            </w:r>
            <w:proofErr w:type="spellEnd"/>
            <w:r w:rsidR="00722809" w:rsidRPr="00214184">
              <w:rPr>
                <w:i/>
                <w:lang w:val="bg-BG"/>
              </w:rPr>
              <w:t xml:space="preserve"> на работните процеси </w:t>
            </w:r>
            <w:r w:rsidR="00413001">
              <w:rPr>
                <w:i/>
                <w:lang w:val="bg-BG"/>
              </w:rPr>
              <w:t xml:space="preserve">и </w:t>
            </w:r>
            <w:r w:rsidR="00413001" w:rsidRPr="00413001">
              <w:rPr>
                <w:i/>
                <w:lang w:val="bg-BG"/>
              </w:rPr>
              <w:t>е осигурен служебен обмен на данни и информация</w:t>
            </w:r>
            <w:r w:rsidR="00964094">
              <w:rPr>
                <w:i/>
                <w:lang w:val="bg-BG"/>
              </w:rPr>
              <w:t xml:space="preserve"> и възможност за</w:t>
            </w:r>
            <w:r w:rsidR="00413001">
              <w:rPr>
                <w:i/>
                <w:lang w:val="bg-BG"/>
              </w:rPr>
              <w:t xml:space="preserve"> предоставянето им като комплексни услуги. </w:t>
            </w:r>
          </w:p>
          <w:p w14:paraId="14702902" w14:textId="2DA3A3DC" w:rsidR="007A0F63" w:rsidRDefault="007A0F63" w:rsidP="0041443B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7A0F63">
              <w:rPr>
                <w:i/>
                <w:lang w:val="bg-BG"/>
              </w:rPr>
              <w:t>Не се отчитат услуги в тестови режим.</w:t>
            </w:r>
            <w:r>
              <w:rPr>
                <w:i/>
                <w:lang w:val="en-US"/>
              </w:rPr>
              <w:t xml:space="preserve"> </w:t>
            </w:r>
            <w:r w:rsidRPr="00084424">
              <w:rPr>
                <w:i/>
                <w:lang w:val="bg-BG"/>
              </w:rPr>
              <w:t>За внедрени се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  <w:lang w:val="bg-BG"/>
              </w:rPr>
              <w:t xml:space="preserve">приемат само тези услуги, които могат да бъдат заявени в и получени от </w:t>
            </w:r>
            <w:r w:rsidR="003464C6">
              <w:rPr>
                <w:i/>
                <w:lang w:val="bg-BG"/>
              </w:rPr>
              <w:t xml:space="preserve">гражданите и бизнеса, </w:t>
            </w:r>
            <w:r>
              <w:rPr>
                <w:i/>
                <w:lang w:val="bg-BG"/>
              </w:rPr>
              <w:t>една или повече администрации и, по възможност, в доставчиците на обществени услуги, в зависимост от групирането на „епизодите от живота“ и „бизнес събитията“.</w:t>
            </w:r>
          </w:p>
          <w:p w14:paraId="30ADF17A" w14:textId="292D825F" w:rsidR="007A0F63" w:rsidRPr="007A0F63" w:rsidRDefault="007A0F63" w:rsidP="0041443B">
            <w:pPr>
              <w:pStyle w:val="NoSpacing"/>
              <w:spacing w:line="360" w:lineRule="auto"/>
              <w:rPr>
                <w:i/>
                <w:lang w:val="bg-BG"/>
              </w:rPr>
            </w:pPr>
            <w:r>
              <w:rPr>
                <w:i/>
                <w:lang w:val="bg-BG"/>
              </w:rPr>
              <w:t>Групирането на услугите по „епизоди от живота“ и „бизнес събития“ със съответните водещи администрации</w:t>
            </w:r>
            <w:r w:rsidR="00824062">
              <w:rPr>
                <w:i/>
                <w:lang w:val="bg-BG"/>
              </w:rPr>
              <w:t>/доставчици</w:t>
            </w:r>
            <w:r>
              <w:rPr>
                <w:i/>
                <w:lang w:val="bg-BG"/>
              </w:rPr>
              <w:t xml:space="preserve"> за заявяване на услугата и другите </w:t>
            </w:r>
            <w:r>
              <w:rPr>
                <w:i/>
                <w:lang w:val="bg-BG"/>
              </w:rPr>
              <w:lastRenderedPageBreak/>
              <w:t>администрации</w:t>
            </w:r>
            <w:r w:rsidR="00824062">
              <w:rPr>
                <w:i/>
                <w:lang w:val="bg-BG"/>
              </w:rPr>
              <w:t>/доставчици</w:t>
            </w:r>
            <w:r>
              <w:rPr>
                <w:i/>
                <w:lang w:val="bg-BG"/>
              </w:rPr>
              <w:t>, участващи в процеса на нейното предоставяне, се извършва от Министерския съвет или Съвета за административна реформа.</w:t>
            </w:r>
          </w:p>
          <w:p w14:paraId="666DCF47" w14:textId="77777777" w:rsidR="00722809" w:rsidRPr="005A6406" w:rsidRDefault="00413001" w:rsidP="0041443B">
            <w:pPr>
              <w:pStyle w:val="NoSpacing"/>
              <w:rPr>
                <w:i/>
                <w:lang w:val="bg-BG"/>
              </w:rPr>
            </w:pPr>
            <w:r w:rsidRPr="00413001">
              <w:rPr>
                <w:i/>
                <w:lang w:val="bg-BG"/>
              </w:rPr>
              <w:t xml:space="preserve"> </w:t>
            </w:r>
            <w:r w:rsidR="00722809" w:rsidRPr="00214184">
              <w:rPr>
                <w:i/>
                <w:lang w:val="bg-BG"/>
              </w:rPr>
              <w:t>Индикаторът се изчислява с натрупване.</w:t>
            </w:r>
            <w:r w:rsidR="00214184" w:rsidRPr="005A6406">
              <w:rPr>
                <w:i/>
                <w:lang w:val="bg-BG"/>
              </w:rPr>
              <w:t xml:space="preserve"> </w:t>
            </w:r>
          </w:p>
        </w:tc>
      </w:tr>
      <w:tr w:rsidR="00832DF3" w:rsidRPr="005205F1" w14:paraId="75FBB0B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C0C969" w14:textId="77777777" w:rsidR="00832DF3" w:rsidRPr="00147CD5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3953D0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3B721B7" w14:textId="059442A9" w:rsidR="00E84386" w:rsidRPr="005A6406" w:rsidRDefault="00CD4313" w:rsidP="0041443B">
            <w:pPr>
              <w:pStyle w:val="Xreftext"/>
              <w:numPr>
                <w:ilvl w:val="0"/>
                <w:numId w:val="3"/>
              </w:numPr>
              <w:ind w:left="720"/>
              <w:jc w:val="both"/>
              <w:rPr>
                <w:i/>
                <w:szCs w:val="24"/>
                <w:lang w:val="bg-BG"/>
              </w:rPr>
            </w:pPr>
            <w:r w:rsidRPr="002C19D7">
              <w:rPr>
                <w:i/>
                <w:szCs w:val="24"/>
                <w:lang w:val="bg-BG"/>
              </w:rPr>
              <w:t>Административен регистър</w:t>
            </w:r>
            <w:r w:rsidR="002B1C6D" w:rsidRPr="00342254">
              <w:rPr>
                <w:bCs/>
                <w:color w:val="000000"/>
                <w:sz w:val="20"/>
                <w:lang w:val="bg-BG"/>
              </w:rPr>
              <w:t xml:space="preserve"> </w:t>
            </w:r>
          </w:p>
        </w:tc>
      </w:tr>
      <w:tr w:rsidR="00832DF3" w:rsidRPr="005205F1" w14:paraId="2DCD337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52FD52" w14:textId="77777777" w:rsidR="00832DF3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61C2778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43B4B3F" w14:textId="23CE06A4" w:rsidR="00832DF3" w:rsidRPr="005A6406" w:rsidRDefault="00CD4313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2C19D7">
              <w:rPr>
                <w:i/>
                <w:szCs w:val="24"/>
                <w:lang w:val="bg-BG"/>
              </w:rPr>
              <w:t>Брой внедрени услуги от типа „епизоди от живота“ и „бизнес събития“</w:t>
            </w:r>
          </w:p>
        </w:tc>
      </w:tr>
      <w:tr w:rsidR="005A6406" w:rsidRPr="005205F1" w14:paraId="6E307E7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6FF5AA" w14:textId="77777777" w:rsidR="005A6406" w:rsidRPr="005205F1" w:rsidRDefault="005A640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F29E6B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711B1C" w14:textId="77777777" w:rsidR="005A6406" w:rsidRPr="005A6406" w:rsidRDefault="005A6406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2D88405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5843F96" w14:textId="77777777" w:rsidR="00832DF3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490E627E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187A08" w14:textId="77777777" w:rsidR="00EB51B6" w:rsidRPr="005A6406" w:rsidRDefault="005A6406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351A25F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E55098" w14:textId="77777777" w:rsidR="00EB51B6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77F8921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DCEF778" w14:textId="165213C8" w:rsidR="00E16FC2" w:rsidRPr="006D1C5B" w:rsidRDefault="00DE2B25" w:rsidP="00DE2B25">
            <w:pPr>
              <w:pStyle w:val="Xreftext"/>
              <w:jc w:val="both"/>
              <w:rPr>
                <w:szCs w:val="24"/>
                <w:lang w:val="bg-BG"/>
              </w:rPr>
            </w:pPr>
            <w:r>
              <w:rPr>
                <w:bCs/>
                <w:sz w:val="20"/>
                <w:lang w:val="bg-BG"/>
              </w:rPr>
              <w:t xml:space="preserve">В съответствие с приоритетната ос се </w:t>
            </w:r>
            <w:r>
              <w:rPr>
                <w:i/>
                <w:szCs w:val="24"/>
                <w:lang w:val="bg-BG"/>
              </w:rPr>
              <w:t>о</w:t>
            </w:r>
            <w:r w:rsidR="007926FD" w:rsidRPr="007926FD">
              <w:rPr>
                <w:i/>
                <w:szCs w:val="24"/>
                <w:lang w:val="bg-BG"/>
              </w:rPr>
              <w:t>пределят пр</w:t>
            </w:r>
            <w:r w:rsidR="000A05A0">
              <w:rPr>
                <w:i/>
                <w:szCs w:val="24"/>
                <w:lang w:val="bg-BG"/>
              </w:rPr>
              <w:t>еди</w:t>
            </w:r>
            <w:r w:rsidR="007926FD" w:rsidRPr="007926FD">
              <w:rPr>
                <w:i/>
                <w:szCs w:val="24"/>
                <w:lang w:val="bg-BG"/>
              </w:rPr>
              <w:t xml:space="preserve"> стартиране на процедурата в съответствие с критериите</w:t>
            </w:r>
            <w:r w:rsidR="00B4199E">
              <w:rPr>
                <w:i/>
                <w:szCs w:val="24"/>
                <w:lang w:val="bg-BG"/>
              </w:rPr>
              <w:t>,</w:t>
            </w:r>
            <w:r w:rsidR="007926FD" w:rsidRPr="007926FD">
              <w:rPr>
                <w:i/>
                <w:szCs w:val="24"/>
                <w:lang w:val="bg-BG"/>
              </w:rPr>
              <w:t xml:space="preserve"> одобрени от Комитета за наблюдение</w:t>
            </w:r>
          </w:p>
        </w:tc>
      </w:tr>
      <w:tr w:rsidR="00EB51B6" w:rsidRPr="005205F1" w14:paraId="727E009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090127" w14:textId="77777777" w:rsidR="00EB51B6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5391649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6EAAA3A" w14:textId="77777777" w:rsidR="00EB51B6" w:rsidRPr="00B166D1" w:rsidRDefault="00214184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4673AA4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BCCAF74" w14:textId="77777777" w:rsidR="00EB51B6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80FB085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57C439" w14:textId="77777777" w:rsidR="00EB51B6" w:rsidRPr="005205F1" w:rsidRDefault="00090B6A" w:rsidP="00EE79F0">
            <w:pPr>
              <w:pStyle w:val="Xreftext"/>
              <w:jc w:val="both"/>
              <w:rPr>
                <w:szCs w:val="24"/>
                <w:highlight w:val="yellow"/>
                <w:lang w:val="bg-BG"/>
              </w:rPr>
            </w:pPr>
            <w:r w:rsidRPr="00214184">
              <w:rPr>
                <w:szCs w:val="24"/>
                <w:lang w:val="bg-BG"/>
              </w:rPr>
              <w:t>0</w:t>
            </w:r>
          </w:p>
        </w:tc>
      </w:tr>
      <w:tr w:rsidR="00A23486" w:rsidRPr="00A23486" w14:paraId="722B0BCE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CF3DB26" w14:textId="77777777" w:rsidR="00A23486" w:rsidRPr="00A23486" w:rsidRDefault="00A23486" w:rsidP="00EE79F0">
            <w:pPr>
              <w:pStyle w:val="Xreftext"/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BFD631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0D737" w14:textId="77777777" w:rsidR="00A23486" w:rsidRPr="005A6406" w:rsidRDefault="005A6406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62CEA0C0" w14:textId="77777777" w:rsidR="00346D8F" w:rsidRDefault="00346D8F" w:rsidP="00EE79F0">
      <w:pPr>
        <w:pStyle w:val="Xreftext"/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729762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BF9BF37" w14:textId="77777777" w:rsidR="00346D8F" w:rsidRPr="00A23486" w:rsidRDefault="0084659B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3CB3608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CA763FA" w14:textId="77777777" w:rsidR="00D507D8" w:rsidRPr="005205F1" w:rsidRDefault="00A23486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38C1F8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88B4534" w14:textId="77777777" w:rsidR="00042285" w:rsidRDefault="004C4E1C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41443B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41443B">
              <w:rPr>
                <w:i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41443B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41443B">
              <w:rPr>
                <w:i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21EAC923" w14:textId="77777777" w:rsidR="00214184" w:rsidRPr="0041443B" w:rsidRDefault="00214184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/>
                <w:b/>
                <w:lang w:val="bg-BG"/>
              </w:rPr>
            </w:pPr>
            <w:r w:rsidRPr="0041443B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 (2014 - 2020 г.)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4733171C" w14:textId="77777777" w:rsidR="00214184" w:rsidRPr="00C717DD" w:rsidRDefault="00214184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41443B">
              <w:rPr>
                <w:rFonts w:ascii="TimesNewRomanPS-BoldMT" w:hAnsi="TimesNewRomanPS-BoldMT"/>
                <w:b/>
                <w:lang w:val="bg-BG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41443B">
              <w:rPr>
                <w:rFonts w:ascii="TimesNewRomanPS-BoldMT" w:hAnsi="TimesNewRomanPS-BoldMT"/>
                <w:b/>
                <w:lang w:val="bg-BG"/>
              </w:rPr>
              <w:t>развитие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41443B">
              <w:rPr>
                <w:rFonts w:ascii="TimesNewRomanPS-BoldMT" w:hAnsi="TimesNewRomanPS-BoldMT"/>
                <w:b/>
                <w:lang w:val="bg-BG"/>
              </w:rPr>
              <w:t xml:space="preserve"> България 2020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0E0A6D62" w14:textId="77777777" w:rsidR="00214184" w:rsidRPr="00FB1845" w:rsidRDefault="00214184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;</w:t>
            </w:r>
          </w:p>
          <w:p w14:paraId="411304C5" w14:textId="77777777" w:rsidR="00214184" w:rsidRPr="00FB1845" w:rsidRDefault="00214184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администрацията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;</w:t>
            </w:r>
          </w:p>
          <w:p w14:paraId="11AACDF0" w14:textId="77777777" w:rsidR="004C4E1C" w:rsidRPr="00570DC1" w:rsidRDefault="00214184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Наредба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административното</w:t>
            </w:r>
            <w:proofErr w:type="spellEnd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B1845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обслужване</w:t>
            </w:r>
            <w:proofErr w:type="spellEnd"/>
          </w:p>
          <w:p w14:paraId="60AB37E4" w14:textId="77777777" w:rsidR="006D1C5B" w:rsidRPr="00B166D1" w:rsidRDefault="006D1C5B" w:rsidP="006E476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Административнопроцесуален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кодекс</w:t>
            </w:r>
          </w:p>
        </w:tc>
      </w:tr>
    </w:tbl>
    <w:p w14:paraId="51A1BDD4" w14:textId="77777777" w:rsidR="00A23486" w:rsidRPr="005205F1" w:rsidRDefault="00A23486" w:rsidP="00EE79F0">
      <w:pPr>
        <w:pStyle w:val="Xreftext"/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7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24"/>
        <w:gridCol w:w="4508"/>
        <w:gridCol w:w="4538"/>
        <w:gridCol w:w="808"/>
      </w:tblGrid>
      <w:tr w:rsidR="00346D8F" w:rsidRPr="005205F1" w14:paraId="1F48F81E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FC54AB" w14:textId="77777777" w:rsidR="00346D8F" w:rsidRPr="005205F1" w:rsidRDefault="002D0F3D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78B84D8C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636220" w14:textId="77777777" w:rsidR="00D507D8" w:rsidRPr="005205F1" w:rsidRDefault="00752222" w:rsidP="00EE79F0">
            <w:pPr>
              <w:pStyle w:val="Xreftext"/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728116C8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183F197" w14:textId="77777777" w:rsidR="00634BC6" w:rsidRPr="005205F1" w:rsidRDefault="00634BC6" w:rsidP="006E476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4DD7FFE7" w14:textId="77777777" w:rsidR="00D507D8" w:rsidRPr="005205F1" w:rsidRDefault="00634BC6" w:rsidP="006E476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изготвят </w:t>
            </w:r>
            <w:r w:rsidRPr="005205F1">
              <w:rPr>
                <w:rStyle w:val="hps"/>
                <w:szCs w:val="24"/>
                <w:lang w:val="bg-BG"/>
              </w:rPr>
              <w:lastRenderedPageBreak/>
              <w:t>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7A1DDD10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D53FD00" w14:textId="77777777" w:rsidR="00D507D8" w:rsidRPr="00A23486" w:rsidRDefault="00752222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 w:rsidRPr="0041443B">
              <w:rPr>
                <w:b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114E7A">
              <w:rPr>
                <w:b/>
                <w:szCs w:val="24"/>
                <w:lang w:val="bg-BG"/>
              </w:rPr>
              <w:t xml:space="preserve">е на данните от НСИ и </w:t>
            </w:r>
            <w:r>
              <w:rPr>
                <w:b/>
                <w:szCs w:val="24"/>
                <w:lang w:val="bg-BG"/>
              </w:rPr>
              <w:t>УО</w:t>
            </w:r>
          </w:p>
        </w:tc>
      </w:tr>
      <w:tr w:rsidR="00DE0DFC" w:rsidRPr="005A6406" w14:paraId="05B9086B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6B69683" w14:textId="77777777" w:rsidR="00DE0DFC" w:rsidRPr="005205F1" w:rsidRDefault="004C4E1C" w:rsidP="00EE79F0">
            <w:pPr>
              <w:pStyle w:val="Xreftext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  <w:tr w:rsidR="00346D8F" w:rsidRPr="005205F1" w14:paraId="46F0B34D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A4B5460" w14:textId="77777777" w:rsidR="00346D8F" w:rsidRPr="005205F1" w:rsidRDefault="00C3069E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bookmarkStart w:id="5" w:name="_GoBack"/>
            <w:bookmarkEnd w:id="5"/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076FED22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B1B754E" w14:textId="77777777" w:rsidR="00D507D8" w:rsidRPr="00114E7A" w:rsidRDefault="00114E7A" w:rsidP="00EE79F0">
            <w:pPr>
              <w:pStyle w:val="Xreftext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  <w:tr w:rsidR="00346D8F" w:rsidRPr="005A6406" w14:paraId="2BA5FA2C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054AE0C" w14:textId="77777777" w:rsidR="00346D8F" w:rsidRPr="005A6406" w:rsidRDefault="005A6E5A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25B28C2F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97B2E79" w14:textId="77777777" w:rsidR="004A606E" w:rsidRPr="005205F1" w:rsidRDefault="00114E7A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1861CEF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DB8B1B4" w14:textId="65CD971A" w:rsidR="004A606E" w:rsidRPr="005205F1" w:rsidRDefault="00114E7A" w:rsidP="00D5772A">
            <w:pPr>
              <w:pStyle w:val="Xreftext"/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  <w:tr w:rsidR="00346D8F" w:rsidRPr="005A6406" w14:paraId="2A7D2BD5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CDA3703" w14:textId="77777777" w:rsidR="00346D8F" w:rsidRPr="005A6406" w:rsidRDefault="0047448B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342254" w14:paraId="77B99FBD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F0757A2" w14:textId="77777777" w:rsidR="004A606E" w:rsidRPr="005205F1" w:rsidRDefault="00114E7A" w:rsidP="00EE79F0">
            <w:pPr>
              <w:pStyle w:val="Xreftext"/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7B14EB4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7321737" w14:textId="79F64602" w:rsidR="004A606E" w:rsidRPr="005205F1" w:rsidRDefault="004A606E" w:rsidP="00570DC1">
            <w:pPr>
              <w:rPr>
                <w:lang w:val="bg-BG"/>
              </w:rPr>
            </w:pPr>
          </w:p>
        </w:tc>
      </w:tr>
      <w:tr w:rsidR="005A6406" w:rsidRPr="005A6406" w14:paraId="46075E75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825324B" w14:textId="77777777" w:rsidR="005A6406" w:rsidRPr="005A6406" w:rsidRDefault="005A6406" w:rsidP="00EE79F0">
            <w:pPr>
              <w:pStyle w:val="Xreftext"/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05D2EA29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F880C" w14:textId="77777777" w:rsidR="005A6406" w:rsidRPr="005A6406" w:rsidRDefault="005A6406" w:rsidP="00EE79F0">
            <w:pPr>
              <w:pStyle w:val="Xreftext"/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0E38D3" w:rsidRPr="005205F1" w14:paraId="3C0AA911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EC66483" w14:textId="77777777" w:rsidR="000E38D3" w:rsidRPr="005205F1" w:rsidRDefault="0073457D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51B3D839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004C2DA" w14:textId="77777777" w:rsidR="0086601C" w:rsidRPr="005205F1" w:rsidRDefault="00C5220A" w:rsidP="00EE79F0">
            <w:pPr>
              <w:pStyle w:val="Xreftext"/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1AE3A71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B7AD0EE" w14:textId="77777777" w:rsidR="0086601C" w:rsidRPr="005205F1" w:rsidRDefault="004C4E1C" w:rsidP="00EE79F0">
            <w:pPr>
              <w:pStyle w:val="Xreftext"/>
              <w:jc w:val="both"/>
              <w:rPr>
                <w:szCs w:val="24"/>
                <w:lang w:val="en-GB"/>
              </w:rPr>
            </w:pPr>
            <w:r w:rsidRPr="00214184">
              <w:rPr>
                <w:szCs w:val="24"/>
                <w:lang w:val="bg-BG"/>
              </w:rPr>
              <w:t>Доклади на бенефициенти, ИСУН, и мониторинг от УО</w:t>
            </w:r>
          </w:p>
        </w:tc>
      </w:tr>
      <w:tr w:rsidR="0086601C" w:rsidRPr="005205F1" w14:paraId="44F2E0AE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04BDD2" w14:textId="77777777" w:rsidR="0086601C" w:rsidRPr="005205F1" w:rsidRDefault="00C5220A" w:rsidP="00EE79F0">
            <w:pPr>
              <w:pStyle w:val="Xreftext"/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F8A1361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4A24050" w14:textId="77777777" w:rsidR="0086601C" w:rsidRPr="005205F1" w:rsidRDefault="00214184" w:rsidP="00EE79F0">
            <w:pPr>
              <w:pStyle w:val="Xreftext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1694A263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1653AA" w14:textId="77777777" w:rsidR="0086601C" w:rsidRPr="005205F1" w:rsidRDefault="00C5220A" w:rsidP="00EE79F0">
            <w:pPr>
              <w:pStyle w:val="Xreftext"/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602627AF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F266CBB" w14:textId="77777777" w:rsidR="0086601C" w:rsidRPr="004C4E1C" w:rsidRDefault="004C4E1C" w:rsidP="00EE79F0">
            <w:pPr>
              <w:pStyle w:val="Xreftext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AB74DF4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CD580A" w14:textId="77777777" w:rsidR="0086601C" w:rsidRPr="00584348" w:rsidRDefault="00752222" w:rsidP="00EE79F0">
            <w:pPr>
              <w:pStyle w:val="Xreftext"/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7E436903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53646B5" w14:textId="77777777" w:rsidR="0086601C" w:rsidRPr="00B166D1" w:rsidRDefault="00584348" w:rsidP="00EE79F0">
            <w:pPr>
              <w:pStyle w:val="Xreftext"/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  <w:tr w:rsidR="00584348" w:rsidRPr="005205F1" w14:paraId="3761D55E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DDDF737" w14:textId="77777777" w:rsidR="00584348" w:rsidRPr="005205F1" w:rsidRDefault="00584348" w:rsidP="006E476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14502E0B" w14:textId="77777777" w:rsidTr="00480569">
        <w:trPr>
          <w:gridBefore w:val="1"/>
          <w:wBefore w:w="24" w:type="dxa"/>
        </w:trPr>
        <w:tc>
          <w:tcPr>
            <w:tcW w:w="985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434F90" w14:textId="77777777" w:rsidR="00584348" w:rsidRPr="005205F1" w:rsidRDefault="00584348" w:rsidP="00EE79F0">
            <w:pPr>
              <w:pStyle w:val="Xreftext"/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  <w:tr w:rsidR="00427613" w:rsidRPr="00AE780E" w14:paraId="4786C401" w14:textId="77777777" w:rsidTr="00480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08" w:type="dxa"/>
        </w:trPr>
        <w:tc>
          <w:tcPr>
            <w:tcW w:w="4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A084B1" w14:textId="77777777" w:rsidR="00427613" w:rsidRPr="0041443B" w:rsidRDefault="00427613" w:rsidP="00AE780E">
            <w:pPr>
              <w:rPr>
                <w:b/>
                <w:color w:val="000000"/>
                <w:sz w:val="26"/>
                <w:lang w:val="bg-BG"/>
              </w:rPr>
            </w:pPr>
            <w:r w:rsidRPr="0041443B">
              <w:rPr>
                <w:b/>
                <w:color w:val="000000"/>
                <w:sz w:val="26"/>
                <w:lang w:val="bg-BG"/>
              </w:rPr>
              <w:t>Управляващ Орган на Оперативна програма "Добро управление" 2014-2020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F3C3D" w14:textId="77777777" w:rsidR="00427613" w:rsidRPr="00AE780E" w:rsidRDefault="00427613" w:rsidP="00AE780E">
            <w:pPr>
              <w:rPr>
                <w:b/>
                <w:bCs/>
                <w:color w:val="000000"/>
              </w:rPr>
            </w:pP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 w:rsidRPr="00AE780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E780E"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427613" w:rsidRPr="00AE780E" w14:paraId="32CAB8B1" w14:textId="77777777" w:rsidTr="00480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08" w:type="dxa"/>
        </w:trPr>
        <w:tc>
          <w:tcPr>
            <w:tcW w:w="4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A3E05" w14:textId="77777777" w:rsidR="00427613" w:rsidRPr="00AE780E" w:rsidRDefault="00427613" w:rsidP="00427613">
            <w:pPr>
              <w:rPr>
                <w:color w:val="000000"/>
                <w:lang w:val="bg-BG"/>
              </w:rPr>
            </w:pPr>
          </w:p>
          <w:p w14:paraId="41CA0F9F" w14:textId="77777777" w:rsidR="00427613" w:rsidRPr="00AE780E" w:rsidRDefault="00427613" w:rsidP="00427613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Надя Зарева : ……………..</w:t>
            </w:r>
          </w:p>
          <w:p w14:paraId="6E61EB2D" w14:textId="77777777" w:rsidR="00427613" w:rsidRPr="00AE780E" w:rsidRDefault="00427613" w:rsidP="00427613">
            <w:pPr>
              <w:rPr>
                <w:sz w:val="22"/>
                <w:szCs w:val="22"/>
                <w:lang w:val="bg-BG" w:eastAsia="en-US"/>
              </w:rPr>
            </w:pPr>
            <w:r w:rsidRPr="00AE780E"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80E91" w14:textId="77777777" w:rsidR="00427613" w:rsidRPr="00AE780E" w:rsidRDefault="00427613" w:rsidP="00AE780E">
            <w:pPr>
              <w:rPr>
                <w:color w:val="000000"/>
                <w:lang w:val="bg-BG"/>
              </w:rPr>
            </w:pPr>
            <w:proofErr w:type="spellStart"/>
            <w:r w:rsidRPr="00AE780E">
              <w:rPr>
                <w:color w:val="000000"/>
                <w:lang w:val="bg-BG"/>
              </w:rPr>
              <w:t>Финка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Денкова: ……………..</w:t>
            </w:r>
          </w:p>
          <w:p w14:paraId="49B7FF52" w14:textId="77777777" w:rsidR="00427613" w:rsidRPr="00AE780E" w:rsidRDefault="00427613" w:rsidP="00AE780E">
            <w:pPr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Началник на отдел „</w:t>
            </w:r>
            <w:proofErr w:type="spellStart"/>
            <w:r w:rsidRPr="00AE780E">
              <w:rPr>
                <w:color w:val="000000"/>
                <w:lang w:val="bg-BG"/>
              </w:rPr>
              <w:t>Многосекторна</w:t>
            </w:r>
            <w:proofErr w:type="spellEnd"/>
            <w:r w:rsidRPr="00AE780E">
              <w:rPr>
                <w:color w:val="000000"/>
                <w:lang w:val="bg-BG"/>
              </w:rPr>
              <w:t xml:space="preserve"> и </w:t>
            </w:r>
            <w:proofErr w:type="spellStart"/>
            <w:r w:rsidRPr="00AE780E">
              <w:rPr>
                <w:color w:val="000000"/>
                <w:lang w:val="bg-BG"/>
              </w:rPr>
              <w:t>геостатистика</w:t>
            </w:r>
            <w:proofErr w:type="spellEnd"/>
            <w:r w:rsidRPr="00AE780E">
              <w:rPr>
                <w:color w:val="000000"/>
                <w:lang w:val="bg-BG"/>
              </w:rPr>
              <w:t>“</w:t>
            </w:r>
          </w:p>
        </w:tc>
      </w:tr>
      <w:tr w:rsidR="00427613" w:rsidRPr="00AE780E" w14:paraId="1C919F08" w14:textId="77777777" w:rsidTr="004805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08" w:type="dxa"/>
        </w:trPr>
        <w:tc>
          <w:tcPr>
            <w:tcW w:w="4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3837" w14:textId="77777777" w:rsidR="00427613" w:rsidRPr="00AE780E" w:rsidRDefault="00427613" w:rsidP="00427613">
            <w:pPr>
              <w:rPr>
                <w:color w:val="000000"/>
                <w:lang w:val="bg-BG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56E9F" w14:textId="77777777" w:rsidR="00427613" w:rsidRPr="0041443B" w:rsidRDefault="00427613" w:rsidP="00AE780E">
            <w:pPr>
              <w:jc w:val="both"/>
              <w:rPr>
                <w:color w:val="000000"/>
                <w:lang w:val="bg-BG"/>
              </w:rPr>
            </w:pPr>
            <w:r w:rsidRPr="00AE780E"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198EC482" w14:textId="77777777" w:rsidR="0057769D" w:rsidRDefault="0057769D" w:rsidP="0057769D">
      <w:pPr>
        <w:rPr>
          <w:sz w:val="22"/>
          <w:szCs w:val="22"/>
          <w:lang w:val="bg-BG" w:eastAsia="en-US"/>
        </w:rPr>
      </w:pPr>
    </w:p>
    <w:p w14:paraId="15157776" w14:textId="77777777" w:rsidR="00427613" w:rsidRPr="00C06073" w:rsidRDefault="00427613" w:rsidP="00427613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7394A13D" w14:textId="77777777" w:rsidR="0057769D" w:rsidRDefault="0057769D" w:rsidP="0057769D">
      <w:pPr>
        <w:rPr>
          <w:sz w:val="22"/>
          <w:szCs w:val="22"/>
          <w:lang w:val="bg-BG" w:eastAsia="en-US"/>
        </w:rPr>
      </w:pPr>
    </w:p>
    <w:p w14:paraId="27FA83EB" w14:textId="77777777" w:rsidR="0057769D" w:rsidRPr="00584348" w:rsidRDefault="0057769D" w:rsidP="00EE79F0">
      <w:pPr>
        <w:pStyle w:val="Xreftext"/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7769D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73AF9" w14:textId="77777777" w:rsidR="00EE79F0" w:rsidRPr="00753C8C" w:rsidRDefault="00EE79F0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F1F447A" w14:textId="77777777" w:rsidR="00EE79F0" w:rsidRPr="00753C8C" w:rsidRDefault="00EE79F0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518BAFA" w14:textId="77777777" w:rsidR="00EE79F0" w:rsidRDefault="00EE7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86417" w14:textId="77777777" w:rsidR="00606E11" w:rsidRDefault="00606E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3916E" w14:textId="0965817A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0569">
      <w:rPr>
        <w:noProof/>
      </w:rPr>
      <w:t>4</w:t>
    </w:r>
    <w:r>
      <w:fldChar w:fldCharType="end"/>
    </w:r>
  </w:p>
  <w:p w14:paraId="2E0F189B" w14:textId="27480BE0" w:rsidR="00BB456D" w:rsidRDefault="00606E11">
    <w:pPr>
      <w:pStyle w:val="Footer"/>
    </w:pPr>
    <w:proofErr w:type="spellStart"/>
    <w:r w:rsidRPr="00606E11">
      <w:rPr>
        <w:i/>
        <w:lang w:val="en-GB" w:eastAsia="en-GB"/>
      </w:rPr>
      <w:t>Версия</w:t>
    </w:r>
    <w:proofErr w:type="spellEnd"/>
    <w:r w:rsidRPr="00606E11">
      <w:rPr>
        <w:i/>
        <w:lang w:val="en-GB" w:eastAsia="en-GB"/>
      </w:rPr>
      <w:t xml:space="preserve"> № 2 </w:t>
    </w:r>
    <w:proofErr w:type="spellStart"/>
    <w:r w:rsidRPr="00606E11">
      <w:rPr>
        <w:i/>
        <w:lang w:val="en-GB" w:eastAsia="en-GB"/>
      </w:rPr>
      <w:t>от</w:t>
    </w:r>
    <w:proofErr w:type="spellEnd"/>
    <w:r w:rsidRPr="00606E11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94522" w14:textId="77777777" w:rsidR="00606E11" w:rsidRDefault="00606E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11CEC" w14:textId="77777777" w:rsidR="00EE79F0" w:rsidRPr="00753C8C" w:rsidRDefault="00EE79F0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034C825F" w14:textId="77777777" w:rsidR="00EE79F0" w:rsidRPr="00753C8C" w:rsidRDefault="00EE79F0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0CAAA75" w14:textId="77777777" w:rsidR="00EE79F0" w:rsidRDefault="00EE79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8E985" w14:textId="77777777" w:rsidR="00606E11" w:rsidRDefault="00606E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354B2" w14:textId="77777777" w:rsidR="00EE79F0" w:rsidRDefault="00EE79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B8793" w14:textId="77777777" w:rsidR="00606E11" w:rsidRDefault="00606E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4424"/>
    <w:rsid w:val="00086261"/>
    <w:rsid w:val="00090B6A"/>
    <w:rsid w:val="00091571"/>
    <w:rsid w:val="000A05A0"/>
    <w:rsid w:val="000A37A9"/>
    <w:rsid w:val="000A57D5"/>
    <w:rsid w:val="000A68B3"/>
    <w:rsid w:val="000A6AB3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1C36"/>
    <w:rsid w:val="0015599A"/>
    <w:rsid w:val="0016008F"/>
    <w:rsid w:val="0016196A"/>
    <w:rsid w:val="00186AC2"/>
    <w:rsid w:val="00192D80"/>
    <w:rsid w:val="001A1E0A"/>
    <w:rsid w:val="001A227A"/>
    <w:rsid w:val="001B58B0"/>
    <w:rsid w:val="001F25DE"/>
    <w:rsid w:val="002005D1"/>
    <w:rsid w:val="00203221"/>
    <w:rsid w:val="0020346B"/>
    <w:rsid w:val="002111A1"/>
    <w:rsid w:val="00211D34"/>
    <w:rsid w:val="00212943"/>
    <w:rsid w:val="00214184"/>
    <w:rsid w:val="00214733"/>
    <w:rsid w:val="002263FF"/>
    <w:rsid w:val="002448BC"/>
    <w:rsid w:val="0024677F"/>
    <w:rsid w:val="00250142"/>
    <w:rsid w:val="00271E46"/>
    <w:rsid w:val="002756A2"/>
    <w:rsid w:val="002978FA"/>
    <w:rsid w:val="002A0C24"/>
    <w:rsid w:val="002A5B8F"/>
    <w:rsid w:val="002B1C6D"/>
    <w:rsid w:val="002B411B"/>
    <w:rsid w:val="002C19D7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0665B"/>
    <w:rsid w:val="00313BDF"/>
    <w:rsid w:val="0031431C"/>
    <w:rsid w:val="0032317F"/>
    <w:rsid w:val="003317F0"/>
    <w:rsid w:val="00342254"/>
    <w:rsid w:val="003464C6"/>
    <w:rsid w:val="00346D8F"/>
    <w:rsid w:val="00350D16"/>
    <w:rsid w:val="00372CEE"/>
    <w:rsid w:val="00373828"/>
    <w:rsid w:val="0037503E"/>
    <w:rsid w:val="00387F03"/>
    <w:rsid w:val="003A2193"/>
    <w:rsid w:val="003B1353"/>
    <w:rsid w:val="003C60CF"/>
    <w:rsid w:val="003C6DE4"/>
    <w:rsid w:val="003D43E8"/>
    <w:rsid w:val="003F60FB"/>
    <w:rsid w:val="003F77E4"/>
    <w:rsid w:val="00412C02"/>
    <w:rsid w:val="00413001"/>
    <w:rsid w:val="0041443B"/>
    <w:rsid w:val="00417F16"/>
    <w:rsid w:val="00427613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569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4883"/>
    <w:rsid w:val="00516360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70DC1"/>
    <w:rsid w:val="00575615"/>
    <w:rsid w:val="0057769D"/>
    <w:rsid w:val="005800CD"/>
    <w:rsid w:val="00584348"/>
    <w:rsid w:val="00592EB3"/>
    <w:rsid w:val="0059322A"/>
    <w:rsid w:val="00595560"/>
    <w:rsid w:val="005A1D42"/>
    <w:rsid w:val="005A24F6"/>
    <w:rsid w:val="005A639F"/>
    <w:rsid w:val="005A6406"/>
    <w:rsid w:val="005A6E5A"/>
    <w:rsid w:val="005A7F00"/>
    <w:rsid w:val="005C223C"/>
    <w:rsid w:val="005E3A13"/>
    <w:rsid w:val="005E69B5"/>
    <w:rsid w:val="005F3284"/>
    <w:rsid w:val="005F6BB2"/>
    <w:rsid w:val="005F75C7"/>
    <w:rsid w:val="00606E11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D1C5B"/>
    <w:rsid w:val="006E4766"/>
    <w:rsid w:val="006E4A86"/>
    <w:rsid w:val="006E6DCF"/>
    <w:rsid w:val="006F0562"/>
    <w:rsid w:val="006F4F94"/>
    <w:rsid w:val="006F6ED0"/>
    <w:rsid w:val="006F7269"/>
    <w:rsid w:val="00710B17"/>
    <w:rsid w:val="00711DC9"/>
    <w:rsid w:val="00711DE2"/>
    <w:rsid w:val="007123D1"/>
    <w:rsid w:val="00722809"/>
    <w:rsid w:val="00727955"/>
    <w:rsid w:val="00730121"/>
    <w:rsid w:val="0073457D"/>
    <w:rsid w:val="007407D6"/>
    <w:rsid w:val="0075200E"/>
    <w:rsid w:val="00752222"/>
    <w:rsid w:val="00753C8C"/>
    <w:rsid w:val="007635DB"/>
    <w:rsid w:val="00770441"/>
    <w:rsid w:val="007740B6"/>
    <w:rsid w:val="00780471"/>
    <w:rsid w:val="0079092E"/>
    <w:rsid w:val="00791849"/>
    <w:rsid w:val="007926FD"/>
    <w:rsid w:val="007A0F63"/>
    <w:rsid w:val="007B0B92"/>
    <w:rsid w:val="007B16F5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062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16F0E"/>
    <w:rsid w:val="00935DE9"/>
    <w:rsid w:val="00937B89"/>
    <w:rsid w:val="0094443D"/>
    <w:rsid w:val="00944AE8"/>
    <w:rsid w:val="00954B99"/>
    <w:rsid w:val="00957398"/>
    <w:rsid w:val="0096356D"/>
    <w:rsid w:val="00964094"/>
    <w:rsid w:val="00973C89"/>
    <w:rsid w:val="00976916"/>
    <w:rsid w:val="00985865"/>
    <w:rsid w:val="00994DCE"/>
    <w:rsid w:val="00995A1A"/>
    <w:rsid w:val="009B50C4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66499"/>
    <w:rsid w:val="00A7314F"/>
    <w:rsid w:val="00A758EC"/>
    <w:rsid w:val="00A766FD"/>
    <w:rsid w:val="00A77C72"/>
    <w:rsid w:val="00A803D4"/>
    <w:rsid w:val="00A81193"/>
    <w:rsid w:val="00A8158C"/>
    <w:rsid w:val="00A85159"/>
    <w:rsid w:val="00AA531F"/>
    <w:rsid w:val="00AB0674"/>
    <w:rsid w:val="00AC7D42"/>
    <w:rsid w:val="00AD05DB"/>
    <w:rsid w:val="00AD0D49"/>
    <w:rsid w:val="00AD4057"/>
    <w:rsid w:val="00AE780E"/>
    <w:rsid w:val="00AE7B1E"/>
    <w:rsid w:val="00AF6E0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199E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57EA"/>
    <w:rsid w:val="00C945C6"/>
    <w:rsid w:val="00CA5DB6"/>
    <w:rsid w:val="00CA68A9"/>
    <w:rsid w:val="00CA7C9F"/>
    <w:rsid w:val="00CB2D5E"/>
    <w:rsid w:val="00CB7298"/>
    <w:rsid w:val="00CC0917"/>
    <w:rsid w:val="00CC5BE0"/>
    <w:rsid w:val="00CD3E3F"/>
    <w:rsid w:val="00CD4313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5772A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1506"/>
    <w:rsid w:val="00DC3977"/>
    <w:rsid w:val="00DE0DFC"/>
    <w:rsid w:val="00DE2B25"/>
    <w:rsid w:val="00DE34EC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3662"/>
    <w:rsid w:val="00E7608A"/>
    <w:rsid w:val="00E82C3C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1E7D"/>
    <w:rsid w:val="00ED6A96"/>
    <w:rsid w:val="00ED71AB"/>
    <w:rsid w:val="00EE79F0"/>
    <w:rsid w:val="00EF0C99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2ABB"/>
    <w:rsid w:val="00FA6409"/>
    <w:rsid w:val="00FB0D8E"/>
    <w:rsid w:val="00FC0408"/>
    <w:rsid w:val="00FD392F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21D95"/>
  <w15:chartTrackingRefBased/>
  <w15:docId w15:val="{2FB06BEB-0C8E-49DC-ADE5-B91D319D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EE79F0"/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427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A1D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1D42"/>
    <w:rPr>
      <w:sz w:val="20"/>
      <w:szCs w:val="20"/>
    </w:rPr>
  </w:style>
  <w:style w:type="character" w:customStyle="1" w:styleId="CommentTextChar">
    <w:name w:val="Comment Text Char"/>
    <w:link w:val="CommentText"/>
    <w:rsid w:val="005A1D42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A1D42"/>
    <w:rPr>
      <w:b/>
      <w:bCs/>
    </w:rPr>
  </w:style>
  <w:style w:type="character" w:customStyle="1" w:styleId="CommentSubjectChar">
    <w:name w:val="Comment Subject Char"/>
    <w:link w:val="CommentSubject"/>
    <w:rsid w:val="005A1D42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413001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40</TotalTime>
  <Pages>4</Pages>
  <Words>728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11</cp:revision>
  <cp:lastPrinted>2013-09-18T10:42:00Z</cp:lastPrinted>
  <dcterms:created xsi:type="dcterms:W3CDTF">2016-06-29T11:01:00Z</dcterms:created>
  <dcterms:modified xsi:type="dcterms:W3CDTF">2016-10-05T07:40:00Z</dcterms:modified>
</cp:coreProperties>
</file>