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5528"/>
        <w:gridCol w:w="2516"/>
      </w:tblGrid>
      <w:tr w:rsidR="005539AF" w:rsidRPr="00B75D2B" w:rsidTr="00EE3265">
        <w:trPr>
          <w:trHeight w:val="743"/>
          <w:tblHeader/>
          <w:jc w:val="center"/>
        </w:trPr>
        <w:tc>
          <w:tcPr>
            <w:tcW w:w="2659" w:type="dxa"/>
            <w:vAlign w:val="center"/>
          </w:tcPr>
          <w:p w:rsidR="005539AF" w:rsidRPr="00D86986" w:rsidRDefault="00EE3265" w:rsidP="00EE3265">
            <w:pPr>
              <w:pStyle w:val="Index"/>
              <w:ind w:left="214" w:hanging="214"/>
              <w:jc w:val="center"/>
              <w:rPr>
                <w:i/>
                <w:iCs/>
                <w:sz w:val="22"/>
                <w:szCs w:val="22"/>
                <w:lang w:val="bg-BG"/>
              </w:rPr>
            </w:pPr>
            <w:r>
              <w:rPr>
                <w:b/>
                <w:i/>
                <w:iCs/>
                <w:sz w:val="22"/>
                <w:szCs w:val="22"/>
                <w:lang w:val="bg-BG"/>
              </w:rPr>
              <w:t>Администрация на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432C13">
              <w:rPr>
                <w:b/>
                <w:i/>
                <w:iCs/>
                <w:sz w:val="22"/>
                <w:szCs w:val="22"/>
              </w:rPr>
              <w:t>M</w:t>
            </w:r>
            <w:proofErr w:type="spellStart"/>
            <w:r w:rsidR="00EC1698">
              <w:rPr>
                <w:b/>
                <w:i/>
                <w:iCs/>
                <w:sz w:val="22"/>
                <w:szCs w:val="22"/>
                <w:lang w:val="bg-BG"/>
              </w:rPr>
              <w:t>инистерския</w:t>
            </w:r>
            <w:proofErr w:type="spellEnd"/>
            <w:r w:rsidR="00EC1698">
              <w:rPr>
                <w:b/>
                <w:i/>
                <w:iCs/>
                <w:sz w:val="22"/>
                <w:szCs w:val="22"/>
                <w:lang w:val="bg-BG"/>
              </w:rPr>
              <w:t xml:space="preserve"> съвет</w:t>
            </w:r>
          </w:p>
        </w:tc>
        <w:tc>
          <w:tcPr>
            <w:tcW w:w="5528" w:type="dxa"/>
            <w:vAlign w:val="center"/>
          </w:tcPr>
          <w:p w:rsidR="005539AF" w:rsidRPr="001B391E" w:rsidRDefault="005539AF" w:rsidP="007D3543">
            <w:pPr>
              <w:pStyle w:val="Index"/>
              <w:spacing w:before="0" w:beforeAutospacing="0" w:after="0" w:afterAutospacing="0"/>
              <w:ind w:left="214" w:hanging="214"/>
              <w:jc w:val="center"/>
              <w:rPr>
                <w:b/>
                <w:sz w:val="22"/>
                <w:szCs w:val="22"/>
                <w:lang w:val="bg-BG"/>
              </w:rPr>
            </w:pPr>
            <w:r w:rsidRPr="001B391E">
              <w:rPr>
                <w:b/>
                <w:sz w:val="22"/>
                <w:szCs w:val="22"/>
                <w:lang w:val="bg-BG"/>
              </w:rPr>
              <w:t>Наръчник за  изпълнение на</w:t>
            </w:r>
          </w:p>
          <w:p w:rsidR="005539AF" w:rsidRPr="001B391E" w:rsidRDefault="005539AF" w:rsidP="007D3543">
            <w:pPr>
              <w:pStyle w:val="Index"/>
              <w:spacing w:before="0" w:beforeAutospacing="0" w:after="0" w:afterAutospacing="0"/>
              <w:ind w:left="214" w:hanging="214"/>
              <w:jc w:val="center"/>
              <w:rPr>
                <w:b/>
                <w:sz w:val="22"/>
                <w:szCs w:val="22"/>
                <w:lang w:val="bg-BG"/>
              </w:rPr>
            </w:pPr>
            <w:r w:rsidRPr="001B391E">
              <w:rPr>
                <w:b/>
                <w:sz w:val="22"/>
                <w:szCs w:val="22"/>
                <w:lang w:val="bg-BG"/>
              </w:rPr>
              <w:t xml:space="preserve"> Оперативна програма</w:t>
            </w:r>
          </w:p>
          <w:p w:rsidR="005539AF" w:rsidRPr="00D86986" w:rsidRDefault="005539AF" w:rsidP="007D3543">
            <w:pPr>
              <w:pStyle w:val="Index"/>
              <w:spacing w:before="0" w:beforeAutospacing="0" w:after="0" w:afterAutospacing="0"/>
              <w:ind w:left="214" w:hanging="214"/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 w:rsidRPr="001B391E">
              <w:rPr>
                <w:b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>„</w:t>
            </w:r>
            <w:r w:rsidRPr="000679EB">
              <w:rPr>
                <w:b/>
                <w:sz w:val="22"/>
                <w:szCs w:val="22"/>
                <w:lang w:val="bg-BG"/>
              </w:rPr>
              <w:t>Добро управление</w:t>
            </w:r>
            <w:r>
              <w:rPr>
                <w:b/>
                <w:sz w:val="22"/>
                <w:szCs w:val="22"/>
                <w:lang w:val="bg-BG"/>
              </w:rPr>
              <w:t>”</w:t>
            </w:r>
            <w:r w:rsidRPr="001B391E">
              <w:rPr>
                <w:b/>
                <w:sz w:val="22"/>
                <w:szCs w:val="22"/>
                <w:lang w:val="bg-BG"/>
              </w:rPr>
              <w:t xml:space="preserve"> 20</w:t>
            </w:r>
            <w:r>
              <w:rPr>
                <w:b/>
                <w:sz w:val="22"/>
                <w:szCs w:val="22"/>
                <w:lang w:val="bg-BG"/>
              </w:rPr>
              <w:t>14-2020</w:t>
            </w:r>
          </w:p>
        </w:tc>
        <w:tc>
          <w:tcPr>
            <w:tcW w:w="2516" w:type="dxa"/>
            <w:vAlign w:val="center"/>
          </w:tcPr>
          <w:p w:rsidR="005539AF" w:rsidRPr="00432C13" w:rsidRDefault="00D0563C" w:rsidP="00432C13">
            <w:pPr>
              <w:pStyle w:val="Index"/>
              <w:spacing w:after="0"/>
              <w:ind w:left="35"/>
              <w:jc w:val="center"/>
              <w:rPr>
                <w:b/>
                <w:bCs/>
                <w:i/>
                <w:sz w:val="22"/>
                <w:szCs w:val="22"/>
                <w:lang w:val="bg-BG"/>
              </w:rPr>
            </w:pPr>
            <w:r>
              <w:rPr>
                <w:b/>
                <w:bCs/>
                <w:i/>
                <w:sz w:val="22"/>
                <w:szCs w:val="22"/>
                <w:lang w:val="bg-BG"/>
              </w:rPr>
              <w:t xml:space="preserve">Приложение </w:t>
            </w:r>
            <w:r w:rsidRPr="00D0563C">
              <w:rPr>
                <w:b/>
                <w:bCs/>
                <w:i/>
                <w:sz w:val="22"/>
                <w:szCs w:val="22"/>
                <w:lang w:val="bg-BG"/>
              </w:rPr>
              <w:t>III-T05-2</w:t>
            </w:r>
          </w:p>
        </w:tc>
      </w:tr>
      <w:tr w:rsidR="005539AF" w:rsidRPr="00B75D2B" w:rsidTr="00EE3265">
        <w:trPr>
          <w:trHeight w:val="709"/>
          <w:tblHeader/>
          <w:jc w:val="center"/>
        </w:trPr>
        <w:tc>
          <w:tcPr>
            <w:tcW w:w="2659" w:type="dxa"/>
            <w:vAlign w:val="center"/>
          </w:tcPr>
          <w:p w:rsidR="005539AF" w:rsidRDefault="005539AF" w:rsidP="007D3543">
            <w:pPr>
              <w:pStyle w:val="Index"/>
              <w:spacing w:before="0" w:beforeAutospacing="0" w:after="0" w:afterAutospacing="0"/>
              <w:ind w:left="214" w:hanging="214"/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 w:rsidRPr="005C5C41">
              <w:rPr>
                <w:b/>
                <w:i/>
                <w:iCs/>
                <w:sz w:val="22"/>
                <w:szCs w:val="22"/>
                <w:lang w:val="bg-BG"/>
              </w:rPr>
              <w:t xml:space="preserve">Дирекция </w:t>
            </w:r>
          </w:p>
          <w:p w:rsidR="005539AF" w:rsidRPr="00D86986" w:rsidRDefault="005539AF" w:rsidP="009D14FA">
            <w:pPr>
              <w:pStyle w:val="Index"/>
              <w:spacing w:before="0" w:beforeAutospacing="0" w:after="0" w:afterAutospacing="0"/>
              <w:ind w:left="214" w:hanging="21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i/>
                <w:iCs/>
                <w:sz w:val="22"/>
                <w:szCs w:val="22"/>
                <w:lang w:val="bg-BG"/>
              </w:rPr>
              <w:t xml:space="preserve"> „</w:t>
            </w:r>
            <w:r w:rsidR="009D14FA">
              <w:rPr>
                <w:b/>
                <w:i/>
                <w:iCs/>
                <w:sz w:val="22"/>
                <w:szCs w:val="22"/>
                <w:lang w:val="bg-BG"/>
              </w:rPr>
              <w:t>Добро управление</w:t>
            </w:r>
            <w:r>
              <w:rPr>
                <w:b/>
                <w:i/>
                <w:iCs/>
                <w:sz w:val="22"/>
                <w:szCs w:val="22"/>
                <w:lang w:val="bg-BG"/>
              </w:rPr>
              <w:t>”</w:t>
            </w:r>
          </w:p>
        </w:tc>
        <w:tc>
          <w:tcPr>
            <w:tcW w:w="8044" w:type="dxa"/>
            <w:gridSpan w:val="2"/>
            <w:shd w:val="clear" w:color="auto" w:fill="666699"/>
            <w:vAlign w:val="center"/>
          </w:tcPr>
          <w:p w:rsidR="005539AF" w:rsidRPr="004212B2" w:rsidRDefault="005539AF" w:rsidP="00785E05">
            <w:pPr>
              <w:pStyle w:val="Index"/>
              <w:spacing w:before="0" w:beforeAutospacing="0" w:after="0" w:afterAutospacing="0"/>
              <w:ind w:left="35"/>
              <w:jc w:val="center"/>
              <w:rPr>
                <w:b/>
                <w:color w:val="FFFFFF"/>
                <w:sz w:val="28"/>
                <w:szCs w:val="28"/>
                <w:lang w:val="bg-BG"/>
              </w:rPr>
            </w:pPr>
            <w:r w:rsidRPr="004E38C2">
              <w:rPr>
                <w:b/>
                <w:color w:val="FFFFFF"/>
                <w:sz w:val="28"/>
                <w:szCs w:val="28"/>
                <w:lang w:val="bg-BG"/>
              </w:rPr>
              <w:t>Пр</w:t>
            </w:r>
            <w:r>
              <w:rPr>
                <w:b/>
                <w:color w:val="FFFFFF"/>
                <w:sz w:val="28"/>
                <w:szCs w:val="28"/>
                <w:lang w:val="bg-BG"/>
              </w:rPr>
              <w:t xml:space="preserve">авила за извършване на финансови корекции по ОПДУ </w:t>
            </w:r>
          </w:p>
        </w:tc>
      </w:tr>
      <w:tr w:rsidR="005539AF" w:rsidRPr="00B75D2B" w:rsidTr="00EE3265">
        <w:trPr>
          <w:trHeight w:val="690"/>
          <w:tblHeader/>
          <w:jc w:val="center"/>
        </w:trPr>
        <w:tc>
          <w:tcPr>
            <w:tcW w:w="2659" w:type="dxa"/>
            <w:vAlign w:val="center"/>
          </w:tcPr>
          <w:p w:rsidR="005539AF" w:rsidRPr="00172A40" w:rsidRDefault="00432C13" w:rsidP="007D3543">
            <w:pPr>
              <w:pStyle w:val="TableContents"/>
              <w:spacing w:after="0"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Версия</w:t>
            </w:r>
            <w:r w:rsidR="00172A40">
              <w:rPr>
                <w:sz w:val="22"/>
                <w:szCs w:val="22"/>
                <w:lang w:val="bg-BG"/>
              </w:rPr>
              <w:t xml:space="preserve"> на наръчника: </w:t>
            </w:r>
            <w:r w:rsidR="00172A40">
              <w:rPr>
                <w:sz w:val="22"/>
                <w:szCs w:val="22"/>
              </w:rPr>
              <w:t>2</w:t>
            </w:r>
          </w:p>
          <w:p w:rsidR="005539AF" w:rsidRPr="00276B69" w:rsidRDefault="005539AF" w:rsidP="007D3543">
            <w:pPr>
              <w:pStyle w:val="Index"/>
              <w:spacing w:after="0"/>
              <w:ind w:left="214" w:hanging="214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D86986">
              <w:rPr>
                <w:sz w:val="22"/>
                <w:szCs w:val="22"/>
                <w:lang w:val="bg-BG"/>
              </w:rPr>
              <w:t>Вари</w:t>
            </w:r>
            <w:r>
              <w:rPr>
                <w:sz w:val="22"/>
                <w:szCs w:val="22"/>
                <w:lang w:val="bg-BG"/>
              </w:rPr>
              <w:t>ант на документа: 1</w:t>
            </w:r>
          </w:p>
        </w:tc>
        <w:tc>
          <w:tcPr>
            <w:tcW w:w="5528" w:type="dxa"/>
            <w:vAlign w:val="center"/>
          </w:tcPr>
          <w:p w:rsidR="005539AF" w:rsidRPr="006E6B7F" w:rsidRDefault="005539AF" w:rsidP="007D3543">
            <w:pPr>
              <w:ind w:left="214" w:hanging="214"/>
              <w:jc w:val="center"/>
              <w:rPr>
                <w:rFonts w:ascii="Times New Roman" w:hAnsi="Times New Roman"/>
                <w:i/>
                <w:iCs/>
              </w:rPr>
            </w:pPr>
            <w:r w:rsidRPr="006E6B7F">
              <w:rPr>
                <w:rFonts w:ascii="Times New Roman" w:hAnsi="Times New Roman"/>
                <w:i/>
                <w:iCs/>
              </w:rPr>
              <w:t xml:space="preserve">Одобрен от: </w:t>
            </w:r>
          </w:p>
          <w:p w:rsidR="005539AF" w:rsidRPr="00D86986" w:rsidRDefault="005539AF" w:rsidP="007D3543">
            <w:pPr>
              <w:pStyle w:val="TableContents"/>
              <w:spacing w:beforeAutospacing="0" w:after="0" w:afterAutospacing="0"/>
              <w:ind w:left="214" w:hanging="214"/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i/>
                <w:iCs/>
                <w:sz w:val="22"/>
                <w:szCs w:val="22"/>
                <w:lang w:val="bg-BG"/>
              </w:rPr>
              <w:t>Ръководителя на Управляващия орган на Оперативна програма „</w:t>
            </w:r>
            <w:r w:rsidRPr="000679EB">
              <w:rPr>
                <w:i/>
                <w:iCs/>
                <w:sz w:val="22"/>
                <w:szCs w:val="22"/>
                <w:lang w:val="bg-BG"/>
              </w:rPr>
              <w:t>Добро управление</w:t>
            </w:r>
            <w:r>
              <w:rPr>
                <w:i/>
                <w:iCs/>
                <w:sz w:val="22"/>
                <w:szCs w:val="22"/>
                <w:lang w:val="bg-BG"/>
              </w:rPr>
              <w:t>”</w:t>
            </w:r>
          </w:p>
        </w:tc>
        <w:tc>
          <w:tcPr>
            <w:tcW w:w="2516" w:type="dxa"/>
            <w:vAlign w:val="center"/>
          </w:tcPr>
          <w:p w:rsidR="005539AF" w:rsidRPr="00D86986" w:rsidRDefault="00EE3265" w:rsidP="00172A40">
            <w:pPr>
              <w:pStyle w:val="TableContents"/>
              <w:spacing w:after="0"/>
              <w:ind w:left="35"/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Дата: </w:t>
            </w:r>
            <w:r w:rsidR="00172A40">
              <w:rPr>
                <w:sz w:val="22"/>
                <w:szCs w:val="22"/>
              </w:rPr>
              <w:t>07.10</w:t>
            </w:r>
            <w:bookmarkStart w:id="0" w:name="_GoBack"/>
            <w:bookmarkEnd w:id="0"/>
            <w:r>
              <w:rPr>
                <w:sz w:val="22"/>
                <w:szCs w:val="22"/>
              </w:rPr>
              <w:t>.2015</w:t>
            </w:r>
            <w:r>
              <w:rPr>
                <w:sz w:val="22"/>
                <w:szCs w:val="22"/>
                <w:lang w:val="bg-BG"/>
              </w:rPr>
              <w:t xml:space="preserve"> г.</w:t>
            </w:r>
          </w:p>
        </w:tc>
      </w:tr>
    </w:tbl>
    <w:p w:rsidR="005539AF" w:rsidRDefault="005539AF" w:rsidP="00785E05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rPr>
          <w:rFonts w:ascii="Times New Roman" w:hAnsi="Times New Roman"/>
          <w:b/>
          <w:sz w:val="24"/>
          <w:szCs w:val="24"/>
          <w:lang w:val="en-US"/>
        </w:rPr>
      </w:pP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C6C4D">
        <w:rPr>
          <w:rFonts w:ascii="Times New Roman" w:hAnsi="Times New Roman"/>
          <w:b/>
          <w:sz w:val="24"/>
          <w:szCs w:val="24"/>
        </w:rPr>
        <w:t xml:space="preserve">ПРАВИЛА ЗА ИЗВЪРШВАНЕ НА ФИНАНСОВИ КОРЕКЦИИ ПО </w:t>
      </w:r>
      <w:r>
        <w:rPr>
          <w:rFonts w:ascii="Times New Roman" w:hAnsi="Times New Roman"/>
          <w:b/>
          <w:sz w:val="24"/>
          <w:szCs w:val="24"/>
        </w:rPr>
        <w:t>ОПДУ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  <w:r w:rsidRPr="004C6C4D">
        <w:rPr>
          <w:rFonts w:ascii="Times New Roman" w:hAnsi="Times New Roman"/>
          <w:b/>
          <w:sz w:val="24"/>
          <w:szCs w:val="24"/>
        </w:rPr>
        <w:t xml:space="preserve">Изготвени съгласно чл. 11, ал. 2, т. 1 от </w:t>
      </w:r>
      <w:r w:rsidRPr="004C6C4D">
        <w:rPr>
          <w:rFonts w:ascii="Times New Roman" w:hAnsi="Times New Roman"/>
          <w:b/>
          <w:bCs/>
          <w:sz w:val="24"/>
          <w:szCs w:val="24"/>
        </w:rPr>
        <w:t>Методологията за определяне на финансови корекции във връзка с нарушения, установени при възлагането и изпълнението на обществени поръчки и на договори по проекти, съфинансирани от Структурните фондове, Кохезионния фонд на Европейския съюз, Европейския земеделски фонд за развитие на селските райони, Европейския фонд за рибарство и фондовете от Общата програма „Солидарност и управление на миграционните потоци”, пр</w:t>
      </w:r>
      <w:r w:rsidRPr="004C6C4D">
        <w:rPr>
          <w:rFonts w:ascii="Times New Roman" w:hAnsi="Times New Roman"/>
          <w:b/>
          <w:sz w:val="24"/>
          <w:szCs w:val="24"/>
        </w:rPr>
        <w:t xml:space="preserve">иета с ПМС № 134 от </w:t>
      </w:r>
      <w:r>
        <w:rPr>
          <w:rFonts w:ascii="Times New Roman" w:hAnsi="Times New Roman"/>
          <w:b/>
          <w:sz w:val="24"/>
          <w:szCs w:val="24"/>
        </w:rPr>
        <w:t>0</w:t>
      </w:r>
      <w:r w:rsidRPr="004C6C4D">
        <w:rPr>
          <w:rFonts w:ascii="Times New Roman" w:hAnsi="Times New Roman"/>
          <w:b/>
          <w:sz w:val="24"/>
          <w:szCs w:val="24"/>
        </w:rPr>
        <w:t>5.07.2010 г.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539AF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D00A7">
        <w:rPr>
          <w:rFonts w:ascii="Times New Roman" w:hAnsi="Times New Roman"/>
          <w:b/>
          <w:sz w:val="24"/>
          <w:szCs w:val="24"/>
        </w:rPr>
        <w:t>1.</w:t>
      </w:r>
      <w:r w:rsidRPr="004C6C4D">
        <w:rPr>
          <w:rFonts w:ascii="Times New Roman" w:hAnsi="Times New Roman"/>
          <w:sz w:val="24"/>
          <w:szCs w:val="24"/>
        </w:rPr>
        <w:t xml:space="preserve"> Целта на финансовите корекции е да се възстанови ситуацията, при която всички разходи, извършени в рамките на предоставената безвъзмездна финансова помощ, са в съответствие с приложимото национално и европейско законодателство. С извършването на финансови корекции се цели и подобряване на контрола и намаляване случаите на нередности.</w:t>
      </w:r>
    </w:p>
    <w:p w:rsidR="009D14FA" w:rsidRPr="004C6C4D" w:rsidRDefault="009D14FA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D00A7">
        <w:rPr>
          <w:rFonts w:ascii="Times New Roman" w:hAnsi="Times New Roman"/>
          <w:b/>
          <w:bCs/>
          <w:sz w:val="24"/>
          <w:szCs w:val="24"/>
        </w:rPr>
        <w:t>2.</w:t>
      </w:r>
      <w:r w:rsidRPr="004C6C4D">
        <w:rPr>
          <w:rFonts w:ascii="Times New Roman" w:hAnsi="Times New Roman"/>
          <w:bCs/>
          <w:sz w:val="24"/>
          <w:szCs w:val="24"/>
        </w:rPr>
        <w:t xml:space="preserve"> Правилата</w:t>
      </w:r>
      <w:r w:rsidRPr="004C6C4D">
        <w:rPr>
          <w:rFonts w:ascii="Times New Roman" w:hAnsi="Times New Roman"/>
          <w:sz w:val="24"/>
          <w:szCs w:val="24"/>
        </w:rPr>
        <w:t xml:space="preserve"> се прилагат при констатиране на нарушения при: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2.1). възлагане на обществени поръчки по реда на Закона за обществените поръчки по проекти, съфинансирани със средства от ОП</w:t>
      </w:r>
      <w:r>
        <w:rPr>
          <w:rFonts w:ascii="Times New Roman" w:hAnsi="Times New Roman"/>
          <w:sz w:val="24"/>
          <w:szCs w:val="24"/>
        </w:rPr>
        <w:t>ДУ</w:t>
      </w:r>
      <w:r w:rsidRPr="004C6C4D">
        <w:rPr>
          <w:rFonts w:ascii="Times New Roman" w:hAnsi="Times New Roman"/>
          <w:sz w:val="24"/>
          <w:szCs w:val="24"/>
        </w:rPr>
        <w:t>;</w:t>
      </w:r>
    </w:p>
    <w:p w:rsidR="005539AF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2.2). възлагане на договори по реда на Постановление № 118 на Министерския съвет от 2014 г. за условията и реда за определяне на изпълнител от страна на бенефициенти на безвъзмездна финансова помощ от Европейския фонд за регионално развитие, Европейския социален фонд, Кохезионния фонд, Европейския фонд за морско дело и рибарство, Финансовия механизъм на Европейското икономическо пространство и Норвежкия финансов механизъм (ДВ, бр. 44 от 2014 г.)</w:t>
      </w:r>
      <w:r>
        <w:rPr>
          <w:rFonts w:ascii="Times New Roman" w:hAnsi="Times New Roman"/>
          <w:sz w:val="24"/>
          <w:szCs w:val="24"/>
        </w:rPr>
        <w:t>;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2.3). изпълнението на сключените договори, възложени по реда на т. 2.1). или 2.2).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D00A7">
        <w:rPr>
          <w:rFonts w:ascii="Times New Roman" w:hAnsi="Times New Roman"/>
          <w:b/>
          <w:sz w:val="24"/>
          <w:szCs w:val="24"/>
        </w:rPr>
        <w:t>3.</w:t>
      </w:r>
      <w:r w:rsidRPr="004C6C4D">
        <w:rPr>
          <w:rFonts w:ascii="Times New Roman" w:hAnsi="Times New Roman"/>
          <w:sz w:val="24"/>
          <w:szCs w:val="24"/>
        </w:rPr>
        <w:t xml:space="preserve"> Финансовите корекции се извършват за нарушения на ЗОП и Постановление № 118 на Министерския съвет от 2014 г., съгласно Методологията за определяне на финансови корекции. При определяне размера на финансовите корекции се отчитат характерът и тежестта на нарушението и финансовото му отражение. 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D00A7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Pr="004C6C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C4D">
        <w:rPr>
          <w:rFonts w:ascii="Times New Roman" w:hAnsi="Times New Roman"/>
          <w:sz w:val="24"/>
          <w:szCs w:val="24"/>
        </w:rPr>
        <w:t>Редът за извършване на финансови корекции е, както следва: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4.1.) УО на ОП</w:t>
      </w:r>
      <w:r>
        <w:rPr>
          <w:rFonts w:ascii="Times New Roman" w:hAnsi="Times New Roman"/>
          <w:sz w:val="24"/>
          <w:szCs w:val="24"/>
        </w:rPr>
        <w:t>ДУ</w:t>
      </w:r>
      <w:r w:rsidRPr="004C6C4D">
        <w:rPr>
          <w:rFonts w:ascii="Times New Roman" w:hAnsi="Times New Roman"/>
          <w:sz w:val="24"/>
          <w:szCs w:val="24"/>
        </w:rPr>
        <w:t xml:space="preserve"> уведомява писмено бенефициента за съществуващо съмнение за нарушение, за което предстои да бъде извършена финансова корекция, като посочва категорията нарушение, нормативните разпоредби, които са нарушени, и мотивира избрания метод за определяне на корекцията, както и нейния размер;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4.2.) в срок до 10 работни дни от датата на получаване на уведомлението бенефициентът може да представи своите коментари, бележки и/или допълнителни документи, с които да мотивира възражение срещу извършването на финансова корекция или срещу нейния размер;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4.3.) в срок до 5 работни дни от получаването на възражението УО на ОП</w:t>
      </w:r>
      <w:r>
        <w:rPr>
          <w:rFonts w:ascii="Times New Roman" w:hAnsi="Times New Roman"/>
          <w:sz w:val="24"/>
          <w:szCs w:val="24"/>
        </w:rPr>
        <w:t>ДУ</w:t>
      </w:r>
      <w:r w:rsidRPr="004C6C4D">
        <w:rPr>
          <w:rFonts w:ascii="Times New Roman" w:hAnsi="Times New Roman"/>
          <w:sz w:val="24"/>
          <w:szCs w:val="24"/>
        </w:rPr>
        <w:t xml:space="preserve"> мотивира неговото приемане или отхвърляне, за което писмено уведомява бенефициента;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4.</w:t>
      </w:r>
      <w:proofErr w:type="spellStart"/>
      <w:r w:rsidRPr="004C6C4D">
        <w:rPr>
          <w:rFonts w:ascii="Times New Roman" w:hAnsi="Times New Roman"/>
          <w:sz w:val="24"/>
          <w:szCs w:val="24"/>
        </w:rPr>
        <w:t>4</w:t>
      </w:r>
      <w:proofErr w:type="spellEnd"/>
      <w:r w:rsidRPr="004C6C4D">
        <w:rPr>
          <w:rFonts w:ascii="Times New Roman" w:hAnsi="Times New Roman"/>
          <w:sz w:val="24"/>
          <w:szCs w:val="24"/>
        </w:rPr>
        <w:t>.) в случай, че възражението на бенефициента бъде прието изцяло или частично, УО на ОП</w:t>
      </w:r>
      <w:r>
        <w:rPr>
          <w:rFonts w:ascii="Times New Roman" w:hAnsi="Times New Roman"/>
          <w:sz w:val="24"/>
          <w:szCs w:val="24"/>
        </w:rPr>
        <w:t>ДУ</w:t>
      </w:r>
      <w:r w:rsidRPr="004C6C4D">
        <w:rPr>
          <w:rFonts w:ascii="Times New Roman" w:hAnsi="Times New Roman"/>
          <w:sz w:val="24"/>
          <w:szCs w:val="24"/>
        </w:rPr>
        <w:t xml:space="preserve"> не извършва финансова корекция или коригира нейния размер</w:t>
      </w:r>
      <w:r w:rsidR="009D14FA">
        <w:rPr>
          <w:rFonts w:ascii="Times New Roman" w:hAnsi="Times New Roman"/>
          <w:sz w:val="24"/>
          <w:szCs w:val="24"/>
        </w:rPr>
        <w:t>.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D00A7">
        <w:rPr>
          <w:rFonts w:ascii="Times New Roman" w:hAnsi="Times New Roman"/>
          <w:b/>
          <w:sz w:val="24"/>
          <w:szCs w:val="24"/>
        </w:rPr>
        <w:t>5.</w:t>
      </w:r>
      <w:r w:rsidRPr="004C6C4D">
        <w:rPr>
          <w:rFonts w:ascii="Times New Roman" w:hAnsi="Times New Roman"/>
          <w:sz w:val="24"/>
          <w:szCs w:val="24"/>
        </w:rPr>
        <w:t xml:space="preserve"> Когато УО на ОП</w:t>
      </w:r>
      <w:r>
        <w:rPr>
          <w:rFonts w:ascii="Times New Roman" w:hAnsi="Times New Roman"/>
          <w:sz w:val="24"/>
          <w:szCs w:val="24"/>
        </w:rPr>
        <w:t>ДУ</w:t>
      </w:r>
      <w:r w:rsidRPr="004C6C4D">
        <w:rPr>
          <w:rFonts w:ascii="Times New Roman" w:hAnsi="Times New Roman"/>
          <w:sz w:val="24"/>
          <w:szCs w:val="24"/>
        </w:rPr>
        <w:t xml:space="preserve"> извършва финансова корекция преди изплащане на безвъзмездната финансова помощ, корекцията се приспада пропорционално от размера на верифицираните разходи, включени в съответното искане за плащане от бенефициента. </w:t>
      </w:r>
    </w:p>
    <w:p w:rsidR="00D81AB6" w:rsidRPr="004C6C4D" w:rsidRDefault="00D81AB6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D00A7">
        <w:rPr>
          <w:rFonts w:ascii="Times New Roman" w:hAnsi="Times New Roman"/>
          <w:b/>
          <w:sz w:val="24"/>
          <w:szCs w:val="24"/>
        </w:rPr>
        <w:t>6.</w:t>
      </w:r>
      <w:r w:rsidRPr="004C6C4D">
        <w:rPr>
          <w:rFonts w:ascii="Times New Roman" w:hAnsi="Times New Roman"/>
          <w:sz w:val="24"/>
          <w:szCs w:val="24"/>
        </w:rPr>
        <w:t xml:space="preserve"> В случай, че корекцията се извършва след изплащане на безвъзмездната финансова помощ, УО на </w:t>
      </w:r>
      <w:r>
        <w:rPr>
          <w:rFonts w:ascii="Times New Roman" w:hAnsi="Times New Roman"/>
          <w:sz w:val="24"/>
          <w:szCs w:val="24"/>
        </w:rPr>
        <w:t>ОПДУ</w:t>
      </w:r>
      <w:r w:rsidRPr="004C6C4D">
        <w:rPr>
          <w:rFonts w:ascii="Times New Roman" w:hAnsi="Times New Roman"/>
          <w:sz w:val="24"/>
          <w:szCs w:val="24"/>
        </w:rPr>
        <w:t xml:space="preserve"> предприема незабавни действия за събиране на сумите, подлежащи на възстановяване, като изпраща покана до бенефициента за доброволно изпълнение на задължението в 14-дневен срок от получаване на поканата.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6.1.) Поканата за доброволно изпълнение на задължениет</w:t>
      </w:r>
      <w:r w:rsidR="00D81AB6">
        <w:rPr>
          <w:rFonts w:ascii="Times New Roman" w:hAnsi="Times New Roman"/>
          <w:sz w:val="24"/>
          <w:szCs w:val="24"/>
        </w:rPr>
        <w:t>о</w:t>
      </w:r>
      <w:r w:rsidRPr="004C6C4D">
        <w:rPr>
          <w:rFonts w:ascii="Times New Roman" w:hAnsi="Times New Roman"/>
          <w:sz w:val="24"/>
          <w:szCs w:val="24"/>
        </w:rPr>
        <w:t xml:space="preserve"> съдържа информация за нарушението, правното основание за извършване на финансовата корекция, размера на дължимите суми, срока за възстановяването им, данни за банковата сметка, по която да бъдат възстановени, както и реда за уведомяване на УО на ОП</w:t>
      </w:r>
      <w:r>
        <w:rPr>
          <w:rFonts w:ascii="Times New Roman" w:hAnsi="Times New Roman"/>
          <w:sz w:val="24"/>
          <w:szCs w:val="24"/>
        </w:rPr>
        <w:t>ДУ</w:t>
      </w:r>
      <w:r w:rsidRPr="004C6C4D">
        <w:rPr>
          <w:rFonts w:ascii="Times New Roman" w:hAnsi="Times New Roman"/>
          <w:sz w:val="24"/>
          <w:szCs w:val="24"/>
        </w:rPr>
        <w:t xml:space="preserve"> от бенефициента за доброволно възстановените суми. В поканата се посочват и възможните санкции и последващи процедури, в случай че изискването за възстановяване на дължимите суми не бъде изпълнено в указания срок. 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6.2.) В случай, че бенефициентът не възстанови дължимите суми в указания му срок, УО на ОП</w:t>
      </w:r>
      <w:r>
        <w:rPr>
          <w:rFonts w:ascii="Times New Roman" w:hAnsi="Times New Roman"/>
          <w:sz w:val="24"/>
          <w:szCs w:val="24"/>
        </w:rPr>
        <w:t>ДУ</w:t>
      </w:r>
      <w:r w:rsidRPr="004C6C4D">
        <w:rPr>
          <w:rFonts w:ascii="Times New Roman" w:hAnsi="Times New Roman"/>
          <w:sz w:val="24"/>
          <w:szCs w:val="24"/>
        </w:rPr>
        <w:t xml:space="preserve"> предприема действия за възстановяване чрез: 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1. прихващане на дължимите суми от последващи плащания по договора или заповедта за безвъзмездна финансова помощ, в случай че са налице такива;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2. упражняване на правата по учредени/издадени от бенефициента обезпечения по договора за безвъзмездна финансова помощ, и/или</w:t>
      </w:r>
    </w:p>
    <w:p w:rsidR="005539AF" w:rsidRPr="004C6C4D" w:rsidRDefault="005539AF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4C6C4D">
        <w:rPr>
          <w:rFonts w:ascii="Times New Roman" w:hAnsi="Times New Roman"/>
          <w:sz w:val="24"/>
          <w:szCs w:val="24"/>
        </w:rPr>
        <w:t>3. уведомяване на Националната агенция за приходите за предприемане на действия по принудително изпълнение.</w:t>
      </w:r>
    </w:p>
    <w:p w:rsidR="00D81AB6" w:rsidRDefault="00D81AB6" w:rsidP="00D81AB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81AB6" w:rsidRPr="00D81AB6" w:rsidRDefault="00D81AB6" w:rsidP="00D81AB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81AB6">
        <w:rPr>
          <w:rFonts w:ascii="Times New Roman" w:hAnsi="Times New Roman"/>
          <w:b/>
          <w:sz w:val="24"/>
          <w:szCs w:val="24"/>
        </w:rPr>
        <w:t>7.</w:t>
      </w:r>
      <w:r w:rsidRPr="00D81AB6">
        <w:rPr>
          <w:rFonts w:ascii="Times New Roman" w:hAnsi="Times New Roman"/>
          <w:sz w:val="24"/>
          <w:szCs w:val="24"/>
        </w:rPr>
        <w:t xml:space="preserve"> Наложените финансови корекции не се възстановяват от бенефициента, когато:</w:t>
      </w:r>
    </w:p>
    <w:p w:rsidR="00D81AB6" w:rsidRPr="00D81AB6" w:rsidRDefault="00D81AB6" w:rsidP="00D81AB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81AB6" w:rsidRPr="00D81AB6" w:rsidRDefault="00D81AB6" w:rsidP="00D81AB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81AB6">
        <w:rPr>
          <w:rFonts w:ascii="Times New Roman" w:hAnsi="Times New Roman"/>
          <w:sz w:val="24"/>
          <w:szCs w:val="24"/>
        </w:rPr>
        <w:t xml:space="preserve"> </w:t>
      </w:r>
      <w:r w:rsidR="00833970">
        <w:rPr>
          <w:rFonts w:ascii="Times New Roman" w:hAnsi="Times New Roman"/>
          <w:sz w:val="24"/>
          <w:szCs w:val="24"/>
        </w:rPr>
        <w:t>7.</w:t>
      </w:r>
      <w:r w:rsidRPr="00D81AB6">
        <w:rPr>
          <w:rFonts w:ascii="Times New Roman" w:hAnsi="Times New Roman"/>
          <w:sz w:val="24"/>
          <w:szCs w:val="24"/>
        </w:rPr>
        <w:t xml:space="preserve">1. възложителят е спазил разпоредбите на приложимия нормативен акт по </w:t>
      </w:r>
      <w:r>
        <w:rPr>
          <w:rFonts w:ascii="Times New Roman" w:hAnsi="Times New Roman"/>
          <w:sz w:val="24"/>
          <w:szCs w:val="24"/>
        </w:rPr>
        <w:lastRenderedPageBreak/>
        <w:t xml:space="preserve">смисъла на </w:t>
      </w:r>
      <w:r w:rsidRPr="00D81AB6">
        <w:rPr>
          <w:rFonts w:ascii="Times New Roman" w:hAnsi="Times New Roman"/>
          <w:sz w:val="24"/>
          <w:szCs w:val="24"/>
        </w:rPr>
        <w:t>чл. 2, ал. 1, т. 1 или 2</w:t>
      </w:r>
      <w:r>
        <w:rPr>
          <w:rFonts w:ascii="Times New Roman" w:hAnsi="Times New Roman"/>
          <w:sz w:val="24"/>
          <w:szCs w:val="24"/>
        </w:rPr>
        <w:t xml:space="preserve"> от Методологията</w:t>
      </w:r>
      <w:r w:rsidRPr="00D81AB6">
        <w:rPr>
          <w:rFonts w:ascii="Times New Roman" w:hAnsi="Times New Roman"/>
          <w:sz w:val="24"/>
          <w:szCs w:val="24"/>
        </w:rPr>
        <w:t>, по реда на който е възложена конкретната обществена поръчка или договор;</w:t>
      </w:r>
    </w:p>
    <w:p w:rsidR="00D81AB6" w:rsidRPr="00D81AB6" w:rsidRDefault="00D81AB6" w:rsidP="00D81AB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81AB6" w:rsidRPr="00D81AB6" w:rsidRDefault="00D81AB6" w:rsidP="00D81AB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81AB6">
        <w:rPr>
          <w:rFonts w:ascii="Times New Roman" w:hAnsi="Times New Roman"/>
          <w:sz w:val="24"/>
          <w:szCs w:val="24"/>
        </w:rPr>
        <w:t xml:space="preserve"> </w:t>
      </w:r>
      <w:r w:rsidR="00833970">
        <w:rPr>
          <w:rFonts w:ascii="Times New Roman" w:hAnsi="Times New Roman"/>
          <w:sz w:val="24"/>
          <w:szCs w:val="24"/>
        </w:rPr>
        <w:t>7.</w:t>
      </w:r>
      <w:r w:rsidRPr="00D81AB6">
        <w:rPr>
          <w:rFonts w:ascii="Times New Roman" w:hAnsi="Times New Roman"/>
          <w:sz w:val="24"/>
          <w:szCs w:val="24"/>
        </w:rPr>
        <w:t>2. в случаите, когато за констатираното нарушение има влязло в сила решение на Комисията за защита на конкуренцията (КЗК) или на Върховния административен съд (ВАС) по отношение на конкретен акт и действие или бездействие на възложителя в хода на провеждане на процедурата за обществена поръчка, с което възложителят се е съобразил;</w:t>
      </w:r>
    </w:p>
    <w:p w:rsidR="00D81AB6" w:rsidRPr="00D81AB6" w:rsidRDefault="00D81AB6" w:rsidP="00D81AB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81AB6" w:rsidRPr="00D81AB6" w:rsidRDefault="00833970" w:rsidP="00D81AB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81AB6" w:rsidRPr="00D81AB6">
        <w:rPr>
          <w:rFonts w:ascii="Times New Roman" w:hAnsi="Times New Roman"/>
          <w:sz w:val="24"/>
          <w:szCs w:val="24"/>
        </w:rPr>
        <w:t>3. в случаите, когато се констатират нарушения в обявлението или документацията за възлагане на обществена поръчка, които са били предмет на произнасяне на КЗК или на ВАС, съгласно което не е установено нарушение;</w:t>
      </w:r>
    </w:p>
    <w:p w:rsidR="00D81AB6" w:rsidRPr="00D81AB6" w:rsidRDefault="00D81AB6" w:rsidP="00D81AB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539AF" w:rsidRDefault="00833970" w:rsidP="00D81AB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81AB6" w:rsidRPr="00D81AB6">
        <w:rPr>
          <w:rFonts w:ascii="Times New Roman" w:hAnsi="Times New Roman"/>
          <w:sz w:val="24"/>
          <w:szCs w:val="24"/>
        </w:rPr>
        <w:t>4. бенефициентът се е съобразил с конкретно указание или препоръка на Управляващия орган или Агенцията за обществени поръчки (АОП), което впоследствие е довело до налагане на финансова корекция.</w:t>
      </w:r>
    </w:p>
    <w:p w:rsidR="00A3428E" w:rsidRDefault="00A3428E" w:rsidP="00A3428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highlight w:val="green"/>
          <w:lang w:val="x-none"/>
        </w:rPr>
      </w:pPr>
    </w:p>
    <w:p w:rsidR="00A3428E" w:rsidRDefault="00A3428E" w:rsidP="00A3428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A3428E">
        <w:rPr>
          <w:rFonts w:ascii="Times New Roman" w:hAnsi="Times New Roman"/>
          <w:b/>
          <w:sz w:val="24"/>
          <w:szCs w:val="24"/>
        </w:rPr>
        <w:t xml:space="preserve">8. </w:t>
      </w:r>
      <w:r w:rsidRPr="00A3428E">
        <w:rPr>
          <w:rFonts w:ascii="Times New Roman" w:hAnsi="Times New Roman"/>
          <w:sz w:val="24"/>
          <w:szCs w:val="24"/>
        </w:rPr>
        <w:t>В случаите по т. 7</w:t>
      </w:r>
      <w:r w:rsidRPr="00A3428E">
        <w:rPr>
          <w:rFonts w:ascii="Times New Roman" w:hAnsi="Times New Roman"/>
          <w:b/>
          <w:sz w:val="24"/>
          <w:szCs w:val="24"/>
        </w:rPr>
        <w:t xml:space="preserve"> </w:t>
      </w:r>
      <w:r w:rsidRPr="00A3428E">
        <w:rPr>
          <w:rFonts w:ascii="Times New Roman" w:hAnsi="Times New Roman"/>
          <w:sz w:val="24"/>
          <w:szCs w:val="24"/>
        </w:rPr>
        <w:t>УО на ОПДУ</w:t>
      </w:r>
      <w:r w:rsidRPr="00A3428E">
        <w:rPr>
          <w:rFonts w:ascii="Times New Roman" w:hAnsi="Times New Roman"/>
          <w:sz w:val="24"/>
          <w:szCs w:val="24"/>
          <w:lang w:val="x-none"/>
        </w:rPr>
        <w:t xml:space="preserve"> не намалява стойността на безвъзмездна</w:t>
      </w:r>
      <w:r w:rsidRPr="00A3428E">
        <w:rPr>
          <w:rFonts w:ascii="Times New Roman" w:hAnsi="Times New Roman"/>
          <w:sz w:val="24"/>
          <w:szCs w:val="24"/>
        </w:rPr>
        <w:t>та</w:t>
      </w:r>
      <w:r w:rsidRPr="00A3428E">
        <w:rPr>
          <w:rFonts w:ascii="Times New Roman" w:hAnsi="Times New Roman"/>
          <w:sz w:val="24"/>
          <w:szCs w:val="24"/>
          <w:lang w:val="x-none"/>
        </w:rPr>
        <w:t xml:space="preserve"> финансова помощ, предоставена на бенефициента, с размера на наложената корекция, а извършва финансовата корекция, като намалява стойността на допустимите разходи по засегнатия договор, включени в доклад по сертификация и декларация за допустимите разходи.</w:t>
      </w:r>
    </w:p>
    <w:p w:rsidR="00A3428E" w:rsidRPr="004C6C4D" w:rsidRDefault="00A3428E" w:rsidP="00D81AB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539AF" w:rsidRDefault="00A3428E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539AF" w:rsidRPr="008D00A7">
        <w:rPr>
          <w:rFonts w:ascii="Times New Roman" w:hAnsi="Times New Roman"/>
          <w:b/>
          <w:sz w:val="24"/>
          <w:szCs w:val="24"/>
        </w:rPr>
        <w:t>.</w:t>
      </w:r>
      <w:r w:rsidR="005539AF" w:rsidRPr="004C6C4D">
        <w:rPr>
          <w:rFonts w:ascii="Times New Roman" w:hAnsi="Times New Roman"/>
          <w:sz w:val="24"/>
          <w:szCs w:val="24"/>
        </w:rPr>
        <w:t xml:space="preserve"> УО на ОП</w:t>
      </w:r>
      <w:r w:rsidR="005539AF">
        <w:rPr>
          <w:rFonts w:ascii="Times New Roman" w:hAnsi="Times New Roman"/>
          <w:sz w:val="24"/>
          <w:szCs w:val="24"/>
        </w:rPr>
        <w:t>ДУ</w:t>
      </w:r>
      <w:r w:rsidR="005539AF" w:rsidRPr="004C6C4D">
        <w:rPr>
          <w:rFonts w:ascii="Times New Roman" w:hAnsi="Times New Roman"/>
          <w:sz w:val="24"/>
          <w:szCs w:val="24"/>
        </w:rPr>
        <w:t xml:space="preserve"> предприема действия за преразглеждане на извършената финансова корекция, когато при проверка на Сертифициращия или </w:t>
      </w:r>
      <w:proofErr w:type="spellStart"/>
      <w:r w:rsidR="005539AF" w:rsidRPr="004C6C4D">
        <w:rPr>
          <w:rFonts w:ascii="Times New Roman" w:hAnsi="Times New Roman"/>
          <w:sz w:val="24"/>
          <w:szCs w:val="24"/>
        </w:rPr>
        <w:t>Одитния</w:t>
      </w:r>
      <w:proofErr w:type="spellEnd"/>
      <w:r w:rsidR="005539AF" w:rsidRPr="004C6C4D">
        <w:rPr>
          <w:rFonts w:ascii="Times New Roman" w:hAnsi="Times New Roman"/>
          <w:sz w:val="24"/>
          <w:szCs w:val="24"/>
        </w:rPr>
        <w:t xml:space="preserve"> орган се установи, че извършената финансова корекция е в завишен размер или не е следвало да бъде извършвана.</w:t>
      </w:r>
    </w:p>
    <w:p w:rsidR="00A3428E" w:rsidRDefault="00A3428E" w:rsidP="004C6C4D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539AF" w:rsidRPr="00600B16" w:rsidRDefault="00A3428E" w:rsidP="00600B16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A3428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C4D">
        <w:rPr>
          <w:rFonts w:ascii="Times New Roman" w:hAnsi="Times New Roman"/>
          <w:sz w:val="24"/>
          <w:szCs w:val="24"/>
        </w:rPr>
        <w:t>УО на ОП</w:t>
      </w:r>
      <w:r>
        <w:rPr>
          <w:rFonts w:ascii="Times New Roman" w:hAnsi="Times New Roman"/>
          <w:sz w:val="24"/>
          <w:szCs w:val="24"/>
        </w:rPr>
        <w:t>ДУ</w:t>
      </w:r>
      <w:r w:rsidRPr="004C6C4D">
        <w:rPr>
          <w:rFonts w:ascii="Times New Roman" w:hAnsi="Times New Roman"/>
          <w:sz w:val="24"/>
          <w:szCs w:val="24"/>
        </w:rPr>
        <w:t xml:space="preserve"> предприема действия за преразглеждане на извършената финансова корекция, когато при проверка на Сертифициращия или </w:t>
      </w:r>
      <w:proofErr w:type="spellStart"/>
      <w:r w:rsidRPr="004C6C4D">
        <w:rPr>
          <w:rFonts w:ascii="Times New Roman" w:hAnsi="Times New Roman"/>
          <w:sz w:val="24"/>
          <w:szCs w:val="24"/>
        </w:rPr>
        <w:t>Одитния</w:t>
      </w:r>
      <w:proofErr w:type="spellEnd"/>
      <w:r w:rsidRPr="004C6C4D">
        <w:rPr>
          <w:rFonts w:ascii="Times New Roman" w:hAnsi="Times New Roman"/>
          <w:sz w:val="24"/>
          <w:szCs w:val="24"/>
        </w:rPr>
        <w:t xml:space="preserve"> орган се </w:t>
      </w:r>
      <w:r w:rsidRPr="00B60490">
        <w:rPr>
          <w:rFonts w:ascii="Times New Roman" w:hAnsi="Times New Roman"/>
          <w:sz w:val="24"/>
          <w:szCs w:val="24"/>
        </w:rPr>
        <w:t xml:space="preserve">установи, че извършената финансова корекция е в </w:t>
      </w:r>
      <w:r w:rsidRPr="00B60490">
        <w:rPr>
          <w:rFonts w:ascii="Times New Roman" w:hAnsi="Times New Roman"/>
          <w:sz w:val="24"/>
          <w:szCs w:val="24"/>
          <w:lang w:val="x-none"/>
        </w:rPr>
        <w:t>занижен</w:t>
      </w:r>
      <w:r w:rsidR="00B60490" w:rsidRPr="00B60490">
        <w:rPr>
          <w:rFonts w:ascii="Times New Roman" w:hAnsi="Times New Roman"/>
          <w:sz w:val="24"/>
          <w:szCs w:val="24"/>
        </w:rPr>
        <w:t xml:space="preserve"> размер. </w:t>
      </w:r>
      <w:r w:rsidRPr="00B60490">
        <w:rPr>
          <w:rFonts w:ascii="Times New Roman" w:hAnsi="Times New Roman"/>
          <w:sz w:val="24"/>
          <w:szCs w:val="24"/>
          <w:lang w:val="x-none"/>
        </w:rPr>
        <w:t xml:space="preserve">В </w:t>
      </w:r>
      <w:r w:rsidR="00B60490" w:rsidRPr="00B60490">
        <w:rPr>
          <w:rFonts w:ascii="Times New Roman" w:hAnsi="Times New Roman"/>
          <w:sz w:val="24"/>
          <w:szCs w:val="24"/>
        </w:rPr>
        <w:t xml:space="preserve">този </w:t>
      </w:r>
      <w:r w:rsidRPr="00B60490">
        <w:rPr>
          <w:rFonts w:ascii="Times New Roman" w:hAnsi="Times New Roman"/>
          <w:sz w:val="24"/>
          <w:szCs w:val="24"/>
          <w:lang w:val="x-none"/>
        </w:rPr>
        <w:t xml:space="preserve">случай </w:t>
      </w:r>
      <w:r w:rsidR="00B60490" w:rsidRPr="00B60490">
        <w:rPr>
          <w:rFonts w:ascii="Times New Roman" w:hAnsi="Times New Roman"/>
          <w:sz w:val="24"/>
          <w:szCs w:val="24"/>
        </w:rPr>
        <w:t xml:space="preserve">УО на ОПДУ </w:t>
      </w:r>
      <w:r w:rsidRPr="00B60490">
        <w:rPr>
          <w:rFonts w:ascii="Times New Roman" w:hAnsi="Times New Roman"/>
          <w:sz w:val="24"/>
          <w:szCs w:val="24"/>
          <w:lang w:val="x-none"/>
        </w:rPr>
        <w:t>предприема действия за възстановяване от страна на бенефициента на неправомерно изплатените суми.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sectPr w:rsidR="005539AF" w:rsidRPr="00600B16" w:rsidSect="00EC1698">
      <w:headerReference w:type="default" r:id="rId7"/>
      <w:headerReference w:type="first" r:id="rId8"/>
      <w:pgSz w:w="11906" w:h="16838"/>
      <w:pgMar w:top="15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DC" w:rsidRDefault="00E708DC" w:rsidP="004E38C2">
      <w:pPr>
        <w:spacing w:after="0" w:line="240" w:lineRule="auto"/>
      </w:pPr>
      <w:r>
        <w:separator/>
      </w:r>
    </w:p>
  </w:endnote>
  <w:endnote w:type="continuationSeparator" w:id="0">
    <w:p w:rsidR="00E708DC" w:rsidRDefault="00E708DC" w:rsidP="004E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LuzSans-Book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DC" w:rsidRDefault="00E708DC" w:rsidP="004E38C2">
      <w:pPr>
        <w:spacing w:after="0" w:line="240" w:lineRule="auto"/>
      </w:pPr>
      <w:r>
        <w:separator/>
      </w:r>
    </w:p>
  </w:footnote>
  <w:footnote w:type="continuationSeparator" w:id="0">
    <w:p w:rsidR="00E708DC" w:rsidRDefault="00E708DC" w:rsidP="004E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AF" w:rsidRDefault="00EC1698" w:rsidP="00EC1698">
    <w:pPr>
      <w:pStyle w:val="Header"/>
      <w:rPr>
        <w:rFonts w:ascii="Trebuchet MS" w:hAnsi="Trebuchet MS"/>
        <w:noProof/>
        <w:color w:val="32598C"/>
        <w:sz w:val="19"/>
        <w:szCs w:val="19"/>
      </w:rPr>
    </w:pPr>
    <w:r>
      <w:rPr>
        <w:rFonts w:ascii="Trebuchet MS" w:hAnsi="Trebuchet MS"/>
        <w:noProof/>
        <w:color w:val="32598C"/>
        <w:sz w:val="19"/>
        <w:szCs w:val="19"/>
      </w:rPr>
      <w:t xml:space="preserve">      </w:t>
    </w:r>
  </w:p>
  <w:p w:rsidR="00EC1698" w:rsidRPr="00EC1698" w:rsidRDefault="00EC1698" w:rsidP="00EC1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698" w:rsidRDefault="00EE3265">
    <w:pPr>
      <w:pStyle w:val="Header"/>
      <w:rPr>
        <w:rFonts w:ascii="Trebuchet MS" w:hAnsi="Trebuchet MS"/>
        <w:noProof/>
        <w:color w:val="32598C"/>
        <w:sz w:val="19"/>
        <w:szCs w:val="19"/>
      </w:rPr>
    </w:pPr>
    <w:r>
      <w:rPr>
        <w:rFonts w:ascii="Trebuchet MS" w:hAnsi="Trebuchet MS"/>
        <w:noProof/>
        <w:color w:val="32598C"/>
        <w:sz w:val="19"/>
        <w:szCs w:val="19"/>
        <w:lang w:val="en-US"/>
      </w:rPr>
      <w:t xml:space="preserve">    </w:t>
    </w:r>
    <w:r w:rsidR="00EC1698">
      <w:rPr>
        <w:rFonts w:ascii="Trebuchet MS" w:hAnsi="Trebuchet MS"/>
        <w:noProof/>
        <w:color w:val="32598C"/>
        <w:sz w:val="19"/>
        <w:szCs w:val="19"/>
      </w:rPr>
      <w:t xml:space="preserve">     </w:t>
    </w:r>
    <w:r w:rsidR="00EC1698">
      <w:rPr>
        <w:rFonts w:ascii="Trebuchet MS" w:hAnsi="Trebuchet MS"/>
        <w:noProof/>
        <w:color w:val="32598C"/>
        <w:sz w:val="19"/>
        <w:szCs w:val="19"/>
        <w:lang w:eastAsia="bg-BG"/>
      </w:rPr>
      <w:drawing>
        <wp:inline distT="0" distB="0" distL="0" distR="0" wp14:anchorId="4F0A67EF" wp14:editId="5D42191C">
          <wp:extent cx="706755" cy="545465"/>
          <wp:effectExtent l="0" t="0" r="0" b="6985"/>
          <wp:docPr id="9" name="Picture 9" descr="Начало">
            <a:hlinkClick xmlns:a="http://schemas.openxmlformats.org/drawingml/2006/main" r:id="rId1" tooltip="&quot;Начало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Начало">
                    <a:hlinkClick r:id="rId1" tooltip="&quot;Начало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1698">
      <w:rPr>
        <w:rFonts w:ascii="Trebuchet MS" w:hAnsi="Trebuchet MS"/>
        <w:noProof/>
        <w:color w:val="32598C"/>
        <w:sz w:val="19"/>
        <w:szCs w:val="19"/>
      </w:rPr>
      <w:t xml:space="preserve">     </w:t>
    </w:r>
    <w:r w:rsidR="00EC1698">
      <w:rPr>
        <w:rFonts w:ascii="Trebuchet MS" w:hAnsi="Trebuchet MS"/>
        <w:noProof/>
        <w:color w:val="32598C"/>
        <w:sz w:val="19"/>
        <w:szCs w:val="19"/>
        <w:lang w:eastAsia="bg-BG"/>
      </w:rPr>
      <w:drawing>
        <wp:inline distT="0" distB="0" distL="0" distR="0" wp14:anchorId="4BCA267B" wp14:editId="25331853">
          <wp:extent cx="3596005" cy="422910"/>
          <wp:effectExtent l="0" t="0" r="4445" b="0"/>
          <wp:docPr id="8" name="Picture 8" descr="Начало">
            <a:hlinkClick xmlns:a="http://schemas.openxmlformats.org/drawingml/2006/main" r:id="rId1" tooltip="&quot;Начало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Начало">
                    <a:hlinkClick r:id="rId1" tooltip="&quot;Начало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1698">
      <w:rPr>
        <w:rFonts w:ascii="Trebuchet MS" w:hAnsi="Trebuchet MS"/>
        <w:noProof/>
        <w:color w:val="32598C"/>
        <w:sz w:val="19"/>
        <w:szCs w:val="19"/>
      </w:rPr>
      <w:t xml:space="preserve">     </w:t>
    </w:r>
    <w:r w:rsidR="00EC1698" w:rsidRPr="006212FD">
      <w:rPr>
        <w:rFonts w:ascii="Trebuchet MS" w:hAnsi="Trebuchet MS"/>
        <w:noProof/>
        <w:color w:val="32598C"/>
        <w:sz w:val="19"/>
        <w:szCs w:val="19"/>
      </w:rPr>
      <w:t xml:space="preserve"> </w:t>
    </w:r>
    <w:r w:rsidR="00EC1698">
      <w:rPr>
        <w:rFonts w:ascii="Trebuchet MS" w:hAnsi="Trebuchet MS"/>
        <w:noProof/>
        <w:color w:val="32598C"/>
        <w:sz w:val="19"/>
        <w:szCs w:val="19"/>
        <w:lang w:eastAsia="bg-BG"/>
      </w:rPr>
      <w:drawing>
        <wp:inline distT="0" distB="0" distL="0" distR="0" wp14:anchorId="3438E140" wp14:editId="05261777">
          <wp:extent cx="614680" cy="560705"/>
          <wp:effectExtent l="0" t="0" r="0" b="0"/>
          <wp:docPr id="7" name="Picture 7" descr="Начало">
            <a:hlinkClick xmlns:a="http://schemas.openxmlformats.org/drawingml/2006/main" r:id="rId1" tooltip="&quot;Начало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Начало">
                    <a:hlinkClick r:id="rId1" tooltip="&quot;Начало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1698" w:rsidRPr="006212FD">
      <w:rPr>
        <w:rFonts w:ascii="Trebuchet MS" w:hAnsi="Trebuchet MS"/>
        <w:noProof/>
        <w:color w:val="32598C"/>
        <w:sz w:val="19"/>
        <w:szCs w:val="19"/>
      </w:rPr>
      <w:t xml:space="preserve">  </w:t>
    </w:r>
  </w:p>
  <w:p w:rsidR="00EC1698" w:rsidRDefault="00EC1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C2"/>
    <w:rsid w:val="000679EB"/>
    <w:rsid w:val="00083689"/>
    <w:rsid w:val="000A6973"/>
    <w:rsid w:val="000B7CC7"/>
    <w:rsid w:val="000C4006"/>
    <w:rsid w:val="000E0320"/>
    <w:rsid w:val="000F4A32"/>
    <w:rsid w:val="00140C59"/>
    <w:rsid w:val="00140D01"/>
    <w:rsid w:val="00141A29"/>
    <w:rsid w:val="00172A40"/>
    <w:rsid w:val="001B391E"/>
    <w:rsid w:val="00276B69"/>
    <w:rsid w:val="002B4E9E"/>
    <w:rsid w:val="002B62E0"/>
    <w:rsid w:val="00303909"/>
    <w:rsid w:val="00344E55"/>
    <w:rsid w:val="00352646"/>
    <w:rsid w:val="0036014B"/>
    <w:rsid w:val="0036130A"/>
    <w:rsid w:val="004212B2"/>
    <w:rsid w:val="00432C13"/>
    <w:rsid w:val="004338CD"/>
    <w:rsid w:val="0047269E"/>
    <w:rsid w:val="004C6C4D"/>
    <w:rsid w:val="004D612D"/>
    <w:rsid w:val="004E38C2"/>
    <w:rsid w:val="00507894"/>
    <w:rsid w:val="005539AF"/>
    <w:rsid w:val="005B0F4D"/>
    <w:rsid w:val="005C5C41"/>
    <w:rsid w:val="005E7FDA"/>
    <w:rsid w:val="00600B16"/>
    <w:rsid w:val="006408B3"/>
    <w:rsid w:val="00642A7F"/>
    <w:rsid w:val="0068686F"/>
    <w:rsid w:val="006C2793"/>
    <w:rsid w:val="006E6B7F"/>
    <w:rsid w:val="00785E05"/>
    <w:rsid w:val="007A2076"/>
    <w:rsid w:val="007D3543"/>
    <w:rsid w:val="00833970"/>
    <w:rsid w:val="00836035"/>
    <w:rsid w:val="008C6D25"/>
    <w:rsid w:val="008D00A7"/>
    <w:rsid w:val="008D5B4D"/>
    <w:rsid w:val="009D14FA"/>
    <w:rsid w:val="00A3428E"/>
    <w:rsid w:val="00A67ABE"/>
    <w:rsid w:val="00A80614"/>
    <w:rsid w:val="00AB0D17"/>
    <w:rsid w:val="00B113FA"/>
    <w:rsid w:val="00B52ECE"/>
    <w:rsid w:val="00B60490"/>
    <w:rsid w:val="00B74843"/>
    <w:rsid w:val="00B75D2B"/>
    <w:rsid w:val="00D0563C"/>
    <w:rsid w:val="00D4237C"/>
    <w:rsid w:val="00D81AB6"/>
    <w:rsid w:val="00D86986"/>
    <w:rsid w:val="00D874F4"/>
    <w:rsid w:val="00DB1ED7"/>
    <w:rsid w:val="00DC13FB"/>
    <w:rsid w:val="00E200C5"/>
    <w:rsid w:val="00E573A0"/>
    <w:rsid w:val="00E708DC"/>
    <w:rsid w:val="00EB726D"/>
    <w:rsid w:val="00EC1698"/>
    <w:rsid w:val="00EE3265"/>
    <w:rsid w:val="00F2141D"/>
    <w:rsid w:val="00F30195"/>
    <w:rsid w:val="00F3198F"/>
    <w:rsid w:val="00FA2F88"/>
    <w:rsid w:val="00FB0699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E38C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E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4E38C2"/>
    <w:rPr>
      <w:rFonts w:cs="Times New Roman"/>
    </w:rPr>
  </w:style>
  <w:style w:type="paragraph" w:customStyle="1" w:styleId="TableContents">
    <w:name w:val="Table Contents"/>
    <w:basedOn w:val="BodyText"/>
    <w:uiPriority w:val="99"/>
    <w:rsid w:val="004E38C2"/>
    <w:pPr>
      <w:widowControl w:val="0"/>
      <w:suppressLineNumbers/>
      <w:suppressAutoHyphens/>
      <w:spacing w:beforeAutospacing="1" w:afterAutospacing="1" w:line="240" w:lineRule="auto"/>
    </w:pPr>
    <w:rPr>
      <w:rFonts w:ascii="Times New Roman" w:hAnsi="Times New Roman"/>
      <w:color w:val="000000"/>
      <w:sz w:val="24"/>
      <w:szCs w:val="24"/>
      <w:lang w:val="en-US" w:eastAsia="bg-BG"/>
    </w:rPr>
  </w:style>
  <w:style w:type="character" w:styleId="Hyperlink">
    <w:name w:val="Hyperlink"/>
    <w:uiPriority w:val="99"/>
    <w:rsid w:val="004E38C2"/>
    <w:rPr>
      <w:rFonts w:cs="Times New Roman"/>
      <w:color w:val="0000FF"/>
      <w:u w:val="single"/>
    </w:rPr>
  </w:style>
  <w:style w:type="paragraph" w:customStyle="1" w:styleId="Index">
    <w:name w:val="Index"/>
    <w:basedOn w:val="Normal"/>
    <w:uiPriority w:val="99"/>
    <w:rsid w:val="004E38C2"/>
    <w:pPr>
      <w:widowControl w:val="0"/>
      <w:suppressLineNumbers/>
      <w:suppressAutoHyphens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US" w:eastAsia="bg-BG"/>
    </w:rPr>
  </w:style>
  <w:style w:type="paragraph" w:styleId="BodyText">
    <w:name w:val="Body Text"/>
    <w:basedOn w:val="Normal"/>
    <w:link w:val="BodyTextChar"/>
    <w:uiPriority w:val="99"/>
    <w:semiHidden/>
    <w:rsid w:val="004E38C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E38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E38C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F319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3198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9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3198F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E38C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E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4E38C2"/>
    <w:rPr>
      <w:rFonts w:cs="Times New Roman"/>
    </w:rPr>
  </w:style>
  <w:style w:type="paragraph" w:customStyle="1" w:styleId="TableContents">
    <w:name w:val="Table Contents"/>
    <w:basedOn w:val="BodyText"/>
    <w:uiPriority w:val="99"/>
    <w:rsid w:val="004E38C2"/>
    <w:pPr>
      <w:widowControl w:val="0"/>
      <w:suppressLineNumbers/>
      <w:suppressAutoHyphens/>
      <w:spacing w:beforeAutospacing="1" w:afterAutospacing="1" w:line="240" w:lineRule="auto"/>
    </w:pPr>
    <w:rPr>
      <w:rFonts w:ascii="Times New Roman" w:hAnsi="Times New Roman"/>
      <w:color w:val="000000"/>
      <w:sz w:val="24"/>
      <w:szCs w:val="24"/>
      <w:lang w:val="en-US" w:eastAsia="bg-BG"/>
    </w:rPr>
  </w:style>
  <w:style w:type="character" w:styleId="Hyperlink">
    <w:name w:val="Hyperlink"/>
    <w:uiPriority w:val="99"/>
    <w:rsid w:val="004E38C2"/>
    <w:rPr>
      <w:rFonts w:cs="Times New Roman"/>
      <w:color w:val="0000FF"/>
      <w:u w:val="single"/>
    </w:rPr>
  </w:style>
  <w:style w:type="paragraph" w:customStyle="1" w:styleId="Index">
    <w:name w:val="Index"/>
    <w:basedOn w:val="Normal"/>
    <w:uiPriority w:val="99"/>
    <w:rsid w:val="004E38C2"/>
    <w:pPr>
      <w:widowControl w:val="0"/>
      <w:suppressLineNumbers/>
      <w:suppressAutoHyphens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US" w:eastAsia="bg-BG"/>
    </w:rPr>
  </w:style>
  <w:style w:type="paragraph" w:styleId="BodyText">
    <w:name w:val="Body Text"/>
    <w:basedOn w:val="Normal"/>
    <w:link w:val="BodyTextChar"/>
    <w:uiPriority w:val="99"/>
    <w:semiHidden/>
    <w:rsid w:val="004E38C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E38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E38C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F319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3198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9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3198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opac.government.bg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финансите </vt:lpstr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финансите </dc:title>
  <dc:subject/>
  <dc:creator>Borislava Sergieva</dc:creator>
  <cp:keywords/>
  <dc:description/>
  <cp:lastModifiedBy>Полина Личева</cp:lastModifiedBy>
  <cp:revision>9</cp:revision>
  <dcterms:created xsi:type="dcterms:W3CDTF">2015-05-14T07:52:00Z</dcterms:created>
  <dcterms:modified xsi:type="dcterms:W3CDTF">2015-10-16T10:49:00Z</dcterms:modified>
</cp:coreProperties>
</file>