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70E73" w14:textId="48641CBE" w:rsidR="004A4901" w:rsidRPr="00D85F5B" w:rsidRDefault="004B096D" w:rsidP="00D85F5B">
      <w:pPr>
        <w:jc w:val="center"/>
        <w:rPr>
          <w:rFonts w:ascii="Times New Roman" w:hAnsi="Times New Roman" w:cs="Times New Roman"/>
          <w:b/>
          <w:sz w:val="24"/>
          <w:szCs w:val="24"/>
        </w:rPr>
      </w:pPr>
      <w:r w:rsidRPr="004B096D">
        <w:rPr>
          <w:rFonts w:ascii="Times New Roman" w:hAnsi="Times New Roman" w:cs="Times New Roman"/>
          <w:b/>
          <w:sz w:val="24"/>
          <w:szCs w:val="24"/>
        </w:rPr>
        <w:t xml:space="preserve">Предложения от обществено обсъждане за включване в ИГРП </w:t>
      </w:r>
      <w:r w:rsidR="0016093D" w:rsidRPr="004B096D">
        <w:rPr>
          <w:rFonts w:ascii="Times New Roman" w:hAnsi="Times New Roman" w:cs="Times New Roman"/>
          <w:b/>
          <w:sz w:val="24"/>
          <w:szCs w:val="24"/>
        </w:rPr>
        <w:t>201</w:t>
      </w:r>
      <w:r w:rsidR="0016093D">
        <w:rPr>
          <w:rFonts w:ascii="Times New Roman" w:hAnsi="Times New Roman" w:cs="Times New Roman"/>
          <w:b/>
          <w:sz w:val="24"/>
          <w:szCs w:val="24"/>
        </w:rPr>
        <w:t>9</w:t>
      </w:r>
      <w:r w:rsidR="0016093D" w:rsidRPr="004B096D">
        <w:rPr>
          <w:rFonts w:ascii="Times New Roman" w:hAnsi="Times New Roman" w:cs="Times New Roman"/>
          <w:b/>
          <w:sz w:val="24"/>
          <w:szCs w:val="24"/>
        </w:rPr>
        <w:t xml:space="preserve"> </w:t>
      </w:r>
      <w:r w:rsidRPr="004B096D">
        <w:rPr>
          <w:rFonts w:ascii="Times New Roman" w:hAnsi="Times New Roman" w:cs="Times New Roman"/>
          <w:b/>
          <w:sz w:val="24"/>
          <w:szCs w:val="24"/>
        </w:rPr>
        <w:t>г.</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117"/>
        <w:gridCol w:w="5774"/>
        <w:gridCol w:w="6103"/>
      </w:tblGrid>
      <w:tr w:rsidR="00FB6178" w:rsidRPr="00D85F5B" w14:paraId="5F645B82" w14:textId="77777777" w:rsidTr="00C050D6">
        <w:tc>
          <w:tcPr>
            <w:tcW w:w="2105" w:type="dxa"/>
          </w:tcPr>
          <w:p w14:paraId="08621C09" w14:textId="77777777" w:rsidR="00D85F5B" w:rsidRPr="00D85F5B" w:rsidRDefault="009D16CF" w:rsidP="004B45A0">
            <w:pPr>
              <w:jc w:val="center"/>
              <w:rPr>
                <w:rFonts w:ascii="Times New Roman" w:hAnsi="Times New Roman" w:cs="Times New Roman"/>
                <w:b/>
                <w:sz w:val="24"/>
                <w:szCs w:val="24"/>
              </w:rPr>
            </w:pPr>
            <w:r>
              <w:rPr>
                <w:rFonts w:ascii="Times New Roman" w:hAnsi="Times New Roman" w:cs="Times New Roman"/>
                <w:b/>
                <w:sz w:val="24"/>
                <w:szCs w:val="24"/>
              </w:rPr>
              <w:t>Институция</w:t>
            </w:r>
          </w:p>
        </w:tc>
        <w:tc>
          <w:tcPr>
            <w:tcW w:w="5881" w:type="dxa"/>
          </w:tcPr>
          <w:p w14:paraId="36DA38F9" w14:textId="77777777" w:rsidR="00D85F5B" w:rsidRPr="00D85F5B" w:rsidRDefault="004C6473" w:rsidP="004B45A0">
            <w:pPr>
              <w:jc w:val="center"/>
              <w:rPr>
                <w:rFonts w:ascii="Times New Roman" w:hAnsi="Times New Roman" w:cs="Times New Roman"/>
                <w:b/>
                <w:sz w:val="24"/>
                <w:szCs w:val="24"/>
              </w:rPr>
            </w:pPr>
            <w:r>
              <w:rPr>
                <w:rFonts w:ascii="Times New Roman" w:hAnsi="Times New Roman" w:cs="Times New Roman"/>
                <w:b/>
                <w:sz w:val="24"/>
                <w:szCs w:val="24"/>
              </w:rPr>
              <w:t>Коментар</w:t>
            </w:r>
          </w:p>
        </w:tc>
        <w:tc>
          <w:tcPr>
            <w:tcW w:w="6234" w:type="dxa"/>
          </w:tcPr>
          <w:p w14:paraId="6CC868AB" w14:textId="77777777" w:rsidR="00D85F5B" w:rsidRPr="00D85F5B" w:rsidRDefault="00D85F5B" w:rsidP="004B45A0">
            <w:pPr>
              <w:jc w:val="center"/>
              <w:rPr>
                <w:rFonts w:ascii="Times New Roman" w:hAnsi="Times New Roman" w:cs="Times New Roman"/>
                <w:b/>
                <w:sz w:val="24"/>
                <w:szCs w:val="24"/>
              </w:rPr>
            </w:pPr>
            <w:r w:rsidRPr="00D85F5B">
              <w:rPr>
                <w:rFonts w:ascii="Times New Roman" w:hAnsi="Times New Roman" w:cs="Times New Roman"/>
                <w:b/>
                <w:sz w:val="24"/>
                <w:szCs w:val="24"/>
              </w:rPr>
              <w:t>Становище на УО</w:t>
            </w:r>
          </w:p>
        </w:tc>
      </w:tr>
      <w:tr w:rsidR="00FB6178" w:rsidRPr="00D85F5B" w14:paraId="5B32B730" w14:textId="77777777" w:rsidTr="000D1E5A">
        <w:trPr>
          <w:trHeight w:val="5142"/>
        </w:trPr>
        <w:tc>
          <w:tcPr>
            <w:tcW w:w="2105" w:type="dxa"/>
          </w:tcPr>
          <w:p w14:paraId="28177FF1" w14:textId="6E44A536" w:rsidR="00D85F5B" w:rsidRPr="00D85F5B" w:rsidRDefault="004C6473" w:rsidP="00B9172A">
            <w:pPr>
              <w:jc w:val="both"/>
              <w:rPr>
                <w:rFonts w:ascii="Times New Roman" w:hAnsi="Times New Roman" w:cs="Times New Roman"/>
                <w:sz w:val="24"/>
                <w:szCs w:val="24"/>
              </w:rPr>
            </w:pPr>
            <w:r>
              <w:rPr>
                <w:rFonts w:ascii="Times New Roman" w:hAnsi="Times New Roman" w:cs="Times New Roman"/>
                <w:sz w:val="24"/>
                <w:szCs w:val="24"/>
              </w:rPr>
              <w:t xml:space="preserve">Министерство на </w:t>
            </w:r>
            <w:r w:rsidR="0016093D">
              <w:rPr>
                <w:rFonts w:ascii="Times New Roman" w:hAnsi="Times New Roman" w:cs="Times New Roman"/>
                <w:sz w:val="24"/>
                <w:szCs w:val="24"/>
              </w:rPr>
              <w:t>вътрешните работи</w:t>
            </w:r>
          </w:p>
        </w:tc>
        <w:tc>
          <w:tcPr>
            <w:tcW w:w="5881" w:type="dxa"/>
          </w:tcPr>
          <w:p w14:paraId="03EDE4F4" w14:textId="4CD5B798" w:rsidR="0016093D" w:rsidRPr="0016093D" w:rsidRDefault="0016093D" w:rsidP="0016093D">
            <w:pPr>
              <w:jc w:val="both"/>
              <w:rPr>
                <w:rFonts w:ascii="Times New Roman" w:hAnsi="Times New Roman" w:cs="Times New Roman"/>
                <w:sz w:val="24"/>
                <w:szCs w:val="24"/>
              </w:rPr>
            </w:pPr>
            <w:r>
              <w:rPr>
                <w:rFonts w:ascii="Times New Roman" w:hAnsi="Times New Roman" w:cs="Times New Roman"/>
                <w:sz w:val="24"/>
                <w:szCs w:val="24"/>
              </w:rPr>
              <w:t xml:space="preserve">Коментарите са получени чрез служебната електронна поща на 18.10.2018 г. от Красимир Ушнев,  началник на отдел </w:t>
            </w:r>
            <w:r w:rsidRPr="0016093D">
              <w:rPr>
                <w:rFonts w:ascii="Times New Roman" w:hAnsi="Times New Roman" w:cs="Times New Roman"/>
                <w:sz w:val="24"/>
                <w:szCs w:val="24"/>
              </w:rPr>
              <w:t>„Програми и проекти“</w:t>
            </w:r>
            <w:r>
              <w:rPr>
                <w:rFonts w:ascii="Times New Roman" w:hAnsi="Times New Roman" w:cs="Times New Roman"/>
                <w:sz w:val="24"/>
                <w:szCs w:val="24"/>
              </w:rPr>
              <w:t>, д</w:t>
            </w:r>
            <w:r w:rsidRPr="0016093D">
              <w:rPr>
                <w:rFonts w:ascii="Times New Roman" w:hAnsi="Times New Roman" w:cs="Times New Roman"/>
                <w:sz w:val="24"/>
                <w:szCs w:val="24"/>
              </w:rPr>
              <w:t>ирекция „Международни проекти“</w:t>
            </w:r>
            <w:r w:rsidR="00CB2355">
              <w:rPr>
                <w:rFonts w:ascii="Times New Roman" w:hAnsi="Times New Roman" w:cs="Times New Roman"/>
                <w:sz w:val="24"/>
                <w:szCs w:val="24"/>
              </w:rPr>
              <w:t>:</w:t>
            </w:r>
          </w:p>
          <w:p w14:paraId="4AA125A5" w14:textId="77777777" w:rsidR="00D85F5B" w:rsidRDefault="00D85F5B" w:rsidP="0016093D">
            <w:pPr>
              <w:jc w:val="both"/>
              <w:rPr>
                <w:rFonts w:ascii="Times New Roman" w:hAnsi="Times New Roman" w:cs="Times New Roman"/>
                <w:sz w:val="24"/>
                <w:szCs w:val="24"/>
              </w:rPr>
            </w:pPr>
          </w:p>
          <w:p w14:paraId="4585EA57" w14:textId="10F302D0" w:rsidR="008E708D" w:rsidRPr="008E708D" w:rsidRDefault="008E708D" w:rsidP="008E708D">
            <w:pPr>
              <w:jc w:val="both"/>
              <w:rPr>
                <w:rFonts w:ascii="Times New Roman" w:hAnsi="Times New Roman" w:cs="Times New Roman"/>
                <w:sz w:val="24"/>
                <w:szCs w:val="24"/>
              </w:rPr>
            </w:pPr>
            <w:r w:rsidRPr="001151CC">
              <w:rPr>
                <w:rFonts w:ascii="Times New Roman" w:hAnsi="Times New Roman" w:cs="Times New Roman"/>
                <w:sz w:val="24"/>
                <w:szCs w:val="24"/>
                <w:lang w:val="ru-RU"/>
              </w:rPr>
              <w:t>“</w:t>
            </w:r>
            <w:r w:rsidRPr="008E708D">
              <w:rPr>
                <w:rFonts w:ascii="Times New Roman" w:hAnsi="Times New Roman" w:cs="Times New Roman"/>
                <w:sz w:val="24"/>
                <w:szCs w:val="24"/>
              </w:rPr>
              <w:t xml:space="preserve">Във връзка с включена процедура № 4 „Специализирани обучения за специализираната териториалната администрация“ в проекта на Индикативната годишна работна програма на Оперативна програма „Добро управление“ за 2019 г. предлагаме териториалните структури на МВР като Областните дирекции на МВР да са допустими кандидати по процедурата, като съответно техните служители попадат в обхвата на допустимите целеви групи. </w:t>
            </w:r>
          </w:p>
          <w:p w14:paraId="0908CCD9" w14:textId="194F797A" w:rsidR="008E708D" w:rsidRPr="001151CC" w:rsidRDefault="008E708D" w:rsidP="008E708D">
            <w:pPr>
              <w:jc w:val="both"/>
              <w:rPr>
                <w:rFonts w:ascii="Times New Roman" w:hAnsi="Times New Roman" w:cs="Times New Roman"/>
                <w:sz w:val="24"/>
                <w:szCs w:val="24"/>
                <w:lang w:val="ru-RU"/>
              </w:rPr>
            </w:pPr>
            <w:r w:rsidRPr="008E708D">
              <w:rPr>
                <w:rFonts w:ascii="Times New Roman" w:hAnsi="Times New Roman" w:cs="Times New Roman"/>
                <w:sz w:val="24"/>
                <w:szCs w:val="24"/>
              </w:rPr>
              <w:t>Надявам се предложението да бъде взето под внимание при подготовката на критериите за подбор на операции по посочената процедура и впоследствие при изготвянето на Насоките за кандидатстване.</w:t>
            </w:r>
            <w:r w:rsidRPr="001151CC">
              <w:rPr>
                <w:rFonts w:ascii="Times New Roman" w:hAnsi="Times New Roman" w:cs="Times New Roman"/>
                <w:sz w:val="24"/>
                <w:szCs w:val="24"/>
                <w:lang w:val="ru-RU"/>
              </w:rPr>
              <w:t>”</w:t>
            </w:r>
          </w:p>
        </w:tc>
        <w:tc>
          <w:tcPr>
            <w:tcW w:w="6234" w:type="dxa"/>
          </w:tcPr>
          <w:p w14:paraId="12617F9B" w14:textId="5DBC85FD" w:rsidR="00AD6D69" w:rsidRPr="00AD6D69" w:rsidRDefault="00AD6D69" w:rsidP="00AD6D69">
            <w:pPr>
              <w:jc w:val="both"/>
              <w:rPr>
                <w:rFonts w:ascii="Times New Roman" w:hAnsi="Times New Roman" w:cs="Times New Roman"/>
                <w:b/>
                <w:sz w:val="24"/>
                <w:szCs w:val="24"/>
              </w:rPr>
            </w:pPr>
            <w:r w:rsidRPr="00AD6D69">
              <w:rPr>
                <w:rFonts w:ascii="Times New Roman" w:hAnsi="Times New Roman" w:cs="Times New Roman"/>
                <w:b/>
                <w:sz w:val="24"/>
                <w:szCs w:val="24"/>
              </w:rPr>
              <w:t>Не се приема.</w:t>
            </w:r>
          </w:p>
          <w:p w14:paraId="41691714" w14:textId="77777777" w:rsidR="00AD6D69" w:rsidRPr="00AD6D69" w:rsidRDefault="00AD6D69" w:rsidP="00AD6D69">
            <w:pPr>
              <w:jc w:val="both"/>
              <w:rPr>
                <w:rFonts w:ascii="Times New Roman" w:hAnsi="Times New Roman" w:cs="Times New Roman"/>
                <w:sz w:val="24"/>
                <w:szCs w:val="24"/>
              </w:rPr>
            </w:pPr>
          </w:p>
          <w:p w14:paraId="4C7BEE2D" w14:textId="2A6094F8" w:rsidR="00AD6D69" w:rsidRPr="00AD6D69" w:rsidRDefault="00AD6D69" w:rsidP="00AD6D69">
            <w:pPr>
              <w:jc w:val="both"/>
              <w:rPr>
                <w:rFonts w:ascii="Times New Roman" w:hAnsi="Times New Roman" w:cs="Times New Roman"/>
                <w:sz w:val="24"/>
                <w:szCs w:val="24"/>
              </w:rPr>
            </w:pPr>
            <w:r w:rsidRPr="00AD6D69">
              <w:rPr>
                <w:rFonts w:ascii="Times New Roman" w:hAnsi="Times New Roman" w:cs="Times New Roman"/>
                <w:sz w:val="24"/>
                <w:szCs w:val="24"/>
              </w:rPr>
              <w:t>Условие за допустимост на кандидатите по процедурата е същите да попадат в обхвата на чл. 38, ал. 2, т. 3 на Закона за администрацията</w:t>
            </w:r>
            <w:r>
              <w:rPr>
                <w:rFonts w:ascii="Times New Roman" w:hAnsi="Times New Roman" w:cs="Times New Roman"/>
                <w:sz w:val="24"/>
                <w:szCs w:val="24"/>
              </w:rPr>
              <w:t xml:space="preserve"> (ЗА)</w:t>
            </w:r>
            <w:r w:rsidRPr="00AD6D69">
              <w:rPr>
                <w:rFonts w:ascii="Times New Roman" w:hAnsi="Times New Roman" w:cs="Times New Roman"/>
                <w:sz w:val="24"/>
                <w:szCs w:val="24"/>
              </w:rPr>
              <w:t xml:space="preserve">. </w:t>
            </w:r>
            <w:r>
              <w:rPr>
                <w:rFonts w:ascii="Times New Roman" w:hAnsi="Times New Roman" w:cs="Times New Roman"/>
                <w:sz w:val="24"/>
                <w:szCs w:val="24"/>
              </w:rPr>
              <w:t>К</w:t>
            </w:r>
            <w:r w:rsidRPr="00AD6D69">
              <w:rPr>
                <w:rFonts w:ascii="Times New Roman" w:hAnsi="Times New Roman" w:cs="Times New Roman"/>
                <w:sz w:val="24"/>
                <w:szCs w:val="24"/>
              </w:rPr>
              <w:t>андидатите по процедурата</w:t>
            </w:r>
            <w:r>
              <w:rPr>
                <w:rFonts w:ascii="Times New Roman" w:hAnsi="Times New Roman" w:cs="Times New Roman"/>
                <w:sz w:val="24"/>
                <w:szCs w:val="24"/>
              </w:rPr>
              <w:t xml:space="preserve"> следва</w:t>
            </w:r>
            <w:r w:rsidRPr="00AD6D69">
              <w:rPr>
                <w:rFonts w:ascii="Times New Roman" w:hAnsi="Times New Roman" w:cs="Times New Roman"/>
                <w:sz w:val="24"/>
                <w:szCs w:val="24"/>
              </w:rPr>
              <w:t xml:space="preserve"> да могат да докажат, че попадат в обхвата на чл. 38, ал. 2, т. 3 на ЗА с позоваване на съответните правни норми от нормативен акт, т.е. </w:t>
            </w:r>
            <w:r w:rsidR="009211E8">
              <w:rPr>
                <w:rFonts w:ascii="Times New Roman" w:hAnsi="Times New Roman" w:cs="Times New Roman"/>
                <w:sz w:val="24"/>
                <w:szCs w:val="24"/>
              </w:rPr>
              <w:t xml:space="preserve">ако </w:t>
            </w:r>
            <w:r w:rsidRPr="00AD6D69">
              <w:rPr>
                <w:rFonts w:ascii="Times New Roman" w:hAnsi="Times New Roman" w:cs="Times New Roman"/>
                <w:sz w:val="24"/>
                <w:szCs w:val="24"/>
              </w:rPr>
              <w:t xml:space="preserve">МВР </w:t>
            </w:r>
            <w:r w:rsidR="009211E8">
              <w:rPr>
                <w:rFonts w:ascii="Times New Roman" w:hAnsi="Times New Roman" w:cs="Times New Roman"/>
                <w:sz w:val="24"/>
                <w:szCs w:val="24"/>
              </w:rPr>
              <w:t>може</w:t>
            </w:r>
            <w:r>
              <w:rPr>
                <w:rFonts w:ascii="Times New Roman" w:hAnsi="Times New Roman" w:cs="Times New Roman"/>
                <w:sz w:val="24"/>
                <w:szCs w:val="24"/>
              </w:rPr>
              <w:t xml:space="preserve"> да докаже и обоснове, че Областните дирекции (ОД) на МВР са юридически лица</w:t>
            </w:r>
            <w:r w:rsidRPr="00AD6D69">
              <w:rPr>
                <w:rFonts w:ascii="Times New Roman" w:hAnsi="Times New Roman" w:cs="Times New Roman"/>
                <w:sz w:val="24"/>
                <w:szCs w:val="24"/>
              </w:rPr>
              <w:t xml:space="preserve"> по чл. 38, ал. 2, т. 3 от ЗА, </w:t>
            </w:r>
            <w:r w:rsidR="009211E8">
              <w:rPr>
                <w:rFonts w:ascii="Times New Roman" w:hAnsi="Times New Roman" w:cs="Times New Roman"/>
                <w:sz w:val="24"/>
                <w:szCs w:val="24"/>
              </w:rPr>
              <w:t>ОД на МВР биха били допустими кандидати по тази процедура на подбор за специализираната териториална администрация.</w:t>
            </w:r>
          </w:p>
          <w:p w14:paraId="6F445FB8" w14:textId="77777777" w:rsidR="00AD6D69" w:rsidRDefault="00AD6D69" w:rsidP="00AD6D69">
            <w:pPr>
              <w:jc w:val="both"/>
              <w:rPr>
                <w:rFonts w:ascii="Times New Roman" w:hAnsi="Times New Roman" w:cs="Times New Roman"/>
                <w:sz w:val="24"/>
                <w:szCs w:val="24"/>
              </w:rPr>
            </w:pPr>
          </w:p>
          <w:p w14:paraId="40997BE4" w14:textId="563FAAA3" w:rsidR="00D85F5B" w:rsidRPr="00D85F5B" w:rsidRDefault="00AD6D69" w:rsidP="00AD6D69">
            <w:pPr>
              <w:jc w:val="both"/>
              <w:rPr>
                <w:rFonts w:ascii="Times New Roman" w:hAnsi="Times New Roman" w:cs="Times New Roman"/>
                <w:sz w:val="24"/>
                <w:szCs w:val="24"/>
              </w:rPr>
            </w:pPr>
            <w:r>
              <w:rPr>
                <w:rFonts w:ascii="Times New Roman" w:hAnsi="Times New Roman" w:cs="Times New Roman"/>
                <w:sz w:val="24"/>
                <w:szCs w:val="24"/>
              </w:rPr>
              <w:t xml:space="preserve">В допълнение, </w:t>
            </w:r>
            <w:r w:rsidR="009211E8">
              <w:rPr>
                <w:rFonts w:ascii="Times New Roman" w:hAnsi="Times New Roman" w:cs="Times New Roman"/>
                <w:sz w:val="24"/>
                <w:szCs w:val="24"/>
              </w:rPr>
              <w:t xml:space="preserve">обръщаме внимание, че </w:t>
            </w:r>
            <w:r>
              <w:rPr>
                <w:rFonts w:ascii="Times New Roman" w:hAnsi="Times New Roman" w:cs="Times New Roman"/>
                <w:sz w:val="24"/>
                <w:szCs w:val="24"/>
              </w:rPr>
              <w:t>в резултат на извършена</w:t>
            </w:r>
            <w:r w:rsidRPr="00AD6D69">
              <w:rPr>
                <w:rFonts w:ascii="Times New Roman" w:hAnsi="Times New Roman" w:cs="Times New Roman"/>
                <w:sz w:val="24"/>
                <w:szCs w:val="24"/>
              </w:rPr>
              <w:t xml:space="preserve"> проверка</w:t>
            </w:r>
            <w:r>
              <w:rPr>
                <w:rFonts w:ascii="Times New Roman" w:hAnsi="Times New Roman" w:cs="Times New Roman"/>
                <w:sz w:val="24"/>
                <w:szCs w:val="24"/>
              </w:rPr>
              <w:t xml:space="preserve"> от УО на ОПДУ</w:t>
            </w:r>
            <w:r w:rsidRPr="00AD6D69">
              <w:rPr>
                <w:rFonts w:ascii="Times New Roman" w:hAnsi="Times New Roman" w:cs="Times New Roman"/>
                <w:sz w:val="24"/>
                <w:szCs w:val="24"/>
              </w:rPr>
              <w:t xml:space="preserve"> в Административния регистър по чл. 61 от Закона за администрац</w:t>
            </w:r>
            <w:r>
              <w:rPr>
                <w:rFonts w:ascii="Times New Roman" w:hAnsi="Times New Roman" w:cs="Times New Roman"/>
                <w:sz w:val="24"/>
                <w:szCs w:val="24"/>
              </w:rPr>
              <w:t>ията, се установи</w:t>
            </w:r>
            <w:r w:rsidRPr="00AD6D69">
              <w:rPr>
                <w:rFonts w:ascii="Times New Roman" w:hAnsi="Times New Roman" w:cs="Times New Roman"/>
                <w:sz w:val="24"/>
                <w:szCs w:val="24"/>
              </w:rPr>
              <w:t>, че към МВР не са вписани никакви специализира</w:t>
            </w:r>
            <w:r w:rsidR="000D1E5A">
              <w:rPr>
                <w:rFonts w:ascii="Times New Roman" w:hAnsi="Times New Roman" w:cs="Times New Roman"/>
                <w:sz w:val="24"/>
                <w:szCs w:val="24"/>
              </w:rPr>
              <w:t xml:space="preserve">ни териториални администрации. </w:t>
            </w:r>
          </w:p>
        </w:tc>
      </w:tr>
      <w:tr w:rsidR="00FB6178" w:rsidRPr="00D85F5B" w14:paraId="21B2CBCF" w14:textId="77777777" w:rsidTr="008E708D">
        <w:trPr>
          <w:trHeight w:val="708"/>
        </w:trPr>
        <w:tc>
          <w:tcPr>
            <w:tcW w:w="2105" w:type="dxa"/>
          </w:tcPr>
          <w:p w14:paraId="43AA92B7" w14:textId="62308F56" w:rsidR="00216D29" w:rsidRPr="00D85F5B" w:rsidRDefault="00A66D08" w:rsidP="00B9172A">
            <w:pPr>
              <w:jc w:val="both"/>
              <w:rPr>
                <w:rFonts w:ascii="Times New Roman" w:hAnsi="Times New Roman" w:cs="Times New Roman"/>
                <w:sz w:val="24"/>
                <w:szCs w:val="24"/>
              </w:rPr>
            </w:pPr>
            <w:r w:rsidRPr="00A66D08">
              <w:rPr>
                <w:rFonts w:ascii="Times New Roman" w:hAnsi="Times New Roman" w:cs="Times New Roman"/>
                <w:sz w:val="24"/>
                <w:szCs w:val="24"/>
              </w:rPr>
              <w:t>Българска асоциация на консултантите по европейски програми /БАКЕП/</w:t>
            </w:r>
          </w:p>
        </w:tc>
        <w:tc>
          <w:tcPr>
            <w:tcW w:w="5881" w:type="dxa"/>
          </w:tcPr>
          <w:p w14:paraId="60E038CF" w14:textId="6CA07B12" w:rsidR="005520F7" w:rsidRPr="007D3DAA" w:rsidRDefault="00A66D08" w:rsidP="00A66D08">
            <w:pPr>
              <w:spacing w:after="120"/>
              <w:jc w:val="both"/>
              <w:rPr>
                <w:rFonts w:ascii="Times New Roman" w:hAnsi="Times New Roman" w:cs="Times New Roman"/>
                <w:sz w:val="24"/>
                <w:szCs w:val="24"/>
              </w:rPr>
            </w:pPr>
            <w:r>
              <w:rPr>
                <w:rFonts w:ascii="Times New Roman" w:hAnsi="Times New Roman" w:cs="Times New Roman"/>
                <w:sz w:val="24"/>
                <w:szCs w:val="24"/>
              </w:rPr>
              <w:t xml:space="preserve">Коментарите са получени чрез служебната електронна поща на 22.10.2018 г. от Ралица Петкова, </w:t>
            </w:r>
            <w:r w:rsidRPr="00A66D08">
              <w:rPr>
                <w:rFonts w:ascii="Times New Roman" w:hAnsi="Times New Roman" w:cs="Times New Roman"/>
                <w:sz w:val="24"/>
                <w:szCs w:val="24"/>
              </w:rPr>
              <w:t>координатор БАКЕП</w:t>
            </w:r>
            <w:r>
              <w:rPr>
                <w:rFonts w:ascii="Times New Roman" w:hAnsi="Times New Roman" w:cs="Times New Roman"/>
                <w:sz w:val="24"/>
                <w:szCs w:val="24"/>
              </w:rPr>
              <w:t xml:space="preserve"> и с официално писмо, </w:t>
            </w:r>
            <w:r w:rsidRPr="00092D22">
              <w:rPr>
                <w:rFonts w:ascii="Times New Roman" w:hAnsi="Times New Roman" w:cs="Times New Roman"/>
                <w:i/>
                <w:sz w:val="24"/>
                <w:szCs w:val="24"/>
              </w:rPr>
              <w:t>изх. № 49-БП-ОПДУ/22.10.2018 г.</w:t>
            </w:r>
            <w:r w:rsidR="007D3DAA" w:rsidRPr="001151CC">
              <w:rPr>
                <w:rFonts w:ascii="Times New Roman" w:hAnsi="Times New Roman" w:cs="Times New Roman"/>
                <w:i/>
                <w:sz w:val="24"/>
                <w:szCs w:val="24"/>
                <w:lang w:val="ru-RU"/>
              </w:rPr>
              <w:t xml:space="preserve">, </w:t>
            </w:r>
            <w:r w:rsidR="007D3DAA" w:rsidRPr="007D3DAA">
              <w:rPr>
                <w:rFonts w:ascii="Times New Roman" w:hAnsi="Times New Roman" w:cs="Times New Roman"/>
                <w:sz w:val="24"/>
                <w:szCs w:val="24"/>
              </w:rPr>
              <w:t>подписано от Кристина Цветанска, Председател на УС на БАКЕП</w:t>
            </w:r>
            <w:r w:rsidR="00CB2355" w:rsidRPr="007D3DAA">
              <w:rPr>
                <w:rFonts w:ascii="Times New Roman" w:hAnsi="Times New Roman" w:cs="Times New Roman"/>
                <w:sz w:val="24"/>
                <w:szCs w:val="24"/>
              </w:rPr>
              <w:t>:</w:t>
            </w:r>
          </w:p>
          <w:p w14:paraId="1BAFC0B2" w14:textId="77777777" w:rsidR="00092D22" w:rsidRPr="00092D22" w:rsidRDefault="00092D22" w:rsidP="00A66D08">
            <w:pPr>
              <w:spacing w:after="120"/>
              <w:jc w:val="both"/>
              <w:rPr>
                <w:rFonts w:ascii="Times New Roman" w:hAnsi="Times New Roman" w:cs="Times New Roman"/>
                <w:i/>
                <w:sz w:val="16"/>
                <w:szCs w:val="16"/>
              </w:rPr>
            </w:pPr>
          </w:p>
          <w:p w14:paraId="61981B17" w14:textId="7CED6BDE" w:rsidR="00927115" w:rsidRPr="00927115" w:rsidRDefault="00087D2E" w:rsidP="00927115">
            <w:pPr>
              <w:spacing w:after="120"/>
              <w:jc w:val="both"/>
              <w:rPr>
                <w:rFonts w:ascii="Times New Roman" w:hAnsi="Times New Roman" w:cs="Times New Roman"/>
                <w:sz w:val="24"/>
                <w:szCs w:val="24"/>
              </w:rPr>
            </w:pPr>
            <w:r w:rsidRPr="001151CC">
              <w:rPr>
                <w:rFonts w:ascii="Times New Roman" w:hAnsi="Times New Roman" w:cs="Times New Roman"/>
                <w:sz w:val="24"/>
                <w:szCs w:val="24"/>
                <w:lang w:val="ru-RU"/>
              </w:rPr>
              <w:t>“</w:t>
            </w:r>
            <w:r w:rsidR="00927115" w:rsidRPr="00927115">
              <w:rPr>
                <w:rFonts w:ascii="Times New Roman" w:hAnsi="Times New Roman" w:cs="Times New Roman"/>
                <w:sz w:val="24"/>
                <w:szCs w:val="24"/>
              </w:rPr>
              <w:t xml:space="preserve">В изпълнение на ﻿Приоритетна ос 2 – Ефективно и професионално управление в партньорство с гражданското общество и бизнеса на ОП „Добро управление“, Инвестиционен приоритет – 11i - </w:t>
            </w:r>
            <w:r w:rsidR="00927115" w:rsidRPr="00927115">
              <w:rPr>
                <w:rFonts w:ascii="Times New Roman" w:hAnsi="Times New Roman" w:cs="Times New Roman"/>
                <w:sz w:val="24"/>
                <w:szCs w:val="24"/>
              </w:rPr>
              <w:lastRenderedPageBreak/>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 Специфична цел 1 - Увеличаване на броя на администрациите, прилагащи механизми за организационно развитие и управление ориентирано към резултатите,</w:t>
            </w:r>
            <w:r w:rsidR="00927115">
              <w:rPr>
                <w:rFonts w:ascii="Times New Roman" w:hAnsi="Times New Roman" w:cs="Times New Roman"/>
                <w:sz w:val="24"/>
                <w:szCs w:val="24"/>
              </w:rPr>
              <w:t xml:space="preserve"> </w:t>
            </w:r>
            <w:r w:rsidR="00927115" w:rsidRPr="00927115">
              <w:rPr>
                <w:rFonts w:ascii="Times New Roman" w:hAnsi="Times New Roman" w:cs="Times New Roman"/>
                <w:sz w:val="24"/>
                <w:szCs w:val="24"/>
              </w:rPr>
              <w:t>БАКЕП предлага в ИГРП за 2019 г. да се включи процедура за разработване на документи за стратегическо планиране за следващия програмен период 2021-2027 на регионално и местно ниво, в т.ч. областни стратегии за развитие, планове за интегрирано развитие на общините, съгласно направените предложения за промени в Закона за регионално развитие, които са в процес на обществено обсъждане, както и други секторни и тематични планови и програмни документи за програмен период 2021-2027 г., които произтичат от изисквания на националното законодателство. Аргументите за предложението са свързани с:</w:t>
            </w:r>
          </w:p>
          <w:p w14:paraId="23541EB8" w14:textId="77777777" w:rsidR="00927115" w:rsidRPr="00927115" w:rsidRDefault="00927115" w:rsidP="00927115">
            <w:pPr>
              <w:numPr>
                <w:ilvl w:val="0"/>
                <w:numId w:val="11"/>
              </w:numPr>
              <w:spacing w:after="120"/>
              <w:ind w:left="38" w:firstLine="7"/>
              <w:jc w:val="both"/>
              <w:rPr>
                <w:rFonts w:ascii="Times New Roman" w:hAnsi="Times New Roman" w:cs="Times New Roman"/>
                <w:sz w:val="24"/>
                <w:szCs w:val="24"/>
              </w:rPr>
            </w:pPr>
            <w:r w:rsidRPr="00927115">
              <w:rPr>
                <w:rFonts w:ascii="Times New Roman" w:hAnsi="Times New Roman" w:cs="Times New Roman"/>
                <w:sz w:val="24"/>
                <w:szCs w:val="24"/>
              </w:rPr>
              <w:t>необходимостта да се предвиди подкрепа за общинските администрации за качествено разработване на плановите документи за следващия програмен период, което е залегнало в Инвестиционен приоритет 11</w:t>
            </w:r>
            <w:r w:rsidRPr="00927115">
              <w:rPr>
                <w:rFonts w:ascii="Times New Roman" w:hAnsi="Times New Roman" w:cs="Times New Roman"/>
                <w:sz w:val="24"/>
                <w:szCs w:val="24"/>
                <w:lang w:val="en-US"/>
              </w:rPr>
              <w:t>i</w:t>
            </w:r>
            <w:r w:rsidRPr="00927115">
              <w:rPr>
                <w:rFonts w:ascii="Times New Roman" w:hAnsi="Times New Roman" w:cs="Times New Roman"/>
                <w:sz w:val="24"/>
                <w:szCs w:val="24"/>
              </w:rPr>
              <w:t xml:space="preserve"> на програмата, чрез механизъм за подобряване на качеството на разработваните и прилаганите от администрацията политики и тяхната резултатна ориентираност, подобряване на координацията при реализиране на секторните политики и междусекторното сътрудничество, както и необходимостта от мерки за </w:t>
            </w:r>
            <w:r w:rsidRPr="00927115">
              <w:rPr>
                <w:rFonts w:ascii="Times New Roman" w:hAnsi="Times New Roman" w:cs="Times New Roman"/>
                <w:sz w:val="24"/>
                <w:szCs w:val="24"/>
              </w:rPr>
              <w:lastRenderedPageBreak/>
              <w:t>подобряване на мониторинга на изпълнението на регионалните и местни политики /Специфична цел 1 на ПО 2/</w:t>
            </w:r>
          </w:p>
          <w:p w14:paraId="6D2B38C1" w14:textId="77777777" w:rsidR="00927115" w:rsidRPr="00927115" w:rsidRDefault="00927115" w:rsidP="00927115">
            <w:pPr>
              <w:numPr>
                <w:ilvl w:val="0"/>
                <w:numId w:val="11"/>
              </w:numPr>
              <w:spacing w:after="120"/>
              <w:ind w:left="38" w:firstLine="7"/>
              <w:jc w:val="both"/>
              <w:rPr>
                <w:rFonts w:ascii="Times New Roman" w:hAnsi="Times New Roman" w:cs="Times New Roman"/>
                <w:sz w:val="24"/>
                <w:szCs w:val="24"/>
              </w:rPr>
            </w:pPr>
            <w:r w:rsidRPr="00927115">
              <w:rPr>
                <w:rFonts w:ascii="Times New Roman" w:hAnsi="Times New Roman" w:cs="Times New Roman"/>
                <w:sz w:val="24"/>
                <w:szCs w:val="24"/>
              </w:rPr>
              <w:t>необходимостта планирането на общинско ниво да се извърши навременно, което при планирана процедура в ИГРП за 2019 г. означава реално изпълнение на проектите на бенефициентите през 2020 г. когато ще има възможност планирането да се осъществи в тясна координация с планирането на национално ниво и с рамката на ЕСИФ за периода 2021-2027 г.</w:t>
            </w:r>
          </w:p>
          <w:p w14:paraId="7A19969E" w14:textId="2F2A1FDE" w:rsidR="00C050D6" w:rsidRPr="00927115" w:rsidRDefault="00927115" w:rsidP="00087D2E">
            <w:pPr>
              <w:spacing w:after="120"/>
              <w:jc w:val="both"/>
              <w:rPr>
                <w:rFonts w:ascii="Times New Roman" w:hAnsi="Times New Roman" w:cs="Times New Roman"/>
                <w:sz w:val="24"/>
                <w:szCs w:val="24"/>
              </w:rPr>
            </w:pPr>
            <w:r w:rsidRPr="00927115">
              <w:rPr>
                <w:rFonts w:ascii="Times New Roman" w:hAnsi="Times New Roman" w:cs="Times New Roman"/>
                <w:sz w:val="24"/>
                <w:szCs w:val="24"/>
              </w:rPr>
              <w:t>Ако такава процедура бъде включена в ИГРП за 2019 г., реалното изпълнение на процедурата ще започне през 2020 г., което ще позволи да бъдат изготвени по-качествени документи  за програмния период от 2021-2027 г.  За периода 2014-2020 г. съществуваше подобна възможност за финансиране, което позволи да бъде заделен по-голям ресурс за изготвянето на стратегическите документи на местно ниво, които да включват мненията на широк кръг заинтересовани страни и да отразяват в максимална степен нуждите и потребностите на съответната териториална единица.</w:t>
            </w:r>
            <w:r>
              <w:rPr>
                <w:rFonts w:ascii="Times New Roman" w:hAnsi="Times New Roman" w:cs="Times New Roman"/>
                <w:sz w:val="24"/>
                <w:szCs w:val="24"/>
              </w:rPr>
              <w:t>“</w:t>
            </w:r>
          </w:p>
        </w:tc>
        <w:tc>
          <w:tcPr>
            <w:tcW w:w="6234" w:type="dxa"/>
          </w:tcPr>
          <w:p w14:paraId="7FEA215B" w14:textId="5A6D5D32" w:rsidR="005520F7" w:rsidRPr="005520F7" w:rsidRDefault="005520F7" w:rsidP="005520F7">
            <w:pPr>
              <w:spacing w:after="120"/>
              <w:jc w:val="both"/>
              <w:rPr>
                <w:rFonts w:ascii="Times New Roman" w:hAnsi="Times New Roman" w:cs="Times New Roman"/>
                <w:b/>
                <w:sz w:val="24"/>
                <w:szCs w:val="24"/>
              </w:rPr>
            </w:pPr>
            <w:r w:rsidRPr="005520F7">
              <w:rPr>
                <w:rFonts w:ascii="Times New Roman" w:hAnsi="Times New Roman" w:cs="Times New Roman"/>
                <w:b/>
                <w:sz w:val="24"/>
                <w:szCs w:val="24"/>
              </w:rPr>
              <w:lastRenderedPageBreak/>
              <w:t>Приема се по принцип.</w:t>
            </w:r>
          </w:p>
          <w:p w14:paraId="1F400F39" w14:textId="718EC08A" w:rsidR="00B9172A" w:rsidRDefault="001E365C" w:rsidP="005520F7">
            <w:pPr>
              <w:spacing w:after="120"/>
              <w:jc w:val="both"/>
              <w:rPr>
                <w:rFonts w:ascii="Times New Roman" w:hAnsi="Times New Roman" w:cs="Times New Roman"/>
                <w:sz w:val="24"/>
                <w:szCs w:val="24"/>
              </w:rPr>
            </w:pPr>
            <w:r>
              <w:rPr>
                <w:rFonts w:ascii="Times New Roman" w:hAnsi="Times New Roman" w:cs="Times New Roman"/>
                <w:sz w:val="24"/>
                <w:szCs w:val="24"/>
              </w:rPr>
              <w:t>За да бъде</w:t>
            </w:r>
            <w:r w:rsidR="005520F7" w:rsidRPr="005520F7">
              <w:rPr>
                <w:rFonts w:ascii="Times New Roman" w:hAnsi="Times New Roman" w:cs="Times New Roman"/>
                <w:sz w:val="24"/>
                <w:szCs w:val="24"/>
              </w:rPr>
              <w:t xml:space="preserve"> вкл</w:t>
            </w:r>
            <w:r>
              <w:rPr>
                <w:rFonts w:ascii="Times New Roman" w:hAnsi="Times New Roman" w:cs="Times New Roman"/>
                <w:sz w:val="24"/>
                <w:szCs w:val="24"/>
              </w:rPr>
              <w:t xml:space="preserve">ючена </w:t>
            </w:r>
            <w:r w:rsidR="005520F7" w:rsidRPr="005520F7">
              <w:rPr>
                <w:rFonts w:ascii="Times New Roman" w:hAnsi="Times New Roman" w:cs="Times New Roman"/>
                <w:sz w:val="24"/>
                <w:szCs w:val="24"/>
              </w:rPr>
              <w:t xml:space="preserve">подобна процедура </w:t>
            </w:r>
            <w:r w:rsidR="00FB6178">
              <w:rPr>
                <w:rFonts w:ascii="Times New Roman" w:hAnsi="Times New Roman" w:cs="Times New Roman"/>
                <w:sz w:val="24"/>
                <w:szCs w:val="24"/>
              </w:rPr>
              <w:t xml:space="preserve">за финансиране в ИГРП 2019 на </w:t>
            </w:r>
            <w:r>
              <w:rPr>
                <w:rFonts w:ascii="Times New Roman" w:hAnsi="Times New Roman" w:cs="Times New Roman"/>
                <w:sz w:val="24"/>
                <w:szCs w:val="24"/>
              </w:rPr>
              <w:t>ОПДУ,</w:t>
            </w:r>
            <w:r w:rsidR="005520F7" w:rsidRPr="005520F7">
              <w:rPr>
                <w:rFonts w:ascii="Times New Roman" w:hAnsi="Times New Roman" w:cs="Times New Roman"/>
                <w:sz w:val="24"/>
                <w:szCs w:val="24"/>
              </w:rPr>
              <w:t xml:space="preserve"> следва да </w:t>
            </w:r>
            <w:r w:rsidR="00B9172A">
              <w:rPr>
                <w:rFonts w:ascii="Times New Roman" w:hAnsi="Times New Roman" w:cs="Times New Roman"/>
                <w:sz w:val="24"/>
                <w:szCs w:val="24"/>
              </w:rPr>
              <w:t xml:space="preserve">бъдат приети </w:t>
            </w:r>
            <w:r>
              <w:rPr>
                <w:rFonts w:ascii="Times New Roman" w:hAnsi="Times New Roman" w:cs="Times New Roman"/>
                <w:sz w:val="24"/>
                <w:szCs w:val="24"/>
              </w:rPr>
              <w:t xml:space="preserve">окончателните текстове на </w:t>
            </w:r>
            <w:r w:rsidR="00B9172A">
              <w:rPr>
                <w:rFonts w:ascii="Times New Roman" w:hAnsi="Times New Roman" w:cs="Times New Roman"/>
                <w:sz w:val="24"/>
                <w:szCs w:val="24"/>
              </w:rPr>
              <w:t xml:space="preserve">европейски и национални документи, които да определят рамката на програмирането </w:t>
            </w:r>
            <w:r w:rsidR="009211E8">
              <w:rPr>
                <w:rFonts w:ascii="Times New Roman" w:hAnsi="Times New Roman" w:cs="Times New Roman"/>
                <w:sz w:val="24"/>
                <w:szCs w:val="24"/>
              </w:rPr>
              <w:t>з</w:t>
            </w:r>
            <w:r w:rsidR="00B9172A">
              <w:rPr>
                <w:rFonts w:ascii="Times New Roman" w:hAnsi="Times New Roman" w:cs="Times New Roman"/>
                <w:sz w:val="24"/>
                <w:szCs w:val="24"/>
              </w:rPr>
              <w:t xml:space="preserve">а периода след 2020 г. </w:t>
            </w:r>
            <w:r>
              <w:rPr>
                <w:rFonts w:ascii="Times New Roman" w:hAnsi="Times New Roman" w:cs="Times New Roman"/>
                <w:sz w:val="24"/>
                <w:szCs w:val="24"/>
              </w:rPr>
              <w:t xml:space="preserve">Такива са европейските регламенти </w:t>
            </w:r>
            <w:r w:rsidR="009211E8">
              <w:rPr>
                <w:rFonts w:ascii="Times New Roman" w:hAnsi="Times New Roman" w:cs="Times New Roman"/>
                <w:sz w:val="24"/>
                <w:szCs w:val="24"/>
              </w:rPr>
              <w:t xml:space="preserve">за </w:t>
            </w:r>
            <w:r w:rsidR="00892B46" w:rsidRPr="00892B46">
              <w:rPr>
                <w:rFonts w:ascii="Times New Roman" w:hAnsi="Times New Roman" w:cs="Times New Roman"/>
                <w:sz w:val="24"/>
                <w:szCs w:val="24"/>
              </w:rPr>
              <w:t>определяне на общоприложими разпоредби за</w:t>
            </w:r>
            <w:r w:rsidR="00892B46">
              <w:rPr>
                <w:rFonts w:ascii="Times New Roman" w:hAnsi="Times New Roman" w:cs="Times New Roman"/>
                <w:sz w:val="24"/>
                <w:szCs w:val="24"/>
              </w:rPr>
              <w:t xml:space="preserve"> Европейския фонд за регионално </w:t>
            </w:r>
            <w:r w:rsidR="00892B46" w:rsidRPr="00892B46">
              <w:rPr>
                <w:rFonts w:ascii="Times New Roman" w:hAnsi="Times New Roman" w:cs="Times New Roman"/>
                <w:sz w:val="24"/>
                <w:szCs w:val="24"/>
              </w:rPr>
              <w:t>развитие, Европейския социален фонд+, Кохези</w:t>
            </w:r>
            <w:r w:rsidR="00892B46">
              <w:rPr>
                <w:rFonts w:ascii="Times New Roman" w:hAnsi="Times New Roman" w:cs="Times New Roman"/>
                <w:sz w:val="24"/>
                <w:szCs w:val="24"/>
              </w:rPr>
              <w:t xml:space="preserve">онния фонд, Европейския фонд за </w:t>
            </w:r>
            <w:r w:rsidR="00892B46" w:rsidRPr="00892B46">
              <w:rPr>
                <w:rFonts w:ascii="Times New Roman" w:hAnsi="Times New Roman" w:cs="Times New Roman"/>
                <w:sz w:val="24"/>
                <w:szCs w:val="24"/>
              </w:rPr>
              <w:t xml:space="preserve">морско дело и </w:t>
            </w:r>
            <w:r w:rsidR="00892B46" w:rsidRPr="00892B46">
              <w:rPr>
                <w:rFonts w:ascii="Times New Roman" w:hAnsi="Times New Roman" w:cs="Times New Roman"/>
                <w:sz w:val="24"/>
                <w:szCs w:val="24"/>
              </w:rPr>
              <w:lastRenderedPageBreak/>
              <w:t>рибарство, както и финансови прав</w:t>
            </w:r>
            <w:r w:rsidR="00892B46">
              <w:rPr>
                <w:rFonts w:ascii="Times New Roman" w:hAnsi="Times New Roman" w:cs="Times New Roman"/>
                <w:sz w:val="24"/>
                <w:szCs w:val="24"/>
              </w:rPr>
              <w:t>ила за тях и за фонд „Убежище и</w:t>
            </w:r>
            <w:r w:rsidR="00892B46" w:rsidRPr="00892B46">
              <w:rPr>
                <w:rFonts w:ascii="Times New Roman" w:hAnsi="Times New Roman" w:cs="Times New Roman"/>
                <w:sz w:val="24"/>
                <w:szCs w:val="24"/>
              </w:rPr>
              <w:t>миграция“, фонд „Вътрешна сигурност“</w:t>
            </w:r>
            <w:r w:rsidR="00892B46">
              <w:rPr>
                <w:rFonts w:ascii="Times New Roman" w:hAnsi="Times New Roman" w:cs="Times New Roman"/>
                <w:sz w:val="24"/>
                <w:szCs w:val="24"/>
              </w:rPr>
              <w:t xml:space="preserve"> и инструмента за управление на </w:t>
            </w:r>
            <w:r w:rsidR="00892B46" w:rsidRPr="00892B46">
              <w:rPr>
                <w:rFonts w:ascii="Times New Roman" w:hAnsi="Times New Roman" w:cs="Times New Roman"/>
                <w:sz w:val="24"/>
                <w:szCs w:val="24"/>
              </w:rPr>
              <w:t>границите и визите</w:t>
            </w:r>
            <w:r w:rsidR="00892B46">
              <w:rPr>
                <w:rFonts w:ascii="Times New Roman" w:hAnsi="Times New Roman" w:cs="Times New Roman"/>
                <w:sz w:val="24"/>
                <w:szCs w:val="24"/>
              </w:rPr>
              <w:t xml:space="preserve">, както и специфичните регламенти за всеки фонд </w:t>
            </w:r>
            <w:r>
              <w:rPr>
                <w:rFonts w:ascii="Times New Roman" w:hAnsi="Times New Roman" w:cs="Times New Roman"/>
                <w:sz w:val="24"/>
                <w:szCs w:val="24"/>
              </w:rPr>
              <w:t>за периода 2021-2027 и Законът</w:t>
            </w:r>
            <w:r w:rsidR="00B9172A" w:rsidRPr="00B9172A">
              <w:rPr>
                <w:rFonts w:ascii="Times New Roman" w:hAnsi="Times New Roman" w:cs="Times New Roman"/>
                <w:sz w:val="24"/>
                <w:szCs w:val="24"/>
              </w:rPr>
              <w:t xml:space="preserve"> за регионалното развитие</w:t>
            </w:r>
            <w:r w:rsidR="00B9172A">
              <w:rPr>
                <w:rFonts w:ascii="Times New Roman" w:hAnsi="Times New Roman" w:cs="Times New Roman"/>
                <w:sz w:val="24"/>
                <w:szCs w:val="24"/>
              </w:rPr>
              <w:t xml:space="preserve"> </w:t>
            </w:r>
            <w:r>
              <w:rPr>
                <w:rFonts w:ascii="Times New Roman" w:hAnsi="Times New Roman" w:cs="Times New Roman"/>
                <w:sz w:val="24"/>
                <w:szCs w:val="24"/>
              </w:rPr>
              <w:t>на България.</w:t>
            </w:r>
          </w:p>
          <w:p w14:paraId="0D9B330A" w14:textId="37A4AD9E" w:rsidR="005520F7" w:rsidRPr="005520F7" w:rsidRDefault="00B9172A" w:rsidP="005520F7">
            <w:pPr>
              <w:spacing w:after="120"/>
              <w:jc w:val="both"/>
              <w:rPr>
                <w:rFonts w:ascii="Times New Roman" w:hAnsi="Times New Roman" w:cs="Times New Roman"/>
                <w:sz w:val="24"/>
                <w:szCs w:val="24"/>
              </w:rPr>
            </w:pPr>
            <w:r>
              <w:rPr>
                <w:rFonts w:ascii="Times New Roman" w:hAnsi="Times New Roman" w:cs="Times New Roman"/>
                <w:sz w:val="24"/>
                <w:szCs w:val="24"/>
              </w:rPr>
              <w:t xml:space="preserve">След приемането </w:t>
            </w:r>
            <w:r w:rsidR="00892B46">
              <w:rPr>
                <w:rFonts w:ascii="Times New Roman" w:hAnsi="Times New Roman" w:cs="Times New Roman"/>
                <w:sz w:val="24"/>
                <w:szCs w:val="24"/>
              </w:rPr>
              <w:t>им</w:t>
            </w:r>
            <w:r w:rsidR="005520F7" w:rsidRPr="005520F7">
              <w:rPr>
                <w:rFonts w:ascii="Times New Roman" w:hAnsi="Times New Roman" w:cs="Times New Roman"/>
                <w:sz w:val="24"/>
                <w:szCs w:val="24"/>
              </w:rPr>
              <w:t xml:space="preserve"> ще бъде ясно какви национални документи ще е необходимо да бъдат подготвени</w:t>
            </w:r>
            <w:r>
              <w:rPr>
                <w:rFonts w:ascii="Times New Roman" w:hAnsi="Times New Roman" w:cs="Times New Roman"/>
                <w:sz w:val="24"/>
                <w:szCs w:val="24"/>
              </w:rPr>
              <w:t>, в т.ч. на областно и общинско ниво.</w:t>
            </w:r>
            <w:r w:rsidR="005520F7" w:rsidRPr="005520F7">
              <w:rPr>
                <w:rFonts w:ascii="Times New Roman" w:hAnsi="Times New Roman" w:cs="Times New Roman"/>
                <w:sz w:val="24"/>
                <w:szCs w:val="24"/>
              </w:rPr>
              <w:t xml:space="preserve"> </w:t>
            </w:r>
            <w:r w:rsidR="005520F7" w:rsidRPr="005520F7">
              <w:rPr>
                <w:rFonts w:ascii="Times New Roman" w:hAnsi="Times New Roman" w:cs="Times New Roman"/>
                <w:sz w:val="24"/>
                <w:szCs w:val="24"/>
              </w:rPr>
              <w:tab/>
            </w:r>
          </w:p>
          <w:p w14:paraId="19CE7D8A" w14:textId="2A5DA26B" w:rsidR="00444DAE" w:rsidRDefault="00B9172A" w:rsidP="009211E8">
            <w:pPr>
              <w:spacing w:after="120"/>
              <w:jc w:val="both"/>
              <w:rPr>
                <w:rFonts w:ascii="Times New Roman" w:hAnsi="Times New Roman" w:cs="Times New Roman"/>
                <w:sz w:val="24"/>
                <w:szCs w:val="24"/>
              </w:rPr>
            </w:pPr>
            <w:r>
              <w:rPr>
                <w:rFonts w:ascii="Times New Roman" w:hAnsi="Times New Roman" w:cs="Times New Roman"/>
                <w:sz w:val="24"/>
                <w:szCs w:val="24"/>
              </w:rPr>
              <w:t>На база гореизложеното и п</w:t>
            </w:r>
            <w:r w:rsidR="005520F7" w:rsidRPr="005520F7">
              <w:rPr>
                <w:rFonts w:ascii="Times New Roman" w:hAnsi="Times New Roman" w:cs="Times New Roman"/>
                <w:sz w:val="24"/>
                <w:szCs w:val="24"/>
              </w:rPr>
              <w:t>редвид факта, че програмирането</w:t>
            </w:r>
            <w:r>
              <w:rPr>
                <w:rFonts w:ascii="Times New Roman" w:hAnsi="Times New Roman" w:cs="Times New Roman"/>
                <w:sz w:val="24"/>
                <w:szCs w:val="24"/>
              </w:rPr>
              <w:t xml:space="preserve"> в Република България на програмния период след 2020 г.</w:t>
            </w:r>
            <w:r w:rsidR="005520F7" w:rsidRPr="005520F7">
              <w:rPr>
                <w:rFonts w:ascii="Times New Roman" w:hAnsi="Times New Roman" w:cs="Times New Roman"/>
                <w:sz w:val="24"/>
                <w:szCs w:val="24"/>
              </w:rPr>
              <w:t xml:space="preserve"> все още е в начална фаза, </w:t>
            </w:r>
            <w:r>
              <w:rPr>
                <w:rFonts w:ascii="Times New Roman" w:hAnsi="Times New Roman" w:cs="Times New Roman"/>
                <w:sz w:val="24"/>
                <w:szCs w:val="24"/>
              </w:rPr>
              <w:t>УО на ОПДУ счита</w:t>
            </w:r>
            <w:r w:rsidR="005520F7" w:rsidRPr="005520F7">
              <w:rPr>
                <w:rFonts w:ascii="Times New Roman" w:hAnsi="Times New Roman" w:cs="Times New Roman"/>
                <w:sz w:val="24"/>
                <w:szCs w:val="24"/>
              </w:rPr>
              <w:t xml:space="preserve">, че към настоящия момент все още не е </w:t>
            </w:r>
            <w:r w:rsidR="001E365C">
              <w:rPr>
                <w:rFonts w:ascii="Times New Roman" w:hAnsi="Times New Roman" w:cs="Times New Roman"/>
                <w:sz w:val="24"/>
                <w:szCs w:val="24"/>
              </w:rPr>
              <w:t>идентифицирана национална необходимост от включването на подобна процедура</w:t>
            </w:r>
            <w:r w:rsidR="005520F7" w:rsidRPr="005520F7">
              <w:rPr>
                <w:rFonts w:ascii="Times New Roman" w:hAnsi="Times New Roman" w:cs="Times New Roman"/>
                <w:sz w:val="24"/>
                <w:szCs w:val="24"/>
              </w:rPr>
              <w:t xml:space="preserve">. В случай, че при напредването на подготовката на периода 2021-2027 бъде идентифицирана </w:t>
            </w:r>
            <w:r w:rsidR="001E365C">
              <w:rPr>
                <w:rFonts w:ascii="Times New Roman" w:hAnsi="Times New Roman" w:cs="Times New Roman"/>
                <w:sz w:val="24"/>
                <w:szCs w:val="24"/>
              </w:rPr>
              <w:t>нужда</w:t>
            </w:r>
            <w:r w:rsidR="005520F7" w:rsidRPr="005520F7">
              <w:rPr>
                <w:rFonts w:ascii="Times New Roman" w:hAnsi="Times New Roman" w:cs="Times New Roman"/>
                <w:sz w:val="24"/>
                <w:szCs w:val="24"/>
              </w:rPr>
              <w:t xml:space="preserve"> от разработването на подобни документи</w:t>
            </w:r>
            <w:r w:rsidR="00892B46">
              <w:rPr>
                <w:rFonts w:ascii="Times New Roman" w:hAnsi="Times New Roman" w:cs="Times New Roman"/>
                <w:sz w:val="24"/>
                <w:szCs w:val="24"/>
              </w:rPr>
              <w:t xml:space="preserve"> на областно и общинско ниво</w:t>
            </w:r>
            <w:r w:rsidR="005520F7" w:rsidRPr="005520F7">
              <w:rPr>
                <w:rFonts w:ascii="Times New Roman" w:hAnsi="Times New Roman" w:cs="Times New Roman"/>
                <w:sz w:val="24"/>
                <w:szCs w:val="24"/>
              </w:rPr>
              <w:t xml:space="preserve">, УО на ОПДУ ще прецени възможността и целесъобразността </w:t>
            </w:r>
            <w:r w:rsidR="00FB6178">
              <w:rPr>
                <w:rFonts w:ascii="Times New Roman" w:hAnsi="Times New Roman" w:cs="Times New Roman"/>
                <w:sz w:val="24"/>
                <w:szCs w:val="24"/>
              </w:rPr>
              <w:t>от</w:t>
            </w:r>
            <w:r w:rsidR="005520F7" w:rsidRPr="005520F7">
              <w:rPr>
                <w:rFonts w:ascii="Times New Roman" w:hAnsi="Times New Roman" w:cs="Times New Roman"/>
                <w:sz w:val="24"/>
                <w:szCs w:val="24"/>
              </w:rPr>
              <w:t xml:space="preserve"> </w:t>
            </w:r>
            <w:r w:rsidR="009211E8">
              <w:rPr>
                <w:rFonts w:ascii="Times New Roman" w:hAnsi="Times New Roman" w:cs="Times New Roman"/>
                <w:sz w:val="24"/>
                <w:szCs w:val="24"/>
              </w:rPr>
              <w:t>финансиране на подобна процедура, както и приносът й към изпълнението на индикаторите по ОПДУ</w:t>
            </w:r>
            <w:r w:rsidR="005520F7" w:rsidRPr="005520F7">
              <w:rPr>
                <w:rFonts w:ascii="Times New Roman" w:hAnsi="Times New Roman" w:cs="Times New Roman"/>
                <w:sz w:val="24"/>
                <w:szCs w:val="24"/>
              </w:rPr>
              <w:t>.</w:t>
            </w:r>
          </w:p>
        </w:tc>
      </w:tr>
      <w:tr w:rsidR="00FB6178" w14:paraId="07E589DC" w14:textId="77777777" w:rsidTr="00C51770">
        <w:tc>
          <w:tcPr>
            <w:tcW w:w="2105" w:type="dxa"/>
          </w:tcPr>
          <w:p w14:paraId="63419246" w14:textId="737682C6" w:rsidR="00A92A28" w:rsidRPr="00D85F5B" w:rsidRDefault="00A92A28" w:rsidP="00B33317">
            <w:pPr>
              <w:rPr>
                <w:rFonts w:ascii="Times New Roman" w:hAnsi="Times New Roman" w:cs="Times New Roman"/>
                <w:sz w:val="24"/>
                <w:szCs w:val="24"/>
              </w:rPr>
            </w:pPr>
            <w:r>
              <w:rPr>
                <w:rFonts w:ascii="Times New Roman" w:hAnsi="Times New Roman" w:cs="Times New Roman"/>
                <w:sz w:val="24"/>
                <w:szCs w:val="24"/>
              </w:rPr>
              <w:lastRenderedPageBreak/>
              <w:t>„</w:t>
            </w:r>
            <w:r w:rsidRPr="00A92A28">
              <w:rPr>
                <w:rFonts w:ascii="Times New Roman" w:hAnsi="Times New Roman" w:cs="Times New Roman"/>
                <w:sz w:val="24"/>
                <w:szCs w:val="24"/>
              </w:rPr>
              <w:t>Дирекция „Комуникационни и информационни системи“-МВР (ДКИС)</w:t>
            </w:r>
          </w:p>
        </w:tc>
        <w:tc>
          <w:tcPr>
            <w:tcW w:w="5881" w:type="dxa"/>
          </w:tcPr>
          <w:p w14:paraId="75FAE065" w14:textId="51AE67BE" w:rsidR="00C51770" w:rsidRDefault="00CB2355" w:rsidP="00A92A28">
            <w:pPr>
              <w:jc w:val="both"/>
              <w:rPr>
                <w:rFonts w:ascii="Times New Roman" w:hAnsi="Times New Roman" w:cs="Times New Roman"/>
                <w:sz w:val="24"/>
                <w:szCs w:val="24"/>
              </w:rPr>
            </w:pPr>
            <w:r>
              <w:rPr>
                <w:rFonts w:ascii="Times New Roman" w:hAnsi="Times New Roman" w:cs="Times New Roman"/>
                <w:sz w:val="24"/>
                <w:szCs w:val="24"/>
              </w:rPr>
              <w:t>Предложението е</w:t>
            </w:r>
            <w:r w:rsidR="00A92A28" w:rsidRPr="00A92A28">
              <w:rPr>
                <w:rFonts w:ascii="Times New Roman" w:hAnsi="Times New Roman" w:cs="Times New Roman"/>
                <w:sz w:val="24"/>
                <w:szCs w:val="24"/>
              </w:rPr>
              <w:t xml:space="preserve"> получен</w:t>
            </w:r>
            <w:r>
              <w:rPr>
                <w:rFonts w:ascii="Times New Roman" w:hAnsi="Times New Roman" w:cs="Times New Roman"/>
                <w:sz w:val="24"/>
                <w:szCs w:val="24"/>
              </w:rPr>
              <w:t>о</w:t>
            </w:r>
            <w:r w:rsidR="00A92A28" w:rsidRPr="00A92A28">
              <w:rPr>
                <w:rFonts w:ascii="Times New Roman" w:hAnsi="Times New Roman" w:cs="Times New Roman"/>
                <w:sz w:val="24"/>
                <w:szCs w:val="24"/>
              </w:rPr>
              <w:t xml:space="preserve"> чрез служебната електронна поща на </w:t>
            </w:r>
            <w:r w:rsidR="00A92A28">
              <w:rPr>
                <w:rFonts w:ascii="Times New Roman" w:hAnsi="Times New Roman" w:cs="Times New Roman"/>
                <w:sz w:val="24"/>
                <w:szCs w:val="24"/>
              </w:rPr>
              <w:t>22</w:t>
            </w:r>
            <w:r w:rsidR="00A92A28" w:rsidRPr="00A92A28">
              <w:rPr>
                <w:rFonts w:ascii="Times New Roman" w:hAnsi="Times New Roman" w:cs="Times New Roman"/>
                <w:sz w:val="24"/>
                <w:szCs w:val="24"/>
              </w:rPr>
              <w:t xml:space="preserve">.10.2018 г. от </w:t>
            </w:r>
            <w:r w:rsidR="00A92A28">
              <w:rPr>
                <w:rFonts w:ascii="Times New Roman" w:hAnsi="Times New Roman" w:cs="Times New Roman"/>
                <w:sz w:val="24"/>
                <w:szCs w:val="24"/>
              </w:rPr>
              <w:t>Снежана Малинчева</w:t>
            </w:r>
            <w:r w:rsidR="00A92A28" w:rsidRPr="00A92A28">
              <w:rPr>
                <w:rFonts w:ascii="Times New Roman" w:hAnsi="Times New Roman" w:cs="Times New Roman"/>
                <w:sz w:val="24"/>
                <w:szCs w:val="24"/>
              </w:rPr>
              <w:t>,  Дирекция „Комуникационни и информационни системи“-МВР (ДКИС)</w:t>
            </w:r>
            <w:r>
              <w:rPr>
                <w:rFonts w:ascii="Times New Roman" w:hAnsi="Times New Roman" w:cs="Times New Roman"/>
                <w:sz w:val="24"/>
                <w:szCs w:val="24"/>
              </w:rPr>
              <w:t>:</w:t>
            </w:r>
          </w:p>
          <w:p w14:paraId="65DAF32C" w14:textId="77777777" w:rsidR="00092D22" w:rsidRDefault="00092D22" w:rsidP="00A92A28">
            <w:pPr>
              <w:jc w:val="both"/>
              <w:rPr>
                <w:rFonts w:ascii="Times New Roman" w:hAnsi="Times New Roman" w:cs="Times New Roman"/>
                <w:sz w:val="24"/>
                <w:szCs w:val="24"/>
              </w:rPr>
            </w:pPr>
          </w:p>
          <w:p w14:paraId="3240D796" w14:textId="6485CFF5" w:rsidR="00CB2355" w:rsidRPr="00CB2355" w:rsidRDefault="008E708D" w:rsidP="00CB2355">
            <w:pPr>
              <w:jc w:val="both"/>
              <w:rPr>
                <w:rFonts w:ascii="Times New Roman" w:hAnsi="Times New Roman" w:cs="Times New Roman"/>
                <w:sz w:val="24"/>
                <w:szCs w:val="24"/>
              </w:rPr>
            </w:pPr>
            <w:r>
              <w:rPr>
                <w:rFonts w:ascii="Times New Roman" w:hAnsi="Times New Roman" w:cs="Times New Roman"/>
                <w:sz w:val="24"/>
                <w:szCs w:val="24"/>
              </w:rPr>
              <w:t>„</w:t>
            </w:r>
            <w:r w:rsidR="00CB2355" w:rsidRPr="00CB2355">
              <w:rPr>
                <w:rFonts w:ascii="Times New Roman" w:hAnsi="Times New Roman" w:cs="Times New Roman"/>
                <w:sz w:val="24"/>
                <w:szCs w:val="24"/>
              </w:rPr>
              <w:t xml:space="preserve">От името на директора на Дирекция „Комуникационни и информационни системи“-МВР (ДКИС) Ви представям предложение за включване на </w:t>
            </w:r>
            <w:r w:rsidR="00CB2355" w:rsidRPr="00CB2355">
              <w:rPr>
                <w:rFonts w:ascii="Times New Roman" w:hAnsi="Times New Roman" w:cs="Times New Roman"/>
                <w:sz w:val="24"/>
                <w:szCs w:val="24"/>
              </w:rPr>
              <w:lastRenderedPageBreak/>
              <w:t>нова дейност в проекта на Индикативната годишна работна програма 2019 по ОПДУ:</w:t>
            </w:r>
          </w:p>
          <w:p w14:paraId="39FD14D4" w14:textId="2F030BD0" w:rsidR="00CB2355" w:rsidRPr="00CB2355" w:rsidRDefault="00CB2355" w:rsidP="00CB2355">
            <w:pPr>
              <w:jc w:val="both"/>
              <w:rPr>
                <w:rFonts w:ascii="Times New Roman" w:hAnsi="Times New Roman" w:cs="Times New Roman"/>
                <w:sz w:val="24"/>
                <w:szCs w:val="24"/>
              </w:rPr>
            </w:pPr>
            <w:r w:rsidRPr="00CB2355">
              <w:rPr>
                <w:rFonts w:ascii="Times New Roman" w:hAnsi="Times New Roman" w:cs="Times New Roman"/>
                <w:sz w:val="24"/>
                <w:szCs w:val="24"/>
              </w:rPr>
              <w:t>Наименование – „Специализирано обучение по комуникационни и информационни технологии, експлоатирани в МВР“</w:t>
            </w:r>
            <w:r>
              <w:rPr>
                <w:rFonts w:ascii="Times New Roman" w:hAnsi="Times New Roman" w:cs="Times New Roman"/>
                <w:sz w:val="24"/>
                <w:szCs w:val="24"/>
              </w:rPr>
              <w:t xml:space="preserve">. </w:t>
            </w:r>
            <w:r w:rsidRPr="00CB2355">
              <w:rPr>
                <w:rFonts w:ascii="Times New Roman" w:hAnsi="Times New Roman" w:cs="Times New Roman"/>
                <w:sz w:val="24"/>
                <w:szCs w:val="24"/>
              </w:rPr>
              <w:t>Цел - Повишаване на капацитета на служители на МВР на централно и териториално ниво при ползване на комуникационни и информационни технологии в министерството</w:t>
            </w:r>
          </w:p>
          <w:p w14:paraId="594805EE" w14:textId="750450A7" w:rsidR="00CB2355" w:rsidRPr="00CB2355" w:rsidRDefault="00CB2355" w:rsidP="00CB2355">
            <w:pPr>
              <w:jc w:val="both"/>
              <w:rPr>
                <w:rFonts w:ascii="Times New Roman" w:hAnsi="Times New Roman" w:cs="Times New Roman"/>
                <w:sz w:val="24"/>
                <w:szCs w:val="24"/>
              </w:rPr>
            </w:pPr>
            <w:r w:rsidRPr="00CB2355">
              <w:rPr>
                <w:rFonts w:ascii="Times New Roman" w:hAnsi="Times New Roman" w:cs="Times New Roman"/>
                <w:sz w:val="24"/>
                <w:szCs w:val="24"/>
              </w:rPr>
              <w:t>Начин на провеждане на процедурата съгласно чл. 2 от ПМС № 162 от 2016 г. - Процедура чрез директно предоставяне, поради факта, че дейността е правно регламентирана за се извършва само от една дирекция в МВР</w:t>
            </w:r>
            <w:r>
              <w:rPr>
                <w:rFonts w:ascii="Times New Roman" w:hAnsi="Times New Roman" w:cs="Times New Roman"/>
                <w:sz w:val="24"/>
                <w:szCs w:val="24"/>
              </w:rPr>
              <w:t xml:space="preserve">. </w:t>
            </w:r>
            <w:r w:rsidRPr="00CB2355">
              <w:rPr>
                <w:rFonts w:ascii="Times New Roman" w:hAnsi="Times New Roman" w:cs="Times New Roman"/>
                <w:sz w:val="24"/>
                <w:szCs w:val="24"/>
              </w:rPr>
              <w:t>Общ размер на БФП  по процедурата (в лв.) – три типа обучения по 200 000 лева всяка</w:t>
            </w:r>
            <w:r>
              <w:rPr>
                <w:rFonts w:ascii="Times New Roman" w:hAnsi="Times New Roman" w:cs="Times New Roman"/>
                <w:sz w:val="24"/>
                <w:szCs w:val="24"/>
              </w:rPr>
              <w:t xml:space="preserve">. </w:t>
            </w:r>
            <w:r w:rsidRPr="00CB2355">
              <w:rPr>
                <w:rFonts w:ascii="Times New Roman" w:hAnsi="Times New Roman" w:cs="Times New Roman"/>
                <w:sz w:val="24"/>
                <w:szCs w:val="24"/>
              </w:rPr>
              <w:t>Примерни допустими дейности – обучение по специализирани комуникационни технологии; специализирани ГИС; дейности по обслужване на специализирана апаратура и т.н.</w:t>
            </w:r>
            <w:r>
              <w:rPr>
                <w:rFonts w:ascii="Times New Roman" w:hAnsi="Times New Roman" w:cs="Times New Roman"/>
                <w:sz w:val="24"/>
                <w:szCs w:val="24"/>
              </w:rPr>
              <w:t xml:space="preserve"> </w:t>
            </w:r>
            <w:r w:rsidRPr="00CB2355">
              <w:rPr>
                <w:rFonts w:ascii="Times New Roman" w:hAnsi="Times New Roman" w:cs="Times New Roman"/>
                <w:sz w:val="24"/>
                <w:szCs w:val="24"/>
              </w:rPr>
              <w:t>Категории допустими разходи – разходи за обучения, разработване на анализи и методики;</w:t>
            </w:r>
          </w:p>
          <w:p w14:paraId="342207E1" w14:textId="41970A35" w:rsidR="00CB2355" w:rsidRPr="00CB2355" w:rsidRDefault="00CB2355" w:rsidP="00CB2355">
            <w:pPr>
              <w:jc w:val="both"/>
              <w:rPr>
                <w:rFonts w:ascii="Times New Roman" w:hAnsi="Times New Roman" w:cs="Times New Roman"/>
                <w:sz w:val="24"/>
                <w:szCs w:val="24"/>
              </w:rPr>
            </w:pPr>
            <w:r w:rsidRPr="00CB2355">
              <w:rPr>
                <w:rFonts w:ascii="Times New Roman" w:hAnsi="Times New Roman" w:cs="Times New Roman"/>
                <w:sz w:val="24"/>
                <w:szCs w:val="24"/>
              </w:rPr>
              <w:t xml:space="preserve">Дата на обявяване на процедурата – Второ тримесечие на 2019 г. </w:t>
            </w:r>
          </w:p>
          <w:p w14:paraId="3E5DF1F6" w14:textId="70E70287" w:rsidR="00A92A28" w:rsidRPr="001151CC" w:rsidRDefault="00CB2355" w:rsidP="00CB2355">
            <w:pPr>
              <w:jc w:val="both"/>
              <w:rPr>
                <w:rFonts w:ascii="Times New Roman" w:hAnsi="Times New Roman" w:cs="Times New Roman"/>
                <w:sz w:val="24"/>
                <w:szCs w:val="24"/>
                <w:lang w:val="ru-RU"/>
              </w:rPr>
            </w:pPr>
            <w:r w:rsidRPr="00CB2355">
              <w:rPr>
                <w:rFonts w:ascii="Times New Roman" w:hAnsi="Times New Roman" w:cs="Times New Roman"/>
                <w:sz w:val="24"/>
                <w:szCs w:val="24"/>
              </w:rPr>
              <w:t>Дейността ще бъде от полза на дирекцията и на МВР като цяло. Дейността ще се изпълнява от ДКИС , която е правно регламентирана и единствена в МВР да осъществява дейности от този характер в МВР.</w:t>
            </w:r>
            <w:r>
              <w:rPr>
                <w:rFonts w:ascii="Times New Roman" w:hAnsi="Times New Roman" w:cs="Times New Roman"/>
                <w:sz w:val="24"/>
                <w:szCs w:val="24"/>
              </w:rPr>
              <w:t xml:space="preserve"> </w:t>
            </w:r>
            <w:r w:rsidRPr="00CB2355">
              <w:rPr>
                <w:rFonts w:ascii="Times New Roman" w:hAnsi="Times New Roman" w:cs="Times New Roman"/>
                <w:sz w:val="24"/>
                <w:szCs w:val="24"/>
              </w:rPr>
              <w:t>Нещо повече, считаме, че новата дейност ще допълни и продължи изпълняваните в момента проекти на ДКИС със същия предмет, които са в напреднала фаза на изпълнение.</w:t>
            </w:r>
            <w:r w:rsidR="008E708D" w:rsidRPr="001151CC">
              <w:rPr>
                <w:rFonts w:ascii="Times New Roman" w:hAnsi="Times New Roman" w:cs="Times New Roman"/>
                <w:sz w:val="24"/>
                <w:szCs w:val="24"/>
                <w:lang w:val="ru-RU"/>
              </w:rPr>
              <w:t>”</w:t>
            </w:r>
          </w:p>
        </w:tc>
        <w:tc>
          <w:tcPr>
            <w:tcW w:w="6234" w:type="dxa"/>
          </w:tcPr>
          <w:p w14:paraId="28F5342B" w14:textId="77777777" w:rsidR="000B1E2F" w:rsidRPr="00AD6D69" w:rsidRDefault="000B1E2F" w:rsidP="000B1E2F">
            <w:pPr>
              <w:jc w:val="both"/>
              <w:rPr>
                <w:rFonts w:ascii="Times New Roman" w:hAnsi="Times New Roman" w:cs="Times New Roman"/>
                <w:b/>
                <w:sz w:val="24"/>
                <w:szCs w:val="24"/>
              </w:rPr>
            </w:pPr>
            <w:r w:rsidRPr="00AD6D69">
              <w:rPr>
                <w:rFonts w:ascii="Times New Roman" w:hAnsi="Times New Roman" w:cs="Times New Roman"/>
                <w:b/>
                <w:sz w:val="24"/>
                <w:szCs w:val="24"/>
              </w:rPr>
              <w:lastRenderedPageBreak/>
              <w:t>Не се приема.</w:t>
            </w:r>
          </w:p>
          <w:p w14:paraId="121360CF" w14:textId="06A7ED23" w:rsidR="009A239A" w:rsidRPr="009A239A" w:rsidRDefault="000B1E2F" w:rsidP="009A239A">
            <w:pPr>
              <w:spacing w:after="120"/>
              <w:jc w:val="both"/>
              <w:rPr>
                <w:rFonts w:ascii="Times New Roman" w:hAnsi="Times New Roman" w:cs="Times New Roman"/>
                <w:sz w:val="24"/>
                <w:szCs w:val="24"/>
              </w:rPr>
            </w:pPr>
            <w:r>
              <w:rPr>
                <w:rFonts w:ascii="Times New Roman" w:hAnsi="Times New Roman" w:cs="Times New Roman"/>
                <w:sz w:val="24"/>
                <w:szCs w:val="24"/>
              </w:rPr>
              <w:t>През 2017 г. УО на ОПДУ обяви процедура BG05SFOP001-2.006 з</w:t>
            </w:r>
            <w:r w:rsidRPr="000B1E2F">
              <w:rPr>
                <w:rFonts w:ascii="Times New Roman" w:hAnsi="Times New Roman" w:cs="Times New Roman"/>
                <w:sz w:val="24"/>
                <w:szCs w:val="24"/>
              </w:rPr>
              <w:t xml:space="preserve">а предоставяне на безвъзмездна финансова помощ чрез подбор на проектни предложения с наименование </w:t>
            </w:r>
            <w:r>
              <w:rPr>
                <w:rFonts w:ascii="Times New Roman" w:hAnsi="Times New Roman" w:cs="Times New Roman"/>
                <w:sz w:val="24"/>
                <w:szCs w:val="24"/>
              </w:rPr>
              <w:t>„С</w:t>
            </w:r>
            <w:r w:rsidRPr="000B1E2F">
              <w:rPr>
                <w:rFonts w:ascii="Times New Roman" w:hAnsi="Times New Roman" w:cs="Times New Roman"/>
                <w:sz w:val="24"/>
                <w:szCs w:val="24"/>
              </w:rPr>
              <w:t>пециализирани обучения за централната администрация”</w:t>
            </w:r>
            <w:r w:rsidR="00CB2355">
              <w:rPr>
                <w:rFonts w:ascii="Times New Roman" w:hAnsi="Times New Roman" w:cs="Times New Roman"/>
                <w:sz w:val="24"/>
                <w:szCs w:val="24"/>
              </w:rPr>
              <w:t>. Допустими кандидати по процедурата бяха</w:t>
            </w:r>
            <w:r w:rsidR="009A239A" w:rsidRPr="009A239A">
              <w:rPr>
                <w:rFonts w:ascii="Times New Roman" w:hAnsi="Times New Roman" w:cs="Times New Roman"/>
                <w:sz w:val="24"/>
                <w:szCs w:val="24"/>
              </w:rPr>
              <w:t>:</w:t>
            </w:r>
          </w:p>
          <w:p w14:paraId="0C75911C" w14:textId="77777777" w:rsidR="009A239A" w:rsidRPr="009A239A" w:rsidRDefault="009A239A" w:rsidP="009A239A">
            <w:pPr>
              <w:jc w:val="both"/>
              <w:rPr>
                <w:rFonts w:ascii="Times New Roman" w:hAnsi="Times New Roman" w:cs="Times New Roman"/>
                <w:sz w:val="24"/>
                <w:szCs w:val="24"/>
              </w:rPr>
            </w:pPr>
            <w:r w:rsidRPr="009A239A">
              <w:rPr>
                <w:rFonts w:ascii="Times New Roman" w:hAnsi="Times New Roman" w:cs="Times New Roman"/>
                <w:sz w:val="24"/>
                <w:szCs w:val="24"/>
              </w:rPr>
              <w:t>1.</w:t>
            </w:r>
            <w:r w:rsidRPr="009A239A">
              <w:rPr>
                <w:rFonts w:ascii="Times New Roman" w:hAnsi="Times New Roman" w:cs="Times New Roman"/>
                <w:sz w:val="24"/>
                <w:szCs w:val="24"/>
              </w:rPr>
              <w:tab/>
              <w:t>Структури на Централната администрация на изпълнителната власт, в това число:</w:t>
            </w:r>
          </w:p>
          <w:p w14:paraId="154CA396" w14:textId="77777777" w:rsidR="009A239A" w:rsidRPr="009A239A" w:rsidRDefault="009A239A" w:rsidP="009A239A">
            <w:pPr>
              <w:jc w:val="both"/>
              <w:rPr>
                <w:rFonts w:ascii="Times New Roman" w:hAnsi="Times New Roman" w:cs="Times New Roman"/>
                <w:sz w:val="24"/>
                <w:szCs w:val="24"/>
              </w:rPr>
            </w:pPr>
            <w:r w:rsidRPr="009A239A">
              <w:rPr>
                <w:rFonts w:ascii="Times New Roman" w:hAnsi="Times New Roman" w:cs="Times New Roman"/>
                <w:sz w:val="24"/>
                <w:szCs w:val="24"/>
              </w:rPr>
              <w:lastRenderedPageBreak/>
              <w:t>1.1 администрацията на Министерския съвет;</w:t>
            </w:r>
          </w:p>
          <w:p w14:paraId="382C5EC0" w14:textId="3EEDB2C0" w:rsidR="009A239A" w:rsidRPr="00092D22" w:rsidRDefault="009A239A" w:rsidP="009A239A">
            <w:pPr>
              <w:jc w:val="both"/>
              <w:rPr>
                <w:rFonts w:ascii="Times New Roman" w:hAnsi="Times New Roman" w:cs="Times New Roman"/>
                <w:b/>
                <w:sz w:val="24"/>
                <w:szCs w:val="24"/>
              </w:rPr>
            </w:pPr>
            <w:r w:rsidRPr="009A239A">
              <w:rPr>
                <w:rFonts w:ascii="Times New Roman" w:hAnsi="Times New Roman" w:cs="Times New Roman"/>
                <w:sz w:val="24"/>
                <w:szCs w:val="24"/>
              </w:rPr>
              <w:t xml:space="preserve">1.2. </w:t>
            </w:r>
            <w:r w:rsidRPr="00092D22">
              <w:rPr>
                <w:rFonts w:ascii="Times New Roman" w:hAnsi="Times New Roman" w:cs="Times New Roman"/>
                <w:b/>
                <w:sz w:val="24"/>
                <w:szCs w:val="24"/>
              </w:rPr>
              <w:t>министерствата</w:t>
            </w:r>
            <w:r w:rsidR="00AD2A91" w:rsidRPr="00092D22">
              <w:rPr>
                <w:rFonts w:ascii="Times New Roman" w:hAnsi="Times New Roman" w:cs="Times New Roman"/>
                <w:b/>
                <w:sz w:val="24"/>
                <w:szCs w:val="24"/>
              </w:rPr>
              <w:t>, в т.ч. МВР</w:t>
            </w:r>
            <w:r w:rsidRPr="00092D22">
              <w:rPr>
                <w:rFonts w:ascii="Times New Roman" w:hAnsi="Times New Roman" w:cs="Times New Roman"/>
                <w:b/>
                <w:sz w:val="24"/>
                <w:szCs w:val="24"/>
              </w:rPr>
              <w:t>;</w:t>
            </w:r>
          </w:p>
          <w:p w14:paraId="193BBA81" w14:textId="77777777" w:rsidR="009A239A" w:rsidRPr="009A239A" w:rsidRDefault="009A239A" w:rsidP="009A239A">
            <w:pPr>
              <w:jc w:val="both"/>
              <w:rPr>
                <w:rFonts w:ascii="Times New Roman" w:hAnsi="Times New Roman" w:cs="Times New Roman"/>
                <w:sz w:val="24"/>
                <w:szCs w:val="24"/>
              </w:rPr>
            </w:pPr>
            <w:r w:rsidRPr="009A239A">
              <w:rPr>
                <w:rFonts w:ascii="Times New Roman" w:hAnsi="Times New Roman" w:cs="Times New Roman"/>
                <w:sz w:val="24"/>
                <w:szCs w:val="24"/>
              </w:rPr>
              <w:t>1.3. държавните агенции;</w:t>
            </w:r>
          </w:p>
          <w:p w14:paraId="236E96AB" w14:textId="77777777" w:rsidR="009A239A" w:rsidRPr="009A239A" w:rsidRDefault="009A239A" w:rsidP="009A239A">
            <w:pPr>
              <w:jc w:val="both"/>
              <w:rPr>
                <w:rFonts w:ascii="Times New Roman" w:hAnsi="Times New Roman" w:cs="Times New Roman"/>
                <w:sz w:val="24"/>
                <w:szCs w:val="24"/>
              </w:rPr>
            </w:pPr>
            <w:r w:rsidRPr="009A239A">
              <w:rPr>
                <w:rFonts w:ascii="Times New Roman" w:hAnsi="Times New Roman" w:cs="Times New Roman"/>
                <w:sz w:val="24"/>
                <w:szCs w:val="24"/>
              </w:rPr>
              <w:t>1.4. администрацията на държавните комисии;</w:t>
            </w:r>
          </w:p>
          <w:p w14:paraId="6496F39D" w14:textId="77777777" w:rsidR="009A239A" w:rsidRPr="009A239A" w:rsidRDefault="009A239A" w:rsidP="009A239A">
            <w:pPr>
              <w:jc w:val="both"/>
              <w:rPr>
                <w:rFonts w:ascii="Times New Roman" w:hAnsi="Times New Roman" w:cs="Times New Roman"/>
                <w:sz w:val="24"/>
                <w:szCs w:val="24"/>
              </w:rPr>
            </w:pPr>
            <w:r w:rsidRPr="009A239A">
              <w:rPr>
                <w:rFonts w:ascii="Times New Roman" w:hAnsi="Times New Roman" w:cs="Times New Roman"/>
                <w:sz w:val="24"/>
                <w:szCs w:val="24"/>
              </w:rPr>
              <w:t>1.5. изпълнителните агенции;</w:t>
            </w:r>
          </w:p>
          <w:p w14:paraId="1803DD5E" w14:textId="20239650" w:rsidR="009A239A" w:rsidRPr="009A239A" w:rsidRDefault="009A239A" w:rsidP="009A239A">
            <w:pPr>
              <w:jc w:val="both"/>
              <w:rPr>
                <w:rFonts w:ascii="Times New Roman" w:hAnsi="Times New Roman" w:cs="Times New Roman"/>
                <w:sz w:val="24"/>
                <w:szCs w:val="24"/>
              </w:rPr>
            </w:pPr>
            <w:r w:rsidRPr="009A239A">
              <w:rPr>
                <w:rFonts w:ascii="Times New Roman" w:hAnsi="Times New Roman" w:cs="Times New Roman"/>
                <w:sz w:val="24"/>
                <w:szCs w:val="24"/>
              </w:rPr>
              <w:t>1.6. други административни структури, създадени с нормативен акт, които имат функции във връзка с осъществя</w:t>
            </w:r>
            <w:r>
              <w:rPr>
                <w:rFonts w:ascii="Times New Roman" w:hAnsi="Times New Roman" w:cs="Times New Roman"/>
                <w:sz w:val="24"/>
                <w:szCs w:val="24"/>
              </w:rPr>
              <w:t>ването на изпълнителната власт.</w:t>
            </w:r>
          </w:p>
          <w:p w14:paraId="002F3893" w14:textId="0B08761D" w:rsidR="009A239A" w:rsidRDefault="009A239A" w:rsidP="009A239A">
            <w:pPr>
              <w:jc w:val="both"/>
              <w:rPr>
                <w:rFonts w:ascii="Times New Roman" w:hAnsi="Times New Roman" w:cs="Times New Roman"/>
                <w:sz w:val="24"/>
                <w:szCs w:val="24"/>
              </w:rPr>
            </w:pPr>
            <w:r w:rsidRPr="009A239A">
              <w:rPr>
                <w:rFonts w:ascii="Times New Roman" w:hAnsi="Times New Roman" w:cs="Times New Roman"/>
                <w:sz w:val="24"/>
                <w:szCs w:val="24"/>
              </w:rPr>
              <w:t>2.</w:t>
            </w:r>
            <w:r w:rsidRPr="009A239A">
              <w:rPr>
                <w:rFonts w:ascii="Times New Roman" w:hAnsi="Times New Roman" w:cs="Times New Roman"/>
                <w:sz w:val="24"/>
                <w:szCs w:val="24"/>
              </w:rPr>
              <w:tab/>
              <w:t>Институции и администрации на еднолични органи, създадени със специален закон или с Конституцията на Република България</w:t>
            </w:r>
            <w:r w:rsidR="00CB2355">
              <w:rPr>
                <w:rFonts w:ascii="Times New Roman" w:hAnsi="Times New Roman" w:cs="Times New Roman"/>
                <w:sz w:val="24"/>
                <w:szCs w:val="24"/>
              </w:rPr>
              <w:t xml:space="preserve">. </w:t>
            </w:r>
          </w:p>
          <w:p w14:paraId="7AFFAD96" w14:textId="77777777" w:rsidR="009A239A" w:rsidRDefault="009A239A" w:rsidP="00B50843">
            <w:pPr>
              <w:spacing w:after="120"/>
              <w:jc w:val="both"/>
              <w:rPr>
                <w:rFonts w:ascii="Times New Roman" w:hAnsi="Times New Roman" w:cs="Times New Roman"/>
                <w:sz w:val="24"/>
                <w:szCs w:val="24"/>
              </w:rPr>
            </w:pPr>
          </w:p>
          <w:p w14:paraId="2E21A7A0" w14:textId="07EA1D98" w:rsidR="00B50843" w:rsidRDefault="000B1E2F" w:rsidP="00B50843">
            <w:pPr>
              <w:spacing w:after="120"/>
              <w:jc w:val="both"/>
              <w:rPr>
                <w:rFonts w:ascii="Times New Roman" w:hAnsi="Times New Roman" w:cs="Times New Roman"/>
                <w:sz w:val="24"/>
                <w:szCs w:val="24"/>
              </w:rPr>
            </w:pPr>
            <w:r>
              <w:rPr>
                <w:rFonts w:ascii="Times New Roman" w:hAnsi="Times New Roman" w:cs="Times New Roman"/>
                <w:sz w:val="24"/>
                <w:szCs w:val="24"/>
              </w:rPr>
              <w:t xml:space="preserve">Крайният срок за кандидатстване по процедурата беше </w:t>
            </w:r>
            <w:r w:rsidRPr="000B1E2F">
              <w:rPr>
                <w:rFonts w:ascii="Times New Roman" w:hAnsi="Times New Roman" w:cs="Times New Roman"/>
                <w:bCs/>
                <w:sz w:val="24"/>
                <w:szCs w:val="24"/>
              </w:rPr>
              <w:t>21.03.2018 г.</w:t>
            </w:r>
            <w:r>
              <w:rPr>
                <w:rFonts w:ascii="Times New Roman" w:hAnsi="Times New Roman" w:cs="Times New Roman"/>
                <w:bCs/>
                <w:sz w:val="24"/>
                <w:szCs w:val="24"/>
              </w:rPr>
              <w:t xml:space="preserve"> </w:t>
            </w:r>
            <w:r w:rsidRPr="00465973">
              <w:rPr>
                <w:rFonts w:ascii="Times New Roman" w:hAnsi="Times New Roman" w:cs="Times New Roman"/>
                <w:sz w:val="24"/>
                <w:szCs w:val="24"/>
              </w:rPr>
              <w:t>Всеки кандидат може</w:t>
            </w:r>
            <w:r>
              <w:rPr>
                <w:rFonts w:ascii="Times New Roman" w:hAnsi="Times New Roman" w:cs="Times New Roman"/>
                <w:sz w:val="24"/>
                <w:szCs w:val="24"/>
              </w:rPr>
              <w:t>ше</w:t>
            </w:r>
            <w:r w:rsidRPr="00465973">
              <w:rPr>
                <w:rFonts w:ascii="Times New Roman" w:hAnsi="Times New Roman" w:cs="Times New Roman"/>
                <w:sz w:val="24"/>
                <w:szCs w:val="24"/>
              </w:rPr>
              <w:t xml:space="preserve"> да подаде </w:t>
            </w:r>
            <w:r w:rsidR="001151CC">
              <w:rPr>
                <w:rFonts w:ascii="Times New Roman" w:hAnsi="Times New Roman" w:cs="Times New Roman"/>
                <w:sz w:val="24"/>
                <w:szCs w:val="24"/>
              </w:rPr>
              <w:t>неограничен брой</w:t>
            </w:r>
            <w:r w:rsidRPr="00465973">
              <w:rPr>
                <w:rFonts w:ascii="Times New Roman" w:hAnsi="Times New Roman" w:cs="Times New Roman"/>
                <w:sz w:val="24"/>
                <w:szCs w:val="24"/>
              </w:rPr>
              <w:t xml:space="preserve"> проектн</w:t>
            </w:r>
            <w:r w:rsidR="001151CC">
              <w:rPr>
                <w:rFonts w:ascii="Times New Roman" w:hAnsi="Times New Roman" w:cs="Times New Roman"/>
                <w:sz w:val="24"/>
                <w:szCs w:val="24"/>
              </w:rPr>
              <w:t>и</w:t>
            </w:r>
            <w:r w:rsidRPr="00465973">
              <w:rPr>
                <w:rFonts w:ascii="Times New Roman" w:hAnsi="Times New Roman" w:cs="Times New Roman"/>
                <w:sz w:val="24"/>
                <w:szCs w:val="24"/>
              </w:rPr>
              <w:t xml:space="preserve"> предложени</w:t>
            </w:r>
            <w:r w:rsidR="001151CC">
              <w:rPr>
                <w:rFonts w:ascii="Times New Roman" w:hAnsi="Times New Roman" w:cs="Times New Roman"/>
                <w:sz w:val="24"/>
                <w:szCs w:val="24"/>
              </w:rPr>
              <w:t>я</w:t>
            </w:r>
            <w:r w:rsidR="00092D22">
              <w:rPr>
                <w:rFonts w:ascii="Times New Roman" w:hAnsi="Times New Roman" w:cs="Times New Roman"/>
                <w:sz w:val="24"/>
                <w:szCs w:val="24"/>
              </w:rPr>
              <w:t>,</w:t>
            </w:r>
            <w:r w:rsidR="006A09A8" w:rsidRPr="006A09A8">
              <w:rPr>
                <w:rFonts w:ascii="Times New Roman" w:eastAsia="Times New Roman" w:hAnsi="Times New Roman" w:cs="Times New Roman"/>
                <w:sz w:val="20"/>
                <w:szCs w:val="20"/>
                <w:lang w:eastAsia="bg-BG"/>
              </w:rPr>
              <w:t xml:space="preserve"> </w:t>
            </w:r>
            <w:r w:rsidR="006A09A8" w:rsidRPr="006A09A8">
              <w:rPr>
                <w:rFonts w:ascii="Times New Roman" w:hAnsi="Times New Roman" w:cs="Times New Roman"/>
                <w:sz w:val="24"/>
                <w:szCs w:val="24"/>
              </w:rPr>
              <w:t>с</w:t>
            </w:r>
            <w:r w:rsidR="006A09A8">
              <w:rPr>
                <w:rFonts w:ascii="Times New Roman" w:hAnsi="Times New Roman" w:cs="Times New Roman"/>
                <w:sz w:val="24"/>
                <w:szCs w:val="24"/>
              </w:rPr>
              <w:t xml:space="preserve">тига във всяко </w:t>
            </w:r>
            <w:r w:rsidR="006A09A8" w:rsidRPr="006A09A8">
              <w:rPr>
                <w:rFonts w:ascii="Times New Roman" w:hAnsi="Times New Roman" w:cs="Times New Roman"/>
                <w:sz w:val="24"/>
                <w:szCs w:val="24"/>
              </w:rPr>
              <w:t xml:space="preserve">проектно предложение </w:t>
            </w:r>
            <w:r w:rsidR="006A09A8">
              <w:rPr>
                <w:rFonts w:ascii="Times New Roman" w:hAnsi="Times New Roman" w:cs="Times New Roman"/>
                <w:sz w:val="24"/>
                <w:szCs w:val="24"/>
              </w:rPr>
              <w:t>да докаже</w:t>
            </w:r>
            <w:r w:rsidR="006A09A8" w:rsidRPr="006A09A8">
              <w:rPr>
                <w:rFonts w:ascii="Times New Roman" w:hAnsi="Times New Roman" w:cs="Times New Roman"/>
                <w:sz w:val="24"/>
                <w:szCs w:val="24"/>
              </w:rPr>
              <w:t xml:space="preserve">, че </w:t>
            </w:r>
            <w:r w:rsidR="006A09A8">
              <w:rPr>
                <w:rFonts w:ascii="Times New Roman" w:hAnsi="Times New Roman" w:cs="Times New Roman"/>
                <w:sz w:val="24"/>
                <w:szCs w:val="24"/>
              </w:rPr>
              <w:t xml:space="preserve">кандидатства за различни </w:t>
            </w:r>
            <w:r w:rsidR="006A09A8" w:rsidRPr="006A09A8">
              <w:rPr>
                <w:rFonts w:ascii="Times New Roman" w:hAnsi="Times New Roman" w:cs="Times New Roman"/>
                <w:sz w:val="24"/>
                <w:szCs w:val="24"/>
              </w:rPr>
              <w:t xml:space="preserve">специализирани обучения за служителите </w:t>
            </w:r>
            <w:r w:rsidR="001151CC">
              <w:rPr>
                <w:rFonts w:ascii="Times New Roman" w:hAnsi="Times New Roman" w:cs="Times New Roman"/>
                <w:sz w:val="24"/>
                <w:szCs w:val="24"/>
              </w:rPr>
              <w:t>му</w:t>
            </w:r>
            <w:bookmarkStart w:id="0" w:name="_GoBack"/>
            <w:bookmarkEnd w:id="0"/>
            <w:r w:rsidR="006A09A8" w:rsidRPr="006A09A8">
              <w:rPr>
                <w:rFonts w:ascii="Times New Roman" w:hAnsi="Times New Roman" w:cs="Times New Roman"/>
                <w:sz w:val="24"/>
                <w:szCs w:val="24"/>
              </w:rPr>
              <w:t>, които са пряко свързани със специфичната дейност на съответната структура/звено, в т.ч. предаване на опит и/ или добри практики от служители на кандидата</w:t>
            </w:r>
            <w:r>
              <w:rPr>
                <w:rFonts w:ascii="Times New Roman" w:hAnsi="Times New Roman" w:cs="Times New Roman"/>
                <w:sz w:val="24"/>
                <w:szCs w:val="24"/>
              </w:rPr>
              <w:t xml:space="preserve">. </w:t>
            </w:r>
            <w:r w:rsidR="00B50843">
              <w:rPr>
                <w:rFonts w:ascii="Times New Roman" w:hAnsi="Times New Roman" w:cs="Times New Roman"/>
                <w:sz w:val="24"/>
                <w:szCs w:val="24"/>
              </w:rPr>
              <w:t xml:space="preserve">МВР подаде </w:t>
            </w:r>
            <w:r w:rsidR="00D20337">
              <w:rPr>
                <w:rFonts w:ascii="Times New Roman" w:hAnsi="Times New Roman" w:cs="Times New Roman"/>
                <w:sz w:val="24"/>
                <w:szCs w:val="24"/>
              </w:rPr>
              <w:t>общо 9 бр. проектни предложения като 6 от тях бяха на ДКИС. В</w:t>
            </w:r>
            <w:r w:rsidR="00B50843">
              <w:rPr>
                <w:rFonts w:ascii="Times New Roman" w:hAnsi="Times New Roman" w:cs="Times New Roman"/>
                <w:sz w:val="24"/>
                <w:szCs w:val="24"/>
              </w:rPr>
              <w:t xml:space="preserve"> </w:t>
            </w:r>
            <w:r>
              <w:rPr>
                <w:rFonts w:ascii="Times New Roman" w:hAnsi="Times New Roman" w:cs="Times New Roman"/>
                <w:sz w:val="24"/>
                <w:szCs w:val="24"/>
              </w:rPr>
              <w:t xml:space="preserve">резултат от </w:t>
            </w:r>
            <w:r w:rsidR="00B50843">
              <w:rPr>
                <w:rFonts w:ascii="Times New Roman" w:hAnsi="Times New Roman" w:cs="Times New Roman"/>
                <w:sz w:val="24"/>
                <w:szCs w:val="24"/>
              </w:rPr>
              <w:t>оценката</w:t>
            </w:r>
            <w:r>
              <w:rPr>
                <w:rFonts w:ascii="Times New Roman" w:hAnsi="Times New Roman" w:cs="Times New Roman"/>
                <w:sz w:val="24"/>
                <w:szCs w:val="24"/>
              </w:rPr>
              <w:t xml:space="preserve"> </w:t>
            </w:r>
            <w:r w:rsidRPr="00092D22">
              <w:rPr>
                <w:rFonts w:ascii="Times New Roman" w:hAnsi="Times New Roman" w:cs="Times New Roman"/>
                <w:sz w:val="24"/>
                <w:szCs w:val="24"/>
              </w:rPr>
              <w:t>през м. юли 2018 г. с ДКИС</w:t>
            </w:r>
            <w:r>
              <w:rPr>
                <w:rFonts w:ascii="Times New Roman" w:hAnsi="Times New Roman" w:cs="Times New Roman"/>
                <w:sz w:val="24"/>
                <w:szCs w:val="24"/>
              </w:rPr>
              <w:t xml:space="preserve"> бяха сключени </w:t>
            </w:r>
            <w:r w:rsidR="002658AE">
              <w:rPr>
                <w:rFonts w:ascii="Times New Roman" w:hAnsi="Times New Roman" w:cs="Times New Roman"/>
                <w:sz w:val="24"/>
                <w:szCs w:val="24"/>
              </w:rPr>
              <w:t xml:space="preserve">5 </w:t>
            </w:r>
            <w:r>
              <w:rPr>
                <w:rFonts w:ascii="Times New Roman" w:hAnsi="Times New Roman" w:cs="Times New Roman"/>
                <w:sz w:val="24"/>
                <w:szCs w:val="24"/>
              </w:rPr>
              <w:t xml:space="preserve">договора за провеждане на специализирани обучения. </w:t>
            </w:r>
            <w:r w:rsidR="0094768E">
              <w:rPr>
                <w:rFonts w:ascii="Times New Roman" w:hAnsi="Times New Roman" w:cs="Times New Roman"/>
                <w:sz w:val="24"/>
                <w:szCs w:val="24"/>
              </w:rPr>
              <w:t xml:space="preserve">Считаме, че МВР е следвало да прецени нуждите си от специализирани обучения и да подаде нужния брой и вид проекти, които да са в пълно съответствие с </w:t>
            </w:r>
            <w:r w:rsidR="006A09A8">
              <w:rPr>
                <w:rFonts w:ascii="Times New Roman" w:hAnsi="Times New Roman" w:cs="Times New Roman"/>
                <w:sz w:val="24"/>
                <w:szCs w:val="24"/>
              </w:rPr>
              <w:t>потребностите</w:t>
            </w:r>
            <w:r w:rsidR="0094768E">
              <w:rPr>
                <w:rFonts w:ascii="Times New Roman" w:hAnsi="Times New Roman" w:cs="Times New Roman"/>
                <w:sz w:val="24"/>
                <w:szCs w:val="24"/>
              </w:rPr>
              <w:t xml:space="preserve"> на МВР като цяло и ДКИС в частност</w:t>
            </w:r>
            <w:r w:rsidR="00092D22">
              <w:rPr>
                <w:rFonts w:ascii="Times New Roman" w:hAnsi="Times New Roman" w:cs="Times New Roman"/>
                <w:sz w:val="24"/>
                <w:szCs w:val="24"/>
              </w:rPr>
              <w:t>.</w:t>
            </w:r>
          </w:p>
          <w:p w14:paraId="4D03050C" w14:textId="569D0EC9" w:rsidR="00BE1D83" w:rsidRDefault="000B1E2F" w:rsidP="00B50843">
            <w:pPr>
              <w:spacing w:after="120"/>
              <w:jc w:val="both"/>
              <w:rPr>
                <w:rFonts w:ascii="Times New Roman" w:hAnsi="Times New Roman" w:cs="Times New Roman"/>
                <w:sz w:val="24"/>
                <w:szCs w:val="24"/>
              </w:rPr>
            </w:pPr>
            <w:r>
              <w:rPr>
                <w:rFonts w:ascii="Times New Roman" w:hAnsi="Times New Roman" w:cs="Times New Roman"/>
                <w:sz w:val="24"/>
                <w:szCs w:val="24"/>
              </w:rPr>
              <w:t>Поради тази причина, към настоящия момент УО на ОПДУ счита, че включването на подобна процедура в ИГРП 2019 не е целесъобразно</w:t>
            </w:r>
            <w:r w:rsidR="0094768E">
              <w:rPr>
                <w:rFonts w:ascii="Times New Roman" w:hAnsi="Times New Roman" w:cs="Times New Roman"/>
                <w:sz w:val="24"/>
                <w:szCs w:val="24"/>
              </w:rPr>
              <w:t xml:space="preserve"> и обосновано</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Същевременно, в бъдеще УО на ОПДУ планира отварянето на </w:t>
            </w:r>
            <w:r w:rsidR="00CB2355">
              <w:rPr>
                <w:rFonts w:ascii="Times New Roman" w:hAnsi="Times New Roman" w:cs="Times New Roman"/>
                <w:sz w:val="24"/>
                <w:szCs w:val="24"/>
              </w:rPr>
              <w:t>други</w:t>
            </w:r>
            <w:r>
              <w:rPr>
                <w:rFonts w:ascii="Times New Roman" w:hAnsi="Times New Roman" w:cs="Times New Roman"/>
                <w:sz w:val="24"/>
                <w:szCs w:val="24"/>
              </w:rPr>
              <w:t xml:space="preserve"> процедури </w:t>
            </w:r>
            <w:r w:rsidR="00CB2355">
              <w:rPr>
                <w:rFonts w:ascii="Times New Roman" w:hAnsi="Times New Roman" w:cs="Times New Roman"/>
                <w:sz w:val="24"/>
                <w:szCs w:val="24"/>
              </w:rPr>
              <w:t xml:space="preserve">чрез подбор </w:t>
            </w:r>
            <w:r>
              <w:rPr>
                <w:rFonts w:ascii="Times New Roman" w:hAnsi="Times New Roman" w:cs="Times New Roman"/>
                <w:sz w:val="24"/>
                <w:szCs w:val="24"/>
              </w:rPr>
              <w:t xml:space="preserve">за предоставяне на </w:t>
            </w:r>
            <w:r w:rsidR="009058DF">
              <w:rPr>
                <w:rFonts w:ascii="Times New Roman" w:hAnsi="Times New Roman" w:cs="Times New Roman"/>
                <w:sz w:val="24"/>
                <w:szCs w:val="24"/>
              </w:rPr>
              <w:t xml:space="preserve">финансиране за </w:t>
            </w:r>
            <w:r>
              <w:rPr>
                <w:rFonts w:ascii="Times New Roman" w:hAnsi="Times New Roman" w:cs="Times New Roman"/>
                <w:sz w:val="24"/>
                <w:szCs w:val="24"/>
              </w:rPr>
              <w:t>специализирани обучения</w:t>
            </w:r>
            <w:r w:rsidR="00CB2355">
              <w:rPr>
                <w:rFonts w:ascii="Times New Roman" w:hAnsi="Times New Roman" w:cs="Times New Roman"/>
                <w:sz w:val="24"/>
                <w:szCs w:val="24"/>
              </w:rPr>
              <w:t xml:space="preserve"> за администрацията, по които МВР може да кандидатства, като прецени обема и обхвата на необходимите обучения.</w:t>
            </w:r>
          </w:p>
        </w:tc>
      </w:tr>
    </w:tbl>
    <w:p w14:paraId="0BE67100" w14:textId="77777777" w:rsidR="00D85F5B" w:rsidRPr="00D85F5B" w:rsidRDefault="00D85F5B">
      <w:pPr>
        <w:rPr>
          <w:rFonts w:ascii="Times New Roman" w:hAnsi="Times New Roman" w:cs="Times New Roman"/>
          <w:sz w:val="24"/>
          <w:szCs w:val="24"/>
        </w:rPr>
      </w:pPr>
    </w:p>
    <w:sectPr w:rsidR="00D85F5B" w:rsidRPr="00D85F5B" w:rsidSect="00D85F5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AB2F6" w14:textId="77777777" w:rsidR="005D766C" w:rsidRDefault="005D766C" w:rsidP="005D766C">
      <w:pPr>
        <w:spacing w:after="0" w:line="240" w:lineRule="auto"/>
      </w:pPr>
      <w:r>
        <w:separator/>
      </w:r>
    </w:p>
  </w:endnote>
  <w:endnote w:type="continuationSeparator" w:id="0">
    <w:p w14:paraId="5B02FEB8" w14:textId="77777777" w:rsidR="005D766C" w:rsidRDefault="005D766C" w:rsidP="005D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151890"/>
      <w:docPartObj>
        <w:docPartGallery w:val="Page Numbers (Bottom of Page)"/>
        <w:docPartUnique/>
      </w:docPartObj>
    </w:sdtPr>
    <w:sdtEndPr>
      <w:rPr>
        <w:noProof/>
      </w:rPr>
    </w:sdtEndPr>
    <w:sdtContent>
      <w:p w14:paraId="29EDE502" w14:textId="5B6F21B9" w:rsidR="005D766C" w:rsidRDefault="005D766C">
        <w:pPr>
          <w:pStyle w:val="Footer"/>
          <w:jc w:val="right"/>
        </w:pPr>
        <w:r>
          <w:fldChar w:fldCharType="begin"/>
        </w:r>
        <w:r>
          <w:instrText xml:space="preserve"> PAGE   \* MERGEFORMAT </w:instrText>
        </w:r>
        <w:r>
          <w:fldChar w:fldCharType="separate"/>
        </w:r>
        <w:r w:rsidR="001151CC">
          <w:rPr>
            <w:noProof/>
          </w:rPr>
          <w:t>5</w:t>
        </w:r>
        <w:r>
          <w:rPr>
            <w:noProof/>
          </w:rPr>
          <w:fldChar w:fldCharType="end"/>
        </w:r>
      </w:p>
    </w:sdtContent>
  </w:sdt>
  <w:p w14:paraId="2677547F" w14:textId="77777777" w:rsidR="005D766C" w:rsidRDefault="005D7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5D6ED" w14:textId="77777777" w:rsidR="005D766C" w:rsidRDefault="005D766C" w:rsidP="005D766C">
      <w:pPr>
        <w:spacing w:after="0" w:line="240" w:lineRule="auto"/>
      </w:pPr>
      <w:r>
        <w:separator/>
      </w:r>
    </w:p>
  </w:footnote>
  <w:footnote w:type="continuationSeparator" w:id="0">
    <w:p w14:paraId="164AE372" w14:textId="77777777" w:rsidR="005D766C" w:rsidRDefault="005D766C" w:rsidP="005D7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5F6E"/>
    <w:multiLevelType w:val="hybridMultilevel"/>
    <w:tmpl w:val="0F6C28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C434A43"/>
    <w:multiLevelType w:val="hybridMultilevel"/>
    <w:tmpl w:val="B484BE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C4B4FC7"/>
    <w:multiLevelType w:val="hybridMultilevel"/>
    <w:tmpl w:val="959E4E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DBE59EC"/>
    <w:multiLevelType w:val="hybridMultilevel"/>
    <w:tmpl w:val="12BAB922"/>
    <w:lvl w:ilvl="0" w:tplc="37A41416">
      <w:start w:val="1"/>
      <w:numFmt w:val="bullet"/>
      <w:lvlText w:val="−"/>
      <w:lvlJc w:val="left"/>
      <w:pPr>
        <w:ind w:left="1636" w:hanging="360"/>
      </w:pPr>
      <w:rPr>
        <w:rFonts w:ascii="Times New Roman" w:hAnsi="Times New Roman" w:hint="default"/>
      </w:rPr>
    </w:lvl>
    <w:lvl w:ilvl="1" w:tplc="04020003">
      <w:start w:val="1"/>
      <w:numFmt w:val="bullet"/>
      <w:lvlText w:val="o"/>
      <w:lvlJc w:val="left"/>
      <w:pPr>
        <w:ind w:left="1374" w:hanging="360"/>
      </w:pPr>
      <w:rPr>
        <w:rFonts w:ascii="Courier New" w:hAnsi="Courier New" w:hint="default"/>
      </w:rPr>
    </w:lvl>
    <w:lvl w:ilvl="2" w:tplc="04020005" w:tentative="1">
      <w:start w:val="1"/>
      <w:numFmt w:val="bullet"/>
      <w:lvlText w:val=""/>
      <w:lvlJc w:val="left"/>
      <w:pPr>
        <w:ind w:left="2094" w:hanging="360"/>
      </w:pPr>
      <w:rPr>
        <w:rFonts w:ascii="Wingdings" w:hAnsi="Wingdings" w:hint="default"/>
      </w:rPr>
    </w:lvl>
    <w:lvl w:ilvl="3" w:tplc="04020001" w:tentative="1">
      <w:start w:val="1"/>
      <w:numFmt w:val="bullet"/>
      <w:lvlText w:val=""/>
      <w:lvlJc w:val="left"/>
      <w:pPr>
        <w:ind w:left="2814" w:hanging="360"/>
      </w:pPr>
      <w:rPr>
        <w:rFonts w:ascii="Symbol" w:hAnsi="Symbol" w:hint="default"/>
      </w:rPr>
    </w:lvl>
    <w:lvl w:ilvl="4" w:tplc="04020003" w:tentative="1">
      <w:start w:val="1"/>
      <w:numFmt w:val="bullet"/>
      <w:lvlText w:val="o"/>
      <w:lvlJc w:val="left"/>
      <w:pPr>
        <w:ind w:left="3534" w:hanging="360"/>
      </w:pPr>
      <w:rPr>
        <w:rFonts w:ascii="Courier New" w:hAnsi="Courier New" w:hint="default"/>
      </w:rPr>
    </w:lvl>
    <w:lvl w:ilvl="5" w:tplc="04020005" w:tentative="1">
      <w:start w:val="1"/>
      <w:numFmt w:val="bullet"/>
      <w:lvlText w:val=""/>
      <w:lvlJc w:val="left"/>
      <w:pPr>
        <w:ind w:left="4254" w:hanging="360"/>
      </w:pPr>
      <w:rPr>
        <w:rFonts w:ascii="Wingdings" w:hAnsi="Wingdings" w:hint="default"/>
      </w:rPr>
    </w:lvl>
    <w:lvl w:ilvl="6" w:tplc="04020001" w:tentative="1">
      <w:start w:val="1"/>
      <w:numFmt w:val="bullet"/>
      <w:lvlText w:val=""/>
      <w:lvlJc w:val="left"/>
      <w:pPr>
        <w:ind w:left="4974" w:hanging="360"/>
      </w:pPr>
      <w:rPr>
        <w:rFonts w:ascii="Symbol" w:hAnsi="Symbol" w:hint="default"/>
      </w:rPr>
    </w:lvl>
    <w:lvl w:ilvl="7" w:tplc="04020003" w:tentative="1">
      <w:start w:val="1"/>
      <w:numFmt w:val="bullet"/>
      <w:lvlText w:val="o"/>
      <w:lvlJc w:val="left"/>
      <w:pPr>
        <w:ind w:left="5694" w:hanging="360"/>
      </w:pPr>
      <w:rPr>
        <w:rFonts w:ascii="Courier New" w:hAnsi="Courier New" w:hint="default"/>
      </w:rPr>
    </w:lvl>
    <w:lvl w:ilvl="8" w:tplc="04020005" w:tentative="1">
      <w:start w:val="1"/>
      <w:numFmt w:val="bullet"/>
      <w:lvlText w:val=""/>
      <w:lvlJc w:val="left"/>
      <w:pPr>
        <w:ind w:left="6414" w:hanging="360"/>
      </w:pPr>
      <w:rPr>
        <w:rFonts w:ascii="Wingdings" w:hAnsi="Wingdings" w:hint="default"/>
      </w:rPr>
    </w:lvl>
  </w:abstractNum>
  <w:abstractNum w:abstractNumId="4" w15:restartNumberingAfterBreak="0">
    <w:nsid w:val="45993F41"/>
    <w:multiLevelType w:val="hybridMultilevel"/>
    <w:tmpl w:val="455E86BE"/>
    <w:lvl w:ilvl="0" w:tplc="4EC2BE18">
      <w:numFmt w:val="bullet"/>
      <w:lvlText w:val="-"/>
      <w:lvlJc w:val="left"/>
      <w:pPr>
        <w:ind w:left="405" w:hanging="360"/>
      </w:pPr>
      <w:rPr>
        <w:rFonts w:ascii="Calibri" w:eastAsia="Calibri" w:hAnsi="Calibri" w:cs="Times New Roman"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5" w15:restartNumberingAfterBreak="0">
    <w:nsid w:val="4BCF7799"/>
    <w:multiLevelType w:val="hybridMultilevel"/>
    <w:tmpl w:val="8B54B3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EC942C2"/>
    <w:multiLevelType w:val="hybridMultilevel"/>
    <w:tmpl w:val="8C4473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FE10EA"/>
    <w:multiLevelType w:val="hybridMultilevel"/>
    <w:tmpl w:val="42FC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F5606"/>
    <w:multiLevelType w:val="hybridMultilevel"/>
    <w:tmpl w:val="4CE0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A37F4"/>
    <w:multiLevelType w:val="hybridMultilevel"/>
    <w:tmpl w:val="A920B84C"/>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0" w15:restartNumberingAfterBreak="0">
    <w:nsid w:val="61E96737"/>
    <w:multiLevelType w:val="hybridMultilevel"/>
    <w:tmpl w:val="DDE2B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10"/>
  </w:num>
  <w:num w:numId="6">
    <w:abstractNumId w:val="6"/>
  </w:num>
  <w:num w:numId="7">
    <w:abstractNumId w:val="8"/>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5B"/>
    <w:rsid w:val="000417A0"/>
    <w:rsid w:val="000431EF"/>
    <w:rsid w:val="000510A0"/>
    <w:rsid w:val="000557AE"/>
    <w:rsid w:val="00085187"/>
    <w:rsid w:val="00087D2E"/>
    <w:rsid w:val="00092D22"/>
    <w:rsid w:val="000A05C7"/>
    <w:rsid w:val="000B1E2F"/>
    <w:rsid w:val="000C540C"/>
    <w:rsid w:val="000D0AA5"/>
    <w:rsid w:val="000D1E5A"/>
    <w:rsid w:val="000D223C"/>
    <w:rsid w:val="000D280A"/>
    <w:rsid w:val="000D7854"/>
    <w:rsid w:val="00105A6E"/>
    <w:rsid w:val="001151CC"/>
    <w:rsid w:val="001330E1"/>
    <w:rsid w:val="00135C97"/>
    <w:rsid w:val="00147A87"/>
    <w:rsid w:val="0016093D"/>
    <w:rsid w:val="001D3E9A"/>
    <w:rsid w:val="001D4B5D"/>
    <w:rsid w:val="001E365C"/>
    <w:rsid w:val="001F1981"/>
    <w:rsid w:val="00200209"/>
    <w:rsid w:val="00216D29"/>
    <w:rsid w:val="002425D8"/>
    <w:rsid w:val="002565C9"/>
    <w:rsid w:val="002658AE"/>
    <w:rsid w:val="0029453F"/>
    <w:rsid w:val="002A2117"/>
    <w:rsid w:val="00310695"/>
    <w:rsid w:val="00347039"/>
    <w:rsid w:val="003730CE"/>
    <w:rsid w:val="003E7E02"/>
    <w:rsid w:val="00404061"/>
    <w:rsid w:val="00444DAE"/>
    <w:rsid w:val="00444EB7"/>
    <w:rsid w:val="00475D6A"/>
    <w:rsid w:val="004846F1"/>
    <w:rsid w:val="004907E8"/>
    <w:rsid w:val="004A3393"/>
    <w:rsid w:val="004A4901"/>
    <w:rsid w:val="004B096D"/>
    <w:rsid w:val="004C6473"/>
    <w:rsid w:val="004F23A0"/>
    <w:rsid w:val="004F4C4F"/>
    <w:rsid w:val="004F759C"/>
    <w:rsid w:val="005418A1"/>
    <w:rsid w:val="005520F7"/>
    <w:rsid w:val="005808BB"/>
    <w:rsid w:val="00594162"/>
    <w:rsid w:val="005A28AB"/>
    <w:rsid w:val="005B675B"/>
    <w:rsid w:val="005D766C"/>
    <w:rsid w:val="0060408F"/>
    <w:rsid w:val="0062022C"/>
    <w:rsid w:val="006235AB"/>
    <w:rsid w:val="00693FFE"/>
    <w:rsid w:val="006A04C4"/>
    <w:rsid w:val="006A09A8"/>
    <w:rsid w:val="006B57A5"/>
    <w:rsid w:val="006D4391"/>
    <w:rsid w:val="006E0422"/>
    <w:rsid w:val="007444FD"/>
    <w:rsid w:val="007C3C70"/>
    <w:rsid w:val="007D3DAA"/>
    <w:rsid w:val="007E0DF1"/>
    <w:rsid w:val="007F2368"/>
    <w:rsid w:val="0080077F"/>
    <w:rsid w:val="00813F80"/>
    <w:rsid w:val="008203D3"/>
    <w:rsid w:val="0082339A"/>
    <w:rsid w:val="00832441"/>
    <w:rsid w:val="00892B46"/>
    <w:rsid w:val="008C2D1A"/>
    <w:rsid w:val="008C2D42"/>
    <w:rsid w:val="008C3474"/>
    <w:rsid w:val="008E708D"/>
    <w:rsid w:val="0090249C"/>
    <w:rsid w:val="009058DF"/>
    <w:rsid w:val="0091386D"/>
    <w:rsid w:val="009211E8"/>
    <w:rsid w:val="00927115"/>
    <w:rsid w:val="00933045"/>
    <w:rsid w:val="009438FC"/>
    <w:rsid w:val="00944A4A"/>
    <w:rsid w:val="0094768E"/>
    <w:rsid w:val="00961035"/>
    <w:rsid w:val="00965A59"/>
    <w:rsid w:val="00977EFA"/>
    <w:rsid w:val="00982363"/>
    <w:rsid w:val="009A239A"/>
    <w:rsid w:val="009A4F28"/>
    <w:rsid w:val="009B6A68"/>
    <w:rsid w:val="009D16CF"/>
    <w:rsid w:val="009F0DCF"/>
    <w:rsid w:val="00A322C2"/>
    <w:rsid w:val="00A66D08"/>
    <w:rsid w:val="00A7322E"/>
    <w:rsid w:val="00A91A52"/>
    <w:rsid w:val="00A92A28"/>
    <w:rsid w:val="00AB476B"/>
    <w:rsid w:val="00AB56F2"/>
    <w:rsid w:val="00AB7C8A"/>
    <w:rsid w:val="00AC173E"/>
    <w:rsid w:val="00AD2A91"/>
    <w:rsid w:val="00AD6D69"/>
    <w:rsid w:val="00B50843"/>
    <w:rsid w:val="00B72F2C"/>
    <w:rsid w:val="00B9172A"/>
    <w:rsid w:val="00BC6A82"/>
    <w:rsid w:val="00BE1D83"/>
    <w:rsid w:val="00C050D6"/>
    <w:rsid w:val="00C51770"/>
    <w:rsid w:val="00CB2355"/>
    <w:rsid w:val="00CB3143"/>
    <w:rsid w:val="00D20337"/>
    <w:rsid w:val="00D31442"/>
    <w:rsid w:val="00D85F5B"/>
    <w:rsid w:val="00DC4F7C"/>
    <w:rsid w:val="00DC734B"/>
    <w:rsid w:val="00E014AB"/>
    <w:rsid w:val="00E66CDE"/>
    <w:rsid w:val="00EE585D"/>
    <w:rsid w:val="00F6032F"/>
    <w:rsid w:val="00F61236"/>
    <w:rsid w:val="00F9265B"/>
    <w:rsid w:val="00FB2471"/>
    <w:rsid w:val="00FB6178"/>
    <w:rsid w:val="00FD2C12"/>
    <w:rsid w:val="00FD66CB"/>
    <w:rsid w:val="00FD6AB6"/>
    <w:rsid w:val="00FF02B4"/>
    <w:rsid w:val="00FF33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A4F3"/>
  <w15:docId w15:val="{57658B7E-3CEC-44BB-BEB9-9BCB6BB7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C97"/>
    <w:pPr>
      <w:ind w:left="720"/>
      <w:contextualSpacing/>
    </w:pPr>
  </w:style>
  <w:style w:type="paragraph" w:styleId="Header">
    <w:name w:val="header"/>
    <w:basedOn w:val="Normal"/>
    <w:link w:val="HeaderChar"/>
    <w:uiPriority w:val="99"/>
    <w:unhideWhenUsed/>
    <w:rsid w:val="005D7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766C"/>
  </w:style>
  <w:style w:type="paragraph" w:styleId="Footer">
    <w:name w:val="footer"/>
    <w:basedOn w:val="Normal"/>
    <w:link w:val="FooterChar"/>
    <w:uiPriority w:val="99"/>
    <w:unhideWhenUsed/>
    <w:rsid w:val="005D7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66C"/>
  </w:style>
  <w:style w:type="paragraph" w:styleId="BalloonText">
    <w:name w:val="Balloon Text"/>
    <w:basedOn w:val="Normal"/>
    <w:link w:val="BalloonTextChar"/>
    <w:uiPriority w:val="99"/>
    <w:semiHidden/>
    <w:unhideWhenUsed/>
    <w:rsid w:val="00B72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2C"/>
    <w:rPr>
      <w:rFonts w:ascii="Segoe UI" w:hAnsi="Segoe UI" w:cs="Segoe UI"/>
      <w:sz w:val="18"/>
      <w:szCs w:val="18"/>
    </w:rPr>
  </w:style>
  <w:style w:type="character" w:styleId="CommentReference">
    <w:name w:val="annotation reference"/>
    <w:semiHidden/>
    <w:rsid w:val="00444DAE"/>
    <w:rPr>
      <w:sz w:val="16"/>
      <w:szCs w:val="16"/>
    </w:rPr>
  </w:style>
  <w:style w:type="paragraph" w:styleId="CommentText">
    <w:name w:val="annotation text"/>
    <w:basedOn w:val="Normal"/>
    <w:link w:val="CommentTextChar"/>
    <w:semiHidden/>
    <w:rsid w:val="00444DAE"/>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semiHidden/>
    <w:rsid w:val="00444DAE"/>
    <w:rPr>
      <w:rFonts w:ascii="Times New Roman" w:eastAsia="Times New Roman" w:hAnsi="Times New Roman" w:cs="Times New Roman"/>
      <w:sz w:val="20"/>
      <w:szCs w:val="20"/>
      <w:lang w:eastAsia="bg-BG"/>
    </w:rPr>
  </w:style>
  <w:style w:type="character" w:customStyle="1" w:styleId="indented">
    <w:name w:val="indented"/>
    <w:rsid w:val="00BE1D83"/>
  </w:style>
  <w:style w:type="paragraph" w:styleId="CommentSubject">
    <w:name w:val="annotation subject"/>
    <w:basedOn w:val="CommentText"/>
    <w:next w:val="CommentText"/>
    <w:link w:val="CommentSubjectChar"/>
    <w:uiPriority w:val="99"/>
    <w:semiHidden/>
    <w:unhideWhenUsed/>
    <w:rsid w:val="0080077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077F"/>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75225">
      <w:bodyDiv w:val="1"/>
      <w:marLeft w:val="0"/>
      <w:marRight w:val="0"/>
      <w:marTop w:val="0"/>
      <w:marBottom w:val="0"/>
      <w:divBdr>
        <w:top w:val="none" w:sz="0" w:space="0" w:color="auto"/>
        <w:left w:val="none" w:sz="0" w:space="0" w:color="auto"/>
        <w:bottom w:val="none" w:sz="0" w:space="0" w:color="auto"/>
        <w:right w:val="none" w:sz="0" w:space="0" w:color="auto"/>
      </w:divBdr>
    </w:div>
    <w:div w:id="1839536552">
      <w:bodyDiv w:val="1"/>
      <w:marLeft w:val="0"/>
      <w:marRight w:val="0"/>
      <w:marTop w:val="0"/>
      <w:marBottom w:val="0"/>
      <w:divBdr>
        <w:top w:val="none" w:sz="0" w:space="0" w:color="auto"/>
        <w:left w:val="none" w:sz="0" w:space="0" w:color="auto"/>
        <w:bottom w:val="none" w:sz="0" w:space="0" w:color="auto"/>
        <w:right w:val="none" w:sz="0" w:space="0" w:color="auto"/>
      </w:divBdr>
    </w:div>
    <w:div w:id="21417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E464-9EB2-4A24-A116-5D06C07D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Илиева Христова</dc:creator>
  <cp:lastModifiedBy>Николина Стоянова</cp:lastModifiedBy>
  <cp:revision>21</cp:revision>
  <dcterms:created xsi:type="dcterms:W3CDTF">2018-10-23T13:08:00Z</dcterms:created>
  <dcterms:modified xsi:type="dcterms:W3CDTF">2018-10-25T10:14:00Z</dcterms:modified>
</cp:coreProperties>
</file>