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0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9"/>
        <w:gridCol w:w="4677"/>
        <w:gridCol w:w="2694"/>
      </w:tblGrid>
      <w:tr w:rsidR="008A3958" w:rsidRPr="008A3958" w14:paraId="6238CB08" w14:textId="77777777" w:rsidTr="00931726">
        <w:trPr>
          <w:trHeight w:val="130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7A37" w14:textId="48B26BDA" w:rsidR="008A3958" w:rsidRPr="00931726" w:rsidRDefault="008A3958" w:rsidP="00137A3E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 xml:space="preserve">Администрация на </w:t>
            </w:r>
            <w:r w:rsidR="00137A3E">
              <w:rPr>
                <w:b/>
                <w:bCs/>
                <w:i/>
                <w:iCs/>
                <w:color w:val="000000"/>
                <w:lang w:val="bg-BG" w:eastAsia="bg-BG"/>
              </w:rPr>
              <w:t>Министерския</w:t>
            </w: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 xml:space="preserve"> съвет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62C6" w14:textId="77777777" w:rsidR="008A3958" w:rsidRPr="00931726" w:rsidRDefault="008A3958" w:rsidP="008A395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931726">
              <w:rPr>
                <w:b/>
                <w:bCs/>
                <w:color w:val="000000"/>
                <w:lang w:val="bg-BG" w:eastAsia="bg-BG"/>
              </w:rPr>
              <w:t>Наръчник за изпълнение на</w:t>
            </w:r>
            <w:r w:rsidRPr="00931726">
              <w:rPr>
                <w:b/>
                <w:bCs/>
                <w:color w:val="000000"/>
                <w:lang w:val="bg-BG" w:eastAsia="bg-BG"/>
              </w:rPr>
              <w:br/>
              <w:t>Оперативна програма</w:t>
            </w:r>
            <w:r w:rsidRPr="00931726">
              <w:rPr>
                <w:b/>
                <w:bCs/>
                <w:color w:val="000000"/>
                <w:lang w:val="bg-BG" w:eastAsia="bg-BG"/>
              </w:rPr>
              <w:br/>
              <w:t>„Добро управление” 2014-2020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3B1E" w14:textId="62DA5248" w:rsidR="008A3958" w:rsidRPr="00931726" w:rsidRDefault="008A3958" w:rsidP="00931726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Приложение VII-T0</w:t>
            </w:r>
            <w:r w:rsidR="00931726"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1-3</w:t>
            </w:r>
          </w:p>
        </w:tc>
      </w:tr>
      <w:tr w:rsidR="008A3958" w:rsidRPr="008A3958" w14:paraId="2B399337" w14:textId="77777777" w:rsidTr="00931726">
        <w:trPr>
          <w:trHeight w:val="1094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E9A4" w14:textId="77777777" w:rsidR="008A3958" w:rsidRPr="00931726" w:rsidRDefault="008A3958" w:rsidP="008A3958">
            <w:pPr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t>Дирекция</w:t>
            </w:r>
            <w:r w:rsidRPr="00931726">
              <w:rPr>
                <w:b/>
                <w:bCs/>
                <w:i/>
                <w:iCs/>
                <w:color w:val="000000"/>
                <w:lang w:val="bg-BG" w:eastAsia="bg-BG"/>
              </w:rPr>
              <w:br/>
              <w:t>„Добро управление”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6699"/>
            <w:vAlign w:val="center"/>
            <w:hideMark/>
          </w:tcPr>
          <w:p w14:paraId="0AFD1C76" w14:textId="4F54825A" w:rsidR="008A3958" w:rsidRPr="00931726" w:rsidRDefault="008A3958" w:rsidP="00071963">
            <w:pPr>
              <w:jc w:val="center"/>
              <w:rPr>
                <w:b/>
                <w:bCs/>
                <w:color w:val="FFFFFF"/>
                <w:lang w:val="bg-BG" w:eastAsia="bg-BG"/>
              </w:rPr>
            </w:pPr>
            <w:r w:rsidRPr="00931726">
              <w:rPr>
                <w:b/>
                <w:bCs/>
                <w:color w:val="FFFFFF"/>
                <w:lang w:val="bg-BG" w:eastAsia="bg-BG"/>
              </w:rPr>
              <w:t>ГОДИШНО ОБОЩ</w:t>
            </w:r>
            <w:r w:rsidR="00E97AD1" w:rsidRPr="00931726">
              <w:rPr>
                <w:b/>
                <w:bCs/>
                <w:color w:val="FFFFFF"/>
                <w:lang w:val="bg-BG" w:eastAsia="bg-BG"/>
              </w:rPr>
              <w:t>ЕНИЕ</w:t>
            </w:r>
            <w:r w:rsidRPr="00931726">
              <w:rPr>
                <w:b/>
                <w:bCs/>
                <w:color w:val="FFFFFF"/>
                <w:lang w:val="bg-BG" w:eastAsia="bg-BG"/>
              </w:rPr>
              <w:t xml:space="preserve"> НА ОКОНЧАТЕЛНИ ОДИТНИ ДОКЛАДИ</w:t>
            </w:r>
            <w:r w:rsidR="00454B82" w:rsidRPr="00931726">
              <w:rPr>
                <w:b/>
                <w:bCs/>
                <w:color w:val="FFFFFF"/>
                <w:lang w:val="bg-BG" w:eastAsia="bg-BG"/>
              </w:rPr>
              <w:t xml:space="preserve"> И </w:t>
            </w:r>
            <w:r w:rsidR="00071963" w:rsidRPr="00931726">
              <w:rPr>
                <w:b/>
                <w:color w:val="FFFFFF"/>
                <w:lang w:val="bg-BG"/>
              </w:rPr>
              <w:t>ОСЪЩЕСВЕН КОНТРОЛ</w:t>
            </w:r>
            <w:r w:rsidR="00333FA3" w:rsidRPr="00931726">
              <w:rPr>
                <w:b/>
                <w:color w:val="FFFFFF"/>
                <w:lang w:val="bg-BG"/>
              </w:rPr>
              <w:t xml:space="preserve"> НА РАЗХОДИТЕ</w:t>
            </w:r>
          </w:p>
        </w:tc>
      </w:tr>
      <w:tr w:rsidR="008A3958" w:rsidRPr="008A3958" w14:paraId="786D9B86" w14:textId="77777777" w:rsidTr="00931726">
        <w:trPr>
          <w:trHeight w:val="1123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6F3C" w14:textId="74C23F69" w:rsidR="008A3958" w:rsidRPr="00B365E1" w:rsidRDefault="008A3958" w:rsidP="00D32BCF">
            <w:pPr>
              <w:rPr>
                <w:color w:val="000000"/>
                <w:lang w:val="en-US" w:eastAsia="bg-BG"/>
              </w:rPr>
            </w:pPr>
            <w:r w:rsidRPr="00931726">
              <w:rPr>
                <w:color w:val="000000"/>
                <w:lang w:val="bg-BG" w:eastAsia="bg-BG"/>
              </w:rPr>
              <w:t xml:space="preserve">Вариант на документа: </w:t>
            </w:r>
            <w:r w:rsidR="00D32BCF">
              <w:rPr>
                <w:color w:val="000000"/>
                <w:lang w:val="en-US" w:eastAsia="bg-BG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2ADD" w14:textId="70AF0AD0" w:rsidR="008A3958" w:rsidRPr="00931726" w:rsidRDefault="008A3958" w:rsidP="00931726">
            <w:pPr>
              <w:jc w:val="center"/>
              <w:rPr>
                <w:i/>
                <w:iCs/>
                <w:color w:val="000000"/>
                <w:lang w:val="bg-BG" w:eastAsia="bg-BG"/>
              </w:rPr>
            </w:pPr>
            <w:r w:rsidRPr="00931726">
              <w:rPr>
                <w:i/>
                <w:iCs/>
                <w:color w:val="000000"/>
                <w:lang w:val="bg-BG" w:eastAsia="bg-BG"/>
              </w:rPr>
              <w:t xml:space="preserve">Одобрен от: </w:t>
            </w:r>
            <w:r w:rsidRPr="00931726">
              <w:rPr>
                <w:i/>
                <w:iCs/>
                <w:color w:val="000000"/>
                <w:lang w:val="bg-BG" w:eastAsia="bg-BG"/>
              </w:rPr>
              <w:br/>
              <w:t>Ръководителя на Управляващия орган на Оперативна програма</w:t>
            </w:r>
            <w:r w:rsidR="00931726">
              <w:rPr>
                <w:i/>
                <w:iCs/>
                <w:color w:val="000000"/>
                <w:lang w:val="bg-BG" w:eastAsia="bg-BG"/>
              </w:rPr>
              <w:t xml:space="preserve"> </w:t>
            </w:r>
            <w:r w:rsidRPr="00931726">
              <w:rPr>
                <w:i/>
                <w:iCs/>
                <w:color w:val="000000"/>
                <w:lang w:val="bg-BG" w:eastAsia="bg-BG"/>
              </w:rPr>
              <w:t>„Добро управление”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207F" w14:textId="7C2CAFCE" w:rsidR="008A3958" w:rsidRPr="00931726" w:rsidRDefault="008A3958" w:rsidP="00B90B08">
            <w:pPr>
              <w:jc w:val="center"/>
              <w:rPr>
                <w:color w:val="000000"/>
                <w:lang w:val="bg-BG" w:eastAsia="bg-BG"/>
              </w:rPr>
            </w:pPr>
            <w:r w:rsidRPr="00EA1735">
              <w:rPr>
                <w:color w:val="000000"/>
                <w:lang w:val="bg-BG" w:eastAsia="bg-BG"/>
              </w:rPr>
              <w:t xml:space="preserve">Дата: </w:t>
            </w:r>
            <w:r w:rsidR="00EA1735">
              <w:rPr>
                <w:color w:val="000000"/>
                <w:lang w:val="bg-BG" w:eastAsia="bg-BG"/>
              </w:rPr>
              <w:t>1</w:t>
            </w:r>
            <w:r w:rsidR="00B90B08">
              <w:rPr>
                <w:color w:val="000000"/>
                <w:lang w:val="bg-BG" w:eastAsia="bg-BG"/>
              </w:rPr>
              <w:t>4</w:t>
            </w:r>
            <w:r w:rsidR="00EA1735">
              <w:rPr>
                <w:color w:val="000000"/>
                <w:lang w:val="bg-BG" w:eastAsia="bg-BG"/>
              </w:rPr>
              <w:t>.08.2018</w:t>
            </w:r>
            <w:r w:rsidR="00240ADC" w:rsidRPr="00EA1735">
              <w:rPr>
                <w:color w:val="000000"/>
                <w:lang w:val="bg-BG" w:eastAsia="bg-BG"/>
              </w:rPr>
              <w:t xml:space="preserve"> г.</w:t>
            </w:r>
          </w:p>
        </w:tc>
      </w:tr>
    </w:tbl>
    <w:p w14:paraId="1FF45965" w14:textId="77777777" w:rsidR="002E0F23" w:rsidRPr="00DB0B79" w:rsidRDefault="002E0F23" w:rsidP="002E0F23">
      <w:pPr>
        <w:pStyle w:val="Header"/>
        <w:rPr>
          <w:lang w:val="bg-BG"/>
        </w:rPr>
      </w:pPr>
      <w:r>
        <w:rPr>
          <w:lang w:val="ru-RU"/>
        </w:rPr>
        <w:t xml:space="preserve">(Образецът е съгласно </w:t>
      </w:r>
      <w:r w:rsidRPr="00B90B08">
        <w:t xml:space="preserve">EGESIF_15-0008-03 </w:t>
      </w:r>
      <w:r>
        <w:rPr>
          <w:lang w:val="bg-BG"/>
        </w:rPr>
        <w:t xml:space="preserve">от 19.8.2015 г.) </w:t>
      </w:r>
    </w:p>
    <w:p w14:paraId="7C1638F3" w14:textId="77777777" w:rsidR="00A84AC1" w:rsidRDefault="00A84AC1" w:rsidP="00A84AC1">
      <w:pPr>
        <w:ind w:left="9356" w:right="311"/>
        <w:outlineLvl w:val="0"/>
        <w:rPr>
          <w:b/>
        </w:rPr>
      </w:pPr>
    </w:p>
    <w:p w14:paraId="7B93CA7E" w14:textId="77777777" w:rsidR="002E0F23" w:rsidRDefault="002E0F23" w:rsidP="00A84AC1">
      <w:pPr>
        <w:ind w:left="9356" w:right="311"/>
        <w:outlineLvl w:val="0"/>
        <w:rPr>
          <w:b/>
        </w:rPr>
      </w:pPr>
    </w:p>
    <w:p w14:paraId="6FCC4CAA" w14:textId="77777777" w:rsidR="00A84AC1" w:rsidRDefault="00A84AC1" w:rsidP="00A84AC1">
      <w:pPr>
        <w:ind w:left="9356" w:right="311"/>
        <w:outlineLvl w:val="0"/>
        <w:rPr>
          <w:b/>
        </w:rPr>
      </w:pPr>
    </w:p>
    <w:p w14:paraId="0BA61092" w14:textId="77777777" w:rsidR="00A84AC1" w:rsidRDefault="00400C84" w:rsidP="00EA0A0C">
      <w:pPr>
        <w:ind w:left="3686" w:right="311"/>
        <w:outlineLvl w:val="0"/>
        <w:rPr>
          <w:b/>
        </w:rPr>
      </w:pPr>
      <w:r>
        <w:rPr>
          <w:b/>
        </w:rPr>
        <w:t>ОДОБРЯВАМ:</w:t>
      </w:r>
    </w:p>
    <w:p w14:paraId="6F540178" w14:textId="77777777" w:rsidR="00EA0A0C" w:rsidRDefault="00EA0A0C" w:rsidP="00EA0A0C">
      <w:pPr>
        <w:ind w:left="5387" w:right="311"/>
        <w:outlineLvl w:val="0"/>
        <w:rPr>
          <w:b/>
        </w:rPr>
      </w:pPr>
    </w:p>
    <w:p w14:paraId="7CD6596C" w14:textId="7BE7311C" w:rsidR="00194646" w:rsidRDefault="00400C84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>ИРЕНА ПЪРВАНОВА</w:t>
      </w:r>
      <w:r w:rsidR="00015CC7">
        <w:rPr>
          <w:b/>
          <w:lang w:val="bg-BG"/>
        </w:rPr>
        <w:t xml:space="preserve"> </w:t>
      </w:r>
    </w:p>
    <w:p w14:paraId="463180C4" w14:textId="77777777" w:rsidR="00FF084A" w:rsidRDefault="00015CC7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 xml:space="preserve">ДИРЕКТОР НА </w:t>
      </w:r>
      <w:r w:rsidR="00400C84">
        <w:rPr>
          <w:b/>
        </w:rPr>
        <w:t xml:space="preserve">ДИРЕКЦИЯ </w:t>
      </w:r>
      <w:r>
        <w:rPr>
          <w:b/>
        </w:rPr>
        <w:t>„ДОБРО УПРАВЛЕНИЕ“</w:t>
      </w:r>
      <w:r w:rsidR="00400C84">
        <w:rPr>
          <w:b/>
        </w:rPr>
        <w:t>И</w:t>
      </w:r>
      <w:r>
        <w:rPr>
          <w:b/>
          <w:lang w:val="bg-BG"/>
        </w:rPr>
        <w:t xml:space="preserve"> </w:t>
      </w:r>
      <w:r w:rsidR="00400C84">
        <w:rPr>
          <w:b/>
        </w:rPr>
        <w:t xml:space="preserve">РЪКОВОДИТЕЛ НА УО НА </w:t>
      </w:r>
      <w:r w:rsidR="00400C84">
        <w:rPr>
          <w:b/>
          <w:lang w:val="bg-BG"/>
        </w:rPr>
        <w:t>ОПДУ</w:t>
      </w:r>
    </w:p>
    <w:p w14:paraId="7425B4D8" w14:textId="77777777" w:rsidR="00015CC7" w:rsidRDefault="00015CC7" w:rsidP="00015CC7">
      <w:pPr>
        <w:ind w:left="10206" w:right="311"/>
        <w:outlineLvl w:val="0"/>
        <w:rPr>
          <w:b/>
          <w:lang w:val="bg-BG"/>
        </w:rPr>
      </w:pPr>
    </w:p>
    <w:p w14:paraId="6597B3E9" w14:textId="77777777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  <w:r w:rsidRPr="00EE5836">
        <w:rPr>
          <w:rFonts w:eastAsia="Calibri"/>
          <w:b/>
          <w:szCs w:val="20"/>
          <w:lang w:val="en" w:eastAsia="en-GB"/>
        </w:rPr>
        <w:t xml:space="preserve">ГОДИШНО ОБОБЩЕНИЕ </w:t>
      </w:r>
    </w:p>
    <w:p w14:paraId="07DDCBC9" w14:textId="37839C3E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  <w:r w:rsidRPr="00EE5836">
        <w:rPr>
          <w:rFonts w:eastAsia="Calibri"/>
          <w:b/>
          <w:szCs w:val="20"/>
          <w:lang w:val="en" w:eastAsia="en-GB"/>
        </w:rPr>
        <w:t>ПО ОПЕРАТИВНА ПРОГРАМА „</w:t>
      </w:r>
      <w:r w:rsidRPr="00EE5836">
        <w:rPr>
          <w:b/>
        </w:rPr>
        <w:t>ДОБРО УПРАВЛЕНИЕ</w:t>
      </w:r>
      <w:proofErr w:type="gramStart"/>
      <w:r w:rsidRPr="00EE5836">
        <w:rPr>
          <w:rFonts w:eastAsia="Calibri"/>
          <w:b/>
          <w:szCs w:val="20"/>
          <w:lang w:val="en" w:eastAsia="en-GB"/>
        </w:rPr>
        <w:t>“ 2014</w:t>
      </w:r>
      <w:proofErr w:type="gramEnd"/>
      <w:r w:rsidRPr="00EE5836">
        <w:rPr>
          <w:rFonts w:eastAsia="Calibri"/>
          <w:b/>
          <w:szCs w:val="20"/>
          <w:lang w:val="en" w:eastAsia="en-GB"/>
        </w:rPr>
        <w:t>-2020</w:t>
      </w:r>
    </w:p>
    <w:p w14:paraId="62DFA533" w14:textId="77777777" w:rsidR="00AD2210" w:rsidRPr="00EE5836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en" w:eastAsia="en-GB"/>
        </w:rPr>
      </w:pPr>
    </w:p>
    <w:p w14:paraId="38D184CC" w14:textId="77777777" w:rsidR="00AD2210" w:rsidRPr="00025963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  <w:r w:rsidRPr="00025963">
        <w:rPr>
          <w:rFonts w:eastAsia="Calibri"/>
          <w:b/>
          <w:szCs w:val="20"/>
          <w:lang w:val="bg-BG" w:eastAsia="en-GB"/>
        </w:rPr>
        <w:t>по чл. 125 (4), б. „д“ от Регламент 1303/2013 г. във връзка с чл. 59 (5), б. „б“ от Регламент 966/2012 г.</w:t>
      </w:r>
    </w:p>
    <w:p w14:paraId="58E055D5" w14:textId="77777777" w:rsidR="00015CC7" w:rsidRPr="00015CC7" w:rsidRDefault="00015CC7" w:rsidP="00015CC7">
      <w:pPr>
        <w:ind w:left="10206" w:right="311"/>
        <w:outlineLvl w:val="0"/>
        <w:rPr>
          <w:b/>
        </w:rPr>
      </w:pPr>
    </w:p>
    <w:p w14:paraId="3149B069" w14:textId="7BD7ED93" w:rsidR="00A84AC1" w:rsidRDefault="00FF084A" w:rsidP="00A84AC1">
      <w:pPr>
        <w:pStyle w:val="ListParagraph"/>
        <w:numPr>
          <w:ilvl w:val="0"/>
          <w:numId w:val="9"/>
        </w:numPr>
        <w:spacing w:line="276" w:lineRule="auto"/>
        <w:ind w:left="709"/>
        <w:jc w:val="both"/>
      </w:pPr>
      <w:r>
        <w:t xml:space="preserve">Отчет за </w:t>
      </w:r>
      <w:r w:rsidRPr="00025963">
        <w:rPr>
          <w:b/>
        </w:rPr>
        <w:t>окончателните одитни д</w:t>
      </w:r>
      <w:r w:rsidR="00176A0E" w:rsidRPr="00025963">
        <w:rPr>
          <w:b/>
        </w:rPr>
        <w:t>оклади</w:t>
      </w:r>
      <w:r w:rsidR="00176A0E">
        <w:t>, изготвени във връзка с</w:t>
      </w:r>
      <w:proofErr w:type="spellStart"/>
      <w:r w:rsidR="006F59F3">
        <w:rPr>
          <w:lang w:val="bg-BG"/>
        </w:rPr>
        <w:t>ъс</w:t>
      </w:r>
      <w:proofErr w:type="spellEnd"/>
      <w:r w:rsidR="00176A0E">
        <w:t>:</w:t>
      </w:r>
    </w:p>
    <w:p w14:paraId="7301726D" w14:textId="77777777" w:rsidR="00176A0E" w:rsidRDefault="00FF084A" w:rsidP="00176A0E">
      <w:pPr>
        <w:pStyle w:val="ListParagraph"/>
        <w:spacing w:line="276" w:lineRule="auto"/>
        <w:ind w:left="709"/>
        <w:jc w:val="both"/>
      </w:pPr>
      <w:r>
        <w:sym w:font="Symbol" w:char="F02D"/>
      </w:r>
      <w:r>
        <w:t xml:space="preserve"> одити на СУК, въведена за програмата </w:t>
      </w:r>
    </w:p>
    <w:p w14:paraId="198FA7FA" w14:textId="77777777" w:rsidR="00176A0E" w:rsidRDefault="00FF084A" w:rsidP="00176A0E">
      <w:pPr>
        <w:spacing w:line="276" w:lineRule="auto"/>
        <w:ind w:left="709"/>
        <w:jc w:val="both"/>
      </w:pPr>
      <w:r>
        <w:sym w:font="Symbol" w:char="F02D"/>
      </w:r>
      <w:r>
        <w:t xml:space="preserve"> одити на декларираните разходи през счетоводната година, приключила на 30 юни … (година); </w:t>
      </w:r>
    </w:p>
    <w:p w14:paraId="372BD659" w14:textId="4FA7AD36" w:rsidR="00A84AC1" w:rsidRDefault="00FF084A" w:rsidP="00A84AC1">
      <w:pPr>
        <w:spacing w:line="276" w:lineRule="auto"/>
        <w:ind w:left="709"/>
        <w:jc w:val="both"/>
      </w:pPr>
      <w:r>
        <w:sym w:font="Symbol" w:char="F02D"/>
      </w:r>
      <w:r>
        <w:t xml:space="preserve"> одити на счетоводните отчети съгласно член 127, параграф 5, буква а) от </w:t>
      </w:r>
      <w:r w:rsidR="00DC72C2">
        <w:rPr>
          <w:lang w:val="bg-BG"/>
        </w:rPr>
        <w:t xml:space="preserve">РОР </w:t>
      </w:r>
      <w:r w:rsidR="006F59F3">
        <w:rPr>
          <w:lang w:val="bg-BG"/>
        </w:rPr>
        <w:t>(</w:t>
      </w:r>
      <w:r w:rsidR="00176A0E">
        <w:rPr>
          <w:lang w:val="bg-BG"/>
        </w:rPr>
        <w:t>Регламент 1303/2013 г.</w:t>
      </w:r>
      <w:r w:rsidR="006F59F3">
        <w:rPr>
          <w:lang w:val="bg-BG"/>
        </w:rPr>
        <w:t>)</w:t>
      </w:r>
      <w:r>
        <w:t xml:space="preserve"> и член 59, параграф 5, буква а) от Финансовия регламент</w:t>
      </w:r>
      <w:r w:rsidR="00AD2210">
        <w:rPr>
          <w:lang w:val="bg-BG"/>
        </w:rPr>
        <w:t xml:space="preserve"> </w:t>
      </w:r>
      <w:r w:rsidR="006F59F3">
        <w:rPr>
          <w:lang w:val="bg-BG"/>
        </w:rPr>
        <w:t>(</w:t>
      </w:r>
      <w:r w:rsidR="00AD2210">
        <w:rPr>
          <w:lang w:val="bg-BG"/>
        </w:rPr>
        <w:t>966/2012</w:t>
      </w:r>
      <w:r w:rsidR="006F59F3">
        <w:rPr>
          <w:lang w:val="bg-BG"/>
        </w:rPr>
        <w:t xml:space="preserve"> г.)</w:t>
      </w:r>
      <w:r>
        <w:t>.</w:t>
      </w:r>
    </w:p>
    <w:p w14:paraId="27CAD479" w14:textId="77777777" w:rsidR="00777859" w:rsidRDefault="00777859" w:rsidP="00A84AC1">
      <w:pPr>
        <w:spacing w:line="276" w:lineRule="auto"/>
        <w:ind w:left="709"/>
        <w:jc w:val="both"/>
      </w:pPr>
    </w:p>
    <w:p w14:paraId="2B45EC04" w14:textId="62B79804" w:rsidR="00015CC7" w:rsidRPr="00A13AB1" w:rsidRDefault="00A13AB1" w:rsidP="00A13AB1">
      <w:pPr>
        <w:spacing w:line="276" w:lineRule="auto"/>
        <w:ind w:left="709"/>
        <w:jc w:val="both"/>
        <w:rPr>
          <w:b/>
          <w:lang w:val="bg-BG"/>
        </w:rPr>
      </w:pPr>
      <w:r w:rsidRPr="00B365E1">
        <w:rPr>
          <w:lang w:val="bg-BG"/>
        </w:rPr>
        <w:t>Р</w:t>
      </w:r>
      <w:r w:rsidR="00777859" w:rsidRPr="00B365E1">
        <w:rPr>
          <w:lang w:val="bg-BG"/>
        </w:rPr>
        <w:t>азмерът на допустимите разходи за съответната счетоводна година е</w:t>
      </w:r>
      <w:r w:rsidR="00093243" w:rsidRPr="00B365E1">
        <w:rPr>
          <w:lang w:val="bg-BG"/>
        </w:rPr>
        <w:t>:</w:t>
      </w:r>
      <w:r w:rsidR="00777859" w:rsidRPr="00B365E1">
        <w:rPr>
          <w:lang w:val="bg-BG"/>
        </w:rPr>
        <w:t xml:space="preserve"> …</w:t>
      </w:r>
      <w:r w:rsidRPr="00B365E1">
        <w:rPr>
          <w:lang w:val="bg-BG"/>
        </w:rPr>
        <w:t xml:space="preserve"> (на основание чл. </w:t>
      </w:r>
      <w:r w:rsidR="00EA1735" w:rsidRPr="00B365E1">
        <w:rPr>
          <w:lang w:val="bg-BG"/>
        </w:rPr>
        <w:t xml:space="preserve">56 </w:t>
      </w:r>
      <w:r w:rsidRPr="00B365E1">
        <w:rPr>
          <w:lang w:val="bg-BG"/>
        </w:rPr>
        <w:t xml:space="preserve">(2) от Наредба </w:t>
      </w:r>
      <w:r w:rsidRPr="00B365E1">
        <w:rPr>
          <w:lang w:val="en-US"/>
        </w:rPr>
        <w:t xml:space="preserve">H-3 </w:t>
      </w:r>
      <w:r w:rsidRPr="00B365E1">
        <w:rPr>
          <w:lang w:val="bg-BG"/>
        </w:rPr>
        <w:t xml:space="preserve">от </w:t>
      </w:r>
      <w:r w:rsidR="00EA1735" w:rsidRPr="00B365E1">
        <w:rPr>
          <w:lang w:val="bg-BG"/>
        </w:rPr>
        <w:t>2018</w:t>
      </w:r>
      <w:r w:rsidRPr="00B365E1">
        <w:rPr>
          <w:lang w:val="bg-BG"/>
        </w:rPr>
        <w:t xml:space="preserve"> г.).</w:t>
      </w:r>
    </w:p>
    <w:p w14:paraId="347C28ED" w14:textId="77777777" w:rsidR="00777859" w:rsidRPr="00777859" w:rsidRDefault="00777859" w:rsidP="00A84AC1">
      <w:pPr>
        <w:spacing w:line="276" w:lineRule="auto"/>
        <w:ind w:left="709"/>
        <w:jc w:val="both"/>
        <w:rPr>
          <w:lang w:val="bg-BG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3"/>
        <w:gridCol w:w="2410"/>
        <w:gridCol w:w="2693"/>
      </w:tblGrid>
      <w:tr w:rsidR="00176A0E" w:rsidRPr="005B672C" w14:paraId="4D149A64" w14:textId="77777777" w:rsidTr="00EA0A0C">
        <w:tc>
          <w:tcPr>
            <w:tcW w:w="1668" w:type="dxa"/>
          </w:tcPr>
          <w:p w14:paraId="1A3ACCEA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  <w:u w:val="single"/>
                <w:shd w:val="clear" w:color="auto" w:fill="FFFFFF"/>
                <w:lang w:val="bg-BG" w:eastAsia="en-US"/>
              </w:rPr>
              <w:t>Вид на одита</w:t>
            </w:r>
          </w:p>
        </w:tc>
        <w:tc>
          <w:tcPr>
            <w:tcW w:w="2693" w:type="dxa"/>
            <w:shd w:val="clear" w:color="auto" w:fill="auto"/>
          </w:tcPr>
          <w:p w14:paraId="5CD3E50E" w14:textId="77777777" w:rsidR="00176A0E" w:rsidRPr="00A84AC1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  <w:u w:val="single"/>
                <w:shd w:val="clear" w:color="auto" w:fill="FFFFFF"/>
                <w:lang w:val="bg-BG" w:eastAsia="en-US"/>
              </w:rPr>
              <w:t>Резултати от одита</w:t>
            </w:r>
          </w:p>
        </w:tc>
        <w:tc>
          <w:tcPr>
            <w:tcW w:w="2410" w:type="dxa"/>
            <w:shd w:val="clear" w:color="auto" w:fill="auto"/>
          </w:tcPr>
          <w:p w14:paraId="48071ED4" w14:textId="77777777" w:rsidR="00176A0E" w:rsidRPr="00B90B08" w:rsidRDefault="00176A0E" w:rsidP="00FF084A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cs="TimesNewRomanPSMT"/>
                <w:b/>
                <w:lang w:val="bg-BG"/>
              </w:rPr>
              <w:t>А</w:t>
            </w:r>
            <w:r w:rsidRPr="00A84AC1">
              <w:rPr>
                <w:rFonts w:cs="TimesNewRomanPSMT"/>
                <w:b/>
              </w:rPr>
              <w:t xml:space="preserve">нализ на естеството и размера на установените грешки и слабости </w:t>
            </w:r>
          </w:p>
        </w:tc>
        <w:tc>
          <w:tcPr>
            <w:tcW w:w="2693" w:type="dxa"/>
            <w:shd w:val="clear" w:color="auto" w:fill="auto"/>
          </w:tcPr>
          <w:p w14:paraId="54369590" w14:textId="76D6F10D" w:rsidR="00176A0E" w:rsidRPr="00A84AC1" w:rsidRDefault="00176A0E" w:rsidP="006F59F3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cs="TimesNewRomanPSMT"/>
                <w:b/>
                <w:lang w:val="bg-BG"/>
              </w:rPr>
              <w:t>Предприети или планирани корективни мерки</w:t>
            </w:r>
          </w:p>
        </w:tc>
      </w:tr>
      <w:tr w:rsidR="00176A0E" w:rsidRPr="005B672C" w14:paraId="04C23993" w14:textId="77777777" w:rsidTr="00EA0A0C">
        <w:tc>
          <w:tcPr>
            <w:tcW w:w="1668" w:type="dxa"/>
          </w:tcPr>
          <w:p w14:paraId="2A73C971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lastRenderedPageBreak/>
              <w:t>Системни одити</w:t>
            </w:r>
          </w:p>
        </w:tc>
        <w:tc>
          <w:tcPr>
            <w:tcW w:w="2693" w:type="dxa"/>
            <w:shd w:val="clear" w:color="auto" w:fill="auto"/>
          </w:tcPr>
          <w:p w14:paraId="3703C918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7467DC7" w14:textId="73CA8965" w:rsidR="00176A0E" w:rsidRPr="00025963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="00176A0E" w:rsidRPr="00A84AC1">
              <w:rPr>
                <w:i/>
              </w:rPr>
              <w:t xml:space="preserve"> 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10.1 от приложение IX към РИК</w:t>
            </w:r>
            <w:r w:rsidR="006F59F3">
              <w:rPr>
                <w:i/>
                <w:lang w:val="bg-BG"/>
              </w:rPr>
              <w:t xml:space="preserve"> (</w:t>
            </w:r>
            <w:r w:rsidR="00176A0E" w:rsidRPr="00A84AC1">
              <w:rPr>
                <w:i/>
              </w:rPr>
              <w:t>Регламент за изпълнение 2015/207 на Комисията от 20 януари 2015 г.)</w:t>
            </w:r>
            <w:r w:rsidR="006F59F3">
              <w:rPr>
                <w:i/>
                <w:lang w:val="bg-BG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56540FE3" w14:textId="77777777" w:rsidR="00176A0E" w:rsidRPr="00A84AC1" w:rsidRDefault="00176A0E" w:rsidP="00FF084A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u w:val="single"/>
                <w:shd w:val="clear" w:color="auto" w:fill="FFFFFF"/>
                <w:lang w:val="bg-BG" w:eastAsia="en-US"/>
              </w:rPr>
              <w:t>……………..</w:t>
            </w:r>
          </w:p>
          <w:p w14:paraId="71F25413" w14:textId="29CBD734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към докладите </w:t>
            </w:r>
            <w:r w:rsidR="00176A0E" w:rsidRPr="00A84AC1">
              <w:rPr>
                <w:i/>
              </w:rPr>
              <w:t xml:space="preserve">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4.3, 4.4, 4.6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8904A38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 xml:space="preserve">……………… </w:t>
            </w:r>
          </w:p>
          <w:p w14:paraId="527C4725" w14:textId="3C05E4D2" w:rsidR="00176A0E" w:rsidRPr="00B90B08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4.4, 4.5 от приложение IX към РИК)</w:t>
            </w:r>
          </w:p>
        </w:tc>
      </w:tr>
      <w:tr w:rsidR="00176A0E" w:rsidRPr="005B672C" w14:paraId="12EF30A4" w14:textId="77777777" w:rsidTr="00EA0A0C">
        <w:tc>
          <w:tcPr>
            <w:tcW w:w="1668" w:type="dxa"/>
          </w:tcPr>
          <w:p w14:paraId="2A277BCB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Одити на операциите</w:t>
            </w:r>
          </w:p>
        </w:tc>
        <w:tc>
          <w:tcPr>
            <w:tcW w:w="2693" w:type="dxa"/>
            <w:shd w:val="clear" w:color="auto" w:fill="auto"/>
          </w:tcPr>
          <w:p w14:paraId="47C4E7D9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67FF4626" w14:textId="4DED506F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10.2 и раздел 5.13 от 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4733033C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0B0FF010" w14:textId="7B102DD8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5.7, 5.10, 5.11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D79526D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25C1DC7" w14:textId="0ACE8402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5.8, 5.11, 5.12 от приложение IX към РИК)</w:t>
            </w:r>
          </w:p>
        </w:tc>
      </w:tr>
      <w:tr w:rsidR="00176A0E" w:rsidRPr="005B672C" w14:paraId="54C245D8" w14:textId="77777777" w:rsidTr="00EA0A0C">
        <w:tc>
          <w:tcPr>
            <w:tcW w:w="1668" w:type="dxa"/>
          </w:tcPr>
          <w:p w14:paraId="7D29B2C8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t>Одити на отчетите</w:t>
            </w:r>
          </w:p>
        </w:tc>
        <w:tc>
          <w:tcPr>
            <w:tcW w:w="2693" w:type="dxa"/>
            <w:shd w:val="clear" w:color="auto" w:fill="auto"/>
          </w:tcPr>
          <w:p w14:paraId="43BC8D21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37F092D" w14:textId="23B9B4BC" w:rsidR="00176A0E" w:rsidRPr="00A84AC1" w:rsidRDefault="00D9275D" w:rsidP="006F59F3">
            <w:pPr>
              <w:spacing w:after="200"/>
              <w:jc w:val="both"/>
              <w:rPr>
                <w:b/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 6.3 от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176A0E" w:rsidRPr="00A84AC1">
              <w:rPr>
                <w:i/>
              </w:rPr>
              <w:t>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2B8FC33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453FD8FC" w14:textId="44B1DB78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6.4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3D741F8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AE9572E" w14:textId="12E23E74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6.3 от приложение IX към РИК)</w:t>
            </w:r>
          </w:p>
        </w:tc>
      </w:tr>
    </w:tbl>
    <w:p w14:paraId="5BBFBE06" w14:textId="77777777" w:rsidR="00E327E1" w:rsidRPr="00B90B08" w:rsidRDefault="00E327E1" w:rsidP="007F31A7">
      <w:pPr>
        <w:spacing w:after="200"/>
        <w:jc w:val="both"/>
        <w:rPr>
          <w:u w:val="single"/>
          <w:shd w:val="clear" w:color="auto" w:fill="FFFFFF"/>
          <w:lang w:val="bg-BG"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2949"/>
        <w:gridCol w:w="3402"/>
      </w:tblGrid>
      <w:tr w:rsidR="00E327E1" w:rsidRPr="005B672C" w14:paraId="58D3AC25" w14:textId="77777777" w:rsidTr="00EA0A0C">
        <w:tc>
          <w:tcPr>
            <w:tcW w:w="9464" w:type="dxa"/>
            <w:gridSpan w:val="3"/>
          </w:tcPr>
          <w:p w14:paraId="65E9E3C3" w14:textId="781999E6" w:rsidR="00E327E1" w:rsidRPr="00B90B08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плащане.</w:t>
            </w:r>
          </w:p>
        </w:tc>
      </w:tr>
      <w:tr w:rsidR="00E327E1" w:rsidRPr="005B672C" w14:paraId="7FF1E34E" w14:textId="77777777" w:rsidTr="00EA0A0C">
        <w:tc>
          <w:tcPr>
            <w:tcW w:w="3113" w:type="dxa"/>
          </w:tcPr>
          <w:p w14:paraId="4B7FEE64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2949" w:type="dxa"/>
            <w:shd w:val="clear" w:color="auto" w:fill="auto"/>
          </w:tcPr>
          <w:p w14:paraId="05E96233" w14:textId="77777777" w:rsidR="00E327E1" w:rsidRPr="00A84AC1" w:rsidRDefault="00E327E1" w:rsidP="008A178E">
            <w:pPr>
              <w:spacing w:after="200"/>
              <w:jc w:val="center"/>
              <w:rPr>
                <w:b/>
              </w:rPr>
            </w:pPr>
            <w:r w:rsidRPr="00A84AC1">
              <w:rPr>
                <w:b/>
              </w:rPr>
              <w:t>Преди подаване на окончателното искане за междинно плащане</w:t>
            </w:r>
          </w:p>
          <w:p w14:paraId="6568F945" w14:textId="77777777" w:rsidR="00E327E1" w:rsidRPr="00A84AC1" w:rsidRDefault="00E327E1" w:rsidP="008A178E">
            <w:pPr>
              <w:spacing w:after="200"/>
              <w:jc w:val="center"/>
              <w:rPr>
                <w:b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</w:rPr>
              <w:t>Обща сума (EUR)</w:t>
            </w:r>
          </w:p>
        </w:tc>
        <w:tc>
          <w:tcPr>
            <w:tcW w:w="3402" w:type="dxa"/>
            <w:shd w:val="clear" w:color="auto" w:fill="auto"/>
          </w:tcPr>
          <w:p w14:paraId="072FB57F" w14:textId="77777777" w:rsidR="00E327E1" w:rsidRPr="00A84AC1" w:rsidRDefault="00E327E1" w:rsidP="008A178E">
            <w:pPr>
              <w:spacing w:after="200"/>
              <w:jc w:val="center"/>
              <w:rPr>
                <w:b/>
              </w:rPr>
            </w:pPr>
            <w:r w:rsidRPr="00A84AC1">
              <w:rPr>
                <w:b/>
              </w:rPr>
              <w:t>След подаване на окончателното искане за междинно плащане</w:t>
            </w:r>
          </w:p>
          <w:p w14:paraId="4C526C0E" w14:textId="49283351" w:rsidR="00E327E1" w:rsidRPr="00A84AC1" w:rsidRDefault="00E327E1" w:rsidP="008A178E">
            <w:pPr>
              <w:spacing w:after="200"/>
              <w:jc w:val="center"/>
            </w:pPr>
            <w:r w:rsidRPr="00A84AC1"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1108214B" w14:textId="77777777" w:rsidR="00E327E1" w:rsidRPr="00A84AC1" w:rsidRDefault="00E327E1" w:rsidP="008A178E">
            <w:pPr>
              <w:spacing w:after="200"/>
              <w:jc w:val="center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b/>
              </w:rPr>
              <w:t>Обща сума (EUR)</w:t>
            </w:r>
          </w:p>
        </w:tc>
      </w:tr>
      <w:tr w:rsidR="00E327E1" w:rsidRPr="005B672C" w14:paraId="2C112B35" w14:textId="77777777" w:rsidTr="00EA0A0C">
        <w:tc>
          <w:tcPr>
            <w:tcW w:w="3113" w:type="dxa"/>
          </w:tcPr>
          <w:p w14:paraId="7DAA15DA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lastRenderedPageBreak/>
              <w:t>Приоритетна ос 1</w:t>
            </w:r>
          </w:p>
        </w:tc>
        <w:tc>
          <w:tcPr>
            <w:tcW w:w="2949" w:type="dxa"/>
            <w:shd w:val="clear" w:color="auto" w:fill="auto"/>
          </w:tcPr>
          <w:p w14:paraId="01154968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8ADBBFA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5562B219" w14:textId="77777777" w:rsidTr="00EA0A0C">
        <w:tc>
          <w:tcPr>
            <w:tcW w:w="3113" w:type="dxa"/>
          </w:tcPr>
          <w:p w14:paraId="29B356E0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2949" w:type="dxa"/>
            <w:shd w:val="clear" w:color="auto" w:fill="auto"/>
          </w:tcPr>
          <w:p w14:paraId="60189D90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B6178C4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1580F249" w14:textId="77777777" w:rsidTr="00EA0A0C">
        <w:tc>
          <w:tcPr>
            <w:tcW w:w="3113" w:type="dxa"/>
          </w:tcPr>
          <w:p w14:paraId="46573A14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2949" w:type="dxa"/>
            <w:shd w:val="clear" w:color="auto" w:fill="auto"/>
          </w:tcPr>
          <w:p w14:paraId="1B5BF8AB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325F8513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3585C9D7" w14:textId="77777777" w:rsidTr="00EA0A0C">
        <w:tc>
          <w:tcPr>
            <w:tcW w:w="3113" w:type="dxa"/>
          </w:tcPr>
          <w:p w14:paraId="0EDB9FD5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2949" w:type="dxa"/>
            <w:shd w:val="clear" w:color="auto" w:fill="auto"/>
          </w:tcPr>
          <w:p w14:paraId="1A8F6288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09C3BF12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71D74818" w14:textId="77777777" w:rsidTr="00EA0A0C">
        <w:tc>
          <w:tcPr>
            <w:tcW w:w="3113" w:type="dxa"/>
          </w:tcPr>
          <w:p w14:paraId="689D0EB3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2949" w:type="dxa"/>
            <w:shd w:val="clear" w:color="auto" w:fill="auto"/>
          </w:tcPr>
          <w:p w14:paraId="6C49E1CF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6968BAE8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6AF5BD8C" w14:textId="77777777" w:rsidR="00E327E1" w:rsidRPr="00B41E8E" w:rsidRDefault="00E327E1" w:rsidP="007F31A7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70759560" w14:textId="77777777" w:rsidR="00DC72C2" w:rsidRDefault="00DC72C2" w:rsidP="007F31A7">
      <w:pPr>
        <w:spacing w:before="120" w:after="120"/>
        <w:jc w:val="both"/>
      </w:pPr>
      <w:r>
        <w:t xml:space="preserve">Б) Отчет на контрола на разходите по отношение на счетоводната година, приключила на 30 </w:t>
      </w:r>
      <w:r w:rsidRPr="00D32BCF">
        <w:t>юни</w:t>
      </w:r>
      <w:r>
        <w:t xml:space="preserve"> … (година): </w:t>
      </w:r>
      <w:r w:rsidRPr="00DC72C2">
        <w:rPr>
          <w:b/>
        </w:rPr>
        <w:t>административни проверки</w:t>
      </w:r>
      <w:r>
        <w:t xml:space="preserve"> в съответствие с член 125, параграф 5, буква а) от РОР </w:t>
      </w:r>
    </w:p>
    <w:p w14:paraId="69F064E8" w14:textId="77777777" w:rsidR="007F31A7" w:rsidRDefault="00A84AC1" w:rsidP="007F31A7">
      <w:pPr>
        <w:spacing w:before="120" w:after="120"/>
        <w:jc w:val="both"/>
        <w:rPr>
          <w:shd w:val="clear" w:color="auto" w:fill="FFFFFF"/>
          <w:lang w:val="bg-BG" w:eastAsia="en-US"/>
        </w:rPr>
      </w:pPr>
      <w:r>
        <w:rPr>
          <w:lang w:val="bg-BG"/>
        </w:rPr>
        <w:t>Дайте к</w:t>
      </w:r>
      <w:r w:rsidR="00DC72C2">
        <w:rPr>
          <w:lang w:val="bg-BG"/>
        </w:rPr>
        <w:t xml:space="preserve">ратко </w:t>
      </w:r>
      <w:r w:rsidR="00DC72C2">
        <w:rPr>
          <w:shd w:val="clear" w:color="auto" w:fill="FFFFFF"/>
          <w:lang w:val="bg-BG" w:eastAsia="en-US"/>
        </w:rPr>
        <w:t>о</w:t>
      </w:r>
      <w:r w:rsidR="00AB0A77">
        <w:rPr>
          <w:shd w:val="clear" w:color="auto" w:fill="FFFFFF"/>
          <w:lang w:val="bg-BG" w:eastAsia="en-US"/>
        </w:rPr>
        <w:t>писание</w:t>
      </w:r>
      <w:r w:rsidR="00DC72C2">
        <w:rPr>
          <w:shd w:val="clear" w:color="auto" w:fill="FFFFFF"/>
          <w:lang w:val="bg-BG" w:eastAsia="en-US"/>
        </w:rPr>
        <w:t xml:space="preserve"> или резюме</w:t>
      </w:r>
      <w:r w:rsidR="00AB0A77">
        <w:rPr>
          <w:shd w:val="clear" w:color="auto" w:fill="FFFFFF"/>
          <w:lang w:val="bg-BG" w:eastAsia="en-US"/>
        </w:rPr>
        <w:t xml:space="preserve"> на:</w:t>
      </w:r>
    </w:p>
    <w:p w14:paraId="465BFAD0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Приетата методология и подробности относно извършената оценка на риска: проверка на всеки елемент от разходите или въз основа на извадка. В последния случай посочете на каква база е избрана извадката, напр. вид на бенефициера, категория на разходите, стойност на елементите, предишен опит и пр. В случай</w:t>
      </w:r>
      <w:r>
        <w:rPr>
          <w:lang w:val="bg-BG"/>
        </w:rPr>
        <w:t>,</w:t>
      </w:r>
      <w:r>
        <w:t xml:space="preserve"> че Комисията е поискала описание на функциите и процедурите, свързани с управляващия орган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информация.</w:t>
      </w:r>
    </w:p>
    <w:p w14:paraId="51B1D1EE" w14:textId="77777777" w:rsidR="00DC72C2" w:rsidRPr="00DC72C2" w:rsidRDefault="00DC72C2" w:rsidP="00904496">
      <w:pPr>
        <w:pStyle w:val="ListParagraph"/>
        <w:ind w:left="714"/>
        <w:jc w:val="both"/>
        <w:rPr>
          <w:i/>
          <w:shd w:val="clear" w:color="auto" w:fill="FFFFFF"/>
          <w:lang w:val="bg-BG" w:eastAsia="en-US"/>
        </w:rPr>
      </w:pPr>
    </w:p>
    <w:p w14:paraId="2DCF8588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 xml:space="preserve">Основните резултати и вид/ове на установените грешки </w:t>
      </w:r>
    </w:p>
    <w:p w14:paraId="0D4285BB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4C1109CF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Заключенията, направени въз основа на тези проверки и следователно корективните мерки, предприети по отношение напр. на функционирането на СУК, по-специално в случай на установяване на системни нередности, необходимостта от актуализиране на методологията за проверките на управлението и на инструкциите или насоките за бенефициерите и пр.</w:t>
      </w:r>
    </w:p>
    <w:p w14:paraId="44B230DA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0308EF32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Извършени финансови корекции, по приоритетни оси, в резултат на проверки на управлението, извършени по отношение на разходите, подлежащи на вписване в счетоводните отчети</w:t>
      </w:r>
    </w:p>
    <w:p w14:paraId="08CCF608" w14:textId="77777777" w:rsidR="007F31A7" w:rsidRPr="00B90B08" w:rsidRDefault="007F31A7" w:rsidP="007F31A7">
      <w:pPr>
        <w:spacing w:before="120" w:after="120"/>
        <w:jc w:val="both"/>
        <w:rPr>
          <w:rFonts w:eastAsia="Calibri"/>
          <w:lang w:val="bg-BG"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3260"/>
      </w:tblGrid>
      <w:tr w:rsidR="007F31A7" w:rsidRPr="00663E80" w14:paraId="373622E2" w14:textId="77777777" w:rsidTr="00EA0A0C">
        <w:tc>
          <w:tcPr>
            <w:tcW w:w="9180" w:type="dxa"/>
            <w:gridSpan w:val="4"/>
            <w:shd w:val="clear" w:color="auto" w:fill="auto"/>
          </w:tcPr>
          <w:p w14:paraId="3A075279" w14:textId="77777777" w:rsidR="007F31A7" w:rsidRDefault="00186F16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възприетата методология</w:t>
            </w:r>
            <w:r w:rsidR="007F31A7"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45F3B3F4" w14:textId="77777777" w:rsidR="007F31A7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314B778D" w14:textId="77777777" w:rsidR="007F31A7" w:rsidRPr="00663E80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7F31A7" w:rsidRPr="00663E80" w14:paraId="47589601" w14:textId="77777777" w:rsidTr="00EA0A0C">
        <w:tc>
          <w:tcPr>
            <w:tcW w:w="4644" w:type="dxa"/>
            <w:gridSpan w:val="2"/>
            <w:shd w:val="clear" w:color="auto" w:fill="auto"/>
          </w:tcPr>
          <w:p w14:paraId="32E4F698" w14:textId="26457AE7" w:rsidR="007F31A7" w:rsidRPr="00186F16" w:rsidRDefault="00186F16" w:rsidP="006F59F3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6F59F3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4D4EB6E" w14:textId="2A0FBC5F" w:rsidR="007F31A7" w:rsidRPr="00B90B08" w:rsidRDefault="00904496" w:rsidP="00904496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>Направени заключения и предприети или планирани корективни мерки</w:t>
            </w:r>
            <w:r w:rsidR="006F59F3">
              <w:rPr>
                <w:lang w:val="bg-BG"/>
              </w:rPr>
              <w:t xml:space="preserve"> </w:t>
            </w:r>
            <w:r w:rsidR="006F59F3" w:rsidRPr="00B90B08">
              <w:rPr>
                <w:lang w:val="bg-BG"/>
              </w:rPr>
              <w:t>[</w:t>
            </w:r>
            <w:r w:rsidR="006F59F3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6F59F3" w:rsidRPr="00B90B08">
              <w:rPr>
                <w:lang w:val="bg-BG"/>
              </w:rPr>
              <w:t>]</w:t>
            </w:r>
          </w:p>
        </w:tc>
      </w:tr>
      <w:tr w:rsidR="007F31A7" w:rsidRPr="00663E80" w14:paraId="4189E37D" w14:textId="77777777" w:rsidTr="00A9207B">
        <w:trPr>
          <w:trHeight w:val="7503"/>
        </w:trPr>
        <w:tc>
          <w:tcPr>
            <w:tcW w:w="4644" w:type="dxa"/>
            <w:gridSpan w:val="2"/>
            <w:shd w:val="clear" w:color="auto" w:fill="auto"/>
          </w:tcPr>
          <w:p w14:paraId="2C7F834D" w14:textId="367A1E8E" w:rsidR="00904496" w:rsidRDefault="00904496" w:rsidP="004528A5">
            <w:pPr>
              <w:spacing w:before="120" w:after="120"/>
              <w:jc w:val="both"/>
            </w:pPr>
            <w:r>
              <w:lastRenderedPageBreak/>
              <w:t xml:space="preserve">Недопустими проекти </w:t>
            </w:r>
          </w:p>
          <w:p w14:paraId="32DCD9C5" w14:textId="77777777" w:rsidR="00904496" w:rsidRDefault="00904496" w:rsidP="004528A5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5D9B2844" w14:textId="77777777" w:rsidR="00904496" w:rsidRDefault="00904496" w:rsidP="004528A5">
            <w:pPr>
              <w:spacing w:before="120" w:after="120"/>
              <w:jc w:val="both"/>
            </w:pPr>
            <w:r>
              <w:t>Недопустими разходи</w:t>
            </w:r>
          </w:p>
          <w:p w14:paraId="2464A068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436A783E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6693C0C8" w14:textId="29450F6E" w:rsidR="00904496" w:rsidRDefault="00904496" w:rsidP="004528A5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36818272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21760D62" w14:textId="77777777" w:rsidR="00904496" w:rsidRDefault="00904496" w:rsidP="004528A5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48EC2465" w14:textId="77777777" w:rsidR="00904496" w:rsidRDefault="00904496" w:rsidP="004528A5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0F654672" w14:textId="77777777" w:rsidR="00904496" w:rsidRDefault="00904496" w:rsidP="004528A5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3B4C2E80" w14:textId="77777777" w:rsidR="00904496" w:rsidRDefault="00904496" w:rsidP="004528A5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74A0A8FB" w14:textId="77777777" w:rsidR="00904496" w:rsidRDefault="00904496" w:rsidP="004528A5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27FA622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0615576C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7BC78161" w14:textId="173E8B86" w:rsidR="00382D2A" w:rsidRPr="00663E80" w:rsidRDefault="00904496" w:rsidP="00375225">
            <w:pPr>
              <w:rPr>
                <w:rFonts w:eastAsia="Calibri"/>
                <w:szCs w:val="22"/>
                <w:lang w:val="en-GB" w:eastAsia="en-US"/>
              </w:rPr>
            </w:pPr>
            <w:r>
              <w:t>[Други] (Да се уточнят)</w:t>
            </w:r>
            <w:bookmarkStart w:id="0" w:name="_GoBack"/>
            <w:bookmarkEnd w:id="0"/>
          </w:p>
        </w:tc>
        <w:tc>
          <w:tcPr>
            <w:tcW w:w="4536" w:type="dxa"/>
            <w:gridSpan w:val="2"/>
            <w:shd w:val="clear" w:color="auto" w:fill="auto"/>
          </w:tcPr>
          <w:p w14:paraId="2FBB5A74" w14:textId="77777777" w:rsidR="007F31A7" w:rsidRPr="00663E80" w:rsidRDefault="007F31A7" w:rsidP="004528A5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5B672C" w14:paraId="4695CD41" w14:textId="77777777" w:rsidTr="00EA0A0C">
        <w:tc>
          <w:tcPr>
            <w:tcW w:w="9180" w:type="dxa"/>
            <w:gridSpan w:val="4"/>
          </w:tcPr>
          <w:p w14:paraId="61E919F6" w14:textId="4F4170C6" w:rsidR="00904496" w:rsidRPr="00B90B08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6F59F3">
              <w:rPr>
                <w:lang w:val="bg-BG"/>
              </w:rPr>
              <w:t>, сумарни суми по приоритетни оси</w:t>
            </w:r>
            <w:r>
              <w:t>.</w:t>
            </w:r>
          </w:p>
        </w:tc>
      </w:tr>
      <w:tr w:rsidR="00904496" w:rsidRPr="005B672C" w14:paraId="173D74EB" w14:textId="77777777" w:rsidTr="00EA0A0C">
        <w:tc>
          <w:tcPr>
            <w:tcW w:w="2093" w:type="dxa"/>
          </w:tcPr>
          <w:p w14:paraId="7BF01D1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599CDF5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Преди подаване на окончателното искане за междинно плащане</w:t>
            </w:r>
          </w:p>
          <w:p w14:paraId="387F038D" w14:textId="77777777" w:rsidR="00904496" w:rsidRPr="00B86CFA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  <w:tc>
          <w:tcPr>
            <w:tcW w:w="3260" w:type="dxa"/>
            <w:shd w:val="clear" w:color="auto" w:fill="auto"/>
          </w:tcPr>
          <w:p w14:paraId="7BB80000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След подаване на окончателното искане за междинно плащане</w:t>
            </w:r>
          </w:p>
          <w:p w14:paraId="5CE500A7" w14:textId="5288A68A" w:rsidR="00904496" w:rsidRDefault="00904496" w:rsidP="008A178E">
            <w:pPr>
              <w:spacing w:after="200"/>
              <w:jc w:val="center"/>
            </w:pPr>
            <w: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5856DBDC" w14:textId="77777777" w:rsidR="00904496" w:rsidRPr="00B86CFA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</w:tr>
      <w:tr w:rsidR="00904496" w:rsidRPr="005B672C" w14:paraId="04411129" w14:textId="77777777" w:rsidTr="00EA0A0C">
        <w:tc>
          <w:tcPr>
            <w:tcW w:w="2093" w:type="dxa"/>
          </w:tcPr>
          <w:p w14:paraId="2BBB27B9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5EFC191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9E1BDF5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2FB19EAE" w14:textId="77777777" w:rsidTr="00EA0A0C">
        <w:tc>
          <w:tcPr>
            <w:tcW w:w="2093" w:type="dxa"/>
          </w:tcPr>
          <w:p w14:paraId="4F3C0B5D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D8CD4D6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ECDFEB8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3AEAF90C" w14:textId="77777777" w:rsidTr="00EA0A0C">
        <w:tc>
          <w:tcPr>
            <w:tcW w:w="2093" w:type="dxa"/>
          </w:tcPr>
          <w:p w14:paraId="4C2137C7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1659A78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1E3CAE2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2832076" w14:textId="77777777" w:rsidTr="00EA0A0C">
        <w:tc>
          <w:tcPr>
            <w:tcW w:w="2093" w:type="dxa"/>
          </w:tcPr>
          <w:p w14:paraId="63611CFF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FA24219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ECE7C4B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6445BBE" w14:textId="77777777" w:rsidTr="00EA0A0C">
        <w:tc>
          <w:tcPr>
            <w:tcW w:w="2093" w:type="dxa"/>
          </w:tcPr>
          <w:p w14:paraId="3B813931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lastRenderedPageBreak/>
              <w:t>Приоритетна ос 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77BDCF9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5D923F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478072A5" w14:textId="77777777" w:rsidR="00904496" w:rsidRPr="00B41E8E" w:rsidRDefault="00904496" w:rsidP="00904496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25BB0FFD" w14:textId="77777777" w:rsidR="007F31A7" w:rsidRPr="00B90B08" w:rsidRDefault="00904496" w:rsidP="00904496">
      <w:pPr>
        <w:spacing w:before="120" w:after="200" w:line="276" w:lineRule="auto"/>
        <w:jc w:val="both"/>
        <w:rPr>
          <w:lang w:eastAsia="en-US"/>
        </w:rPr>
      </w:pPr>
      <w:r>
        <w:t xml:space="preserve">В) Отчет на контрола на разходите по отношение на счетоводната година, приключила на 30 юни … (година): </w:t>
      </w:r>
      <w:r w:rsidRPr="00D9275D">
        <w:rPr>
          <w:b/>
        </w:rPr>
        <w:t>проверки на място</w:t>
      </w:r>
      <w:r>
        <w:t xml:space="preserve"> в съответствие с член 125, параграф 5, буква б) от РОР</w:t>
      </w:r>
    </w:p>
    <w:p w14:paraId="146133E8" w14:textId="7CA6C794" w:rsidR="00904496" w:rsidRDefault="00A84AC1" w:rsidP="00904496">
      <w:pPr>
        <w:spacing w:before="120" w:after="200" w:line="276" w:lineRule="auto"/>
        <w:jc w:val="both"/>
      </w:pPr>
      <w:r>
        <w:rPr>
          <w:lang w:val="bg-BG"/>
        </w:rPr>
        <w:t xml:space="preserve">Посочете </w:t>
      </w:r>
      <w:r>
        <w:t>о</w:t>
      </w:r>
      <w:r w:rsidR="00904496">
        <w:t>бщия брой на извършените проверки на място и</w:t>
      </w:r>
      <w:r>
        <w:rPr>
          <w:lang w:val="bg-BG"/>
        </w:rPr>
        <w:t xml:space="preserve"> дайте</w:t>
      </w:r>
      <w:r w:rsidR="00904496">
        <w:t xml:space="preserve"> кратко описание</w:t>
      </w:r>
      <w:r w:rsidR="00B86CFA">
        <w:rPr>
          <w:lang w:val="bg-BG"/>
        </w:rPr>
        <w:t xml:space="preserve"> или </w:t>
      </w:r>
      <w:r w:rsidR="00904496">
        <w:t>резюме на:</w:t>
      </w:r>
    </w:p>
    <w:p w14:paraId="7010FA55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използваната методология, целта на проверките (за потвърждение или допълване на резултата от административните проверки); проверените аспекти; и пр. В случай че Комисията е поискала описание на функциите и процедурите, свързани с УО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информация; </w:t>
      </w:r>
    </w:p>
    <w:p w14:paraId="566091C7" w14:textId="77777777" w:rsidR="00904496" w:rsidRDefault="00904496" w:rsidP="00904496">
      <w:pPr>
        <w:jc w:val="both"/>
      </w:pPr>
    </w:p>
    <w:p w14:paraId="51C565B8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основните резултати и вида на установените грешки; </w:t>
      </w:r>
    </w:p>
    <w:p w14:paraId="1CDC294D" w14:textId="77777777" w:rsidR="00904496" w:rsidRDefault="00904496" w:rsidP="00904496">
      <w:pPr>
        <w:jc w:val="both"/>
      </w:pPr>
    </w:p>
    <w:p w14:paraId="45292033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заключенията, направени въз основа на тези проверки, и следователно корективните мерки, предприети по отношение на функционирането на системата за управление и контрол, по-специално ако са установени системни нередности; необходимостта от актуализиране на методологията за проверките на управлението и/или на инструкциите или насоките за бенефициерите и пр.; </w:t>
      </w:r>
    </w:p>
    <w:p w14:paraId="55C52B54" w14:textId="77777777" w:rsidR="00904496" w:rsidRDefault="00904496" w:rsidP="00904496">
      <w:pPr>
        <w:jc w:val="both"/>
      </w:pPr>
    </w:p>
    <w:p w14:paraId="081C1773" w14:textId="77777777" w:rsidR="007F31A7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>извършените финансови корекции по приоритетни оси в резултат на проверки на място, извършени по отношение на разходите, подлежащи на вписване в счетоводните отчети.</w:t>
      </w:r>
    </w:p>
    <w:p w14:paraId="38BC59C4" w14:textId="77777777" w:rsidR="00904496" w:rsidRDefault="00904496" w:rsidP="00904496">
      <w:pPr>
        <w:pStyle w:val="ListParagraph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3260"/>
      </w:tblGrid>
      <w:tr w:rsidR="00BA50ED" w:rsidRPr="00663E80" w14:paraId="3AEB7647" w14:textId="77777777" w:rsidTr="00EA0A0C">
        <w:tc>
          <w:tcPr>
            <w:tcW w:w="9180" w:type="dxa"/>
            <w:gridSpan w:val="4"/>
            <w:shd w:val="clear" w:color="auto" w:fill="auto"/>
          </w:tcPr>
          <w:p w14:paraId="2CCC7684" w14:textId="77777777" w:rsidR="00BA50ED" w:rsidRPr="00AD2210" w:rsidRDefault="00AD2210" w:rsidP="008A178E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t>Брой на извършените проверки на място</w:t>
            </w:r>
            <w:r>
              <w:rPr>
                <w:lang w:val="bg-BG"/>
              </w:rPr>
              <w:t>:</w:t>
            </w:r>
          </w:p>
        </w:tc>
      </w:tr>
      <w:tr w:rsidR="00904496" w:rsidRPr="00663E80" w14:paraId="181D384F" w14:textId="77777777" w:rsidTr="00EA0A0C">
        <w:tc>
          <w:tcPr>
            <w:tcW w:w="9180" w:type="dxa"/>
            <w:gridSpan w:val="4"/>
            <w:shd w:val="clear" w:color="auto" w:fill="auto"/>
          </w:tcPr>
          <w:p w14:paraId="762550D7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възприетата методология</w:t>
            </w:r>
            <w:r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109B3A26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2E1288F7" w14:textId="77777777" w:rsidR="00904496" w:rsidRPr="00663E80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663E80" w14:paraId="14AC3391" w14:textId="77777777" w:rsidTr="00EA0A0C">
        <w:tc>
          <w:tcPr>
            <w:tcW w:w="4644" w:type="dxa"/>
            <w:gridSpan w:val="2"/>
            <w:shd w:val="clear" w:color="auto" w:fill="auto"/>
          </w:tcPr>
          <w:p w14:paraId="3405FA9A" w14:textId="25437D17" w:rsidR="00904496" w:rsidRPr="00186F16" w:rsidRDefault="00904496" w:rsidP="00025963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B86CFA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646BBFDB" w14:textId="23C8D2C4" w:rsidR="00904496" w:rsidRPr="00B90B08" w:rsidRDefault="00904496" w:rsidP="008A178E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>Направени заключения и предприети или планирани корективни мерки</w:t>
            </w:r>
            <w:r w:rsidR="00B86CFA">
              <w:rPr>
                <w:lang w:val="bg-BG"/>
              </w:rPr>
              <w:t xml:space="preserve"> </w:t>
            </w:r>
            <w:r w:rsidR="00B86CFA" w:rsidRPr="00B90B08">
              <w:rPr>
                <w:lang w:val="bg-BG"/>
              </w:rPr>
              <w:t>[</w:t>
            </w:r>
            <w:r w:rsidR="00B86CFA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B86CFA" w:rsidRPr="00B90B08">
              <w:rPr>
                <w:lang w:val="bg-BG"/>
              </w:rPr>
              <w:t>]</w:t>
            </w:r>
          </w:p>
        </w:tc>
      </w:tr>
      <w:tr w:rsidR="00904496" w:rsidRPr="00663E80" w14:paraId="500EEFD5" w14:textId="77777777" w:rsidTr="00EA0A0C">
        <w:tc>
          <w:tcPr>
            <w:tcW w:w="4644" w:type="dxa"/>
            <w:gridSpan w:val="2"/>
            <w:shd w:val="clear" w:color="auto" w:fill="auto"/>
          </w:tcPr>
          <w:p w14:paraId="2D42F095" w14:textId="067FF9E1" w:rsidR="00904496" w:rsidRDefault="00904496" w:rsidP="008A178E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7C1452BA" w14:textId="77777777" w:rsidR="00904496" w:rsidRDefault="00904496" w:rsidP="008A178E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32B6982A" w14:textId="77777777" w:rsidR="00904496" w:rsidRDefault="00904496" w:rsidP="008A178E">
            <w:pPr>
              <w:spacing w:before="120" w:after="120"/>
              <w:jc w:val="both"/>
            </w:pPr>
            <w:r>
              <w:t>Недопустими разходи</w:t>
            </w:r>
          </w:p>
          <w:p w14:paraId="21F860FF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50ADD307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37859CD1" w14:textId="77777777" w:rsidR="00904496" w:rsidRDefault="00904496" w:rsidP="008A178E">
            <w:pPr>
              <w:spacing w:before="120" w:after="120"/>
              <w:jc w:val="both"/>
            </w:pPr>
            <w:r>
              <w:lastRenderedPageBreak/>
              <w:t xml:space="preserve">Държавна помощ </w:t>
            </w:r>
          </w:p>
          <w:p w14:paraId="29D91E4C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096C184A" w14:textId="77777777" w:rsidR="00904496" w:rsidRDefault="00904496" w:rsidP="008A178E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12EC77B9" w14:textId="77777777" w:rsidR="00904496" w:rsidRDefault="00904496" w:rsidP="008A178E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315A16A3" w14:textId="77777777" w:rsidR="00904496" w:rsidRDefault="00904496" w:rsidP="008A178E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68232A9A" w14:textId="77777777" w:rsidR="00904496" w:rsidRDefault="00904496" w:rsidP="008A178E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28264969" w14:textId="77777777" w:rsidR="00904496" w:rsidRDefault="00904496" w:rsidP="008A178E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FDB1776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731FED4B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2ADF57E0" w14:textId="4F87A4FF" w:rsidR="00A9207B" w:rsidRPr="00A9207B" w:rsidRDefault="00904496" w:rsidP="00A9207B">
            <w:pPr>
              <w:rPr>
                <w:rFonts w:eastAsia="Calibri"/>
                <w:szCs w:val="22"/>
                <w:lang w:val="bg-BG" w:eastAsia="en-US"/>
              </w:rPr>
            </w:pPr>
            <w:r>
              <w:t>[Други] (Да се уточнят)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553AE924" w14:textId="61C3EAF5" w:rsidR="00904496" w:rsidRPr="00663E80" w:rsidRDefault="00904496" w:rsidP="008A178E">
            <w:pPr>
              <w:spacing w:before="120" w:after="120"/>
              <w:jc w:val="both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5B672C" w14:paraId="50DAC400" w14:textId="77777777" w:rsidTr="00EA0A0C">
        <w:tc>
          <w:tcPr>
            <w:tcW w:w="9180" w:type="dxa"/>
            <w:gridSpan w:val="4"/>
          </w:tcPr>
          <w:p w14:paraId="68138B7A" w14:textId="330D0A16" w:rsidR="00904496" w:rsidRPr="00B90B08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B86CFA">
              <w:rPr>
                <w:lang w:val="bg-BG"/>
              </w:rPr>
              <w:t>, сумарни суми по приоритетни оси</w:t>
            </w:r>
            <w:r>
              <w:t>.</w:t>
            </w:r>
          </w:p>
        </w:tc>
      </w:tr>
      <w:tr w:rsidR="00904496" w:rsidRPr="005B672C" w14:paraId="5A62A888" w14:textId="77777777" w:rsidTr="00EA0A0C">
        <w:tc>
          <w:tcPr>
            <w:tcW w:w="2093" w:type="dxa"/>
          </w:tcPr>
          <w:p w14:paraId="739E176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2F5B23A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Преди подаване на окончателното искане за междинно плащане</w:t>
            </w:r>
          </w:p>
          <w:p w14:paraId="76C317D6" w14:textId="77777777" w:rsidR="00904496" w:rsidRPr="00B86CFA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  <w:tc>
          <w:tcPr>
            <w:tcW w:w="3260" w:type="dxa"/>
            <w:shd w:val="clear" w:color="auto" w:fill="auto"/>
          </w:tcPr>
          <w:p w14:paraId="3576527F" w14:textId="77777777" w:rsidR="00904496" w:rsidRPr="00DC72C2" w:rsidRDefault="00904496" w:rsidP="008A178E">
            <w:pPr>
              <w:spacing w:after="200"/>
              <w:jc w:val="center"/>
              <w:rPr>
                <w:b/>
              </w:rPr>
            </w:pPr>
            <w:r w:rsidRPr="00DC72C2">
              <w:rPr>
                <w:b/>
              </w:rPr>
              <w:t>След подаване на окончателното искане за междинно плащане</w:t>
            </w:r>
          </w:p>
          <w:p w14:paraId="17479F64" w14:textId="2922ACCE" w:rsidR="00904496" w:rsidRDefault="00904496" w:rsidP="008A178E">
            <w:pPr>
              <w:spacing w:after="200"/>
              <w:jc w:val="center"/>
            </w:pPr>
            <w: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31BA7D38" w14:textId="77777777" w:rsidR="00904496" w:rsidRPr="00B86CFA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025963">
              <w:rPr>
                <w:b/>
                <w:u w:val="single"/>
              </w:rPr>
              <w:t>Обща сума (EUR)</w:t>
            </w:r>
          </w:p>
        </w:tc>
      </w:tr>
      <w:tr w:rsidR="00904496" w:rsidRPr="005B672C" w14:paraId="78D1D9B5" w14:textId="77777777" w:rsidTr="00EA0A0C">
        <w:tc>
          <w:tcPr>
            <w:tcW w:w="2093" w:type="dxa"/>
          </w:tcPr>
          <w:p w14:paraId="15E8456C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ABBF5D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67D1DB2A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0A04B959" w14:textId="77777777" w:rsidTr="00EA0A0C">
        <w:tc>
          <w:tcPr>
            <w:tcW w:w="2093" w:type="dxa"/>
          </w:tcPr>
          <w:p w14:paraId="2599F3D6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E2C0E9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B398DE1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43C09E87" w14:textId="77777777" w:rsidTr="00EA0A0C">
        <w:tc>
          <w:tcPr>
            <w:tcW w:w="2093" w:type="dxa"/>
          </w:tcPr>
          <w:p w14:paraId="72473F2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24FBC3A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7F4C1E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045ED8EA" w14:textId="77777777" w:rsidTr="00EA0A0C">
        <w:tc>
          <w:tcPr>
            <w:tcW w:w="2093" w:type="dxa"/>
          </w:tcPr>
          <w:p w14:paraId="4F8E7D6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86EBD61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B63F29A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73A0F754" w14:textId="77777777" w:rsidTr="00EA0A0C">
        <w:tc>
          <w:tcPr>
            <w:tcW w:w="2093" w:type="dxa"/>
          </w:tcPr>
          <w:p w14:paraId="45B429C0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BB2930D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7CC02D90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013D41D6" w14:textId="77777777" w:rsidR="00904496" w:rsidRDefault="00904496" w:rsidP="00904496">
      <w:pPr>
        <w:jc w:val="both"/>
      </w:pPr>
    </w:p>
    <w:p w14:paraId="26136D02" w14:textId="77777777" w:rsidR="00904496" w:rsidRPr="00904496" w:rsidRDefault="00904496" w:rsidP="00904496">
      <w:pPr>
        <w:jc w:val="both"/>
      </w:pPr>
    </w:p>
    <w:p w14:paraId="5249BD65" w14:textId="003CBEDF" w:rsidR="007F31A7" w:rsidRDefault="00E81ECE" w:rsidP="007F31A7">
      <w:pPr>
        <w:rPr>
          <w:shd w:val="clear" w:color="auto" w:fill="FFFFFF"/>
          <w:lang w:val="bg-BG" w:eastAsia="en-US"/>
        </w:rPr>
      </w:pPr>
      <w:r w:rsidRPr="00100DC4">
        <w:rPr>
          <w:shd w:val="clear" w:color="auto" w:fill="FFFFFF"/>
          <w:lang w:val="bg-BG" w:eastAsia="en-US"/>
        </w:rPr>
        <w:t>Изготвил</w:t>
      </w:r>
      <w:r w:rsidR="006D3F5A" w:rsidRPr="00B90B08">
        <w:rPr>
          <w:shd w:val="clear" w:color="auto" w:fill="FFFFFF"/>
          <w:lang w:eastAsia="en-US"/>
        </w:rPr>
        <w:t>:</w:t>
      </w:r>
      <w:r w:rsidRPr="00100DC4">
        <w:rPr>
          <w:shd w:val="clear" w:color="auto" w:fill="FFFFFF"/>
          <w:lang w:val="bg-BG" w:eastAsia="en-US"/>
        </w:rPr>
        <w:t xml:space="preserve"> (служител</w:t>
      </w:r>
      <w:r w:rsidR="00100DC4">
        <w:rPr>
          <w:shd w:val="clear" w:color="auto" w:fill="FFFFFF"/>
          <w:lang w:val="bg-BG" w:eastAsia="en-US"/>
        </w:rPr>
        <w:t>,</w:t>
      </w:r>
      <w:r w:rsidRPr="00100DC4">
        <w:rPr>
          <w:shd w:val="clear" w:color="auto" w:fill="FFFFFF"/>
          <w:lang w:val="bg-BG" w:eastAsia="en-US"/>
        </w:rPr>
        <w:t xml:space="preserve"> </w:t>
      </w:r>
      <w:r w:rsidR="00100DC4" w:rsidRPr="00100DC4">
        <w:rPr>
          <w:shd w:val="clear" w:color="auto" w:fill="FFFFFF"/>
          <w:lang w:val="bg-BG" w:eastAsia="en-US"/>
        </w:rPr>
        <w:t xml:space="preserve">отговорен </w:t>
      </w:r>
      <w:r w:rsidR="006D3F5A" w:rsidRPr="00100DC4">
        <w:rPr>
          <w:shd w:val="clear" w:color="auto" w:fill="FFFFFF"/>
          <w:lang w:val="bg-BG" w:eastAsia="en-US"/>
        </w:rPr>
        <w:t>за одитите</w:t>
      </w:r>
      <w:r w:rsidR="00A84AC1" w:rsidRPr="00100DC4">
        <w:rPr>
          <w:shd w:val="clear" w:color="auto" w:fill="FFFFFF"/>
          <w:lang w:val="bg-BG" w:eastAsia="en-US"/>
        </w:rPr>
        <w:t>):</w:t>
      </w:r>
    </w:p>
    <w:p w14:paraId="71F39E99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55CA3818" w14:textId="77777777" w:rsidR="00137A3E" w:rsidRDefault="00137A3E" w:rsidP="007F31A7">
      <w:pPr>
        <w:rPr>
          <w:shd w:val="clear" w:color="auto" w:fill="FFFFFF"/>
          <w:lang w:val="bg-BG" w:eastAsia="en-US"/>
        </w:rPr>
      </w:pPr>
    </w:p>
    <w:p w14:paraId="2A184014" w14:textId="48613F67" w:rsidR="00400C84" w:rsidRDefault="00400C84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Съгласували:</w:t>
      </w:r>
    </w:p>
    <w:p w14:paraId="7F5F19B3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7E69F171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1608159" w14:textId="77777777" w:rsidR="00400C84" w:rsidRDefault="00400C84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ПД):</w:t>
      </w:r>
    </w:p>
    <w:p w14:paraId="2E4F1291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2A881959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241288C" w14:textId="77777777" w:rsidR="00400C84" w:rsidRDefault="00400C84" w:rsidP="00400C84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lastRenderedPageBreak/>
        <w:t>(началник на отдел МВ):</w:t>
      </w:r>
    </w:p>
    <w:p w14:paraId="58BD6C0F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75E7562F" w14:textId="77777777" w:rsidR="00A84AC1" w:rsidRDefault="00A84AC1" w:rsidP="007F31A7">
      <w:pPr>
        <w:rPr>
          <w:shd w:val="clear" w:color="auto" w:fill="FFFFFF"/>
          <w:lang w:val="bg-BG" w:eastAsia="en-US"/>
        </w:rPr>
      </w:pPr>
    </w:p>
    <w:p w14:paraId="46E24801" w14:textId="77777777" w:rsidR="00400C84" w:rsidRDefault="00400C84" w:rsidP="00400C84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>(началник на отдел ФУ):</w:t>
      </w:r>
    </w:p>
    <w:p w14:paraId="71F11CCF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49EB3838" w14:textId="77777777" w:rsidR="00400C84" w:rsidRDefault="00400C84" w:rsidP="007F31A7">
      <w:pPr>
        <w:rPr>
          <w:shd w:val="clear" w:color="auto" w:fill="FFFFFF"/>
          <w:lang w:val="bg-BG" w:eastAsia="en-US"/>
        </w:rPr>
      </w:pPr>
    </w:p>
    <w:p w14:paraId="5FD8A278" w14:textId="35732131" w:rsidR="00A84AC1" w:rsidRDefault="00A84AC1" w:rsidP="007F31A7">
      <w:pPr>
        <w:rPr>
          <w:shd w:val="clear" w:color="auto" w:fill="FFFFFF"/>
          <w:lang w:val="bg-BG" w:eastAsia="en-US"/>
        </w:rPr>
      </w:pPr>
      <w:r>
        <w:rPr>
          <w:shd w:val="clear" w:color="auto" w:fill="FFFFFF"/>
          <w:lang w:val="bg-BG" w:eastAsia="en-US"/>
        </w:rPr>
        <w:t xml:space="preserve">(началник на отдел </w:t>
      </w:r>
      <w:r w:rsidR="00100DC4">
        <w:rPr>
          <w:shd w:val="clear" w:color="auto" w:fill="FFFFFF"/>
          <w:lang w:val="bg-BG" w:eastAsia="en-US"/>
        </w:rPr>
        <w:t>ОПАК</w:t>
      </w:r>
      <w:r>
        <w:rPr>
          <w:shd w:val="clear" w:color="auto" w:fill="FFFFFF"/>
          <w:lang w:val="bg-BG" w:eastAsia="en-US"/>
        </w:rPr>
        <w:t>)</w:t>
      </w:r>
      <w:r w:rsidR="00382469">
        <w:rPr>
          <w:shd w:val="clear" w:color="auto" w:fill="FFFFFF"/>
          <w:lang w:val="bg-BG" w:eastAsia="en-US"/>
        </w:rPr>
        <w:t>:</w:t>
      </w:r>
    </w:p>
    <w:sectPr w:rsidR="00A84AC1" w:rsidSect="00EA0A0C"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8646" w14:textId="77777777" w:rsidR="007F31A7" w:rsidRDefault="007F31A7" w:rsidP="007F31A7">
      <w:r>
        <w:separator/>
      </w:r>
    </w:p>
  </w:endnote>
  <w:endnote w:type="continuationSeparator" w:id="0">
    <w:p w14:paraId="31A0C3C5" w14:textId="77777777" w:rsidR="007F31A7" w:rsidRDefault="007F31A7" w:rsidP="007F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6C0C" w14:textId="77777777" w:rsidR="00610CD3" w:rsidRDefault="00806632" w:rsidP="00B73F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5F42E" w14:textId="77777777" w:rsidR="00610CD3" w:rsidRDefault="003752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313D3" w14:textId="03B3D914" w:rsidR="00610CD3" w:rsidRDefault="00137A3E">
    <w:pPr>
      <w:pStyle w:val="Footer"/>
      <w:jc w:val="center"/>
    </w:pPr>
    <w:r>
      <w:rPr>
        <w:lang w:val="bg-BG"/>
      </w:rPr>
      <w:t xml:space="preserve">Стр.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PAGE </w:instrText>
    </w:r>
    <w:r w:rsidR="00806632">
      <w:rPr>
        <w:b/>
        <w:bCs/>
      </w:rPr>
      <w:fldChar w:fldCharType="separate"/>
    </w:r>
    <w:r w:rsidR="00375225">
      <w:rPr>
        <w:b/>
        <w:bCs/>
        <w:noProof/>
      </w:rPr>
      <w:t>7</w:t>
    </w:r>
    <w:r w:rsidR="00806632">
      <w:rPr>
        <w:b/>
        <w:bCs/>
      </w:rPr>
      <w:fldChar w:fldCharType="end"/>
    </w:r>
    <w:r w:rsidR="00806632">
      <w:t xml:space="preserve"> </w:t>
    </w:r>
    <w:r>
      <w:rPr>
        <w:lang w:val="bg-BG"/>
      </w:rPr>
      <w:t>от</w:t>
    </w:r>
    <w:r w:rsidR="00806632">
      <w:t xml:space="preserve">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NUMPAGES  </w:instrText>
    </w:r>
    <w:r w:rsidR="00806632">
      <w:rPr>
        <w:b/>
        <w:bCs/>
      </w:rPr>
      <w:fldChar w:fldCharType="separate"/>
    </w:r>
    <w:r w:rsidR="00375225">
      <w:rPr>
        <w:b/>
        <w:bCs/>
        <w:noProof/>
      </w:rPr>
      <w:t>7</w:t>
    </w:r>
    <w:r w:rsidR="00806632">
      <w:rPr>
        <w:b/>
        <w:bCs/>
      </w:rPr>
      <w:fldChar w:fldCharType="end"/>
    </w:r>
  </w:p>
  <w:p w14:paraId="3F6C6F00" w14:textId="77777777" w:rsidR="00610CD3" w:rsidRPr="00A1274D" w:rsidRDefault="00375225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5FC2A" w14:textId="77777777" w:rsidR="007F31A7" w:rsidRDefault="007F31A7" w:rsidP="007F31A7">
      <w:r>
        <w:separator/>
      </w:r>
    </w:p>
  </w:footnote>
  <w:footnote w:type="continuationSeparator" w:id="0">
    <w:p w14:paraId="76D316D3" w14:textId="77777777" w:rsidR="007F31A7" w:rsidRDefault="007F31A7" w:rsidP="007F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D2C2D" w14:textId="77777777" w:rsidR="0037619F" w:rsidRDefault="00806632">
    <w:pPr>
      <w:pStyle w:val="Header"/>
    </w:pPr>
    <w:r w:rsidRPr="002F415C">
      <w:rPr>
        <w:rFonts w:ascii="Arial" w:hAnsi="Arial" w:cs="Arial"/>
        <w:sz w:val="16"/>
        <w:szCs w:val="16"/>
        <w:lang w:val="en-GB"/>
      </w:rPr>
      <w:t>EGESIF</w:t>
    </w:r>
    <w:r>
      <w:rPr>
        <w:rFonts w:ascii="Arial" w:hAnsi="Arial" w:cs="Arial"/>
        <w:sz w:val="16"/>
        <w:szCs w:val="16"/>
        <w:lang w:val="en-GB"/>
      </w:rPr>
      <w:t>_15-0008-0</w:t>
    </w:r>
    <w:r w:rsidR="00FF084A">
      <w:rPr>
        <w:rFonts w:ascii="Arial" w:hAnsi="Arial" w:cs="Arial"/>
        <w:sz w:val="16"/>
        <w:szCs w:val="16"/>
        <w:lang w:val="en-GB"/>
      </w:rPr>
      <w:t>3</w:t>
    </w:r>
    <w:r>
      <w:rPr>
        <w:rFonts w:ascii="Arial" w:hAnsi="Arial" w:cs="Arial"/>
        <w:sz w:val="16"/>
        <w:szCs w:val="16"/>
        <w:lang w:val="en-GB"/>
      </w:rPr>
      <w:br/>
    </w:r>
    <w:r w:rsidR="00FF084A">
      <w:rPr>
        <w:rFonts w:ascii="Arial" w:hAnsi="Arial" w:cs="Arial"/>
        <w:sz w:val="16"/>
        <w:szCs w:val="16"/>
        <w:lang w:val="en-GB"/>
      </w:rPr>
      <w:t>19</w:t>
    </w:r>
    <w:r>
      <w:rPr>
        <w:rFonts w:ascii="Arial" w:hAnsi="Arial" w:cs="Arial"/>
        <w:sz w:val="16"/>
        <w:szCs w:val="16"/>
        <w:lang w:val="en-GB"/>
      </w:rPr>
      <w:t>/0</w:t>
    </w:r>
    <w:r w:rsidR="00FF084A">
      <w:rPr>
        <w:rFonts w:ascii="Arial" w:hAnsi="Arial" w:cs="Arial"/>
        <w:sz w:val="16"/>
        <w:szCs w:val="16"/>
        <w:lang w:val="en-GB"/>
      </w:rPr>
      <w:t>8</w:t>
    </w:r>
    <w:r>
      <w:rPr>
        <w:rFonts w:ascii="Arial" w:hAnsi="Arial" w:cs="Arial"/>
        <w:sz w:val="16"/>
        <w:szCs w:val="16"/>
        <w:lang w:val="en-GB"/>
      </w:rPr>
      <w:t>/2015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935AD"/>
    <w:multiLevelType w:val="hybridMultilevel"/>
    <w:tmpl w:val="93FE1A7A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5705"/>
    <w:multiLevelType w:val="hybridMultilevel"/>
    <w:tmpl w:val="2838333C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CC34E6"/>
    <w:multiLevelType w:val="hybridMultilevel"/>
    <w:tmpl w:val="3E6AD6C2"/>
    <w:lvl w:ilvl="0" w:tplc="09DE0AB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1485F"/>
    <w:multiLevelType w:val="hybridMultilevel"/>
    <w:tmpl w:val="755008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60848"/>
    <w:multiLevelType w:val="hybridMultilevel"/>
    <w:tmpl w:val="BAB2B274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B6248"/>
    <w:multiLevelType w:val="hybridMultilevel"/>
    <w:tmpl w:val="725A8334"/>
    <w:lvl w:ilvl="0" w:tplc="8482E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022BE"/>
    <w:multiLevelType w:val="hybridMultilevel"/>
    <w:tmpl w:val="81B8F114"/>
    <w:lvl w:ilvl="0" w:tplc="A886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D0E7E"/>
    <w:multiLevelType w:val="hybridMultilevel"/>
    <w:tmpl w:val="62F6F6D4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13089F"/>
    <w:multiLevelType w:val="hybridMultilevel"/>
    <w:tmpl w:val="C872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A7"/>
    <w:rsid w:val="00015CC7"/>
    <w:rsid w:val="00025963"/>
    <w:rsid w:val="00071963"/>
    <w:rsid w:val="0007768C"/>
    <w:rsid w:val="00093243"/>
    <w:rsid w:val="00100DC4"/>
    <w:rsid w:val="001179F4"/>
    <w:rsid w:val="00137A3E"/>
    <w:rsid w:val="00176A0E"/>
    <w:rsid w:val="00186F16"/>
    <w:rsid w:val="00194646"/>
    <w:rsid w:val="001D2C6C"/>
    <w:rsid w:val="00240ADC"/>
    <w:rsid w:val="002E0F23"/>
    <w:rsid w:val="00333FA3"/>
    <w:rsid w:val="00375225"/>
    <w:rsid w:val="00382469"/>
    <w:rsid w:val="00382D2A"/>
    <w:rsid w:val="00391180"/>
    <w:rsid w:val="00400C84"/>
    <w:rsid w:val="00454B82"/>
    <w:rsid w:val="004D4B8C"/>
    <w:rsid w:val="00517628"/>
    <w:rsid w:val="005227A8"/>
    <w:rsid w:val="0055153E"/>
    <w:rsid w:val="005664E9"/>
    <w:rsid w:val="005A6F7E"/>
    <w:rsid w:val="005B672C"/>
    <w:rsid w:val="006D3F5A"/>
    <w:rsid w:val="006F59F3"/>
    <w:rsid w:val="00744A42"/>
    <w:rsid w:val="00777859"/>
    <w:rsid w:val="007F31A7"/>
    <w:rsid w:val="00806632"/>
    <w:rsid w:val="00810076"/>
    <w:rsid w:val="00895C7C"/>
    <w:rsid w:val="008A3958"/>
    <w:rsid w:val="008F188E"/>
    <w:rsid w:val="00904496"/>
    <w:rsid w:val="00931726"/>
    <w:rsid w:val="009763F0"/>
    <w:rsid w:val="009F6F8D"/>
    <w:rsid w:val="00A13AB1"/>
    <w:rsid w:val="00A5732A"/>
    <w:rsid w:val="00A84AC1"/>
    <w:rsid w:val="00A9207B"/>
    <w:rsid w:val="00A9606C"/>
    <w:rsid w:val="00A97E04"/>
    <w:rsid w:val="00AB0A77"/>
    <w:rsid w:val="00AD2210"/>
    <w:rsid w:val="00B365E1"/>
    <w:rsid w:val="00B733BC"/>
    <w:rsid w:val="00B83045"/>
    <w:rsid w:val="00B86CFA"/>
    <w:rsid w:val="00B90B08"/>
    <w:rsid w:val="00BA50ED"/>
    <w:rsid w:val="00BA61A6"/>
    <w:rsid w:val="00C62777"/>
    <w:rsid w:val="00D17C2A"/>
    <w:rsid w:val="00D32BCF"/>
    <w:rsid w:val="00D9275D"/>
    <w:rsid w:val="00DC72C2"/>
    <w:rsid w:val="00DE3B50"/>
    <w:rsid w:val="00E013AC"/>
    <w:rsid w:val="00E26E79"/>
    <w:rsid w:val="00E327E1"/>
    <w:rsid w:val="00E81ECE"/>
    <w:rsid w:val="00E97AD1"/>
    <w:rsid w:val="00EA0A0C"/>
    <w:rsid w:val="00EA1735"/>
    <w:rsid w:val="00EB0A6B"/>
    <w:rsid w:val="00F501A5"/>
    <w:rsid w:val="00FA7328"/>
    <w:rsid w:val="00FD244F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F2E4"/>
  <w15:docId w15:val="{51941E82-5025-4820-B350-C12E32EF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qFormat/>
    <w:rsid w:val="007F31A7"/>
    <w:pPr>
      <w:widowControl w:val="0"/>
      <w:autoSpaceDE w:val="0"/>
      <w:autoSpaceDN w:val="0"/>
      <w:adjustRightInd w:val="0"/>
      <w:outlineLvl w:val="0"/>
    </w:pPr>
    <w:rPr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31A7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Footer">
    <w:name w:val="footer"/>
    <w:basedOn w:val="Normal"/>
    <w:link w:val="Foot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rsid w:val="007F31A7"/>
  </w:style>
  <w:style w:type="paragraph" w:styleId="Header">
    <w:name w:val="header"/>
    <w:basedOn w:val="Normal"/>
    <w:link w:val="Head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ListParagraph">
    <w:name w:val="List Paragraph"/>
    <w:basedOn w:val="Normal"/>
    <w:uiPriority w:val="34"/>
    <w:qFormat/>
    <w:rsid w:val="001D2C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7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85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859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859"/>
    <w:rPr>
      <w:rFonts w:ascii="Segoe UI" w:eastAsia="Times New Roman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Личева</dc:creator>
  <cp:lastModifiedBy>Елисавета Марашлиева-Нинова</cp:lastModifiedBy>
  <cp:revision>12</cp:revision>
  <dcterms:created xsi:type="dcterms:W3CDTF">2018-06-11T09:27:00Z</dcterms:created>
  <dcterms:modified xsi:type="dcterms:W3CDTF">2019-01-28T13:24:00Z</dcterms:modified>
</cp:coreProperties>
</file>