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2401"/>
      </w:tblGrid>
      <w:tr w:rsidR="00B5043F" w:rsidRPr="00BF2358" w14:paraId="4702EAFB" w14:textId="77777777" w:rsidTr="00342277">
        <w:trPr>
          <w:trHeight w:val="743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6CB952CD" w14:textId="77777777" w:rsidR="00B5043F" w:rsidRPr="00BF2358" w:rsidRDefault="00DE0C62" w:rsidP="00C9059C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B5043F" w:rsidRPr="00BF2358">
              <w:rPr>
                <w:b/>
                <w:i/>
                <w:iCs/>
                <w:sz w:val="22"/>
                <w:szCs w:val="22"/>
                <w:lang w:val="bg-BG"/>
              </w:rPr>
              <w:t xml:space="preserve">инистерския съвет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1CAA6528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</w:p>
          <w:p w14:paraId="4FF76B8C" w14:textId="77777777" w:rsidR="00B5043F" w:rsidRPr="00BF2358" w:rsidRDefault="00B5043F" w:rsidP="0046792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46792B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BF2358">
              <w:rPr>
                <w:b/>
                <w:sz w:val="22"/>
                <w:szCs w:val="22"/>
                <w:lang w:val="bg-BG"/>
              </w:rPr>
              <w:t>„Добро управление” 2014-2020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vAlign w:val="center"/>
          </w:tcPr>
          <w:p w14:paraId="61E5C6A7" w14:textId="77777777" w:rsidR="00B5043F" w:rsidRPr="00DE0C62" w:rsidRDefault="0046792B" w:rsidP="00C9059C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DE0C62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DE0C62">
              <w:rPr>
                <w:b/>
                <w:bCs/>
                <w:i/>
                <w:sz w:val="22"/>
                <w:szCs w:val="22"/>
              </w:rPr>
              <w:t>IV-</w:t>
            </w:r>
            <w:r w:rsidR="00DE0C62">
              <w:rPr>
                <w:b/>
                <w:bCs/>
                <w:i/>
                <w:sz w:val="22"/>
                <w:szCs w:val="22"/>
                <w:lang w:val="bg-BG"/>
              </w:rPr>
              <w:t>П06</w:t>
            </w:r>
          </w:p>
        </w:tc>
      </w:tr>
      <w:tr w:rsidR="00B5043F" w:rsidRPr="009A3A7D" w14:paraId="52B4E50C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55FD71C1" w14:textId="77777777" w:rsidR="00342277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7701D965" w14:textId="77777777" w:rsidR="00B5043F" w:rsidRPr="00BF2358" w:rsidRDefault="00B5043F" w:rsidP="00C9059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BF2358"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8071" w:type="dxa"/>
            <w:gridSpan w:val="2"/>
            <w:shd w:val="clear" w:color="auto" w:fill="666699"/>
            <w:vAlign w:val="center"/>
          </w:tcPr>
          <w:p w14:paraId="1CFDE131" w14:textId="77777777" w:rsidR="00B5043F" w:rsidRPr="00BF2358" w:rsidRDefault="00DE1BAF" w:rsidP="009F0A1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изготвяне 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(актуализация)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на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 прогноза за плащанията </w:t>
            </w:r>
            <w:r w:rsidR="00467C75">
              <w:rPr>
                <w:b/>
                <w:color w:val="FFFFFF"/>
                <w:sz w:val="28"/>
                <w:szCs w:val="28"/>
                <w:lang w:val="bg-BG"/>
              </w:rPr>
              <w:t xml:space="preserve">и финансови данни </w:t>
            </w:r>
            <w:r w:rsidR="009F0A1B">
              <w:rPr>
                <w:b/>
                <w:color w:val="FFFFFF"/>
                <w:sz w:val="28"/>
                <w:szCs w:val="28"/>
                <w:lang w:val="bg-BG"/>
              </w:rPr>
              <w:t xml:space="preserve">до </w:t>
            </w:r>
            <w:r w:rsidR="00F31454">
              <w:rPr>
                <w:b/>
                <w:color w:val="FFFFFF"/>
                <w:sz w:val="28"/>
                <w:szCs w:val="28"/>
                <w:lang w:val="bg-BG"/>
              </w:rPr>
              <w:t>СО</w:t>
            </w:r>
            <w:r w:rsidR="00B5043F" w:rsidRPr="00BF2358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B5043F" w:rsidRPr="00BF2358" w14:paraId="742E8AE4" w14:textId="77777777" w:rsidTr="00342277">
        <w:trPr>
          <w:trHeight w:val="742"/>
          <w:tblHeader/>
          <w:jc w:val="center"/>
        </w:trPr>
        <w:tc>
          <w:tcPr>
            <w:tcW w:w="2402" w:type="dxa"/>
            <w:shd w:val="clear" w:color="auto" w:fill="auto"/>
            <w:vAlign w:val="center"/>
          </w:tcPr>
          <w:p w14:paraId="00C3EBCF" w14:textId="0A9DFFB4" w:rsidR="00B5043F" w:rsidRPr="00BF2358" w:rsidRDefault="00B5043F" w:rsidP="00594646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94646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5670" w:type="dxa"/>
            <w:vAlign w:val="center"/>
          </w:tcPr>
          <w:p w14:paraId="773A0DA2" w14:textId="77777777" w:rsidR="00B5043F" w:rsidRPr="00BF2358" w:rsidRDefault="00B5043F" w:rsidP="00C9059C">
            <w:pPr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 xml:space="preserve">Одобрен от: </w:t>
            </w:r>
          </w:p>
          <w:p w14:paraId="0929EADB" w14:textId="77777777" w:rsidR="00B5043F" w:rsidRPr="00BF2358" w:rsidRDefault="00B5043F" w:rsidP="00C9059C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BF2358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ОПДУ</w:t>
            </w:r>
          </w:p>
        </w:tc>
        <w:tc>
          <w:tcPr>
            <w:tcW w:w="2401" w:type="dxa"/>
            <w:vAlign w:val="center"/>
          </w:tcPr>
          <w:p w14:paraId="28237AE6" w14:textId="4CECDBA5" w:rsidR="00B5043F" w:rsidRPr="00BF2358" w:rsidRDefault="00342277" w:rsidP="009A3A7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39339A">
              <w:rPr>
                <w:sz w:val="22"/>
                <w:szCs w:val="22"/>
                <w:lang w:val="bg-BG"/>
              </w:rPr>
              <w:t>2</w:t>
            </w:r>
            <w:r w:rsidR="009A3A7D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594646">
              <w:rPr>
                <w:sz w:val="22"/>
                <w:szCs w:val="22"/>
                <w:lang w:val="bg-BG"/>
              </w:rPr>
              <w:t>.01.2020</w:t>
            </w:r>
            <w:r w:rsidR="00D02FE1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389335A7" w14:textId="77777777" w:rsidR="00B5043F" w:rsidRPr="00BF2358" w:rsidRDefault="00B5043F">
      <w:pPr>
        <w:rPr>
          <w:lang w:val="bg-BG"/>
        </w:rPr>
      </w:pPr>
    </w:p>
    <w:tbl>
      <w:tblPr>
        <w:tblW w:w="10555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65"/>
        <w:gridCol w:w="1239"/>
        <w:gridCol w:w="4536"/>
        <w:gridCol w:w="2348"/>
      </w:tblGrid>
      <w:tr w:rsidR="00B612DF" w:rsidRPr="00BF2358" w14:paraId="4B811D2D" w14:textId="77777777" w:rsidTr="00D74498">
        <w:trPr>
          <w:tblHeader/>
          <w:jc w:val="center"/>
        </w:trPr>
        <w:tc>
          <w:tcPr>
            <w:tcW w:w="5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</w:tcPr>
          <w:p w14:paraId="027E2602" w14:textId="77777777" w:rsidR="00B612DF" w:rsidRPr="00BF2358" w:rsidRDefault="00B612DF" w:rsidP="0046792B">
            <w:pPr>
              <w:tabs>
                <w:tab w:val="left" w:pos="156"/>
              </w:tabs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86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3C84C224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23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C18A763" w14:textId="77777777" w:rsidR="00B612DF" w:rsidRPr="00BF2358" w:rsidRDefault="00B612DF" w:rsidP="00E02D06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53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8DA564E" w14:textId="77777777" w:rsidR="00B612DF" w:rsidRPr="00BF2358" w:rsidRDefault="00B612DF" w:rsidP="00C9059C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1B2DEA45" w14:textId="77777777" w:rsidR="00B612DF" w:rsidRPr="00BF2358" w:rsidRDefault="00B612DF" w:rsidP="00BE050B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BF2358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47799A" w:rsidRPr="009A3A7D" w14:paraId="69D3D41B" w14:textId="77777777" w:rsidTr="00D74498">
        <w:trPr>
          <w:trHeight w:val="741"/>
          <w:jc w:val="center"/>
        </w:trPr>
        <w:tc>
          <w:tcPr>
            <w:tcW w:w="567" w:type="dxa"/>
            <w:tcBorders>
              <w:top w:val="single" w:sz="12" w:space="0" w:color="0000FF"/>
              <w:bottom w:val="single" w:sz="2" w:space="0" w:color="0000FF"/>
            </w:tcBorders>
            <w:vAlign w:val="center"/>
          </w:tcPr>
          <w:p w14:paraId="33492575" w14:textId="77777777" w:rsidR="0047799A" w:rsidRPr="00763DC0" w:rsidRDefault="0047799A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1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82ED8BE" w14:textId="77777777" w:rsidR="0047799A" w:rsidRPr="00985871" w:rsidRDefault="00A0436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Прогнози за плащания от бенефициентите</w:t>
            </w:r>
          </w:p>
        </w:tc>
        <w:tc>
          <w:tcPr>
            <w:tcW w:w="1239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83D9F54" w14:textId="77777777" w:rsidR="0047799A" w:rsidRPr="009C0B36" w:rsidRDefault="0046792B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ФЕ 1</w:t>
            </w:r>
          </w:p>
        </w:tc>
        <w:tc>
          <w:tcPr>
            <w:tcW w:w="4536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12BCCA7F" w14:textId="77777777" w:rsidR="00594646" w:rsidRPr="00472833" w:rsidRDefault="0046792B" w:rsidP="00266AAF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При </w:t>
            </w:r>
            <w:r w:rsidR="00F80434" w:rsidRPr="00472833">
              <w:rPr>
                <w:sz w:val="18"/>
                <w:szCs w:val="18"/>
                <w:lang w:val="bg-BG"/>
              </w:rPr>
              <w:t>обработка на всяко искане за плащане (ИП) от бенефициентите се актуализира файл „Прогноза за плащания на бенефициентите</w:t>
            </w:r>
            <w:r w:rsidR="00B8618D" w:rsidRPr="00472833">
              <w:rPr>
                <w:sz w:val="18"/>
                <w:szCs w:val="18"/>
                <w:lang w:val="bg-BG"/>
              </w:rPr>
              <w:t xml:space="preserve"> (</w:t>
            </w:r>
            <w:r w:rsidR="00B8618D" w:rsidRPr="00472833">
              <w:rPr>
                <w:sz w:val="18"/>
                <w:szCs w:val="18"/>
                <w:lang w:val="en-US"/>
              </w:rPr>
              <w:t>Disbursement</w:t>
            </w:r>
            <w:r w:rsidR="00B8618D" w:rsidRPr="00472833">
              <w:rPr>
                <w:sz w:val="18"/>
                <w:szCs w:val="18"/>
                <w:lang w:val="bg-BG"/>
              </w:rPr>
              <w:t xml:space="preserve"> </w:t>
            </w:r>
            <w:r w:rsidR="00B8618D" w:rsidRPr="00472833">
              <w:rPr>
                <w:sz w:val="18"/>
                <w:szCs w:val="18"/>
                <w:lang w:val="en-US"/>
              </w:rPr>
              <w:t>forecast</w:t>
            </w:r>
            <w:r w:rsidR="00B8618D" w:rsidRPr="00472833">
              <w:rPr>
                <w:sz w:val="18"/>
                <w:szCs w:val="18"/>
                <w:lang w:val="bg-BG"/>
              </w:rPr>
              <w:t>)</w:t>
            </w:r>
            <w:r w:rsidR="00F80434" w:rsidRPr="00472833">
              <w:rPr>
                <w:sz w:val="18"/>
                <w:szCs w:val="18"/>
                <w:lang w:val="bg-BG"/>
              </w:rPr>
              <w:t>“ (</w:t>
            </w:r>
            <w:r w:rsidR="009879C3" w:rsidRPr="00472833">
              <w:rPr>
                <w:i/>
                <w:sz w:val="18"/>
                <w:szCs w:val="18"/>
                <w:lang w:val="bg-BG"/>
              </w:rPr>
              <w:t xml:space="preserve">Приложение </w:t>
            </w:r>
            <w:r w:rsidR="009879C3" w:rsidRPr="00472833">
              <w:rPr>
                <w:i/>
                <w:sz w:val="18"/>
                <w:szCs w:val="18"/>
                <w:lang w:val="en-US"/>
              </w:rPr>
              <w:t>IV</w:t>
            </w:r>
            <w:r w:rsidR="009879C3" w:rsidRPr="00472833">
              <w:rPr>
                <w:i/>
                <w:sz w:val="18"/>
                <w:szCs w:val="18"/>
                <w:lang w:val="bg-BG"/>
              </w:rPr>
              <w:t>-</w:t>
            </w:r>
            <w:r w:rsidR="009879C3" w:rsidRPr="00472833">
              <w:rPr>
                <w:i/>
                <w:sz w:val="18"/>
                <w:szCs w:val="18"/>
                <w:lang w:val="en-US"/>
              </w:rPr>
              <w:t>T</w:t>
            </w:r>
            <w:r w:rsidR="009879C3" w:rsidRPr="00472833">
              <w:rPr>
                <w:i/>
                <w:sz w:val="18"/>
                <w:szCs w:val="18"/>
                <w:lang w:val="bg-BG"/>
              </w:rPr>
              <w:t>06-2</w:t>
            </w:r>
            <w:r w:rsidR="00F80434" w:rsidRPr="00472833">
              <w:rPr>
                <w:sz w:val="18"/>
                <w:szCs w:val="18"/>
                <w:lang w:val="bg-BG"/>
              </w:rPr>
              <w:t xml:space="preserve">). </w:t>
            </w:r>
          </w:p>
          <w:p w14:paraId="4F163D18" w14:textId="4C72F8B0" w:rsidR="0047799A" w:rsidRPr="00472833" w:rsidRDefault="00F80434" w:rsidP="005946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Файлът се актуализира </w:t>
            </w:r>
            <w:r w:rsidR="00594646" w:rsidRPr="00472833">
              <w:rPr>
                <w:sz w:val="18"/>
                <w:szCs w:val="18"/>
                <w:lang w:val="bg-BG"/>
              </w:rPr>
              <w:t>своевременно, но не по-късно от месечното засичане по т. 2</w:t>
            </w:r>
            <w:r w:rsidRPr="00472833">
              <w:rPr>
                <w:sz w:val="18"/>
                <w:szCs w:val="18"/>
                <w:lang w:val="bg-BG"/>
              </w:rPr>
              <w:t xml:space="preserve"> – с </w:t>
            </w:r>
            <w:proofErr w:type="spellStart"/>
            <w:r w:rsidRPr="00472833">
              <w:rPr>
                <w:sz w:val="18"/>
                <w:szCs w:val="18"/>
                <w:lang w:val="bg-BG"/>
              </w:rPr>
              <w:t>новоподписани</w:t>
            </w:r>
            <w:proofErr w:type="spellEnd"/>
            <w:r w:rsidRPr="00472833">
              <w:rPr>
                <w:sz w:val="18"/>
                <w:szCs w:val="18"/>
                <w:lang w:val="bg-BG"/>
              </w:rPr>
              <w:t xml:space="preserve"> договори, извършени плащания, преразгледани прогнози за последващи ИП.</w:t>
            </w:r>
          </w:p>
        </w:tc>
        <w:tc>
          <w:tcPr>
            <w:tcW w:w="2348" w:type="dxa"/>
            <w:tcBorders>
              <w:top w:val="single" w:sz="1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332AAEC" w14:textId="29D7F58A" w:rsidR="0047799A" w:rsidRPr="00D74498" w:rsidRDefault="00A04364" w:rsidP="00B8618D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До 2</w:t>
            </w:r>
            <w:r w:rsidR="00F80434" w:rsidRPr="00472833">
              <w:rPr>
                <w:sz w:val="18"/>
                <w:szCs w:val="18"/>
                <w:lang w:val="bg-BG"/>
              </w:rPr>
              <w:t>-</w:t>
            </w:r>
            <w:r w:rsidR="00B8618D" w:rsidRPr="00472833">
              <w:rPr>
                <w:sz w:val="18"/>
                <w:szCs w:val="18"/>
                <w:lang w:val="bg-BG"/>
              </w:rPr>
              <w:t>р</w:t>
            </w:r>
            <w:r w:rsidR="00F80434" w:rsidRPr="00472833">
              <w:rPr>
                <w:sz w:val="18"/>
                <w:szCs w:val="18"/>
                <w:lang w:val="bg-BG"/>
              </w:rPr>
              <w:t>ия работен ден</w:t>
            </w:r>
            <w:r w:rsidRPr="00472833">
              <w:rPr>
                <w:sz w:val="18"/>
                <w:szCs w:val="18"/>
                <w:lang w:val="bg-BG"/>
              </w:rPr>
              <w:t xml:space="preserve"> след </w:t>
            </w:r>
            <w:r w:rsidR="00F80434" w:rsidRPr="00472833">
              <w:rPr>
                <w:sz w:val="18"/>
                <w:szCs w:val="18"/>
                <w:lang w:val="bg-BG"/>
              </w:rPr>
              <w:t xml:space="preserve">края на </w:t>
            </w:r>
            <w:r w:rsidRPr="00472833">
              <w:rPr>
                <w:sz w:val="18"/>
                <w:szCs w:val="18"/>
                <w:lang w:val="bg-BG"/>
              </w:rPr>
              <w:t>текущия</w:t>
            </w:r>
            <w:r w:rsidR="008849DF" w:rsidRPr="00472833">
              <w:rPr>
                <w:sz w:val="18"/>
                <w:szCs w:val="18"/>
                <w:lang w:val="bg-BG"/>
              </w:rPr>
              <w:t xml:space="preserve"> месец</w:t>
            </w:r>
          </w:p>
        </w:tc>
      </w:tr>
      <w:tr w:rsidR="00E02D06" w:rsidRPr="009A3A7D" w14:paraId="2871DA94" w14:textId="77777777" w:rsidTr="00D74498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7E7D0EBC" w14:textId="77777777" w:rsidR="00E02D06" w:rsidRPr="00763DC0" w:rsidRDefault="00E02D0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EAB36F6" w14:textId="0F6B37A7" w:rsidR="00E02D06" w:rsidRPr="00985871" w:rsidRDefault="00A0436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Месечно засичане</w:t>
            </w:r>
            <w:r w:rsidR="00594646" w:rsidRPr="00472833">
              <w:rPr>
                <w:sz w:val="18"/>
                <w:szCs w:val="18"/>
                <w:lang w:val="bg-BG"/>
              </w:rPr>
              <w:t xml:space="preserve"> на </w:t>
            </w:r>
            <w:r w:rsidR="00594646" w:rsidRPr="00985871">
              <w:rPr>
                <w:sz w:val="18"/>
                <w:szCs w:val="18"/>
                <w:lang w:val="en-US"/>
              </w:rPr>
              <w:t>DF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9684E2A" w14:textId="77777777" w:rsidR="00E02D06" w:rsidRPr="009C0B36" w:rsidRDefault="00F80434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ФЕ 1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18B7016" w14:textId="2873B695" w:rsidR="00E02D06" w:rsidRPr="00472833" w:rsidRDefault="00F80434" w:rsidP="005946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На ротационен принцип, ФЕ 1 извърш</w:t>
            </w:r>
            <w:r w:rsidR="00594646" w:rsidRPr="009C0B36">
              <w:rPr>
                <w:sz w:val="18"/>
                <w:szCs w:val="18"/>
                <w:lang w:val="bg-BG"/>
              </w:rPr>
              <w:t>ва</w:t>
            </w:r>
            <w:r w:rsidRPr="009C0B36">
              <w:rPr>
                <w:sz w:val="18"/>
                <w:szCs w:val="18"/>
                <w:lang w:val="bg-BG"/>
              </w:rPr>
              <w:t xml:space="preserve"> месечно засичане на файл „</w:t>
            </w:r>
            <w:r w:rsidRPr="00472833">
              <w:rPr>
                <w:sz w:val="18"/>
                <w:szCs w:val="18"/>
                <w:lang w:val="en-US"/>
              </w:rPr>
              <w:t>Disbursement</w:t>
            </w:r>
            <w:r w:rsidRPr="00472833">
              <w:rPr>
                <w:sz w:val="18"/>
                <w:szCs w:val="18"/>
                <w:lang w:val="bg-BG"/>
              </w:rPr>
              <w:t xml:space="preserve"> </w:t>
            </w:r>
            <w:r w:rsidRPr="00472833">
              <w:rPr>
                <w:sz w:val="18"/>
                <w:szCs w:val="18"/>
                <w:lang w:val="en-US"/>
              </w:rPr>
              <w:t>forecast</w:t>
            </w:r>
            <w:r w:rsidRPr="00472833">
              <w:rPr>
                <w:sz w:val="18"/>
                <w:szCs w:val="18"/>
                <w:lang w:val="bg-BG"/>
              </w:rPr>
              <w:t xml:space="preserve">“. ФЕ 1 засича общата информация за: сключени договори, изплатени средства (за изтеклия месец и с натрупване), друго (ако е необходимо) с </w:t>
            </w:r>
            <w:r w:rsidR="0013338E" w:rsidRPr="00472833">
              <w:rPr>
                <w:sz w:val="18"/>
                <w:szCs w:val="18"/>
                <w:lang w:val="bg-BG"/>
              </w:rPr>
              <w:t>файл „ФО-ОПДУ“</w:t>
            </w:r>
            <w:r w:rsidR="00266AAF" w:rsidRPr="00472833">
              <w:rPr>
                <w:sz w:val="18"/>
                <w:szCs w:val="18"/>
                <w:lang w:val="bg-BG"/>
              </w:rPr>
              <w:t xml:space="preserve"> – </w:t>
            </w:r>
            <w:r w:rsidR="0013338E" w:rsidRPr="00472833">
              <w:rPr>
                <w:sz w:val="18"/>
                <w:szCs w:val="18"/>
                <w:lang w:val="bg-BG"/>
              </w:rPr>
              <w:t>sheet „ОБЩ“</w:t>
            </w:r>
            <w:r w:rsidRPr="00472833">
              <w:rPr>
                <w:sz w:val="18"/>
                <w:szCs w:val="18"/>
                <w:lang w:val="bg-BG"/>
              </w:rPr>
              <w:t>.</w:t>
            </w:r>
            <w:r w:rsidR="00266AAF" w:rsidRPr="00472833">
              <w:rPr>
                <w:sz w:val="18"/>
                <w:szCs w:val="18"/>
                <w:lang w:val="bg-BG"/>
              </w:rPr>
              <w:t xml:space="preserve">  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7D57B2C3" w14:textId="77777777" w:rsidR="00E02D06" w:rsidRPr="00472833" w:rsidRDefault="0013338E" w:rsidP="00F8043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До 3</w:t>
            </w:r>
            <w:r w:rsidR="00F80434" w:rsidRPr="00472833">
              <w:rPr>
                <w:sz w:val="18"/>
                <w:szCs w:val="18"/>
                <w:lang w:val="bg-BG"/>
              </w:rPr>
              <w:t>-тия работен ден</w:t>
            </w:r>
            <w:r w:rsidRPr="00472833">
              <w:rPr>
                <w:sz w:val="18"/>
                <w:szCs w:val="18"/>
                <w:lang w:val="bg-BG"/>
              </w:rPr>
              <w:t xml:space="preserve"> след </w:t>
            </w:r>
            <w:r w:rsidR="00F80434" w:rsidRPr="00472833">
              <w:rPr>
                <w:sz w:val="18"/>
                <w:szCs w:val="18"/>
                <w:lang w:val="bg-BG"/>
              </w:rPr>
              <w:t xml:space="preserve">края на </w:t>
            </w:r>
            <w:r w:rsidRPr="00472833">
              <w:rPr>
                <w:sz w:val="18"/>
                <w:szCs w:val="18"/>
                <w:lang w:val="bg-BG"/>
              </w:rPr>
              <w:t>текущия</w:t>
            </w:r>
            <w:r w:rsidR="00B810C7" w:rsidRPr="00472833">
              <w:rPr>
                <w:sz w:val="18"/>
                <w:szCs w:val="18"/>
                <w:lang w:val="bg-BG"/>
              </w:rPr>
              <w:t xml:space="preserve"> месец</w:t>
            </w:r>
          </w:p>
        </w:tc>
      </w:tr>
      <w:tr w:rsidR="00594646" w:rsidRPr="009A3A7D" w14:paraId="519E9F02" w14:textId="77777777" w:rsidTr="00D74498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0F5DA722" w14:textId="77777777" w:rsidR="00594646" w:rsidRPr="00763DC0" w:rsidRDefault="0059464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16E18E6F" w14:textId="18A45F34" w:rsidR="00594646" w:rsidRPr="00472833" w:rsidRDefault="00594646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Шестмесечна актуализация на </w:t>
            </w:r>
            <w:r w:rsidRPr="00472833">
              <w:rPr>
                <w:sz w:val="18"/>
                <w:szCs w:val="18"/>
                <w:lang w:val="en-US"/>
              </w:rPr>
              <w:t>DF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6621EBF3" w14:textId="389B9AB0" w:rsidR="00594646" w:rsidRPr="00985871" w:rsidRDefault="00594646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>ФЕ 1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49EC6CB" w14:textId="25D9BC2D" w:rsidR="00594646" w:rsidRPr="00714AC9" w:rsidRDefault="00472833" w:rsidP="00594646">
            <w:pPr>
              <w:spacing w:before="120" w:after="120"/>
              <w:jc w:val="both"/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</w:pPr>
            <w:r w:rsidRPr="00D74498">
              <w:rPr>
                <w:sz w:val="18"/>
                <w:szCs w:val="18"/>
                <w:lang w:val="bg-BG"/>
              </w:rPr>
              <w:t xml:space="preserve">Съгласно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чл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. 2(1)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от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Общите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условия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>/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Условията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за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изпълнение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към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договорите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за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БФП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по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ОПДУ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бенефициентът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подава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актуална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прогноза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за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предстоящи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искания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за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плащане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по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проекта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до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15</w:t>
            </w:r>
            <w:r w:rsidRPr="00714AC9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юни/15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декември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всяка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D74498">
              <w:rPr>
                <w:rFonts w:hint="eastAsia"/>
                <w:color w:val="333333"/>
                <w:sz w:val="18"/>
                <w:szCs w:val="18"/>
                <w:shd w:val="clear" w:color="auto" w:fill="FFFFFF"/>
                <w:lang w:val="bg-BG"/>
              </w:rPr>
              <w:t>година</w:t>
            </w:r>
            <w:r w:rsidRPr="00D74498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>.</w:t>
            </w:r>
            <w:r w:rsidRPr="00714AC9"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Тези прогнози се изискват с оглед изготвяне на шестмесечната прогноза към НФ.</w:t>
            </w:r>
          </w:p>
          <w:p w14:paraId="3E65A8E3" w14:textId="560A7592" w:rsidR="00472833" w:rsidRPr="00472833" w:rsidRDefault="00472833" w:rsidP="0047283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color w:val="333333"/>
                <w:sz w:val="18"/>
                <w:szCs w:val="18"/>
                <w:shd w:val="clear" w:color="auto" w:fill="FFFFFF"/>
                <w:lang w:val="bg-BG"/>
              </w:rPr>
              <w:t>ФЕ 1 извършва анализ на надеждността на получената информация, като при съществени отклонения прилага експертна оценка за тяхната корекция предвид наличната информация за напредъка в изпълнението на проекта в УО.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5D0CDD9C" w14:textId="3DBB5880" w:rsidR="00594646" w:rsidRPr="00472833" w:rsidRDefault="00472833" w:rsidP="00F8043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Своевременно при получаване на прогнозите</w:t>
            </w:r>
            <w:r w:rsidR="00985871">
              <w:rPr>
                <w:sz w:val="18"/>
                <w:szCs w:val="18"/>
                <w:lang w:val="bg-BG"/>
              </w:rPr>
              <w:t xml:space="preserve"> от бенефициентите</w:t>
            </w:r>
            <w:r>
              <w:rPr>
                <w:sz w:val="18"/>
                <w:szCs w:val="18"/>
                <w:lang w:val="bg-BG"/>
              </w:rPr>
              <w:t xml:space="preserve">, но не по-късно от </w:t>
            </w:r>
            <w:r w:rsidR="00FE758D">
              <w:rPr>
                <w:sz w:val="18"/>
                <w:szCs w:val="18"/>
                <w:lang w:val="bg-BG"/>
              </w:rPr>
              <w:t>месечното засичане по т. 2.</w:t>
            </w:r>
          </w:p>
        </w:tc>
      </w:tr>
      <w:tr w:rsidR="00EA532E" w:rsidRPr="00BF2358" w14:paraId="76252E93" w14:textId="77777777" w:rsidTr="00D74498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480490B7" w14:textId="77777777" w:rsidR="00EA532E" w:rsidRPr="00763DC0" w:rsidRDefault="00EA532E" w:rsidP="00171C9D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72308B61" w14:textId="77777777" w:rsidR="00EA532E" w:rsidRPr="00985871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Изготвяне на прогноза за сключване на договори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B5FEC58" w14:textId="77777777" w:rsidR="00EA532E" w:rsidRPr="009C0B36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Служител от отдел ПД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39FAB938" w14:textId="77777777" w:rsidR="00EA532E" w:rsidRPr="00472833" w:rsidRDefault="00EA532E" w:rsidP="00171C9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Изготвя информация за получени проектни предложения по приоритетни оси и суми в процес на оценка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62A07D99" w14:textId="77777777" w:rsidR="00EA532E" w:rsidRPr="00472833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До 4 януари</w:t>
            </w:r>
          </w:p>
          <w:p w14:paraId="41FF31C5" w14:textId="77777777" w:rsidR="00EA532E" w:rsidRPr="00472833" w:rsidRDefault="00EA532E" w:rsidP="00171C9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До 4 юли</w:t>
            </w:r>
          </w:p>
        </w:tc>
      </w:tr>
      <w:tr w:rsidR="00E02D06" w:rsidRPr="00BF2358" w14:paraId="372BE35F" w14:textId="77777777" w:rsidTr="00D74498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B230644" w14:textId="77777777" w:rsidR="00E02D06" w:rsidRPr="00763DC0" w:rsidRDefault="00E02D06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39B460A1" w14:textId="77777777" w:rsidR="00E02D06" w:rsidRPr="00472833" w:rsidRDefault="00E02D06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Анализиране на наличната информация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7EBD921" w14:textId="77777777" w:rsidR="00D42C1D" w:rsidRPr="00985871" w:rsidRDefault="006E7772" w:rsidP="00D42C1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65CF075B" w14:textId="7A3049CB" w:rsidR="00E02D06" w:rsidRDefault="00E02D06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0D1C1B">
              <w:rPr>
                <w:sz w:val="18"/>
                <w:szCs w:val="18"/>
                <w:lang w:val="bg-BG"/>
              </w:rPr>
              <w:t xml:space="preserve">Обобщава информацията </w:t>
            </w:r>
            <w:r w:rsidR="000D1C1B">
              <w:rPr>
                <w:sz w:val="18"/>
                <w:szCs w:val="18"/>
                <w:lang w:val="bg-BG"/>
              </w:rPr>
              <w:t xml:space="preserve">от </w:t>
            </w:r>
            <w:r w:rsidR="000D1C1B">
              <w:rPr>
                <w:sz w:val="18"/>
                <w:szCs w:val="18"/>
                <w:lang w:val="en-US"/>
              </w:rPr>
              <w:t>DF</w:t>
            </w:r>
            <w:r w:rsidRPr="000D1C1B">
              <w:rPr>
                <w:sz w:val="18"/>
                <w:szCs w:val="18"/>
                <w:lang w:val="bg-BG"/>
              </w:rPr>
              <w:t>.</w:t>
            </w:r>
            <w:r w:rsidR="00FE758D">
              <w:rPr>
                <w:sz w:val="18"/>
                <w:szCs w:val="18"/>
                <w:lang w:val="bg-BG"/>
              </w:rPr>
              <w:t xml:space="preserve"> Извършва допълнителен анализ, вкл. на база реализирани подобни проекти/схеми с оглед подобряване точността на допусканията при подготовката на прогнозата.</w:t>
            </w:r>
          </w:p>
          <w:p w14:paraId="0DF59C43" w14:textId="644931BA" w:rsidR="00FE758D" w:rsidRPr="00FE758D" w:rsidRDefault="00FE758D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Извършеният анализ се </w:t>
            </w:r>
            <w:proofErr w:type="spellStart"/>
            <w:r>
              <w:rPr>
                <w:sz w:val="18"/>
                <w:szCs w:val="18"/>
                <w:lang w:val="bg-BG"/>
              </w:rPr>
              <w:t>обективира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в обяснителна записка към подготвената прогноза.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44DCC893" w14:textId="211BCDC3" w:rsidR="00EA532E" w:rsidRPr="00FE758D" w:rsidRDefault="00EA532E" w:rsidP="00EA532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FE758D">
              <w:rPr>
                <w:sz w:val="18"/>
                <w:szCs w:val="18"/>
                <w:lang w:val="bg-BG"/>
              </w:rPr>
              <w:t xml:space="preserve">До </w:t>
            </w:r>
            <w:r w:rsidR="009879C3" w:rsidRPr="00FE758D">
              <w:rPr>
                <w:sz w:val="18"/>
                <w:szCs w:val="18"/>
                <w:lang w:val="bg-BG"/>
              </w:rPr>
              <w:t>5</w:t>
            </w:r>
            <w:r w:rsidRPr="00FE758D">
              <w:rPr>
                <w:sz w:val="18"/>
                <w:szCs w:val="18"/>
                <w:lang w:val="bg-BG"/>
              </w:rPr>
              <w:t xml:space="preserve"> януари</w:t>
            </w:r>
          </w:p>
          <w:p w14:paraId="7ED11BFE" w14:textId="2B6654DA" w:rsidR="00E02D06" w:rsidRPr="00985871" w:rsidRDefault="00EA532E" w:rsidP="006827B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 xml:space="preserve">До </w:t>
            </w:r>
            <w:r w:rsidR="009879C3" w:rsidRPr="00985871">
              <w:rPr>
                <w:sz w:val="18"/>
                <w:szCs w:val="18"/>
                <w:lang w:val="bg-BG"/>
              </w:rPr>
              <w:t>5</w:t>
            </w:r>
            <w:r w:rsidRPr="00985871">
              <w:rPr>
                <w:sz w:val="18"/>
                <w:szCs w:val="18"/>
                <w:lang w:val="bg-BG"/>
              </w:rPr>
              <w:t xml:space="preserve"> юли </w:t>
            </w:r>
          </w:p>
        </w:tc>
      </w:tr>
      <w:tr w:rsidR="00D42C1D" w:rsidRPr="00BF2358" w14:paraId="180360CB" w14:textId="77777777" w:rsidTr="00D74498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5A899A8F" w14:textId="77777777" w:rsidR="00D42C1D" w:rsidRPr="00763DC0" w:rsidRDefault="00D42C1D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6BFB51C3" w14:textId="5B10E900" w:rsidR="00D42C1D" w:rsidRPr="00985871" w:rsidRDefault="00D42C1D" w:rsidP="009A1FF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Изготвяне на прогноза за плащанията</w:t>
            </w:r>
            <w:r w:rsidR="009A1FFC" w:rsidRPr="00472833">
              <w:rPr>
                <w:sz w:val="18"/>
                <w:szCs w:val="18"/>
                <w:lang w:val="bg-BG"/>
              </w:rPr>
              <w:t xml:space="preserve"> съгл. чл. 14 и чл. 15 от Наредба Н-</w:t>
            </w:r>
            <w:r w:rsidR="00A568DE" w:rsidRPr="00985871">
              <w:rPr>
                <w:sz w:val="18"/>
                <w:szCs w:val="18"/>
                <w:lang w:val="bg-BG"/>
              </w:rPr>
              <w:t>3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237CA2AC" w14:textId="77777777" w:rsidR="00D42C1D" w:rsidRPr="00D74498" w:rsidRDefault="006E7772" w:rsidP="00D42C1D">
            <w:pPr>
              <w:jc w:val="center"/>
              <w:rPr>
                <w:sz w:val="18"/>
                <w:szCs w:val="18"/>
              </w:rPr>
            </w:pPr>
            <w:r w:rsidRPr="009C0B36"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7F796BA2" w14:textId="7B728DBE" w:rsidR="00D42C1D" w:rsidRPr="009C0B36" w:rsidRDefault="00D42C1D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Изготвяне на прогноза за плащанията</w:t>
            </w:r>
            <w:r w:rsidR="00AD1FBA" w:rsidRPr="00472833">
              <w:rPr>
                <w:sz w:val="18"/>
                <w:szCs w:val="18"/>
                <w:lang w:val="bg-BG"/>
              </w:rPr>
              <w:t>/актуализация на прогнозата</w:t>
            </w:r>
            <w:r w:rsidRPr="00985871">
              <w:rPr>
                <w:sz w:val="18"/>
                <w:szCs w:val="18"/>
                <w:lang w:val="bg-BG"/>
              </w:rPr>
              <w:t xml:space="preserve"> за текущата и следващата година </w:t>
            </w:r>
            <w:r w:rsidR="00266AAF" w:rsidRPr="009C0B36">
              <w:rPr>
                <w:i/>
                <w:sz w:val="18"/>
                <w:szCs w:val="18"/>
                <w:lang w:val="en-US"/>
              </w:rPr>
              <w:t>(</w:t>
            </w:r>
            <w:r w:rsidRPr="009C0B36">
              <w:rPr>
                <w:i/>
                <w:sz w:val="18"/>
                <w:szCs w:val="18"/>
                <w:lang w:val="bg-BG"/>
              </w:rPr>
              <w:t>Приложение IV-T06</w:t>
            </w:r>
            <w:r w:rsidR="00B965D6" w:rsidRPr="009C0B36">
              <w:rPr>
                <w:i/>
                <w:sz w:val="18"/>
                <w:szCs w:val="18"/>
                <w:lang w:val="bg-BG"/>
              </w:rPr>
              <w:t>-1</w:t>
            </w:r>
            <w:r w:rsidR="00266AAF" w:rsidRPr="009C0B36">
              <w:rPr>
                <w:i/>
                <w:sz w:val="18"/>
                <w:szCs w:val="18"/>
                <w:lang w:val="en-US"/>
              </w:rPr>
              <w:t>)</w:t>
            </w:r>
            <w:r w:rsidRPr="009C0B36">
              <w:rPr>
                <w:i/>
                <w:sz w:val="18"/>
                <w:szCs w:val="18"/>
                <w:lang w:val="bg-BG"/>
              </w:rPr>
              <w:t>.</w:t>
            </w:r>
          </w:p>
          <w:p w14:paraId="70232D2B" w14:textId="77777777" w:rsidR="00D42C1D" w:rsidRPr="00472833" w:rsidRDefault="00D42C1D" w:rsidP="00D42C1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Попълване на контролен лист за проверка на изготвената прогноза (</w:t>
            </w:r>
            <w:r w:rsidRPr="00472833">
              <w:rPr>
                <w:i/>
                <w:sz w:val="18"/>
                <w:szCs w:val="18"/>
                <w:lang w:val="bg-BG"/>
              </w:rPr>
              <w:t>Приложение IV-К06</w:t>
            </w:r>
            <w:r w:rsidRPr="00472833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1088CCA0" w14:textId="77777777" w:rsidR="00AD1FBA" w:rsidRPr="00472833" w:rsidRDefault="00AD1FBA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472833">
              <w:rPr>
                <w:sz w:val="18"/>
                <w:szCs w:val="18"/>
                <w:lang w:val="bg-BG"/>
              </w:rPr>
              <w:t>7</w:t>
            </w:r>
            <w:r w:rsidRPr="00472833">
              <w:rPr>
                <w:sz w:val="18"/>
                <w:szCs w:val="18"/>
                <w:lang w:val="bg-BG"/>
              </w:rPr>
              <w:t xml:space="preserve"> януари</w:t>
            </w:r>
          </w:p>
          <w:p w14:paraId="6B1ECF4B" w14:textId="77777777" w:rsidR="00D42C1D" w:rsidRPr="00472833" w:rsidRDefault="00AD1FBA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472833">
              <w:rPr>
                <w:sz w:val="18"/>
                <w:szCs w:val="18"/>
                <w:lang w:val="bg-BG"/>
              </w:rPr>
              <w:t>7</w:t>
            </w:r>
            <w:r w:rsidRPr="00472833">
              <w:rPr>
                <w:sz w:val="18"/>
                <w:szCs w:val="18"/>
                <w:lang w:val="bg-BG"/>
              </w:rPr>
              <w:t xml:space="preserve"> юли</w:t>
            </w:r>
          </w:p>
        </w:tc>
      </w:tr>
      <w:tr w:rsidR="00D42C1D" w:rsidRPr="009A3A7D" w14:paraId="265842ED" w14:textId="77777777" w:rsidTr="00D74498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54A4F8A1" w14:textId="77777777" w:rsidR="00D42C1D" w:rsidRPr="00763DC0" w:rsidRDefault="00D42C1D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57E30AC2" w14:textId="2F01BE41" w:rsidR="00D42C1D" w:rsidRPr="009C0B36" w:rsidRDefault="00D42C1D" w:rsidP="00A568D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Изготвяне на </w:t>
            </w:r>
            <w:r w:rsidRPr="00985871">
              <w:rPr>
                <w:sz w:val="18"/>
                <w:szCs w:val="18"/>
                <w:lang w:val="bg-BG"/>
              </w:rPr>
              <w:t>Финансови данни (Таблици 1</w:t>
            </w:r>
            <w:r w:rsidR="008063C5" w:rsidRPr="00985871">
              <w:rPr>
                <w:sz w:val="18"/>
                <w:szCs w:val="18"/>
                <w:lang w:val="bg-BG"/>
              </w:rPr>
              <w:t xml:space="preserve"> и</w:t>
            </w:r>
            <w:r w:rsidRPr="000D1C1B">
              <w:rPr>
                <w:sz w:val="18"/>
                <w:szCs w:val="18"/>
                <w:lang w:val="bg-BG"/>
              </w:rPr>
              <w:t xml:space="preserve"> 2)</w:t>
            </w:r>
            <w:r w:rsidR="00A568DE" w:rsidRPr="000D1C1B">
              <w:rPr>
                <w:sz w:val="18"/>
                <w:szCs w:val="18"/>
                <w:lang w:val="bg-BG"/>
              </w:rPr>
              <w:t>, съгл. чл. 17 от Наредба Н-3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3C209F40" w14:textId="77777777" w:rsidR="00D42C1D" w:rsidRPr="00D74498" w:rsidRDefault="006E7772" w:rsidP="00D42C1D">
            <w:pPr>
              <w:jc w:val="center"/>
              <w:rPr>
                <w:sz w:val="18"/>
                <w:szCs w:val="18"/>
              </w:rPr>
            </w:pPr>
            <w:r w:rsidRPr="00472833"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A8A2DDF" w14:textId="3E0B57B6" w:rsidR="00D42C1D" w:rsidRPr="009C0B36" w:rsidRDefault="00D42C1D" w:rsidP="008063C5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Изготвя </w:t>
            </w:r>
            <w:r w:rsidR="00057980" w:rsidRPr="00472833">
              <w:rPr>
                <w:sz w:val="18"/>
                <w:szCs w:val="18"/>
                <w:lang w:val="bg-BG"/>
              </w:rPr>
              <w:t>финансови данни по смисъла на чл. 112 от Регламент (ЕС) № 1303/2013 във вида и формата на п</w:t>
            </w:r>
            <w:r w:rsidRPr="00985871">
              <w:rPr>
                <w:sz w:val="18"/>
                <w:szCs w:val="18"/>
                <w:lang w:val="bg-BG"/>
              </w:rPr>
              <w:t xml:space="preserve">риложение ІІ </w:t>
            </w:r>
            <w:r w:rsidR="00057980" w:rsidRPr="00985871">
              <w:rPr>
                <w:sz w:val="18"/>
                <w:szCs w:val="18"/>
                <w:lang w:val="bg-BG"/>
              </w:rPr>
              <w:t>от</w:t>
            </w:r>
            <w:r w:rsidRPr="00985871">
              <w:rPr>
                <w:sz w:val="18"/>
                <w:szCs w:val="18"/>
                <w:lang w:val="bg-BG"/>
              </w:rPr>
              <w:t xml:space="preserve"> Регламент за изпълнение (ЕС) № 1011/2014 на Комисията</w:t>
            </w:r>
            <w:r w:rsidR="00057980" w:rsidRPr="009C0B36">
              <w:rPr>
                <w:sz w:val="18"/>
                <w:szCs w:val="18"/>
                <w:lang w:val="bg-BG"/>
              </w:rPr>
              <w:t xml:space="preserve"> (Таблици 1</w:t>
            </w:r>
            <w:r w:rsidR="008063C5" w:rsidRPr="009C0B36">
              <w:rPr>
                <w:sz w:val="18"/>
                <w:szCs w:val="18"/>
                <w:lang w:val="bg-BG"/>
              </w:rPr>
              <w:t xml:space="preserve"> и</w:t>
            </w:r>
            <w:r w:rsidR="00057980" w:rsidRPr="009C0B36">
              <w:rPr>
                <w:sz w:val="18"/>
                <w:szCs w:val="18"/>
                <w:lang w:val="bg-BG"/>
              </w:rPr>
              <w:t xml:space="preserve"> 2)</w:t>
            </w:r>
            <w:r w:rsidR="00947195" w:rsidRPr="009C0B36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320E92C3" w14:textId="6E6F846E" w:rsidR="00D42C1D" w:rsidRPr="00472833" w:rsidRDefault="00D42C1D" w:rsidP="00B810C7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472833">
              <w:rPr>
                <w:sz w:val="18"/>
                <w:szCs w:val="18"/>
                <w:lang w:val="bg-BG"/>
              </w:rPr>
              <w:t>7</w:t>
            </w:r>
            <w:r w:rsidRPr="00472833">
              <w:rPr>
                <w:sz w:val="18"/>
                <w:szCs w:val="18"/>
                <w:lang w:val="bg-BG"/>
              </w:rPr>
              <w:t xml:space="preserve"> януари – Таблици 1</w:t>
            </w:r>
            <w:r w:rsidR="008063C5" w:rsidRPr="00472833">
              <w:rPr>
                <w:sz w:val="18"/>
                <w:szCs w:val="18"/>
                <w:lang w:val="bg-BG"/>
              </w:rPr>
              <w:t xml:space="preserve"> и</w:t>
            </w:r>
            <w:r w:rsidRPr="00472833">
              <w:rPr>
                <w:sz w:val="18"/>
                <w:szCs w:val="18"/>
                <w:lang w:val="bg-BG"/>
              </w:rPr>
              <w:t xml:space="preserve"> 2</w:t>
            </w:r>
          </w:p>
          <w:p w14:paraId="34C93739" w14:textId="784A24CB" w:rsidR="00D42C1D" w:rsidRPr="00472833" w:rsidRDefault="00D42C1D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472833">
              <w:rPr>
                <w:sz w:val="18"/>
                <w:szCs w:val="18"/>
                <w:lang w:val="bg-BG"/>
              </w:rPr>
              <w:t>7</w:t>
            </w:r>
            <w:r w:rsidRPr="00472833">
              <w:rPr>
                <w:sz w:val="18"/>
                <w:szCs w:val="18"/>
                <w:lang w:val="bg-BG"/>
              </w:rPr>
              <w:t xml:space="preserve"> юли </w:t>
            </w:r>
            <w:r w:rsidR="00D02FE1" w:rsidRPr="00472833">
              <w:rPr>
                <w:sz w:val="18"/>
                <w:szCs w:val="18"/>
                <w:lang w:val="bg-BG"/>
              </w:rPr>
              <w:t>и д</w:t>
            </w:r>
            <w:r w:rsidRPr="00472833">
              <w:rPr>
                <w:sz w:val="18"/>
                <w:szCs w:val="18"/>
                <w:lang w:val="bg-BG"/>
              </w:rPr>
              <w:t xml:space="preserve">о </w:t>
            </w:r>
            <w:r w:rsidR="00D97329" w:rsidRPr="00472833">
              <w:rPr>
                <w:sz w:val="18"/>
                <w:szCs w:val="18"/>
                <w:lang w:val="bg-BG"/>
              </w:rPr>
              <w:t>7</w:t>
            </w:r>
            <w:r w:rsidRPr="00472833">
              <w:rPr>
                <w:sz w:val="18"/>
                <w:szCs w:val="18"/>
                <w:lang w:val="bg-BG"/>
              </w:rPr>
              <w:t xml:space="preserve"> октомври – Таблица 1</w:t>
            </w:r>
          </w:p>
        </w:tc>
      </w:tr>
      <w:tr w:rsidR="00DE5E5F" w:rsidRPr="009A3A7D" w14:paraId="02EFB34E" w14:textId="77777777" w:rsidTr="00D74498">
        <w:trPr>
          <w:trHeight w:val="842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75482F43" w14:textId="77777777" w:rsidR="00DE5E5F" w:rsidRPr="00763DC0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6D4A14B3" w14:textId="09D147BA" w:rsidR="00DE5E5F" w:rsidRPr="009C0B36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Разглеждане и одо</w:t>
            </w:r>
            <w:r w:rsidRPr="00985871">
              <w:rPr>
                <w:sz w:val="18"/>
                <w:szCs w:val="18"/>
                <w:lang w:val="bg-BG"/>
              </w:rPr>
              <w:t xml:space="preserve">бряване на </w:t>
            </w:r>
            <w:r w:rsidRPr="009C0B36">
              <w:rPr>
                <w:sz w:val="18"/>
                <w:szCs w:val="18"/>
                <w:lang w:val="bg-BG"/>
              </w:rPr>
              <w:t>изготвената прогноза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E08FE81" w14:textId="77777777" w:rsidR="00DE5E5F" w:rsidRPr="00472833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 xml:space="preserve">Началник </w:t>
            </w:r>
            <w:r w:rsidR="00AD1FBA" w:rsidRPr="009C0B36">
              <w:rPr>
                <w:sz w:val="18"/>
                <w:szCs w:val="18"/>
                <w:lang w:val="bg-BG"/>
              </w:rPr>
              <w:t xml:space="preserve">на </w:t>
            </w:r>
            <w:r w:rsidRPr="00472833">
              <w:rPr>
                <w:sz w:val="18"/>
                <w:szCs w:val="18"/>
                <w:lang w:val="bg-BG"/>
              </w:rPr>
              <w:t>отдел ФУ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6C2ACE41" w14:textId="77777777" w:rsidR="009C0B36" w:rsidRDefault="009C0B36" w:rsidP="009C0B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Изготвената прогноза се обсъжда с всички участници в процеса – ФЕ 1, служител ФУ и счетоводители. При възникнали допълнителни съображения, същите се вземат предвид и прогнозата се коригира и финализира.</w:t>
            </w:r>
          </w:p>
          <w:p w14:paraId="4A186EDC" w14:textId="298BDE85" w:rsidR="00DE5E5F" w:rsidRPr="000D1C1B" w:rsidRDefault="009C0B36" w:rsidP="009C0B3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Началникът на отдел из</w:t>
            </w:r>
            <w:r w:rsidRPr="005D1719">
              <w:rPr>
                <w:sz w:val="18"/>
                <w:szCs w:val="18"/>
                <w:lang w:val="bg-BG"/>
              </w:rPr>
              <w:t xml:space="preserve">вършва контрол по отношение на извършените </w:t>
            </w:r>
            <w:r>
              <w:rPr>
                <w:sz w:val="18"/>
                <w:szCs w:val="18"/>
                <w:lang w:val="bg-BG"/>
              </w:rPr>
              <w:t>дейности</w:t>
            </w:r>
            <w:r w:rsidRPr="005D1719">
              <w:rPr>
                <w:sz w:val="18"/>
                <w:szCs w:val="18"/>
                <w:lang w:val="bg-BG"/>
              </w:rPr>
              <w:t xml:space="preserve"> и тяхното документиране и </w:t>
            </w:r>
            <w:r>
              <w:rPr>
                <w:sz w:val="18"/>
                <w:szCs w:val="18"/>
                <w:lang w:val="bg-BG"/>
              </w:rPr>
              <w:t>подписва</w:t>
            </w:r>
            <w:r w:rsidRPr="005D1719">
              <w:rPr>
                <w:sz w:val="18"/>
                <w:szCs w:val="18"/>
                <w:lang w:val="bg-BG"/>
              </w:rPr>
              <w:t xml:space="preserve"> </w:t>
            </w:r>
            <w:r w:rsidRPr="00867499">
              <w:rPr>
                <w:i/>
                <w:sz w:val="18"/>
                <w:szCs w:val="18"/>
                <w:lang w:val="bg-BG"/>
              </w:rPr>
              <w:t>Контролния лист за проверка на прогноза</w:t>
            </w:r>
            <w:r>
              <w:rPr>
                <w:i/>
                <w:sz w:val="18"/>
                <w:szCs w:val="18"/>
                <w:lang w:val="bg-BG"/>
              </w:rPr>
              <w:t xml:space="preserve"> за плащания и финансови данни </w:t>
            </w:r>
            <w:r w:rsidRPr="006A5785">
              <w:rPr>
                <w:sz w:val="18"/>
                <w:szCs w:val="18"/>
                <w:lang w:val="bg-BG"/>
              </w:rPr>
              <w:t>(</w:t>
            </w:r>
            <w:r w:rsidRPr="006A5785">
              <w:rPr>
                <w:i/>
                <w:sz w:val="18"/>
                <w:szCs w:val="18"/>
                <w:lang w:val="bg-BG"/>
              </w:rPr>
              <w:t>Приложение IV-К06</w:t>
            </w:r>
            <w:r w:rsidRPr="006A5785">
              <w:rPr>
                <w:sz w:val="18"/>
                <w:szCs w:val="18"/>
                <w:lang w:val="bg-BG"/>
              </w:rPr>
              <w:t>)</w:t>
            </w:r>
            <w:r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2661B927" w14:textId="77777777" w:rsidR="00D97329" w:rsidRPr="000D1C1B" w:rsidRDefault="00DE5E5F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0D1C1B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0D1C1B">
              <w:rPr>
                <w:sz w:val="18"/>
                <w:szCs w:val="18"/>
                <w:lang w:val="bg-BG"/>
              </w:rPr>
              <w:t>8</w:t>
            </w:r>
            <w:r w:rsidRPr="000D1C1B">
              <w:rPr>
                <w:sz w:val="18"/>
                <w:szCs w:val="18"/>
                <w:lang w:val="bg-BG"/>
              </w:rPr>
              <w:t xml:space="preserve"> януари</w:t>
            </w:r>
            <w:r w:rsidR="00542ABC" w:rsidRPr="000D1C1B">
              <w:rPr>
                <w:sz w:val="18"/>
                <w:szCs w:val="18"/>
                <w:lang w:val="bg-BG"/>
              </w:rPr>
              <w:t xml:space="preserve"> и </w:t>
            </w:r>
          </w:p>
          <w:p w14:paraId="0E08CEBC" w14:textId="77777777" w:rsidR="00DE5E5F" w:rsidRPr="009C0B36" w:rsidRDefault="00542ABC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9C0B36">
              <w:rPr>
                <w:sz w:val="18"/>
                <w:szCs w:val="18"/>
                <w:lang w:val="bg-BG"/>
              </w:rPr>
              <w:t>8</w:t>
            </w:r>
            <w:r w:rsidRPr="009C0B36">
              <w:rPr>
                <w:sz w:val="18"/>
                <w:szCs w:val="18"/>
                <w:lang w:val="bg-BG"/>
              </w:rPr>
              <w:t xml:space="preserve"> юли</w:t>
            </w:r>
          </w:p>
        </w:tc>
      </w:tr>
      <w:tr w:rsidR="00DE5E5F" w:rsidRPr="009A3A7D" w14:paraId="6F8F2C77" w14:textId="77777777" w:rsidTr="00D74498">
        <w:trPr>
          <w:trHeight w:val="874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40BE62DF" w14:textId="77777777" w:rsidR="00DE5E5F" w:rsidRPr="00763DC0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62E3CCF2" w14:textId="77777777" w:rsidR="00DE5E5F" w:rsidRPr="00472833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Разглеждане и одобряване на изготвената прогноза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583A38C7" w14:textId="77777777" w:rsidR="00DE5E5F" w:rsidRPr="00985871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4CA11477" w14:textId="4F727861" w:rsidR="00DE5E5F" w:rsidRPr="00472833" w:rsidRDefault="00DE5E5F" w:rsidP="00B810C7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Одобрява изготвената прогноза</w:t>
            </w:r>
            <w:r w:rsidR="00A568DE" w:rsidRPr="009C0B36">
              <w:rPr>
                <w:sz w:val="18"/>
                <w:szCs w:val="18"/>
                <w:lang w:val="bg-BG"/>
              </w:rPr>
              <w:t xml:space="preserve">. В случай на забележки, връща за корекция на Началника на отдел ФУ. 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5A9B01D4" w14:textId="77777777" w:rsidR="00D97329" w:rsidRPr="00472833" w:rsidRDefault="00DE5E5F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472833">
              <w:rPr>
                <w:sz w:val="18"/>
                <w:szCs w:val="18"/>
                <w:lang w:val="bg-BG"/>
              </w:rPr>
              <w:t>9</w:t>
            </w:r>
            <w:r w:rsidRPr="00472833">
              <w:rPr>
                <w:sz w:val="18"/>
                <w:szCs w:val="18"/>
                <w:lang w:val="bg-BG"/>
              </w:rPr>
              <w:t xml:space="preserve"> януари</w:t>
            </w:r>
            <w:r w:rsidR="00AD1FBA" w:rsidRPr="00472833">
              <w:rPr>
                <w:sz w:val="18"/>
                <w:szCs w:val="18"/>
                <w:lang w:val="bg-BG"/>
              </w:rPr>
              <w:t xml:space="preserve"> и </w:t>
            </w:r>
          </w:p>
          <w:p w14:paraId="07A211BD" w14:textId="77777777" w:rsidR="00DE5E5F" w:rsidRPr="00472833" w:rsidRDefault="00AD1FBA" w:rsidP="00D97329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D97329" w:rsidRPr="00472833">
              <w:rPr>
                <w:sz w:val="18"/>
                <w:szCs w:val="18"/>
                <w:lang w:val="bg-BG"/>
              </w:rPr>
              <w:t>9</w:t>
            </w:r>
            <w:r w:rsidRPr="00472833">
              <w:rPr>
                <w:sz w:val="18"/>
                <w:szCs w:val="18"/>
                <w:lang w:val="bg-BG"/>
              </w:rPr>
              <w:t xml:space="preserve"> </w:t>
            </w:r>
            <w:r w:rsidR="00542ABC" w:rsidRPr="00472833">
              <w:rPr>
                <w:sz w:val="18"/>
                <w:szCs w:val="18"/>
                <w:lang w:val="bg-BG"/>
              </w:rPr>
              <w:t>юли</w:t>
            </w:r>
          </w:p>
        </w:tc>
      </w:tr>
      <w:tr w:rsidR="00EA532E" w:rsidRPr="009A3A7D" w14:paraId="3469C3D5" w14:textId="77777777" w:rsidTr="00D74498">
        <w:trPr>
          <w:trHeight w:val="7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31DDC311" w14:textId="77777777" w:rsidR="00EA532E" w:rsidRPr="00763DC0" w:rsidRDefault="00EA532E" w:rsidP="00801438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bottom w:val="single" w:sz="2" w:space="0" w:color="0000FF"/>
            </w:tcBorders>
            <w:shd w:val="clear" w:color="auto" w:fill="auto"/>
            <w:vAlign w:val="center"/>
          </w:tcPr>
          <w:p w14:paraId="23912D82" w14:textId="75E44BD6" w:rsidR="00EA532E" w:rsidRPr="00472833" w:rsidRDefault="00EA532E" w:rsidP="008014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Изготвяне на прогноза за плащанията</w:t>
            </w:r>
            <w:r w:rsidR="00A568DE" w:rsidRPr="00472833">
              <w:rPr>
                <w:sz w:val="18"/>
                <w:szCs w:val="18"/>
                <w:lang w:val="bg-BG"/>
              </w:rPr>
              <w:t xml:space="preserve"> съгл. чл. 16 от Наредба Н-3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138BA5E7" w14:textId="77777777" w:rsidR="00EA532E" w:rsidRPr="00985871" w:rsidRDefault="00EA532E" w:rsidP="008014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6" w:space="0" w:color="0000FF"/>
            </w:tcBorders>
            <w:vAlign w:val="center"/>
          </w:tcPr>
          <w:p w14:paraId="6F6841F1" w14:textId="5E3E553C" w:rsidR="00EA532E" w:rsidRPr="00472833" w:rsidRDefault="00EA532E" w:rsidP="008014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Въвежда в ИСУН 2020 прогноза за плащанията за текущия и следващия месец</w:t>
            </w:r>
            <w:r w:rsidR="006E7D40" w:rsidRPr="00472833">
              <w:rPr>
                <w:sz w:val="18"/>
                <w:szCs w:val="18"/>
                <w:lang w:val="bg-BG"/>
              </w:rPr>
              <w:t>,</w:t>
            </w:r>
            <w:r w:rsidR="00A568DE" w:rsidRPr="00472833">
              <w:rPr>
                <w:sz w:val="18"/>
                <w:szCs w:val="18"/>
                <w:lang w:val="bg-BG"/>
              </w:rPr>
              <w:t xml:space="preserve"> за което уведомява по мейл </w:t>
            </w:r>
            <w:r w:rsidR="00A568DE" w:rsidRPr="00472833">
              <w:rPr>
                <w:sz w:val="18"/>
                <w:szCs w:val="18"/>
                <w:lang w:val="en-US"/>
              </w:rPr>
              <w:t>natfund</w:t>
            </w:r>
            <w:r w:rsidR="00A568DE" w:rsidRPr="00472833">
              <w:rPr>
                <w:sz w:val="18"/>
                <w:szCs w:val="18"/>
                <w:lang w:val="bg-BG"/>
              </w:rPr>
              <w:t>@</w:t>
            </w:r>
            <w:r w:rsidR="00A568DE" w:rsidRPr="00472833">
              <w:rPr>
                <w:sz w:val="18"/>
                <w:szCs w:val="18"/>
                <w:lang w:val="en-US"/>
              </w:rPr>
              <w:t>minfin</w:t>
            </w:r>
            <w:r w:rsidR="00A568DE" w:rsidRPr="00472833">
              <w:rPr>
                <w:sz w:val="18"/>
                <w:szCs w:val="18"/>
                <w:lang w:val="bg-BG"/>
              </w:rPr>
              <w:t>.</w:t>
            </w:r>
            <w:r w:rsidR="00A568DE" w:rsidRPr="00472833">
              <w:rPr>
                <w:sz w:val="18"/>
                <w:szCs w:val="18"/>
                <w:lang w:val="en-US"/>
              </w:rPr>
              <w:t>bg</w:t>
            </w:r>
            <w:r w:rsidR="00A568DE" w:rsidRPr="00472833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2" w:space="0" w:color="0000FF"/>
              <w:right w:val="single" w:sz="12" w:space="0" w:color="0000FF"/>
            </w:tcBorders>
            <w:vAlign w:val="center"/>
          </w:tcPr>
          <w:p w14:paraId="0DB6AF25" w14:textId="3E516AB9" w:rsidR="00EA532E" w:rsidRPr="00472833" w:rsidRDefault="00EA532E" w:rsidP="006827B1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</w:t>
            </w:r>
            <w:r w:rsidR="006827B1" w:rsidRPr="00472833">
              <w:rPr>
                <w:sz w:val="18"/>
                <w:szCs w:val="18"/>
                <w:lang w:val="bg-BG"/>
              </w:rPr>
              <w:t>9</w:t>
            </w:r>
            <w:r w:rsidRPr="00472833">
              <w:rPr>
                <w:sz w:val="18"/>
                <w:szCs w:val="18"/>
                <w:lang w:val="bg-BG"/>
              </w:rPr>
              <w:t>-то число на месеца</w:t>
            </w:r>
          </w:p>
        </w:tc>
      </w:tr>
      <w:tr w:rsidR="00DE5E5F" w:rsidRPr="00BF2358" w14:paraId="0DEA5108" w14:textId="77777777" w:rsidTr="00D74498">
        <w:trPr>
          <w:trHeight w:val="1370"/>
          <w:jc w:val="center"/>
        </w:trPr>
        <w:tc>
          <w:tcPr>
            <w:tcW w:w="567" w:type="dxa"/>
            <w:tcBorders>
              <w:top w:val="single" w:sz="2" w:space="0" w:color="0000FF"/>
              <w:bottom w:val="single" w:sz="2" w:space="0" w:color="0000FF"/>
            </w:tcBorders>
            <w:vAlign w:val="center"/>
          </w:tcPr>
          <w:p w14:paraId="62A9C2E5" w14:textId="77777777" w:rsidR="00DE5E5F" w:rsidRPr="00763DC0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25A6BA2A" w14:textId="0E5F7414" w:rsidR="00DE5E5F" w:rsidRPr="00985871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Изпращане </w:t>
            </w:r>
            <w:r w:rsidR="006E7D40" w:rsidRPr="00472833">
              <w:rPr>
                <w:sz w:val="18"/>
                <w:szCs w:val="18"/>
                <w:lang w:val="bg-BG"/>
              </w:rPr>
              <w:t xml:space="preserve">на прогнозата </w:t>
            </w:r>
            <w:r w:rsidRPr="00985871">
              <w:rPr>
                <w:sz w:val="18"/>
                <w:szCs w:val="18"/>
                <w:lang w:val="bg-BG"/>
              </w:rPr>
              <w:t>до СО</w:t>
            </w:r>
          </w:p>
        </w:tc>
        <w:tc>
          <w:tcPr>
            <w:tcW w:w="1239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840911D" w14:textId="75810C28" w:rsidR="00DE5E5F" w:rsidRPr="00472833" w:rsidRDefault="006E7D40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Началник на</w:t>
            </w:r>
            <w:r w:rsidR="00DE5E5F" w:rsidRPr="009C0B36">
              <w:rPr>
                <w:sz w:val="18"/>
                <w:szCs w:val="18"/>
                <w:lang w:val="bg-BG"/>
              </w:rPr>
              <w:t xml:space="preserve"> отдел ФУ</w:t>
            </w:r>
          </w:p>
        </w:tc>
        <w:tc>
          <w:tcPr>
            <w:tcW w:w="4536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49B461" w14:textId="03F5D9D0" w:rsidR="00B965D6" w:rsidRPr="00472833" w:rsidRDefault="006E7D40" w:rsidP="007117B9">
            <w:pPr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Началник на отдел ФУ (друг о</w:t>
            </w:r>
            <w:r w:rsidR="00D85E33" w:rsidRPr="00472833">
              <w:rPr>
                <w:sz w:val="18"/>
                <w:szCs w:val="18"/>
                <w:lang w:val="bg-BG"/>
              </w:rPr>
              <w:t>торизиран служител</w:t>
            </w:r>
            <w:r w:rsidRPr="00472833">
              <w:rPr>
                <w:sz w:val="18"/>
                <w:szCs w:val="18"/>
                <w:lang w:val="bg-BG"/>
              </w:rPr>
              <w:t>)</w:t>
            </w:r>
            <w:r w:rsidR="00D85E33" w:rsidRPr="00472833">
              <w:rPr>
                <w:sz w:val="18"/>
                <w:szCs w:val="18"/>
                <w:lang w:val="bg-BG"/>
              </w:rPr>
              <w:t xml:space="preserve"> изпраща изготвената прогноза</w:t>
            </w:r>
            <w:r w:rsidR="009879C3" w:rsidRPr="00472833">
              <w:rPr>
                <w:sz w:val="18"/>
                <w:szCs w:val="18"/>
                <w:lang w:val="bg-BG"/>
              </w:rPr>
              <w:t>,</w:t>
            </w:r>
            <w:r w:rsidR="00D85E33" w:rsidRPr="00472833">
              <w:rPr>
                <w:sz w:val="18"/>
                <w:szCs w:val="18"/>
                <w:lang w:val="bg-BG"/>
              </w:rPr>
              <w:t xml:space="preserve"> с електронно подписано писмо на СО на ел. адрес </w:t>
            </w:r>
            <w:hyperlink r:id="rId8" w:history="1">
              <w:r w:rsidR="00D85E33" w:rsidRPr="00472833">
                <w:rPr>
                  <w:color w:val="0000FF"/>
                  <w:sz w:val="18"/>
                  <w:szCs w:val="18"/>
                  <w:u w:val="single"/>
                  <w:lang w:val="bg-BG"/>
                </w:rPr>
                <w:t>natfund@minfin.bg</w:t>
              </w:r>
            </w:hyperlink>
            <w:r w:rsidR="00B965D6" w:rsidRPr="00472833">
              <w:rPr>
                <w:sz w:val="18"/>
                <w:szCs w:val="18"/>
                <w:lang w:val="bg-BG"/>
              </w:rPr>
              <w:t>:</w:t>
            </w:r>
          </w:p>
          <w:p w14:paraId="33F9E351" w14:textId="4F41F920" w:rsidR="00B965D6" w:rsidRPr="009C0B36" w:rsidRDefault="00B965D6" w:rsidP="00E51EE8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 xml:space="preserve">Приложение № 2 от Наредба № Н-3 от </w:t>
            </w:r>
            <w:r w:rsidR="008063C5" w:rsidRPr="009C0B36">
              <w:rPr>
                <w:sz w:val="18"/>
                <w:szCs w:val="18"/>
                <w:lang w:val="bg-BG"/>
              </w:rPr>
              <w:t>22.05.2018</w:t>
            </w:r>
            <w:r w:rsidRPr="009C0B36">
              <w:rPr>
                <w:sz w:val="18"/>
                <w:szCs w:val="18"/>
                <w:lang w:val="bg-BG"/>
              </w:rPr>
              <w:t xml:space="preserve"> г. (</w:t>
            </w:r>
            <w:r w:rsidRPr="009C0B36">
              <w:rPr>
                <w:i/>
                <w:sz w:val="18"/>
                <w:szCs w:val="18"/>
                <w:lang w:val="bg-BG"/>
              </w:rPr>
              <w:t>Приложение IV-T06-1</w:t>
            </w:r>
            <w:r w:rsidRPr="009C0B36">
              <w:rPr>
                <w:sz w:val="18"/>
                <w:szCs w:val="18"/>
                <w:lang w:val="bg-BG"/>
              </w:rPr>
              <w:t>).</w:t>
            </w:r>
          </w:p>
          <w:p w14:paraId="300BAD53" w14:textId="532F1D86" w:rsidR="00DE5E5F" w:rsidRPr="00D74498" w:rsidRDefault="00B965D6" w:rsidP="00E51EE8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Таблици 1</w:t>
            </w:r>
            <w:r w:rsidR="008063C5" w:rsidRPr="009C0B36">
              <w:rPr>
                <w:sz w:val="18"/>
                <w:szCs w:val="18"/>
                <w:lang w:val="bg-BG"/>
              </w:rPr>
              <w:t xml:space="preserve"> и</w:t>
            </w:r>
            <w:r w:rsidR="006E7D40" w:rsidRPr="009C0B36">
              <w:rPr>
                <w:sz w:val="18"/>
                <w:szCs w:val="18"/>
                <w:lang w:val="bg-BG"/>
              </w:rPr>
              <w:t>/или</w:t>
            </w:r>
            <w:r w:rsidRPr="009C0B36">
              <w:rPr>
                <w:sz w:val="18"/>
                <w:szCs w:val="18"/>
                <w:lang w:val="bg-BG"/>
              </w:rPr>
              <w:t xml:space="preserve"> 2</w:t>
            </w:r>
            <w:r w:rsidR="006E7D40" w:rsidRPr="009C0B36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530B512" w14:textId="15F8EFE7" w:rsidR="00B965D6" w:rsidRPr="00472833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До 10 </w:t>
            </w:r>
            <w:r w:rsidR="007117B9" w:rsidRPr="00472833">
              <w:rPr>
                <w:sz w:val="18"/>
                <w:szCs w:val="18"/>
                <w:lang w:val="bg-BG"/>
              </w:rPr>
              <w:t>януари</w:t>
            </w:r>
          </w:p>
          <w:p w14:paraId="69C23953" w14:textId="7F87A9BD" w:rsidR="00B965D6" w:rsidRPr="000D1C1B" w:rsidRDefault="00B965D6" w:rsidP="007117B9">
            <w:pPr>
              <w:jc w:val="both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 xml:space="preserve">До </w:t>
            </w:r>
            <w:r w:rsidR="007117B9" w:rsidRPr="00985871">
              <w:rPr>
                <w:sz w:val="18"/>
                <w:szCs w:val="18"/>
                <w:lang w:val="bg-BG"/>
              </w:rPr>
              <w:t>10</w:t>
            </w:r>
            <w:r w:rsidRPr="00985871">
              <w:rPr>
                <w:sz w:val="18"/>
                <w:szCs w:val="18"/>
                <w:lang w:val="bg-BG"/>
              </w:rPr>
              <w:t xml:space="preserve"> </w:t>
            </w:r>
            <w:r w:rsidR="007117B9" w:rsidRPr="000D1C1B">
              <w:rPr>
                <w:sz w:val="18"/>
                <w:szCs w:val="18"/>
                <w:lang w:val="bg-BG"/>
              </w:rPr>
              <w:t>юли</w:t>
            </w:r>
            <w:r w:rsidRPr="000D1C1B">
              <w:rPr>
                <w:sz w:val="18"/>
                <w:szCs w:val="18"/>
                <w:lang w:val="bg-BG"/>
              </w:rPr>
              <w:t xml:space="preserve"> </w:t>
            </w:r>
          </w:p>
          <w:p w14:paraId="1BF4804A" w14:textId="59116F17" w:rsidR="007117B9" w:rsidRPr="009C0B36" w:rsidRDefault="007117B9" w:rsidP="007117B9">
            <w:pPr>
              <w:jc w:val="both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До 10 октомври</w:t>
            </w:r>
          </w:p>
        </w:tc>
      </w:tr>
      <w:tr w:rsidR="00DE5E5F" w:rsidRPr="009A3A7D" w14:paraId="26BA7962" w14:textId="77777777" w:rsidTr="00D74498">
        <w:trPr>
          <w:trHeight w:val="978"/>
          <w:jc w:val="center"/>
        </w:trPr>
        <w:tc>
          <w:tcPr>
            <w:tcW w:w="567" w:type="dxa"/>
            <w:tcBorders>
              <w:top w:val="single" w:sz="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1335195" w14:textId="77777777" w:rsidR="00DE5E5F" w:rsidRDefault="00DE5E5F" w:rsidP="0046792B">
            <w:pPr>
              <w:numPr>
                <w:ilvl w:val="0"/>
                <w:numId w:val="2"/>
              </w:numPr>
              <w:tabs>
                <w:tab w:val="left" w:pos="83"/>
                <w:tab w:val="left" w:pos="156"/>
              </w:tabs>
              <w:spacing w:before="120" w:after="120"/>
              <w:ind w:left="0" w:firstLine="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65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8CDAB60" w14:textId="77777777" w:rsidR="00DE5E5F" w:rsidRPr="00472833" w:rsidRDefault="00DE5E5F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>Съхранение</w:t>
            </w:r>
          </w:p>
        </w:tc>
        <w:tc>
          <w:tcPr>
            <w:tcW w:w="1239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65347197" w14:textId="022212BD" w:rsidR="00DE5E5F" w:rsidRPr="00985871" w:rsidRDefault="006E7772" w:rsidP="0046792B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985871">
              <w:rPr>
                <w:sz w:val="18"/>
                <w:szCs w:val="18"/>
                <w:lang w:val="bg-BG"/>
              </w:rPr>
              <w:t>Служител от отдел ФУ</w:t>
            </w:r>
          </w:p>
        </w:tc>
        <w:tc>
          <w:tcPr>
            <w:tcW w:w="4536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7F6A764" w14:textId="172C807A" w:rsidR="00DE5E5F" w:rsidRPr="009C0B36" w:rsidRDefault="00542ABC" w:rsidP="00542AB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9C0B36">
              <w:rPr>
                <w:sz w:val="18"/>
                <w:szCs w:val="18"/>
                <w:lang w:val="bg-BG"/>
              </w:rPr>
              <w:t>Контролният лист</w:t>
            </w:r>
            <w:r w:rsidR="00B61C0E" w:rsidRPr="009C0B36">
              <w:rPr>
                <w:sz w:val="18"/>
                <w:szCs w:val="18"/>
                <w:lang w:val="bg-BG"/>
              </w:rPr>
              <w:t xml:space="preserve"> и копие на уведомителния мейл, с който са изпратени прогнозите</w:t>
            </w:r>
            <w:r w:rsidR="009C0B36">
              <w:rPr>
                <w:sz w:val="18"/>
                <w:szCs w:val="18"/>
                <w:lang w:val="bg-BG"/>
              </w:rPr>
              <w:t>,</w:t>
            </w:r>
            <w:r w:rsidRPr="009C0B36">
              <w:rPr>
                <w:sz w:val="18"/>
                <w:szCs w:val="18"/>
                <w:lang w:val="bg-BG"/>
              </w:rPr>
              <w:t xml:space="preserve"> </w:t>
            </w:r>
            <w:r w:rsidR="00DE5E5F" w:rsidRPr="009C0B36">
              <w:rPr>
                <w:sz w:val="18"/>
                <w:szCs w:val="18"/>
                <w:lang w:val="bg-BG"/>
              </w:rPr>
              <w:t>се съхранява</w:t>
            </w:r>
            <w:r w:rsidR="00B61C0E" w:rsidRPr="009C0B36">
              <w:rPr>
                <w:sz w:val="18"/>
                <w:szCs w:val="18"/>
                <w:lang w:val="bg-BG"/>
              </w:rPr>
              <w:t>т</w:t>
            </w:r>
            <w:r w:rsidR="00DE5E5F" w:rsidRPr="009C0B36">
              <w:rPr>
                <w:sz w:val="18"/>
                <w:szCs w:val="18"/>
                <w:lang w:val="bg-BG"/>
              </w:rPr>
              <w:t xml:space="preserve"> </w:t>
            </w:r>
            <w:r w:rsidR="009C0B36">
              <w:rPr>
                <w:sz w:val="18"/>
                <w:szCs w:val="18"/>
                <w:lang w:val="bg-BG"/>
              </w:rPr>
              <w:t xml:space="preserve">на сървъра </w:t>
            </w:r>
            <w:r w:rsidR="00DE5E5F" w:rsidRPr="009C0B36">
              <w:rPr>
                <w:sz w:val="18"/>
                <w:szCs w:val="18"/>
                <w:lang w:val="bg-BG"/>
              </w:rPr>
              <w:t>от служител</w:t>
            </w:r>
            <w:r w:rsidR="00DE5E5F" w:rsidRPr="009C0B36" w:rsidDel="00D01173">
              <w:rPr>
                <w:sz w:val="18"/>
                <w:szCs w:val="18"/>
                <w:lang w:val="bg-BG"/>
              </w:rPr>
              <w:t xml:space="preserve"> </w:t>
            </w:r>
            <w:r w:rsidR="00DE5E5F" w:rsidRPr="009C0B36">
              <w:rPr>
                <w:sz w:val="18"/>
                <w:szCs w:val="18"/>
                <w:lang w:val="bg-BG"/>
              </w:rPr>
              <w:t>от отдел ФУ</w:t>
            </w:r>
            <w:r w:rsidR="006E7D40" w:rsidRPr="009C0B36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348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3C8072A2" w14:textId="5B4168A4" w:rsidR="00DE5E5F" w:rsidRPr="00472833" w:rsidRDefault="00DE5E5F" w:rsidP="00B61C0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472833">
              <w:rPr>
                <w:sz w:val="18"/>
                <w:szCs w:val="18"/>
                <w:lang w:val="bg-BG"/>
              </w:rPr>
              <w:t xml:space="preserve">След получаване на КЛ за одобрение </w:t>
            </w:r>
            <w:r w:rsidR="00B61C0E" w:rsidRPr="00472833">
              <w:rPr>
                <w:sz w:val="18"/>
                <w:szCs w:val="18"/>
                <w:lang w:val="bg-BG"/>
              </w:rPr>
              <w:t>на</w:t>
            </w:r>
            <w:r w:rsidRPr="00472833">
              <w:rPr>
                <w:sz w:val="18"/>
                <w:szCs w:val="18"/>
                <w:lang w:val="bg-BG"/>
              </w:rPr>
              <w:t xml:space="preserve"> изпратената прогноза до СО</w:t>
            </w:r>
          </w:p>
        </w:tc>
      </w:tr>
    </w:tbl>
    <w:p w14:paraId="5ACF77D8" w14:textId="77777777" w:rsidR="00B5043F" w:rsidRPr="00BF2358" w:rsidRDefault="00B5043F">
      <w:pPr>
        <w:rPr>
          <w:lang w:val="bg-BG"/>
        </w:rPr>
      </w:pPr>
    </w:p>
    <w:sectPr w:rsidR="00B5043F" w:rsidRPr="00BF2358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86747" w14:textId="77777777" w:rsidR="007B207F" w:rsidRDefault="007B207F">
      <w:r>
        <w:separator/>
      </w:r>
    </w:p>
  </w:endnote>
  <w:endnote w:type="continuationSeparator" w:id="0">
    <w:p w14:paraId="4E00D5A9" w14:textId="77777777" w:rsidR="007B207F" w:rsidRDefault="007B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4CDF6" w14:textId="77777777" w:rsidR="00996E82" w:rsidRDefault="00996E82" w:rsidP="00C905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4E166E" w14:textId="77777777" w:rsidR="00996E82" w:rsidRDefault="00996E82" w:rsidP="00763D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C3D1A" w14:textId="73ACF6A5" w:rsidR="00996E82" w:rsidRPr="007A4A9D" w:rsidRDefault="00996E82" w:rsidP="00C9059C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7A4A9D">
      <w:rPr>
        <w:rStyle w:val="PageNumber"/>
        <w:sz w:val="20"/>
        <w:szCs w:val="20"/>
      </w:rPr>
      <w:fldChar w:fldCharType="begin"/>
    </w:r>
    <w:r w:rsidRPr="007A4A9D">
      <w:rPr>
        <w:rStyle w:val="PageNumber"/>
        <w:sz w:val="20"/>
        <w:szCs w:val="20"/>
      </w:rPr>
      <w:instrText xml:space="preserve">PAGE  </w:instrText>
    </w:r>
    <w:r w:rsidRPr="007A4A9D">
      <w:rPr>
        <w:rStyle w:val="PageNumber"/>
        <w:sz w:val="20"/>
        <w:szCs w:val="20"/>
      </w:rPr>
      <w:fldChar w:fldCharType="separate"/>
    </w:r>
    <w:r w:rsidR="009A3A7D">
      <w:rPr>
        <w:rStyle w:val="PageNumber"/>
        <w:noProof/>
        <w:sz w:val="20"/>
        <w:szCs w:val="20"/>
      </w:rPr>
      <w:t>2</w:t>
    </w:r>
    <w:r w:rsidRPr="007A4A9D">
      <w:rPr>
        <w:rStyle w:val="PageNumber"/>
        <w:sz w:val="20"/>
        <w:szCs w:val="20"/>
      </w:rPr>
      <w:fldChar w:fldCharType="end"/>
    </w:r>
  </w:p>
  <w:p w14:paraId="4B80CEE2" w14:textId="77777777" w:rsidR="00996E82" w:rsidRDefault="00996E82" w:rsidP="00763D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523F1" w14:textId="77777777" w:rsidR="007B207F" w:rsidRDefault="007B207F">
      <w:r>
        <w:separator/>
      </w:r>
    </w:p>
  </w:footnote>
  <w:footnote w:type="continuationSeparator" w:id="0">
    <w:p w14:paraId="6BE2C1AB" w14:textId="77777777" w:rsidR="007B207F" w:rsidRDefault="007B20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788B6" w14:textId="77777777" w:rsidR="00996E82" w:rsidRDefault="00996E82" w:rsidP="00B5043F">
    <w:pPr>
      <w:pStyle w:val="Header"/>
      <w:rPr>
        <w:lang w:val="bg-BG"/>
      </w:rPr>
    </w:pPr>
  </w:p>
  <w:p w14:paraId="71B4A8C6" w14:textId="77777777" w:rsidR="004D66E1" w:rsidRPr="008A13E9" w:rsidRDefault="004D66E1" w:rsidP="004D66E1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0747984B" wp14:editId="60AA1F47">
          <wp:extent cx="704850" cy="542925"/>
          <wp:effectExtent l="0" t="0" r="0" b="9525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797EE32C" wp14:editId="13DDFCE8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5285A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63C15BD" wp14:editId="0A1ADC1D">
          <wp:extent cx="619125" cy="561975"/>
          <wp:effectExtent l="0" t="0" r="9525" b="9525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ABB9B1B" w14:textId="77777777" w:rsidR="00996E82" w:rsidRDefault="00996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109A9"/>
    <w:multiLevelType w:val="hybridMultilevel"/>
    <w:tmpl w:val="CE80958C"/>
    <w:lvl w:ilvl="0" w:tplc="69AC55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472EFE"/>
    <w:multiLevelType w:val="hybridMultilevel"/>
    <w:tmpl w:val="1F78ACFA"/>
    <w:lvl w:ilvl="0" w:tplc="F086FD68">
      <w:start w:val="1"/>
      <w:numFmt w:val="decimal"/>
      <w:lvlText w:val="%1."/>
      <w:lvlJc w:val="left"/>
      <w:pPr>
        <w:tabs>
          <w:tab w:val="num" w:pos="596"/>
        </w:tabs>
        <w:ind w:left="1070" w:hanging="64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3F"/>
    <w:rsid w:val="00015667"/>
    <w:rsid w:val="00057980"/>
    <w:rsid w:val="0008252C"/>
    <w:rsid w:val="000C6A20"/>
    <w:rsid w:val="000D1C1B"/>
    <w:rsid w:val="000D1E71"/>
    <w:rsid w:val="0010118F"/>
    <w:rsid w:val="0013338E"/>
    <w:rsid w:val="001617C4"/>
    <w:rsid w:val="00163F72"/>
    <w:rsid w:val="0018054F"/>
    <w:rsid w:val="001C0FA7"/>
    <w:rsid w:val="001F57BB"/>
    <w:rsid w:val="0022154E"/>
    <w:rsid w:val="00236AAD"/>
    <w:rsid w:val="00266AAF"/>
    <w:rsid w:val="00342277"/>
    <w:rsid w:val="00346739"/>
    <w:rsid w:val="0039339A"/>
    <w:rsid w:val="003947DA"/>
    <w:rsid w:val="003C50D6"/>
    <w:rsid w:val="003E1ADE"/>
    <w:rsid w:val="003E3C8B"/>
    <w:rsid w:val="00404085"/>
    <w:rsid w:val="00450EC4"/>
    <w:rsid w:val="0046375B"/>
    <w:rsid w:val="004657E8"/>
    <w:rsid w:val="0046792B"/>
    <w:rsid w:val="00467C75"/>
    <w:rsid w:val="00472833"/>
    <w:rsid w:val="0047799A"/>
    <w:rsid w:val="00484F1A"/>
    <w:rsid w:val="004B0F73"/>
    <w:rsid w:val="004D66E1"/>
    <w:rsid w:val="004E5EC8"/>
    <w:rsid w:val="00522430"/>
    <w:rsid w:val="00523EE2"/>
    <w:rsid w:val="00537EEA"/>
    <w:rsid w:val="00542ABC"/>
    <w:rsid w:val="00594646"/>
    <w:rsid w:val="005B4F0F"/>
    <w:rsid w:val="005D666E"/>
    <w:rsid w:val="005E5363"/>
    <w:rsid w:val="006140A8"/>
    <w:rsid w:val="006156E8"/>
    <w:rsid w:val="006462FB"/>
    <w:rsid w:val="00652178"/>
    <w:rsid w:val="0065285A"/>
    <w:rsid w:val="006531F0"/>
    <w:rsid w:val="006827B1"/>
    <w:rsid w:val="006A1E35"/>
    <w:rsid w:val="006D4FB9"/>
    <w:rsid w:val="006D7DD1"/>
    <w:rsid w:val="006E7772"/>
    <w:rsid w:val="006E7D40"/>
    <w:rsid w:val="007117B9"/>
    <w:rsid w:val="00714AC9"/>
    <w:rsid w:val="00763DC0"/>
    <w:rsid w:val="007A1778"/>
    <w:rsid w:val="007A4A9D"/>
    <w:rsid w:val="007A6AE6"/>
    <w:rsid w:val="007B207F"/>
    <w:rsid w:val="007C0DE3"/>
    <w:rsid w:val="00800B6E"/>
    <w:rsid w:val="008063C5"/>
    <w:rsid w:val="0085366C"/>
    <w:rsid w:val="00867499"/>
    <w:rsid w:val="008849DF"/>
    <w:rsid w:val="0089186E"/>
    <w:rsid w:val="008C3B56"/>
    <w:rsid w:val="008D64A6"/>
    <w:rsid w:val="008E1849"/>
    <w:rsid w:val="00910A84"/>
    <w:rsid w:val="009145AC"/>
    <w:rsid w:val="00947195"/>
    <w:rsid w:val="00985871"/>
    <w:rsid w:val="009879C3"/>
    <w:rsid w:val="00996E82"/>
    <w:rsid w:val="009A1FFC"/>
    <w:rsid w:val="009A377C"/>
    <w:rsid w:val="009A3A7D"/>
    <w:rsid w:val="009A7DFA"/>
    <w:rsid w:val="009C0B36"/>
    <w:rsid w:val="009C10A2"/>
    <w:rsid w:val="009F0A1B"/>
    <w:rsid w:val="00A04364"/>
    <w:rsid w:val="00A05B4C"/>
    <w:rsid w:val="00A13A0E"/>
    <w:rsid w:val="00A568DE"/>
    <w:rsid w:val="00A9467C"/>
    <w:rsid w:val="00AD1FBA"/>
    <w:rsid w:val="00B1676D"/>
    <w:rsid w:val="00B27D09"/>
    <w:rsid w:val="00B5043F"/>
    <w:rsid w:val="00B516A7"/>
    <w:rsid w:val="00B52D3F"/>
    <w:rsid w:val="00B612DF"/>
    <w:rsid w:val="00B61C0E"/>
    <w:rsid w:val="00B810C7"/>
    <w:rsid w:val="00B8618D"/>
    <w:rsid w:val="00B965D6"/>
    <w:rsid w:val="00B97E44"/>
    <w:rsid w:val="00BA1868"/>
    <w:rsid w:val="00BA3D55"/>
    <w:rsid w:val="00BC4CC1"/>
    <w:rsid w:val="00BE050B"/>
    <w:rsid w:val="00BF2358"/>
    <w:rsid w:val="00C1224B"/>
    <w:rsid w:val="00C33A33"/>
    <w:rsid w:val="00C46F5F"/>
    <w:rsid w:val="00C9059C"/>
    <w:rsid w:val="00CB6B06"/>
    <w:rsid w:val="00D01173"/>
    <w:rsid w:val="00D02FE1"/>
    <w:rsid w:val="00D32560"/>
    <w:rsid w:val="00D42C1D"/>
    <w:rsid w:val="00D74498"/>
    <w:rsid w:val="00D85E33"/>
    <w:rsid w:val="00D97329"/>
    <w:rsid w:val="00DD04D7"/>
    <w:rsid w:val="00DE0C62"/>
    <w:rsid w:val="00DE1BAF"/>
    <w:rsid w:val="00DE5E5F"/>
    <w:rsid w:val="00E02D06"/>
    <w:rsid w:val="00E12219"/>
    <w:rsid w:val="00E206FC"/>
    <w:rsid w:val="00E41B45"/>
    <w:rsid w:val="00E51EE8"/>
    <w:rsid w:val="00E77E00"/>
    <w:rsid w:val="00E92D82"/>
    <w:rsid w:val="00EA532E"/>
    <w:rsid w:val="00EF6A62"/>
    <w:rsid w:val="00F31454"/>
    <w:rsid w:val="00F60C42"/>
    <w:rsid w:val="00F61D7B"/>
    <w:rsid w:val="00F80434"/>
    <w:rsid w:val="00FB66CA"/>
    <w:rsid w:val="00FE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0BA0F0D"/>
  <w15:docId w15:val="{0C72475C-055E-4372-9F73-036F4B5B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43F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5043F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504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5043F"/>
    <w:rPr>
      <w:sz w:val="24"/>
      <w:szCs w:val="24"/>
      <w:lang w:val="bg-BG" w:eastAsia="bg-BG" w:bidi="ar-SA"/>
    </w:rPr>
  </w:style>
  <w:style w:type="paragraph" w:customStyle="1" w:styleId="TableContents">
    <w:name w:val="Table Contents"/>
    <w:basedOn w:val="BodyText"/>
    <w:rsid w:val="00B5043F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B5043F"/>
    <w:rPr>
      <w:color w:val="0000FF"/>
      <w:u w:val="single"/>
    </w:rPr>
  </w:style>
  <w:style w:type="paragraph" w:customStyle="1" w:styleId="Index">
    <w:name w:val="Index"/>
    <w:basedOn w:val="Normal"/>
    <w:rsid w:val="00B5043F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B5043F"/>
    <w:pPr>
      <w:spacing w:after="120"/>
    </w:pPr>
  </w:style>
  <w:style w:type="character" w:styleId="PageNumber">
    <w:name w:val="page number"/>
    <w:basedOn w:val="DefaultParagraphFont"/>
    <w:rsid w:val="00763DC0"/>
  </w:style>
  <w:style w:type="paragraph" w:styleId="BalloonText">
    <w:name w:val="Balloon Text"/>
    <w:basedOn w:val="Normal"/>
    <w:semiHidden/>
    <w:rsid w:val="006D4FB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C3B56"/>
    <w:rPr>
      <w:sz w:val="24"/>
      <w:szCs w:val="24"/>
      <w:lang w:val="en-GB"/>
    </w:rPr>
  </w:style>
  <w:style w:type="character" w:styleId="CommentReference">
    <w:name w:val="annotation reference"/>
    <w:basedOn w:val="DefaultParagraphFont"/>
    <w:rsid w:val="006E77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E77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E777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6E77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E7772"/>
    <w:rPr>
      <w:b/>
      <w:bCs/>
      <w:lang w:val="en-GB"/>
    </w:rPr>
  </w:style>
  <w:style w:type="paragraph" w:styleId="ListParagraph">
    <w:name w:val="List Paragraph"/>
    <w:basedOn w:val="Normal"/>
    <w:uiPriority w:val="34"/>
    <w:qFormat/>
    <w:rsid w:val="006E7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fund@minfin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429A1-6C28-4408-8F32-8B1AA45E4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703</Words>
  <Characters>3828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Администрация на министерския съвет</vt:lpstr>
    </vt:vector>
  </TitlesOfParts>
  <Company>MoF</Company>
  <LinksUpToDate>false</LinksUpToDate>
  <CharactersWithSpaces>4522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 министерския съвет</dc:title>
  <dc:creator>GChileva</dc:creator>
  <cp:lastModifiedBy>Хилми Кушев</cp:lastModifiedBy>
  <cp:revision>27</cp:revision>
  <cp:lastPrinted>2017-02-13T07:08:00Z</cp:lastPrinted>
  <dcterms:created xsi:type="dcterms:W3CDTF">2017-02-13T07:04:00Z</dcterms:created>
  <dcterms:modified xsi:type="dcterms:W3CDTF">2020-01-21T16:36:00Z</dcterms:modified>
</cp:coreProperties>
</file>