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E3E" w:rsidRPr="008362E4" w:rsidRDefault="00AB3E3E" w:rsidP="0006591D">
      <w:pPr>
        <w:pStyle w:val="Header"/>
        <w:ind w:left="-1134" w:firstLine="1134"/>
        <w:rPr>
          <w:szCs w:val="24"/>
          <w:lang w:val="ru-RU"/>
        </w:rPr>
      </w:pPr>
    </w:p>
    <w:p w:rsidR="00133798" w:rsidRDefault="00133798" w:rsidP="00133798">
      <w:pPr>
        <w:pStyle w:val="Header"/>
        <w:rPr>
          <w:b/>
          <w:szCs w:val="24"/>
        </w:rPr>
      </w:pPr>
      <w:r>
        <w:t xml:space="preserve">    </w:t>
      </w:r>
      <w:r w:rsidRPr="006212FD">
        <w:t xml:space="preserve">  </w:t>
      </w:r>
    </w:p>
    <w:tbl>
      <w:tblPr>
        <w:tblW w:w="10349"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94"/>
        <w:gridCol w:w="5245"/>
        <w:gridCol w:w="2410"/>
      </w:tblGrid>
      <w:tr w:rsidR="00133798" w:rsidTr="00133798">
        <w:trPr>
          <w:trHeight w:val="743"/>
          <w:tblHeader/>
        </w:trPr>
        <w:tc>
          <w:tcPr>
            <w:tcW w:w="2694" w:type="dxa"/>
            <w:vAlign w:val="center"/>
          </w:tcPr>
          <w:p w:rsidR="00133798" w:rsidRPr="00D86986" w:rsidRDefault="00133798" w:rsidP="00783593">
            <w:pPr>
              <w:pStyle w:val="Index"/>
              <w:jc w:val="center"/>
              <w:rPr>
                <w:i/>
                <w:iCs/>
                <w:lang w:val="bg-BG"/>
              </w:rPr>
            </w:pPr>
            <w:r>
              <w:rPr>
                <w:b/>
                <w:i/>
                <w:iCs/>
                <w:sz w:val="22"/>
                <w:szCs w:val="22"/>
                <w:lang w:val="bg-BG"/>
              </w:rPr>
              <w:t xml:space="preserve">Администрация на </w:t>
            </w:r>
            <w:r w:rsidRPr="009E24DA">
              <w:rPr>
                <w:b/>
                <w:i/>
                <w:iCs/>
                <w:sz w:val="22"/>
                <w:szCs w:val="22"/>
                <w:lang w:val="bg-BG"/>
              </w:rPr>
              <w:t>Mинистерския</w:t>
            </w:r>
            <w:r>
              <w:rPr>
                <w:b/>
                <w:i/>
                <w:iCs/>
                <w:sz w:val="22"/>
                <w:szCs w:val="22"/>
                <w:lang w:val="bg-BG"/>
              </w:rPr>
              <w:t xml:space="preserve"> съвет</w:t>
            </w:r>
          </w:p>
        </w:tc>
        <w:tc>
          <w:tcPr>
            <w:tcW w:w="5245" w:type="dxa"/>
            <w:vAlign w:val="center"/>
          </w:tcPr>
          <w:p w:rsidR="00133798" w:rsidRPr="001B391E" w:rsidRDefault="00133798" w:rsidP="00783593">
            <w:pPr>
              <w:pStyle w:val="Index"/>
              <w:jc w:val="center"/>
              <w:rPr>
                <w:b/>
                <w:lang w:val="bg-BG"/>
              </w:rPr>
            </w:pPr>
            <w:r>
              <w:rPr>
                <w:b/>
                <w:sz w:val="22"/>
                <w:szCs w:val="22"/>
                <w:lang w:val="bg-BG"/>
              </w:rPr>
              <w:t>Наръчник за</w:t>
            </w:r>
            <w:r w:rsidRPr="001B391E">
              <w:rPr>
                <w:b/>
                <w:sz w:val="22"/>
                <w:szCs w:val="22"/>
                <w:lang w:val="bg-BG"/>
              </w:rPr>
              <w:t xml:space="preserve"> изпълнение на</w:t>
            </w:r>
          </w:p>
          <w:p w:rsidR="00133798" w:rsidRPr="001B391E" w:rsidRDefault="00133798" w:rsidP="00783593">
            <w:pPr>
              <w:pStyle w:val="Index"/>
              <w:jc w:val="center"/>
              <w:rPr>
                <w:b/>
                <w:lang w:val="bg-BG"/>
              </w:rPr>
            </w:pPr>
            <w:r w:rsidRPr="001B391E">
              <w:rPr>
                <w:b/>
                <w:sz w:val="22"/>
                <w:szCs w:val="22"/>
                <w:lang w:val="bg-BG"/>
              </w:rPr>
              <w:t>Оперативна програма</w:t>
            </w:r>
          </w:p>
          <w:p w:rsidR="00133798" w:rsidRPr="00D86986" w:rsidRDefault="00133798" w:rsidP="00783593">
            <w:pPr>
              <w:pStyle w:val="Index"/>
              <w:jc w:val="center"/>
              <w:rPr>
                <w:b/>
                <w:i/>
                <w:iCs/>
                <w:lang w:val="bg-BG"/>
              </w:rPr>
            </w:pPr>
            <w:r>
              <w:rPr>
                <w:b/>
                <w:sz w:val="22"/>
                <w:szCs w:val="22"/>
                <w:lang w:val="bg-BG"/>
              </w:rPr>
              <w:t>„</w:t>
            </w:r>
            <w:r w:rsidRPr="00D822AB">
              <w:rPr>
                <w:b/>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410" w:type="dxa"/>
            <w:vAlign w:val="center"/>
          </w:tcPr>
          <w:p w:rsidR="00133798" w:rsidRPr="00133798" w:rsidRDefault="00133798" w:rsidP="00133798">
            <w:pPr>
              <w:pStyle w:val="Index"/>
              <w:jc w:val="center"/>
              <w:rPr>
                <w:b/>
                <w:bCs/>
                <w:i/>
                <w:lang w:val="bg-BG"/>
              </w:rPr>
            </w:pPr>
            <w:r w:rsidRPr="00C67898">
              <w:rPr>
                <w:b/>
                <w:bCs/>
                <w:i/>
                <w:sz w:val="22"/>
                <w:szCs w:val="22"/>
                <w:lang w:val="bg-BG"/>
              </w:rPr>
              <w:t xml:space="preserve">Приложение </w:t>
            </w:r>
            <w:r w:rsidRPr="00C67898">
              <w:rPr>
                <w:b/>
                <w:bCs/>
                <w:i/>
                <w:sz w:val="22"/>
                <w:szCs w:val="22"/>
              </w:rPr>
              <w:t>I</w:t>
            </w:r>
            <w:r>
              <w:rPr>
                <w:b/>
                <w:bCs/>
                <w:i/>
                <w:sz w:val="22"/>
                <w:szCs w:val="22"/>
              </w:rPr>
              <w:t>II</w:t>
            </w:r>
            <w:r w:rsidRPr="00C67898">
              <w:rPr>
                <w:b/>
                <w:bCs/>
                <w:i/>
                <w:sz w:val="22"/>
                <w:szCs w:val="22"/>
              </w:rPr>
              <w:t>-T01</w:t>
            </w:r>
            <w:r>
              <w:rPr>
                <w:b/>
                <w:bCs/>
                <w:i/>
                <w:sz w:val="22"/>
                <w:szCs w:val="22"/>
              </w:rPr>
              <w:t>-</w:t>
            </w:r>
            <w:r>
              <w:rPr>
                <w:b/>
                <w:bCs/>
                <w:i/>
                <w:sz w:val="22"/>
                <w:szCs w:val="22"/>
                <w:lang w:val="bg-BG"/>
              </w:rPr>
              <w:t>6</w:t>
            </w:r>
          </w:p>
        </w:tc>
      </w:tr>
      <w:tr w:rsidR="00133798" w:rsidRPr="007D14ED" w:rsidTr="00133798">
        <w:trPr>
          <w:trHeight w:val="742"/>
          <w:tblHeader/>
        </w:trPr>
        <w:tc>
          <w:tcPr>
            <w:tcW w:w="2694" w:type="dxa"/>
            <w:vAlign w:val="center"/>
          </w:tcPr>
          <w:p w:rsidR="00133798" w:rsidRPr="00D86986" w:rsidRDefault="00133798" w:rsidP="00783593">
            <w:pPr>
              <w:pStyle w:val="Index"/>
              <w:jc w:val="center"/>
              <w:rPr>
                <w:b/>
                <w:lang w:val="bg-BG"/>
              </w:rPr>
            </w:pPr>
            <w:r w:rsidRPr="005C5C41">
              <w:rPr>
                <w:b/>
                <w:i/>
                <w:iCs/>
                <w:sz w:val="22"/>
                <w:szCs w:val="22"/>
                <w:lang w:val="bg-BG"/>
              </w:rPr>
              <w:t xml:space="preserve">Дирекция </w:t>
            </w:r>
            <w:r>
              <w:rPr>
                <w:b/>
                <w:i/>
                <w:iCs/>
                <w:sz w:val="22"/>
                <w:szCs w:val="22"/>
                <w:lang w:val="bg-BG"/>
              </w:rPr>
              <w:t>„Добро управление</w:t>
            </w:r>
            <w:r w:rsidRPr="005C5C41">
              <w:rPr>
                <w:b/>
                <w:i/>
                <w:iCs/>
                <w:sz w:val="22"/>
                <w:szCs w:val="22"/>
                <w:lang w:val="bg-BG"/>
              </w:rPr>
              <w:t>”</w:t>
            </w:r>
          </w:p>
        </w:tc>
        <w:tc>
          <w:tcPr>
            <w:tcW w:w="7655" w:type="dxa"/>
            <w:gridSpan w:val="2"/>
            <w:shd w:val="clear" w:color="auto" w:fill="666699"/>
            <w:vAlign w:val="center"/>
          </w:tcPr>
          <w:p w:rsidR="00133798" w:rsidRPr="00E24641" w:rsidRDefault="00FD1DC4" w:rsidP="00783593">
            <w:pPr>
              <w:pStyle w:val="Index"/>
              <w:jc w:val="center"/>
              <w:rPr>
                <w:b/>
                <w:color w:val="FFFFFF"/>
                <w:sz w:val="28"/>
                <w:szCs w:val="28"/>
                <w:lang w:val="bg-BG"/>
              </w:rPr>
            </w:pPr>
            <w:r w:rsidRPr="00FD1DC4">
              <w:rPr>
                <w:b/>
                <w:color w:val="FFFFFF"/>
                <w:sz w:val="28"/>
                <w:szCs w:val="28"/>
                <w:lang w:val="bg-BG"/>
              </w:rPr>
              <w:t>Декларация за нередности и конфликт на интереси</w:t>
            </w:r>
          </w:p>
        </w:tc>
      </w:tr>
      <w:tr w:rsidR="00133798" w:rsidTr="00133798">
        <w:trPr>
          <w:trHeight w:val="742"/>
          <w:tblHeader/>
        </w:trPr>
        <w:tc>
          <w:tcPr>
            <w:tcW w:w="2694" w:type="dxa"/>
            <w:vAlign w:val="center"/>
          </w:tcPr>
          <w:p w:rsidR="00133798" w:rsidRPr="006756F4" w:rsidRDefault="00133798" w:rsidP="00783593">
            <w:pPr>
              <w:pStyle w:val="Index"/>
              <w:jc w:val="center"/>
              <w:rPr>
                <w:b/>
                <w:i/>
                <w:iCs/>
              </w:rPr>
            </w:pPr>
            <w:r w:rsidRPr="00EC3967">
              <w:rPr>
                <w:sz w:val="22"/>
                <w:szCs w:val="22"/>
                <w:lang w:val="bg-BG"/>
              </w:rPr>
              <w:t xml:space="preserve">Вариант на документа: </w:t>
            </w:r>
            <w:r>
              <w:rPr>
                <w:sz w:val="22"/>
                <w:szCs w:val="22"/>
                <w:lang w:val="bg-BG"/>
              </w:rPr>
              <w:t>1</w:t>
            </w:r>
          </w:p>
        </w:tc>
        <w:tc>
          <w:tcPr>
            <w:tcW w:w="5245" w:type="dxa"/>
            <w:vAlign w:val="center"/>
          </w:tcPr>
          <w:p w:rsidR="00133798" w:rsidRPr="000D4004" w:rsidRDefault="00133798" w:rsidP="00783593">
            <w:pPr>
              <w:pStyle w:val="TableContents"/>
              <w:spacing w:after="0"/>
              <w:jc w:val="center"/>
              <w:rPr>
                <w:i/>
                <w:iCs/>
                <w:sz w:val="22"/>
                <w:szCs w:val="22"/>
                <w:lang w:val="bg-BG"/>
              </w:rPr>
            </w:pPr>
            <w:r w:rsidRPr="000D4004">
              <w:rPr>
                <w:i/>
                <w:iCs/>
                <w:sz w:val="22"/>
                <w:szCs w:val="22"/>
                <w:lang w:val="bg-BG"/>
              </w:rPr>
              <w:t xml:space="preserve">Одобрен от: </w:t>
            </w:r>
          </w:p>
          <w:p w:rsidR="00133798" w:rsidRPr="000D4004" w:rsidRDefault="00133798" w:rsidP="00783593">
            <w:pPr>
              <w:pStyle w:val="TableContents"/>
              <w:spacing w:after="0"/>
              <w:jc w:val="center"/>
              <w:rPr>
                <w:i/>
                <w:iCs/>
                <w:sz w:val="22"/>
                <w:szCs w:val="22"/>
                <w:lang w:val="bg-BG"/>
              </w:rPr>
            </w:pP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410" w:type="dxa"/>
            <w:vAlign w:val="center"/>
          </w:tcPr>
          <w:p w:rsidR="00133798" w:rsidRPr="00C67898" w:rsidRDefault="00133798" w:rsidP="00133798">
            <w:pPr>
              <w:pStyle w:val="TableContents"/>
              <w:spacing w:before="100" w:after="100"/>
              <w:jc w:val="center"/>
              <w:rPr>
                <w:b/>
                <w:sz w:val="28"/>
                <w:szCs w:val="28"/>
                <w:lang w:val="bg-BG"/>
              </w:rPr>
            </w:pPr>
            <w:r w:rsidRPr="00C67898">
              <w:rPr>
                <w:sz w:val="22"/>
                <w:szCs w:val="22"/>
                <w:lang w:val="bg-BG"/>
              </w:rPr>
              <w:t>Дата</w:t>
            </w:r>
            <w:r w:rsidRPr="00F02417">
              <w:rPr>
                <w:sz w:val="22"/>
                <w:szCs w:val="22"/>
                <w:lang w:val="bg-BG"/>
              </w:rPr>
              <w:t xml:space="preserve">: </w:t>
            </w:r>
            <w:r w:rsidR="00040796">
              <w:rPr>
                <w:sz w:val="22"/>
                <w:szCs w:val="22"/>
                <w:lang w:val="bg-BG"/>
              </w:rPr>
              <w:t>22</w:t>
            </w:r>
            <w:r w:rsidRPr="00F02417">
              <w:rPr>
                <w:sz w:val="22"/>
                <w:szCs w:val="22"/>
                <w:lang w:val="bg-BG"/>
              </w:rPr>
              <w:t>.0</w:t>
            </w:r>
            <w:r>
              <w:rPr>
                <w:sz w:val="22"/>
                <w:szCs w:val="22"/>
                <w:lang w:val="bg-BG"/>
              </w:rPr>
              <w:t>1</w:t>
            </w:r>
            <w:r w:rsidRPr="00F02417">
              <w:rPr>
                <w:sz w:val="22"/>
                <w:szCs w:val="22"/>
                <w:lang w:val="bg-BG"/>
              </w:rPr>
              <w:t>.20</w:t>
            </w:r>
            <w:r>
              <w:rPr>
                <w:sz w:val="22"/>
                <w:szCs w:val="22"/>
                <w:lang w:val="bg-BG"/>
              </w:rPr>
              <w:t>20</w:t>
            </w:r>
            <w:r w:rsidRPr="00F02417">
              <w:rPr>
                <w:sz w:val="22"/>
                <w:szCs w:val="22"/>
                <w:lang w:val="bg-BG"/>
              </w:rPr>
              <w:t xml:space="preserve"> г.</w:t>
            </w:r>
          </w:p>
        </w:tc>
      </w:tr>
    </w:tbl>
    <w:p w:rsidR="00070C36" w:rsidRPr="008362E4" w:rsidRDefault="00070C36">
      <w:pPr>
        <w:shd w:val="clear" w:color="auto" w:fill="FFFFFF"/>
        <w:spacing w:before="742"/>
        <w:ind w:left="29"/>
        <w:jc w:val="center"/>
        <w:rPr>
          <w:b/>
          <w:bCs/>
          <w:color w:val="000000"/>
          <w:spacing w:val="-4"/>
          <w:w w:val="121"/>
          <w:sz w:val="24"/>
          <w:szCs w:val="24"/>
        </w:rPr>
      </w:pPr>
      <w:r w:rsidRPr="008362E4">
        <w:rPr>
          <w:b/>
          <w:bCs/>
          <w:color w:val="000000"/>
          <w:spacing w:val="-4"/>
          <w:w w:val="121"/>
          <w:sz w:val="24"/>
          <w:szCs w:val="24"/>
        </w:rPr>
        <w:t>ДЕКЛАРАЦИЯ</w:t>
      </w:r>
    </w:p>
    <w:p w:rsidR="00F53E09" w:rsidRDefault="00F53E09" w:rsidP="0001399F">
      <w:pPr>
        <w:shd w:val="clear" w:color="auto" w:fill="FFFFFF"/>
        <w:spacing w:before="83" w:line="547" w:lineRule="exact"/>
        <w:ind w:right="4"/>
        <w:rPr>
          <w:color w:val="000000"/>
          <w:sz w:val="24"/>
          <w:szCs w:val="24"/>
        </w:rPr>
      </w:pPr>
      <w:bookmarkStart w:id="0" w:name="_GoBack"/>
      <w:bookmarkEnd w:id="0"/>
    </w:p>
    <w:p w:rsidR="0001399F" w:rsidRPr="008362E4" w:rsidRDefault="0001399F" w:rsidP="00C05FC5">
      <w:pPr>
        <w:shd w:val="clear" w:color="auto" w:fill="FFFFFF"/>
        <w:spacing w:before="83"/>
        <w:ind w:right="4"/>
        <w:rPr>
          <w:color w:val="000000"/>
          <w:sz w:val="24"/>
          <w:szCs w:val="24"/>
        </w:rPr>
      </w:pPr>
      <w:r w:rsidRPr="008362E4">
        <w:rPr>
          <w:color w:val="000000"/>
          <w:sz w:val="24"/>
          <w:szCs w:val="24"/>
        </w:rPr>
        <w:t>Аз, долуподписаният/долуподписаната</w:t>
      </w:r>
    </w:p>
    <w:p w:rsidR="0001399F" w:rsidRPr="008362E4" w:rsidRDefault="0001399F" w:rsidP="00C05FC5">
      <w:pPr>
        <w:shd w:val="clear" w:color="auto" w:fill="FFFFFF"/>
        <w:spacing w:before="83"/>
        <w:ind w:right="4"/>
        <w:rPr>
          <w:color w:val="000000"/>
          <w:sz w:val="24"/>
          <w:szCs w:val="24"/>
        </w:rPr>
      </w:pPr>
      <w:r w:rsidRPr="008362E4">
        <w:rPr>
          <w:color w:val="000000"/>
          <w:sz w:val="24"/>
          <w:szCs w:val="24"/>
        </w:rPr>
        <w:t>................................................................................................................</w:t>
      </w:r>
      <w:r w:rsidR="00F53E09">
        <w:rPr>
          <w:color w:val="000000"/>
          <w:sz w:val="24"/>
          <w:szCs w:val="24"/>
        </w:rPr>
        <w:t>......</w:t>
      </w:r>
      <w:r w:rsidRPr="008362E4">
        <w:rPr>
          <w:color w:val="000000"/>
          <w:sz w:val="24"/>
          <w:szCs w:val="24"/>
        </w:rPr>
        <w:t>................................</w:t>
      </w:r>
      <w:r w:rsidR="00F53E09">
        <w:rPr>
          <w:color w:val="000000"/>
          <w:sz w:val="24"/>
          <w:szCs w:val="24"/>
        </w:rPr>
        <w:t>,</w:t>
      </w:r>
    </w:p>
    <w:p w:rsidR="00C05FC5" w:rsidRDefault="00C05FC5" w:rsidP="00C05FC5">
      <w:pPr>
        <w:shd w:val="clear" w:color="auto" w:fill="FFFFFF"/>
        <w:ind w:right="4"/>
        <w:rPr>
          <w:color w:val="000000"/>
          <w:sz w:val="24"/>
          <w:szCs w:val="24"/>
        </w:rPr>
      </w:pPr>
    </w:p>
    <w:p w:rsidR="0001399F" w:rsidRDefault="0001399F" w:rsidP="00C05FC5">
      <w:pPr>
        <w:shd w:val="clear" w:color="auto" w:fill="FFFFFF"/>
        <w:ind w:right="4"/>
        <w:rPr>
          <w:color w:val="000000"/>
          <w:sz w:val="24"/>
          <w:szCs w:val="24"/>
        </w:rPr>
      </w:pPr>
      <w:r w:rsidRPr="008362E4">
        <w:rPr>
          <w:color w:val="000000"/>
          <w:sz w:val="24"/>
          <w:szCs w:val="24"/>
        </w:rPr>
        <w:t>в качеството ми на...................................................................................</w:t>
      </w:r>
      <w:r w:rsidR="00F53E09">
        <w:rPr>
          <w:color w:val="000000"/>
          <w:sz w:val="24"/>
          <w:szCs w:val="24"/>
        </w:rPr>
        <w:t>.........</w:t>
      </w:r>
      <w:r w:rsidRPr="008362E4">
        <w:rPr>
          <w:color w:val="000000"/>
          <w:sz w:val="24"/>
          <w:szCs w:val="24"/>
        </w:rPr>
        <w:t xml:space="preserve">........................., </w:t>
      </w:r>
    </w:p>
    <w:p w:rsidR="0015772B" w:rsidRPr="00F53E09" w:rsidRDefault="0015772B" w:rsidP="00C05FC5">
      <w:pPr>
        <w:shd w:val="clear" w:color="auto" w:fill="FFFFFF"/>
        <w:ind w:right="4"/>
        <w:jc w:val="center"/>
        <w:rPr>
          <w:i/>
          <w:color w:val="000000"/>
          <w:sz w:val="24"/>
          <w:szCs w:val="24"/>
          <w:lang w:val="en-US"/>
        </w:rPr>
      </w:pPr>
      <w:r w:rsidRPr="00F53E09">
        <w:rPr>
          <w:i/>
          <w:color w:val="000000"/>
          <w:sz w:val="24"/>
          <w:szCs w:val="24"/>
        </w:rPr>
        <w:t>/управител/представляващ/експерт</w:t>
      </w:r>
      <w:r w:rsidR="00F53E09" w:rsidRPr="00F53E09">
        <w:rPr>
          <w:i/>
          <w:color w:val="000000"/>
          <w:sz w:val="24"/>
          <w:szCs w:val="24"/>
          <w:lang w:val="en-US"/>
        </w:rPr>
        <w:t>/</w:t>
      </w:r>
    </w:p>
    <w:p w:rsidR="00C05FC5" w:rsidRDefault="00C05FC5" w:rsidP="00C05FC5">
      <w:pPr>
        <w:shd w:val="clear" w:color="auto" w:fill="FFFFFF"/>
        <w:ind w:right="4"/>
        <w:rPr>
          <w:color w:val="000000"/>
          <w:sz w:val="24"/>
          <w:szCs w:val="24"/>
        </w:rPr>
      </w:pPr>
    </w:p>
    <w:p w:rsidR="0001399F" w:rsidRDefault="00F53E09" w:rsidP="00C05FC5">
      <w:pPr>
        <w:shd w:val="clear" w:color="auto" w:fill="FFFFFF"/>
        <w:ind w:right="4"/>
        <w:rPr>
          <w:color w:val="000000"/>
          <w:sz w:val="24"/>
          <w:szCs w:val="24"/>
        </w:rPr>
      </w:pPr>
      <w:r>
        <w:rPr>
          <w:color w:val="000000"/>
          <w:sz w:val="24"/>
          <w:szCs w:val="24"/>
        </w:rPr>
        <w:t>на</w:t>
      </w:r>
      <w:r>
        <w:rPr>
          <w:color w:val="000000"/>
          <w:sz w:val="24"/>
          <w:szCs w:val="24"/>
          <w:lang w:val="en-US"/>
        </w:rPr>
        <w:t>/</w:t>
      </w:r>
      <w:r w:rsidR="0001399F" w:rsidRPr="008362E4">
        <w:rPr>
          <w:color w:val="000000"/>
          <w:sz w:val="24"/>
          <w:szCs w:val="24"/>
        </w:rPr>
        <w:t xml:space="preserve">в </w:t>
      </w:r>
      <w:r w:rsidR="0015772B">
        <w:rPr>
          <w:color w:val="000000"/>
          <w:sz w:val="24"/>
          <w:szCs w:val="24"/>
        </w:rPr>
        <w:t>………………………………………………</w:t>
      </w:r>
      <w:r>
        <w:rPr>
          <w:color w:val="000000"/>
          <w:sz w:val="24"/>
          <w:szCs w:val="24"/>
        </w:rPr>
        <w:t>……………………………………………..</w:t>
      </w:r>
      <w:r w:rsidR="0001399F" w:rsidRPr="008362E4">
        <w:rPr>
          <w:color w:val="000000"/>
          <w:sz w:val="24"/>
          <w:szCs w:val="24"/>
        </w:rPr>
        <w:t xml:space="preserve">, </w:t>
      </w:r>
    </w:p>
    <w:p w:rsidR="0015772B" w:rsidRPr="00F53E09" w:rsidRDefault="0015772B" w:rsidP="00C05FC5">
      <w:pPr>
        <w:shd w:val="clear" w:color="auto" w:fill="FFFFFF"/>
        <w:ind w:right="4"/>
        <w:jc w:val="center"/>
        <w:rPr>
          <w:i/>
          <w:color w:val="000000"/>
          <w:sz w:val="24"/>
          <w:szCs w:val="24"/>
        </w:rPr>
      </w:pPr>
      <w:r w:rsidRPr="00F53E09">
        <w:rPr>
          <w:i/>
          <w:color w:val="000000"/>
          <w:sz w:val="24"/>
          <w:szCs w:val="24"/>
        </w:rPr>
        <w:t>/наименование на дружеството/</w:t>
      </w:r>
    </w:p>
    <w:p w:rsidR="00EC2077" w:rsidRDefault="00EC2077" w:rsidP="00EC2077">
      <w:pPr>
        <w:shd w:val="clear" w:color="auto" w:fill="FFFFFF"/>
        <w:ind w:right="4"/>
        <w:rPr>
          <w:color w:val="000000"/>
          <w:sz w:val="24"/>
          <w:szCs w:val="24"/>
        </w:rPr>
      </w:pPr>
    </w:p>
    <w:p w:rsidR="00004334" w:rsidRDefault="00004334" w:rsidP="00EC2077">
      <w:pPr>
        <w:shd w:val="clear" w:color="auto" w:fill="FFFFFF"/>
        <w:spacing w:line="360" w:lineRule="auto"/>
        <w:ind w:right="4"/>
        <w:rPr>
          <w:color w:val="000000"/>
          <w:sz w:val="24"/>
          <w:szCs w:val="24"/>
        </w:rPr>
      </w:pPr>
    </w:p>
    <w:p w:rsidR="00004334" w:rsidRDefault="00004334" w:rsidP="00EC2077">
      <w:pPr>
        <w:shd w:val="clear" w:color="auto" w:fill="FFFFFF"/>
        <w:spacing w:line="360" w:lineRule="auto"/>
        <w:ind w:right="4"/>
        <w:rPr>
          <w:color w:val="000000"/>
          <w:sz w:val="24"/>
          <w:szCs w:val="24"/>
        </w:rPr>
      </w:pPr>
    </w:p>
    <w:p w:rsidR="00BC1404" w:rsidRDefault="00C05FC5" w:rsidP="00EC2077">
      <w:pPr>
        <w:shd w:val="clear" w:color="auto" w:fill="FFFFFF"/>
        <w:spacing w:line="360" w:lineRule="auto"/>
        <w:ind w:right="4"/>
        <w:rPr>
          <w:color w:val="000000"/>
          <w:sz w:val="24"/>
          <w:szCs w:val="24"/>
        </w:rPr>
      </w:pPr>
      <w:r>
        <w:rPr>
          <w:color w:val="000000"/>
          <w:sz w:val="24"/>
          <w:szCs w:val="24"/>
        </w:rPr>
        <w:t>Относно</w:t>
      </w:r>
      <w:r w:rsidR="006362DC">
        <w:rPr>
          <w:rStyle w:val="EndnoteReference"/>
          <w:color w:val="000000"/>
          <w:sz w:val="24"/>
          <w:szCs w:val="24"/>
        </w:rPr>
        <w:endnoteReference w:id="1"/>
      </w:r>
      <w:r>
        <w:rPr>
          <w:color w:val="000000"/>
          <w:sz w:val="24"/>
          <w:szCs w:val="24"/>
        </w:rPr>
        <w:t>:………………………………………………………………………………</w:t>
      </w:r>
      <w:r w:rsidR="00EC2077">
        <w:rPr>
          <w:color w:val="000000"/>
          <w:sz w:val="24"/>
          <w:szCs w:val="24"/>
        </w:rPr>
        <w:t>..</w:t>
      </w:r>
      <w:r>
        <w:rPr>
          <w:color w:val="000000"/>
          <w:sz w:val="24"/>
          <w:szCs w:val="24"/>
        </w:rPr>
        <w:t>………...</w:t>
      </w:r>
      <w:r w:rsidR="00EC2077">
        <w:rPr>
          <w:color w:val="000000"/>
          <w:sz w:val="24"/>
          <w:szCs w:val="24"/>
        </w:rPr>
        <w:t>........................................................................................................................................</w:t>
      </w:r>
      <w:r w:rsidR="006362DC">
        <w:rPr>
          <w:color w:val="000000"/>
          <w:sz w:val="24"/>
          <w:szCs w:val="24"/>
        </w:rPr>
        <w:t>........</w:t>
      </w:r>
    </w:p>
    <w:p w:rsidR="00C05FC5" w:rsidRDefault="00C05FC5" w:rsidP="00004334">
      <w:pPr>
        <w:shd w:val="clear" w:color="auto" w:fill="FFFFFF"/>
        <w:spacing w:line="276" w:lineRule="auto"/>
        <w:ind w:right="4"/>
        <w:jc w:val="center"/>
        <w:rPr>
          <w:i/>
          <w:color w:val="000000"/>
        </w:rPr>
      </w:pPr>
      <w:r w:rsidRPr="00C05FC5">
        <w:rPr>
          <w:i/>
          <w:color w:val="000000"/>
        </w:rPr>
        <w:t>/</w:t>
      </w:r>
      <w:r w:rsidR="00004334" w:rsidRPr="00C05FC5">
        <w:rPr>
          <w:i/>
          <w:color w:val="000000"/>
        </w:rPr>
        <w:t>постъпило искане за плащане</w:t>
      </w:r>
      <w:r w:rsidR="00004334">
        <w:rPr>
          <w:i/>
          <w:color w:val="000000"/>
        </w:rPr>
        <w:t xml:space="preserve"> </w:t>
      </w:r>
      <w:r w:rsidR="00D973D4">
        <w:rPr>
          <w:i/>
          <w:color w:val="000000"/>
        </w:rPr>
        <w:t>с</w:t>
      </w:r>
      <w:r w:rsidR="00004334" w:rsidRPr="00C05FC5">
        <w:rPr>
          <w:i/>
          <w:color w:val="000000"/>
        </w:rPr>
        <w:t xml:space="preserve"> </w:t>
      </w:r>
      <w:r w:rsidRPr="00C05FC5">
        <w:rPr>
          <w:i/>
          <w:color w:val="000000"/>
        </w:rPr>
        <w:t>н</w:t>
      </w:r>
      <w:r w:rsidR="00004334">
        <w:rPr>
          <w:i/>
          <w:color w:val="000000"/>
        </w:rPr>
        <w:t>омер и дата</w:t>
      </w:r>
      <w:r w:rsidRPr="00C05FC5">
        <w:rPr>
          <w:i/>
          <w:color w:val="000000"/>
        </w:rPr>
        <w:t xml:space="preserve">, </w:t>
      </w:r>
      <w:r w:rsidR="00004334" w:rsidRPr="00C05FC5">
        <w:rPr>
          <w:i/>
          <w:color w:val="000000"/>
        </w:rPr>
        <w:t>наименование на проект</w:t>
      </w:r>
      <w:r w:rsidR="00004334">
        <w:rPr>
          <w:i/>
          <w:color w:val="000000"/>
        </w:rPr>
        <w:t>,</w:t>
      </w:r>
      <w:r w:rsidR="00004334" w:rsidRPr="00C05FC5">
        <w:rPr>
          <w:i/>
          <w:color w:val="000000"/>
        </w:rPr>
        <w:t xml:space="preserve"> </w:t>
      </w:r>
      <w:r w:rsidR="00004334">
        <w:rPr>
          <w:i/>
          <w:color w:val="000000"/>
        </w:rPr>
        <w:t>номер и</w:t>
      </w:r>
      <w:r w:rsidRPr="00C05FC5">
        <w:rPr>
          <w:i/>
          <w:color w:val="000000"/>
        </w:rPr>
        <w:t xml:space="preserve"> дата /</w:t>
      </w:r>
    </w:p>
    <w:p w:rsidR="00685C96" w:rsidRDefault="00685C96" w:rsidP="00004334">
      <w:pPr>
        <w:shd w:val="clear" w:color="auto" w:fill="FFFFFF"/>
        <w:spacing w:line="276" w:lineRule="auto"/>
        <w:ind w:right="4"/>
        <w:jc w:val="center"/>
        <w:rPr>
          <w:i/>
          <w:color w:val="000000"/>
        </w:rPr>
      </w:pPr>
      <w:r w:rsidRPr="00C05FC5">
        <w:rPr>
          <w:i/>
          <w:color w:val="000000"/>
        </w:rPr>
        <w:t>/</w:t>
      </w:r>
      <w:r w:rsidR="00004334">
        <w:rPr>
          <w:i/>
          <w:color w:val="000000"/>
        </w:rPr>
        <w:t>последващ контрол на процедурата</w:t>
      </w:r>
      <w:r w:rsidR="009A0CB8">
        <w:rPr>
          <w:i/>
          <w:color w:val="000000"/>
        </w:rPr>
        <w:t>,</w:t>
      </w:r>
      <w:r w:rsidR="00004334">
        <w:rPr>
          <w:i/>
          <w:color w:val="000000"/>
        </w:rPr>
        <w:t xml:space="preserve"> </w:t>
      </w:r>
      <w:r w:rsidR="009A0CB8">
        <w:rPr>
          <w:i/>
          <w:color w:val="000000"/>
        </w:rPr>
        <w:t>предмет,</w:t>
      </w:r>
      <w:r w:rsidR="00004334">
        <w:rPr>
          <w:i/>
          <w:color w:val="000000"/>
        </w:rPr>
        <w:t xml:space="preserve"> </w:t>
      </w:r>
      <w:r w:rsidR="009A0CB8" w:rsidRPr="00C05FC5">
        <w:rPr>
          <w:i/>
          <w:color w:val="000000"/>
        </w:rPr>
        <w:t>наименование на проект</w:t>
      </w:r>
      <w:r w:rsidR="009A0CB8">
        <w:rPr>
          <w:i/>
          <w:color w:val="000000"/>
        </w:rPr>
        <w:t>,</w:t>
      </w:r>
      <w:r w:rsidR="009A0CB8" w:rsidRPr="00C05FC5">
        <w:rPr>
          <w:i/>
          <w:color w:val="000000"/>
        </w:rPr>
        <w:t xml:space="preserve"> </w:t>
      </w:r>
      <w:r w:rsidR="009A0CB8">
        <w:rPr>
          <w:i/>
          <w:color w:val="000000"/>
        </w:rPr>
        <w:t>номер и</w:t>
      </w:r>
      <w:r w:rsidR="009A0CB8" w:rsidRPr="00C05FC5">
        <w:rPr>
          <w:i/>
          <w:color w:val="000000"/>
        </w:rPr>
        <w:t xml:space="preserve"> дата </w:t>
      </w:r>
      <w:r w:rsidRPr="00C05FC5">
        <w:rPr>
          <w:i/>
          <w:color w:val="000000"/>
        </w:rPr>
        <w:t>/</w:t>
      </w:r>
    </w:p>
    <w:p w:rsidR="009A0CB8" w:rsidRPr="009A0CB8" w:rsidRDefault="009A0CB8" w:rsidP="009A0CB8">
      <w:pPr>
        <w:shd w:val="clear" w:color="auto" w:fill="FFFFFF"/>
        <w:spacing w:line="276" w:lineRule="auto"/>
        <w:ind w:right="4"/>
        <w:jc w:val="center"/>
        <w:rPr>
          <w:i/>
          <w:color w:val="000000"/>
        </w:rPr>
      </w:pPr>
      <w:r w:rsidRPr="009A0CB8">
        <w:rPr>
          <w:i/>
          <w:color w:val="000000"/>
        </w:rPr>
        <w:t>/проверка на място, предмет, наименование на проект, номер и дата/</w:t>
      </w:r>
    </w:p>
    <w:p w:rsidR="00EC2077" w:rsidRDefault="00EC2077" w:rsidP="00EC2077">
      <w:pPr>
        <w:shd w:val="clear" w:color="auto" w:fill="FFFFFF"/>
        <w:ind w:right="4"/>
        <w:rPr>
          <w:color w:val="000000"/>
          <w:sz w:val="24"/>
          <w:szCs w:val="24"/>
        </w:rPr>
      </w:pPr>
    </w:p>
    <w:p w:rsidR="00C05FC5" w:rsidRDefault="00C05FC5" w:rsidP="00BC1404">
      <w:pPr>
        <w:shd w:val="clear" w:color="auto" w:fill="FFFFFF"/>
        <w:jc w:val="center"/>
        <w:rPr>
          <w:color w:val="000000"/>
          <w:sz w:val="24"/>
          <w:szCs w:val="24"/>
        </w:rPr>
      </w:pPr>
    </w:p>
    <w:p w:rsidR="00C05FC5" w:rsidRDefault="00C05FC5" w:rsidP="00BC1404">
      <w:pPr>
        <w:shd w:val="clear" w:color="auto" w:fill="FFFFFF"/>
        <w:jc w:val="center"/>
        <w:rPr>
          <w:color w:val="000000"/>
          <w:sz w:val="24"/>
          <w:szCs w:val="24"/>
        </w:rPr>
      </w:pPr>
    </w:p>
    <w:p w:rsidR="00BC1404" w:rsidRPr="00784BD3" w:rsidRDefault="00BC1404" w:rsidP="00BC1404">
      <w:pPr>
        <w:shd w:val="clear" w:color="auto" w:fill="FFFFFF"/>
        <w:jc w:val="center"/>
        <w:rPr>
          <w:color w:val="000000"/>
          <w:sz w:val="24"/>
          <w:szCs w:val="24"/>
        </w:rPr>
      </w:pPr>
      <w:r w:rsidRPr="00784BD3">
        <w:rPr>
          <w:color w:val="000000"/>
          <w:sz w:val="24"/>
          <w:szCs w:val="24"/>
        </w:rPr>
        <w:t>ДЕКЛАРИРАМ:</w:t>
      </w:r>
    </w:p>
    <w:p w:rsidR="00BC1404" w:rsidRPr="00784BD3" w:rsidRDefault="00BC1404" w:rsidP="00BC1404">
      <w:pPr>
        <w:shd w:val="clear" w:color="auto" w:fill="FFFFFF"/>
        <w:jc w:val="center"/>
        <w:rPr>
          <w:color w:val="000000"/>
          <w:sz w:val="24"/>
          <w:szCs w:val="24"/>
        </w:rPr>
      </w:pPr>
    </w:p>
    <w:p w:rsidR="00BC1404" w:rsidRPr="00784BD3" w:rsidRDefault="00BC1404" w:rsidP="00BC1404">
      <w:pPr>
        <w:shd w:val="clear" w:color="auto" w:fill="FFFFFF"/>
        <w:tabs>
          <w:tab w:val="left" w:pos="8222"/>
          <w:tab w:val="left" w:pos="8647"/>
        </w:tabs>
        <w:jc w:val="both"/>
        <w:rPr>
          <w:color w:val="000000"/>
          <w:sz w:val="24"/>
          <w:szCs w:val="24"/>
        </w:rPr>
      </w:pPr>
      <w:r w:rsidRPr="00784BD3">
        <w:rPr>
          <w:color w:val="000000"/>
          <w:sz w:val="24"/>
          <w:szCs w:val="24"/>
        </w:rPr>
        <w:t xml:space="preserve">1. Запознат/а съм с определението за </w:t>
      </w:r>
      <w:r w:rsidRPr="00784BD3">
        <w:rPr>
          <w:b/>
          <w:bCs/>
          <w:color w:val="000000"/>
          <w:sz w:val="24"/>
          <w:szCs w:val="24"/>
        </w:rPr>
        <w:t>нередност</w:t>
      </w:r>
      <w:r w:rsidRPr="00784BD3">
        <w:rPr>
          <w:color w:val="000000"/>
          <w:sz w:val="24"/>
          <w:szCs w:val="24"/>
        </w:rPr>
        <w:t>, съгласно чл. 2, т. 36 от Регламент (ЕС) 1303/2013, а именно:</w:t>
      </w:r>
    </w:p>
    <w:p w:rsidR="00BC1404" w:rsidRPr="00784BD3" w:rsidRDefault="00BC1404" w:rsidP="00BC1404">
      <w:pPr>
        <w:shd w:val="clear" w:color="auto" w:fill="FFFFFF"/>
        <w:tabs>
          <w:tab w:val="left" w:pos="8222"/>
          <w:tab w:val="left" w:pos="8647"/>
        </w:tabs>
        <w:jc w:val="both"/>
        <w:rPr>
          <w:sz w:val="24"/>
          <w:szCs w:val="24"/>
        </w:rPr>
      </w:pPr>
    </w:p>
    <w:p w:rsidR="00BC1404" w:rsidRPr="00784BD3" w:rsidRDefault="00BC1404" w:rsidP="00BC1404">
      <w:pPr>
        <w:jc w:val="both"/>
        <w:rPr>
          <w:color w:val="000000"/>
          <w:sz w:val="24"/>
          <w:szCs w:val="24"/>
        </w:rPr>
      </w:pPr>
      <w:r w:rsidRPr="00784BD3">
        <w:rPr>
          <w:color w:val="000000"/>
          <w:sz w:val="24"/>
          <w:szCs w:val="24"/>
        </w:rPr>
        <w:t xml:space="preserve">„Нередност“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w:t>
      </w:r>
    </w:p>
    <w:p w:rsidR="00BC1404" w:rsidRPr="00784BD3" w:rsidRDefault="00BC1404" w:rsidP="00BC1404">
      <w:pPr>
        <w:jc w:val="both"/>
        <w:rPr>
          <w:color w:val="000000"/>
          <w:sz w:val="24"/>
          <w:szCs w:val="24"/>
          <w:lang w:val="ru-RU"/>
        </w:rPr>
      </w:pPr>
    </w:p>
    <w:p w:rsidR="00BC1404" w:rsidRPr="00784BD3" w:rsidRDefault="00BC1404" w:rsidP="00BC1404">
      <w:pPr>
        <w:jc w:val="both"/>
        <w:rPr>
          <w:color w:val="000000"/>
          <w:sz w:val="24"/>
          <w:szCs w:val="24"/>
        </w:rPr>
      </w:pPr>
      <w:r w:rsidRPr="00784BD3">
        <w:rPr>
          <w:color w:val="000000"/>
          <w:sz w:val="24"/>
          <w:szCs w:val="24"/>
        </w:rPr>
        <w:lastRenderedPageBreak/>
        <w:t xml:space="preserve">2. Запознат/а съм с определението за </w:t>
      </w:r>
      <w:r w:rsidRPr="00784BD3">
        <w:rPr>
          <w:b/>
          <w:bCs/>
          <w:color w:val="000000"/>
          <w:sz w:val="24"/>
          <w:szCs w:val="24"/>
        </w:rPr>
        <w:t xml:space="preserve">измама, </w:t>
      </w:r>
      <w:r w:rsidRPr="00784BD3">
        <w:rPr>
          <w:color w:val="000000"/>
          <w:sz w:val="24"/>
          <w:szCs w:val="24"/>
        </w:rPr>
        <w:t>съгласно чл. 3, пар. 2, буква „а”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а именно:</w:t>
      </w:r>
    </w:p>
    <w:p w:rsidR="00BC1404" w:rsidRPr="00784BD3" w:rsidRDefault="00BC1404" w:rsidP="00BC1404">
      <w:pPr>
        <w:jc w:val="both"/>
        <w:rPr>
          <w:color w:val="000000"/>
          <w:sz w:val="24"/>
          <w:szCs w:val="24"/>
        </w:rPr>
      </w:pPr>
    </w:p>
    <w:p w:rsidR="00BC1404" w:rsidRPr="00784BD3" w:rsidRDefault="00BC1404" w:rsidP="00BC1404">
      <w:pPr>
        <w:jc w:val="both"/>
        <w:rPr>
          <w:color w:val="000000"/>
          <w:sz w:val="24"/>
          <w:szCs w:val="24"/>
        </w:rPr>
      </w:pPr>
      <w:r w:rsidRPr="00784BD3">
        <w:rPr>
          <w:color w:val="000000"/>
          <w:sz w:val="24"/>
          <w:szCs w:val="24"/>
        </w:rPr>
        <w:t>„За измама, засягаща финансовите интереси на Съюза, се счита следното:</w:t>
      </w:r>
    </w:p>
    <w:p w:rsidR="00BC1404" w:rsidRPr="00784BD3" w:rsidRDefault="00BC1404" w:rsidP="00BC1404">
      <w:pPr>
        <w:jc w:val="both"/>
        <w:rPr>
          <w:color w:val="000000"/>
          <w:sz w:val="24"/>
          <w:szCs w:val="24"/>
        </w:rPr>
      </w:pPr>
    </w:p>
    <w:p w:rsidR="00BC1404" w:rsidRPr="00784BD3" w:rsidRDefault="00BC1404" w:rsidP="00BC1404">
      <w:pPr>
        <w:jc w:val="both"/>
        <w:rPr>
          <w:color w:val="000000"/>
          <w:sz w:val="24"/>
          <w:szCs w:val="24"/>
        </w:rPr>
      </w:pPr>
      <w:r w:rsidRPr="00784BD3">
        <w:rPr>
          <w:color w:val="000000"/>
          <w:sz w:val="24"/>
          <w:szCs w:val="24"/>
        </w:rPr>
        <w:t>а) по отношение на разходите, несвързани с възлагането на обществени поръчки — всяко действие или бездействие, което се отнася до:</w:t>
      </w:r>
    </w:p>
    <w:p w:rsidR="00BC1404" w:rsidRPr="00784BD3" w:rsidRDefault="00BC1404" w:rsidP="00BC1404">
      <w:pPr>
        <w:jc w:val="both"/>
        <w:rPr>
          <w:color w:val="000000"/>
          <w:sz w:val="24"/>
          <w:szCs w:val="24"/>
        </w:rPr>
      </w:pP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неоповестяването на информация в нарушение на конкретно задължение, което води до същия резултат; или</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неправилното използване на такива средства или активи за цели, различни от тези, за които те са били първоначално предоставени;</w:t>
      </w:r>
    </w:p>
    <w:p w:rsidR="00BC1404" w:rsidRPr="00784BD3" w:rsidRDefault="00BC1404" w:rsidP="00BC1404">
      <w:pPr>
        <w:jc w:val="both"/>
        <w:rPr>
          <w:color w:val="000000"/>
          <w:sz w:val="24"/>
          <w:szCs w:val="24"/>
        </w:rPr>
      </w:pPr>
      <w:r w:rsidRPr="00784BD3">
        <w:rPr>
          <w:color w:val="000000"/>
          <w:sz w:val="24"/>
          <w:szCs w:val="24"/>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BC1404" w:rsidRPr="00784BD3" w:rsidRDefault="00BC1404" w:rsidP="00BC1404">
      <w:pPr>
        <w:jc w:val="both"/>
        <w:rPr>
          <w:color w:val="000000"/>
          <w:sz w:val="24"/>
          <w:szCs w:val="24"/>
        </w:rPr>
      </w:pP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неоповестяването на информация в нарушение на конкретно задължение, което води до същия резултат; или</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BC1404" w:rsidRPr="00784BD3" w:rsidRDefault="00BC1404" w:rsidP="00BC1404">
      <w:pPr>
        <w:ind w:firstLine="709"/>
        <w:jc w:val="both"/>
        <w:rPr>
          <w:sz w:val="24"/>
          <w:szCs w:val="24"/>
          <w:lang w:eastAsia="en-US"/>
        </w:rPr>
      </w:pPr>
    </w:p>
    <w:p w:rsidR="00BC1404" w:rsidRPr="00784BD3" w:rsidRDefault="00587F6F" w:rsidP="00BC1404">
      <w:pPr>
        <w:widowControl/>
        <w:autoSpaceDE/>
        <w:autoSpaceDN/>
        <w:adjustRightInd/>
        <w:spacing w:after="200" w:line="276" w:lineRule="auto"/>
        <w:ind w:firstLine="709"/>
        <w:jc w:val="both"/>
        <w:rPr>
          <w:sz w:val="24"/>
          <w:szCs w:val="24"/>
          <w:lang w:eastAsia="en-US"/>
        </w:rPr>
      </w:pPr>
      <w:r w:rsidRPr="00784BD3">
        <w:rPr>
          <w:sz w:val="24"/>
          <w:szCs w:val="24"/>
          <w:lang w:eastAsia="en-US"/>
        </w:rPr>
        <w:t>3</w:t>
      </w:r>
      <w:r w:rsidR="00BC1404" w:rsidRPr="00784BD3">
        <w:rPr>
          <w:sz w:val="24"/>
          <w:szCs w:val="24"/>
          <w:lang w:eastAsia="en-US"/>
        </w:rPr>
        <w:t xml:space="preserve">. Запознат/а съм с </w:t>
      </w:r>
      <w:r w:rsidR="00BC1404" w:rsidRPr="00784BD3">
        <w:rPr>
          <w:i/>
          <w:sz w:val="24"/>
          <w:szCs w:val="24"/>
          <w:lang w:eastAsia="en-US"/>
        </w:rPr>
        <w:t>чл. 61 от</w:t>
      </w:r>
      <w:r w:rsidR="00BC1404" w:rsidRPr="00784BD3">
        <w:rPr>
          <w:sz w:val="24"/>
          <w:szCs w:val="24"/>
          <w:lang w:eastAsia="en-US"/>
        </w:rPr>
        <w:t xml:space="preserve"> </w:t>
      </w:r>
      <w:r w:rsidR="00BC1404" w:rsidRPr="00784BD3">
        <w:rPr>
          <w:i/>
          <w:sz w:val="24"/>
          <w:szCs w:val="24"/>
          <w:lang w:eastAsia="en-US"/>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BC1404" w:rsidRPr="00784BD3">
        <w:rPr>
          <w:sz w:val="24"/>
          <w:szCs w:val="24"/>
          <w:lang w:eastAsia="en-US"/>
        </w:rPr>
        <w:t>, който гласи следното:</w:t>
      </w:r>
    </w:p>
    <w:p w:rsidR="00BC1404" w:rsidRPr="00784BD3" w:rsidRDefault="00BC1404" w:rsidP="00BC1404">
      <w:pPr>
        <w:widowControl/>
        <w:autoSpaceDE/>
        <w:autoSpaceDN/>
        <w:adjustRightInd/>
        <w:spacing w:after="200" w:line="276" w:lineRule="auto"/>
        <w:jc w:val="center"/>
        <w:rPr>
          <w:sz w:val="24"/>
          <w:szCs w:val="24"/>
          <w:lang w:eastAsia="en-US"/>
        </w:rPr>
      </w:pPr>
      <w:r w:rsidRPr="00784BD3">
        <w:rPr>
          <w:sz w:val="24"/>
          <w:szCs w:val="24"/>
          <w:lang w:eastAsia="en-US"/>
        </w:rPr>
        <w:t>„</w:t>
      </w:r>
      <w:r w:rsidRPr="00784BD3">
        <w:rPr>
          <w:b/>
          <w:sz w:val="24"/>
          <w:szCs w:val="24"/>
          <w:lang w:eastAsia="en-US"/>
        </w:rPr>
        <w:t>Конфликт на интереси“</w:t>
      </w:r>
    </w:p>
    <w:p w:rsidR="00BC1404" w:rsidRPr="00784BD3" w:rsidRDefault="00FF67BF" w:rsidP="00BC1404">
      <w:pPr>
        <w:widowControl/>
        <w:autoSpaceDE/>
        <w:autoSpaceDN/>
        <w:adjustRightInd/>
        <w:spacing w:after="200" w:line="276" w:lineRule="auto"/>
        <w:ind w:firstLine="709"/>
        <w:jc w:val="both"/>
        <w:rPr>
          <w:sz w:val="24"/>
          <w:szCs w:val="24"/>
          <w:lang w:eastAsia="en-US"/>
        </w:rPr>
      </w:pPr>
      <w:r>
        <w:rPr>
          <w:sz w:val="24"/>
          <w:szCs w:val="24"/>
          <w:lang w:eastAsia="en-US"/>
        </w:rPr>
        <w:t xml:space="preserve">3. </w:t>
      </w:r>
      <w:r w:rsidR="00BC1404" w:rsidRPr="00784BD3">
        <w:rPr>
          <w:sz w:val="24"/>
          <w:szCs w:val="24"/>
          <w:lang w:eastAsia="en-US"/>
        </w:rPr>
        <w:t xml:space="preserve">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w:t>
      </w:r>
      <w:r w:rsidR="00BC1404" w:rsidRPr="00784BD3">
        <w:rPr>
          <w:sz w:val="24"/>
          <w:szCs w:val="24"/>
          <w:lang w:eastAsia="en-US"/>
        </w:rPr>
        <w:lastRenderedPageBreak/>
        <w:t>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BC1404" w:rsidRPr="00784BD3" w:rsidRDefault="00FF67BF" w:rsidP="00BC1404">
      <w:pPr>
        <w:widowControl/>
        <w:autoSpaceDE/>
        <w:autoSpaceDN/>
        <w:adjustRightInd/>
        <w:spacing w:after="200" w:line="276" w:lineRule="auto"/>
        <w:ind w:firstLine="709"/>
        <w:jc w:val="both"/>
        <w:rPr>
          <w:sz w:val="24"/>
          <w:szCs w:val="24"/>
          <w:lang w:eastAsia="en-US"/>
        </w:rPr>
      </w:pPr>
      <w:r>
        <w:rPr>
          <w:sz w:val="24"/>
          <w:szCs w:val="24"/>
          <w:lang w:eastAsia="en-US"/>
        </w:rPr>
        <w:t xml:space="preserve">3. </w:t>
      </w:r>
      <w:r w:rsidR="00BC1404" w:rsidRPr="00784BD3">
        <w:rPr>
          <w:sz w:val="24"/>
          <w:szCs w:val="24"/>
          <w:lang w:eastAsia="en-US"/>
        </w:rPr>
        <w:t>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rsidR="00BC1404" w:rsidRPr="00784BD3" w:rsidRDefault="00FF67BF" w:rsidP="00784BD3">
      <w:pPr>
        <w:widowControl/>
        <w:autoSpaceDE/>
        <w:autoSpaceDN/>
        <w:adjustRightInd/>
        <w:spacing w:after="200" w:line="276" w:lineRule="auto"/>
        <w:ind w:firstLine="709"/>
        <w:jc w:val="both"/>
        <w:rPr>
          <w:sz w:val="24"/>
          <w:szCs w:val="24"/>
        </w:rPr>
      </w:pPr>
      <w:r>
        <w:rPr>
          <w:sz w:val="24"/>
          <w:szCs w:val="24"/>
          <w:lang w:eastAsia="en-US"/>
        </w:rPr>
        <w:t xml:space="preserve">3. </w:t>
      </w:r>
      <w:r w:rsidR="00BC1404" w:rsidRPr="00784BD3">
        <w:rPr>
          <w:sz w:val="24"/>
          <w:szCs w:val="24"/>
          <w:lang w:eastAsia="en-US"/>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B10E8A" w:rsidRPr="008362E4" w:rsidRDefault="00B10E8A" w:rsidP="00626887">
      <w:pPr>
        <w:shd w:val="clear" w:color="auto" w:fill="FFFFFF"/>
        <w:ind w:right="4" w:firstLine="567"/>
        <w:jc w:val="both"/>
        <w:rPr>
          <w:color w:val="000000"/>
          <w:spacing w:val="7"/>
          <w:sz w:val="24"/>
          <w:szCs w:val="24"/>
        </w:rPr>
      </w:pPr>
    </w:p>
    <w:p w:rsidR="009C59EC" w:rsidRDefault="00CB5925" w:rsidP="00784BD3">
      <w:pPr>
        <w:shd w:val="clear" w:color="auto" w:fill="FFFFFF"/>
        <w:ind w:right="4"/>
        <w:jc w:val="both"/>
        <w:rPr>
          <w:color w:val="000000"/>
          <w:sz w:val="24"/>
          <w:szCs w:val="24"/>
        </w:rPr>
      </w:pPr>
      <w:r>
        <w:rPr>
          <w:color w:val="000000"/>
          <w:sz w:val="24"/>
          <w:szCs w:val="24"/>
        </w:rPr>
        <w:t xml:space="preserve">4. </w:t>
      </w:r>
      <w:r w:rsidR="003231CD" w:rsidRPr="00CB5925">
        <w:rPr>
          <w:color w:val="000000"/>
          <w:sz w:val="24"/>
          <w:szCs w:val="24"/>
        </w:rPr>
        <w:t xml:space="preserve">Запознат/а съм с разпоредбите на </w:t>
      </w:r>
      <w:r w:rsidR="00FA2053" w:rsidRPr="00CB5925">
        <w:rPr>
          <w:color w:val="000000"/>
          <w:sz w:val="24"/>
          <w:szCs w:val="24"/>
        </w:rPr>
        <w:t>„Наредбата за администриране на нередности по Европейските структурни и инвестиционни фондове</w:t>
      </w:r>
      <w:r w:rsidR="00FA2053" w:rsidRPr="008362E4">
        <w:rPr>
          <w:color w:val="000000"/>
          <w:sz w:val="24"/>
          <w:szCs w:val="24"/>
        </w:rPr>
        <w:t>“</w:t>
      </w:r>
      <w:r w:rsidR="003231CD" w:rsidRPr="008362E4">
        <w:rPr>
          <w:color w:val="000000"/>
          <w:sz w:val="24"/>
          <w:szCs w:val="24"/>
        </w:rPr>
        <w:t xml:space="preserve">, </w:t>
      </w:r>
      <w:r w:rsidR="00B66F0A" w:rsidRPr="008362E4">
        <w:rPr>
          <w:color w:val="000000"/>
          <w:sz w:val="24"/>
          <w:szCs w:val="24"/>
        </w:rPr>
        <w:t xml:space="preserve">ПМС № 173 от 13.07.2016 г. </w:t>
      </w:r>
      <w:r w:rsidR="009C59EC" w:rsidRPr="008362E4">
        <w:rPr>
          <w:color w:val="000000"/>
          <w:sz w:val="24"/>
          <w:szCs w:val="24"/>
        </w:rPr>
        <w:t>Запознат съм с Информационна бележка на ЕК относно индикаторите за измама (COCOF 09/0003/00-EN)</w:t>
      </w:r>
      <w:r w:rsidR="00BD2CCE">
        <w:rPr>
          <w:color w:val="000000"/>
          <w:sz w:val="24"/>
          <w:szCs w:val="24"/>
        </w:rPr>
        <w:t xml:space="preserve">. </w:t>
      </w:r>
    </w:p>
    <w:p w:rsidR="00BD2CCE" w:rsidRPr="00BD2CCE" w:rsidRDefault="00BD2CCE" w:rsidP="00784BD3">
      <w:pPr>
        <w:shd w:val="clear" w:color="auto" w:fill="FFFFFF"/>
        <w:ind w:right="4"/>
        <w:jc w:val="both"/>
        <w:rPr>
          <w:color w:val="000000"/>
          <w:sz w:val="24"/>
          <w:szCs w:val="24"/>
        </w:rPr>
      </w:pPr>
    </w:p>
    <w:p w:rsidR="009C59EC" w:rsidRPr="008362E4" w:rsidRDefault="00CB5925" w:rsidP="00784BD3">
      <w:pPr>
        <w:shd w:val="clear" w:color="auto" w:fill="FFFFFF"/>
        <w:ind w:right="4"/>
        <w:jc w:val="both"/>
        <w:rPr>
          <w:color w:val="000000"/>
          <w:sz w:val="24"/>
          <w:szCs w:val="24"/>
        </w:rPr>
      </w:pPr>
      <w:r>
        <w:rPr>
          <w:color w:val="000000"/>
          <w:sz w:val="24"/>
          <w:szCs w:val="24"/>
        </w:rPr>
        <w:t xml:space="preserve">5. </w:t>
      </w:r>
      <w:r w:rsidR="009C59EC" w:rsidRPr="00CB5925">
        <w:rPr>
          <w:color w:val="000000"/>
          <w:sz w:val="24"/>
          <w:szCs w:val="24"/>
        </w:rPr>
        <w:t>Запознат съм с Насоките за оценка на риска от измами на ЕК EGESIF_14-0021-0016062014.</w:t>
      </w:r>
    </w:p>
    <w:p w:rsidR="00626887" w:rsidRPr="00133798" w:rsidRDefault="00626887" w:rsidP="00626887">
      <w:pPr>
        <w:shd w:val="clear" w:color="auto" w:fill="FFFFFF"/>
        <w:ind w:right="4" w:firstLine="567"/>
        <w:jc w:val="both"/>
        <w:rPr>
          <w:color w:val="000000"/>
          <w:sz w:val="24"/>
          <w:szCs w:val="24"/>
        </w:rPr>
      </w:pPr>
    </w:p>
    <w:p w:rsidR="00A80EC1" w:rsidRPr="00784BD3" w:rsidRDefault="00CB5925" w:rsidP="00784BD3">
      <w:pPr>
        <w:shd w:val="clear" w:color="auto" w:fill="FFFFFF"/>
        <w:spacing w:after="120"/>
        <w:ind w:right="6"/>
        <w:jc w:val="both"/>
        <w:rPr>
          <w:color w:val="000000"/>
          <w:sz w:val="24"/>
          <w:szCs w:val="24"/>
        </w:rPr>
      </w:pPr>
      <w:r>
        <w:rPr>
          <w:color w:val="000000"/>
          <w:sz w:val="24"/>
          <w:szCs w:val="24"/>
        </w:rPr>
        <w:t xml:space="preserve">6. </w:t>
      </w:r>
      <w:r w:rsidR="00A80EC1" w:rsidRPr="00CB5925">
        <w:rPr>
          <w:color w:val="000000"/>
          <w:sz w:val="24"/>
          <w:szCs w:val="24"/>
        </w:rPr>
        <w:t>Запознат</w:t>
      </w:r>
      <w:r w:rsidR="00A80EC1" w:rsidRPr="00784BD3">
        <w:rPr>
          <w:color w:val="000000"/>
          <w:sz w:val="24"/>
          <w:szCs w:val="24"/>
        </w:rPr>
        <w:t xml:space="preserve">/а съм, че съгласно одобрената процедура за нередности, следва да </w:t>
      </w:r>
      <w:r w:rsidR="00A80EC1" w:rsidRPr="008362E4">
        <w:rPr>
          <w:color w:val="000000"/>
          <w:spacing w:val="4"/>
          <w:sz w:val="24"/>
          <w:szCs w:val="24"/>
        </w:rPr>
        <w:t>подавам</w:t>
      </w:r>
      <w:r w:rsidR="00A80EC1" w:rsidRPr="00784BD3">
        <w:rPr>
          <w:color w:val="000000"/>
          <w:sz w:val="24"/>
          <w:szCs w:val="24"/>
        </w:rPr>
        <w:t xml:space="preserve"> сигнали за наличие на нередности и измами или подозрение за нередности и измами:</w:t>
      </w:r>
    </w:p>
    <w:p w:rsidR="00A80EC1" w:rsidRPr="00784BD3" w:rsidRDefault="00A80EC1" w:rsidP="00A80EC1">
      <w:pPr>
        <w:pStyle w:val="Normal1"/>
        <w:ind w:firstLine="426"/>
        <w:rPr>
          <w:color w:val="000000"/>
        </w:rPr>
      </w:pPr>
      <w:r w:rsidRPr="00784BD3">
        <w:rPr>
          <w:color w:val="000000"/>
        </w:rPr>
        <w:t>-</w:t>
      </w:r>
      <w:r w:rsidRPr="00784BD3">
        <w:rPr>
          <w:color w:val="000000"/>
        </w:rPr>
        <w:tab/>
        <w:t xml:space="preserve">до </w:t>
      </w:r>
      <w:r w:rsidRPr="008362E4">
        <w:rPr>
          <w:color w:val="000000"/>
        </w:rPr>
        <w:t>служителя по нередностите/</w:t>
      </w:r>
      <w:r w:rsidRPr="00784BD3">
        <w:rPr>
          <w:color w:val="000000"/>
        </w:rPr>
        <w:t>началника на отдел „</w:t>
      </w:r>
      <w:r w:rsidRPr="008362E4">
        <w:rPr>
          <w:color w:val="000000"/>
        </w:rPr>
        <w:t>Монитор</w:t>
      </w:r>
      <w:r w:rsidRPr="00CB5925">
        <w:rPr>
          <w:color w:val="000000"/>
        </w:rPr>
        <w:t>инг и верификация</w:t>
      </w:r>
      <w:r w:rsidRPr="00784BD3">
        <w:rPr>
          <w:color w:val="000000"/>
        </w:rPr>
        <w:t>”</w:t>
      </w:r>
      <w:r w:rsidRPr="008362E4">
        <w:rPr>
          <w:color w:val="000000"/>
        </w:rPr>
        <w:t xml:space="preserve"> в дирекция „Добро управление“</w:t>
      </w:r>
      <w:r w:rsidRPr="00CB5925">
        <w:rPr>
          <w:color w:val="000000"/>
        </w:rPr>
        <w:t xml:space="preserve">/ </w:t>
      </w:r>
      <w:r w:rsidRPr="00784BD3">
        <w:rPr>
          <w:color w:val="000000"/>
        </w:rPr>
        <w:t>ръководителя на УО, в случаите на нередности/измами или подозрение за нередности/измами, извършени от стопански субекти и/или от персонала на УО, в случай че няма съмнение за връзка с предполагаемата нередност/измама на някое от лицата, на които следва да се подават сигналите за нередност;</w:t>
      </w:r>
    </w:p>
    <w:p w:rsidR="00A80EC1" w:rsidRPr="00784BD3" w:rsidRDefault="00A80EC1" w:rsidP="00A80EC1">
      <w:pPr>
        <w:pStyle w:val="Normal1"/>
        <w:ind w:firstLine="426"/>
        <w:rPr>
          <w:color w:val="000000"/>
        </w:rPr>
      </w:pPr>
      <w:r w:rsidRPr="00784BD3">
        <w:rPr>
          <w:color w:val="000000"/>
        </w:rPr>
        <w:t>-</w:t>
      </w:r>
      <w:r w:rsidRPr="00784BD3">
        <w:rPr>
          <w:color w:val="000000"/>
        </w:rPr>
        <w:tab/>
        <w:t xml:space="preserve">чрез </w:t>
      </w:r>
      <w:r w:rsidRPr="008362E4">
        <w:rPr>
          <w:color w:val="000000"/>
        </w:rPr>
        <w:t>Ръководителя</w:t>
      </w:r>
      <w:r w:rsidRPr="00784BD3">
        <w:rPr>
          <w:color w:val="000000"/>
        </w:rPr>
        <w:t xml:space="preserve"> на УО до звеното или ведомството, за чиято дейност се отнася, с копие до ръководителя на получаващото ведомство, в случаите на нередности/измами или подозрение за нередности/измами, които не се отнасят до дейността на УО на ОПДУ.</w:t>
      </w:r>
    </w:p>
    <w:p w:rsidR="00A80EC1" w:rsidRPr="00784BD3" w:rsidRDefault="00A80EC1" w:rsidP="00A80EC1">
      <w:pPr>
        <w:shd w:val="clear" w:color="auto" w:fill="FFFFFF"/>
        <w:ind w:right="4" w:firstLine="567"/>
        <w:jc w:val="both"/>
        <w:rPr>
          <w:color w:val="000000"/>
          <w:sz w:val="24"/>
          <w:szCs w:val="24"/>
        </w:rPr>
      </w:pPr>
    </w:p>
    <w:p w:rsidR="00A80EC1" w:rsidRPr="00784BD3" w:rsidRDefault="00CB5925" w:rsidP="00784BD3">
      <w:pPr>
        <w:shd w:val="clear" w:color="auto" w:fill="FFFFFF"/>
        <w:spacing w:after="120"/>
        <w:ind w:right="6"/>
        <w:jc w:val="both"/>
        <w:rPr>
          <w:color w:val="000000"/>
          <w:sz w:val="24"/>
          <w:szCs w:val="24"/>
        </w:rPr>
      </w:pPr>
      <w:r>
        <w:rPr>
          <w:color w:val="000000"/>
          <w:spacing w:val="4"/>
          <w:sz w:val="24"/>
          <w:szCs w:val="24"/>
        </w:rPr>
        <w:t xml:space="preserve">7. </w:t>
      </w:r>
      <w:r w:rsidR="00A80EC1" w:rsidRPr="008362E4">
        <w:rPr>
          <w:color w:val="000000"/>
          <w:spacing w:val="4"/>
          <w:sz w:val="24"/>
          <w:szCs w:val="24"/>
        </w:rPr>
        <w:t>Запознат</w:t>
      </w:r>
      <w:r w:rsidR="00A80EC1" w:rsidRPr="00784BD3">
        <w:rPr>
          <w:color w:val="000000"/>
          <w:sz w:val="24"/>
          <w:szCs w:val="24"/>
        </w:rPr>
        <w:t xml:space="preserve">/а съм, че при наличие или съмнение за връзка на някое от лицата, на които следва да се подават сигналите за нередности и измами, със случая на нередност, </w:t>
      </w:r>
      <w:r w:rsidR="00A80EC1" w:rsidRPr="00784BD3">
        <w:rPr>
          <w:color w:val="000000"/>
          <w:sz w:val="24"/>
          <w:szCs w:val="24"/>
        </w:rPr>
        <w:lastRenderedPageBreak/>
        <w:t xml:space="preserve">информацията се подава до: </w:t>
      </w:r>
    </w:p>
    <w:p w:rsidR="001452FF" w:rsidRPr="008362E4" w:rsidRDefault="001452FF" w:rsidP="001452FF">
      <w:pPr>
        <w:shd w:val="clear" w:color="auto" w:fill="FFFFFF"/>
        <w:ind w:right="4" w:firstLine="567"/>
        <w:jc w:val="both"/>
        <w:rPr>
          <w:color w:val="000000"/>
          <w:sz w:val="24"/>
          <w:szCs w:val="24"/>
        </w:rPr>
      </w:pPr>
      <w:r w:rsidRPr="008362E4">
        <w:rPr>
          <w:color w:val="000000"/>
          <w:sz w:val="24"/>
          <w:szCs w:val="24"/>
        </w:rPr>
        <w:t>–</w:t>
      </w:r>
      <w:r w:rsidRPr="008362E4">
        <w:rPr>
          <w:color w:val="000000"/>
          <w:sz w:val="24"/>
          <w:szCs w:val="24"/>
        </w:rPr>
        <w:tab/>
        <w:t>до ръководителя на Управляващия орган на Оперативна програма „Добро управление”;</w:t>
      </w:r>
    </w:p>
    <w:p w:rsidR="001452FF" w:rsidRPr="008362E4" w:rsidRDefault="001452FF" w:rsidP="001452FF">
      <w:pPr>
        <w:shd w:val="clear" w:color="auto" w:fill="FFFFFF"/>
        <w:ind w:right="4" w:firstLine="567"/>
        <w:jc w:val="both"/>
        <w:rPr>
          <w:color w:val="000000"/>
          <w:sz w:val="24"/>
          <w:szCs w:val="24"/>
        </w:rPr>
      </w:pPr>
      <w:r w:rsidRPr="008362E4">
        <w:rPr>
          <w:color w:val="000000"/>
          <w:sz w:val="24"/>
          <w:szCs w:val="24"/>
        </w:rPr>
        <w:t>–</w:t>
      </w:r>
      <w:r w:rsidRPr="008362E4">
        <w:rPr>
          <w:color w:val="000000"/>
          <w:sz w:val="24"/>
          <w:szCs w:val="24"/>
        </w:rPr>
        <w:tab/>
        <w:t>до директора на дирекция „Защита на финансовите интереси на Европейския съюз“ (АФКОС) на Министерството на вътрешните работи;</w:t>
      </w:r>
    </w:p>
    <w:p w:rsidR="00A80EC1" w:rsidRPr="008362E4" w:rsidRDefault="001452FF" w:rsidP="001452FF">
      <w:pPr>
        <w:shd w:val="clear" w:color="auto" w:fill="FFFFFF"/>
        <w:ind w:right="4" w:firstLine="567"/>
        <w:jc w:val="both"/>
        <w:rPr>
          <w:color w:val="000000"/>
          <w:sz w:val="24"/>
          <w:szCs w:val="24"/>
        </w:rPr>
      </w:pPr>
      <w:r w:rsidRPr="008362E4">
        <w:rPr>
          <w:color w:val="000000"/>
          <w:sz w:val="24"/>
          <w:szCs w:val="24"/>
        </w:rPr>
        <w:t>–</w:t>
      </w:r>
      <w:r w:rsidRPr="008362E4">
        <w:rPr>
          <w:color w:val="000000"/>
          <w:sz w:val="24"/>
          <w:szCs w:val="24"/>
        </w:rPr>
        <w:tab/>
        <w:t>до Европейската служба за борба с измамите (ОЛАФ) към Европейската комисия;</w:t>
      </w:r>
    </w:p>
    <w:p w:rsidR="00F53E09" w:rsidRDefault="00F53E09" w:rsidP="00133F4A">
      <w:pPr>
        <w:shd w:val="clear" w:color="auto" w:fill="FFFFFF"/>
        <w:ind w:right="4" w:firstLine="567"/>
        <w:jc w:val="both"/>
        <w:rPr>
          <w:color w:val="000000"/>
          <w:sz w:val="24"/>
          <w:szCs w:val="24"/>
        </w:rPr>
      </w:pPr>
    </w:p>
    <w:p w:rsidR="00133F4A" w:rsidRDefault="00133F4A" w:rsidP="00133F4A">
      <w:pPr>
        <w:shd w:val="clear" w:color="auto" w:fill="FFFFFF"/>
        <w:ind w:right="4" w:firstLine="567"/>
        <w:jc w:val="both"/>
        <w:rPr>
          <w:color w:val="000000"/>
          <w:sz w:val="24"/>
          <w:szCs w:val="24"/>
        </w:rPr>
      </w:pPr>
      <w:r w:rsidRPr="0015772B">
        <w:rPr>
          <w:color w:val="000000"/>
          <w:sz w:val="24"/>
          <w:szCs w:val="24"/>
        </w:rPr>
        <w:t>Изпълнителят и съответният/те експерт/и, отговорен</w:t>
      </w:r>
      <w:r>
        <w:rPr>
          <w:color w:val="000000"/>
          <w:sz w:val="24"/>
          <w:szCs w:val="24"/>
        </w:rPr>
        <w:t>/и за извършване на проверката</w:t>
      </w:r>
      <w:r w:rsidR="00450194">
        <w:rPr>
          <w:color w:val="000000"/>
          <w:sz w:val="24"/>
          <w:szCs w:val="24"/>
        </w:rPr>
        <w:t xml:space="preserve"> (</w:t>
      </w:r>
      <w:r w:rsidR="00450194" w:rsidRPr="00450194">
        <w:rPr>
          <w:color w:val="000000"/>
          <w:sz w:val="24"/>
          <w:szCs w:val="24"/>
        </w:rPr>
        <w:t>последващ контрол за законосъобразност</w:t>
      </w:r>
      <w:r w:rsidR="00CB7021">
        <w:rPr>
          <w:color w:val="000000"/>
          <w:sz w:val="24"/>
          <w:szCs w:val="24"/>
        </w:rPr>
        <w:t>/</w:t>
      </w:r>
      <w:r w:rsidR="00450194">
        <w:rPr>
          <w:color w:val="000000"/>
          <w:sz w:val="24"/>
          <w:szCs w:val="24"/>
        </w:rPr>
        <w:t>верификация</w:t>
      </w:r>
      <w:r w:rsidR="006362DC">
        <w:rPr>
          <w:color w:val="000000"/>
          <w:sz w:val="24"/>
          <w:szCs w:val="24"/>
        </w:rPr>
        <w:t xml:space="preserve"> на искане за плащане, проверка на място</w:t>
      </w:r>
      <w:r w:rsidR="00450194">
        <w:rPr>
          <w:color w:val="000000"/>
          <w:sz w:val="24"/>
          <w:szCs w:val="24"/>
        </w:rPr>
        <w:t>)</w:t>
      </w:r>
      <w:r w:rsidR="006362DC">
        <w:rPr>
          <w:rStyle w:val="EndnoteReference"/>
          <w:color w:val="000000"/>
          <w:sz w:val="24"/>
          <w:szCs w:val="24"/>
        </w:rPr>
        <w:endnoteReference w:id="2"/>
      </w:r>
      <w:r>
        <w:rPr>
          <w:color w:val="000000"/>
          <w:sz w:val="24"/>
          <w:szCs w:val="24"/>
        </w:rPr>
        <w:t xml:space="preserve"> </w:t>
      </w:r>
      <w:r w:rsidRPr="0015772B">
        <w:rPr>
          <w:color w:val="000000"/>
          <w:sz w:val="24"/>
          <w:szCs w:val="24"/>
        </w:rPr>
        <w:t>са задължени да представят  на възложителя, декларации за липса на конфликт на интереси по смисъла на чл.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незабавно след запознаване с предмета на възложената задача.</w:t>
      </w:r>
    </w:p>
    <w:p w:rsidR="00F53E09" w:rsidRDefault="00D973D4" w:rsidP="00F53E09">
      <w:pPr>
        <w:shd w:val="clear" w:color="auto" w:fill="FFFFFF"/>
        <w:ind w:right="4"/>
        <w:jc w:val="both"/>
        <w:rPr>
          <w:color w:val="000000"/>
          <w:sz w:val="24"/>
          <w:szCs w:val="24"/>
        </w:rPr>
      </w:pPr>
      <w:r>
        <w:rPr>
          <w:color w:val="000000"/>
          <w:sz w:val="24"/>
          <w:szCs w:val="24"/>
        </w:rPr>
        <w:tab/>
      </w:r>
    </w:p>
    <w:p w:rsidR="00D973D4" w:rsidRDefault="00D973D4" w:rsidP="00F53E09">
      <w:pPr>
        <w:shd w:val="clear" w:color="auto" w:fill="FFFFFF"/>
        <w:ind w:right="4"/>
        <w:jc w:val="both"/>
        <w:rPr>
          <w:color w:val="000000"/>
          <w:sz w:val="24"/>
          <w:szCs w:val="24"/>
        </w:rPr>
      </w:pPr>
      <w:r>
        <w:rPr>
          <w:color w:val="000000"/>
          <w:sz w:val="24"/>
          <w:szCs w:val="24"/>
        </w:rPr>
        <w:tab/>
      </w:r>
    </w:p>
    <w:p w:rsidR="00F53E09" w:rsidRDefault="00F53E09" w:rsidP="00F53E09">
      <w:pPr>
        <w:shd w:val="clear" w:color="auto" w:fill="FFFFFF"/>
        <w:ind w:right="4"/>
        <w:jc w:val="both"/>
        <w:rPr>
          <w:color w:val="000000"/>
          <w:sz w:val="24"/>
          <w:szCs w:val="24"/>
        </w:rPr>
      </w:pPr>
    </w:p>
    <w:p w:rsidR="00F53E09" w:rsidRDefault="00F53E09" w:rsidP="00F53E09">
      <w:pPr>
        <w:shd w:val="clear" w:color="auto" w:fill="FFFFFF"/>
        <w:ind w:right="4"/>
        <w:jc w:val="both"/>
        <w:rPr>
          <w:color w:val="000000"/>
          <w:sz w:val="24"/>
          <w:szCs w:val="24"/>
        </w:rPr>
      </w:pPr>
    </w:p>
    <w:p w:rsidR="00F53E09" w:rsidRDefault="00F53E09" w:rsidP="00F53E09">
      <w:pPr>
        <w:shd w:val="clear" w:color="auto" w:fill="FFFFFF"/>
        <w:spacing w:line="360" w:lineRule="auto"/>
        <w:ind w:right="4"/>
        <w:jc w:val="both"/>
        <w:rPr>
          <w:color w:val="000000"/>
          <w:sz w:val="24"/>
          <w:szCs w:val="24"/>
        </w:rPr>
      </w:pPr>
      <w:r>
        <w:rPr>
          <w:color w:val="000000"/>
          <w:sz w:val="24"/>
          <w:szCs w:val="24"/>
        </w:rPr>
        <w:t>гр. …………………</w:t>
      </w:r>
    </w:p>
    <w:p w:rsidR="00F53E09" w:rsidRDefault="00F53E09" w:rsidP="00F53E09">
      <w:pPr>
        <w:shd w:val="clear" w:color="auto" w:fill="FFFFFF"/>
        <w:spacing w:line="360" w:lineRule="auto"/>
        <w:ind w:right="4"/>
        <w:jc w:val="both"/>
        <w:rPr>
          <w:color w:val="000000"/>
          <w:sz w:val="24"/>
          <w:szCs w:val="24"/>
        </w:rPr>
      </w:pPr>
      <w:r>
        <w:rPr>
          <w:color w:val="000000"/>
          <w:sz w:val="24"/>
          <w:szCs w:val="24"/>
        </w:rPr>
        <w:t>дата:……………….</w:t>
      </w:r>
    </w:p>
    <w:p w:rsidR="00F53E09" w:rsidRDefault="00F53E09" w:rsidP="00F53E09">
      <w:pPr>
        <w:shd w:val="clear" w:color="auto" w:fill="FFFFFF"/>
        <w:spacing w:line="360" w:lineRule="auto"/>
        <w:ind w:left="5760" w:right="4"/>
        <w:jc w:val="both"/>
        <w:rPr>
          <w:color w:val="000000"/>
          <w:sz w:val="24"/>
          <w:szCs w:val="24"/>
        </w:rPr>
      </w:pPr>
      <w:r>
        <w:rPr>
          <w:color w:val="000000"/>
          <w:sz w:val="24"/>
          <w:szCs w:val="24"/>
        </w:rPr>
        <w:t>Подпис</w:t>
      </w:r>
      <w:r w:rsidR="00D973D4">
        <w:rPr>
          <w:rStyle w:val="EndnoteReference"/>
          <w:color w:val="000000"/>
          <w:sz w:val="24"/>
          <w:szCs w:val="24"/>
        </w:rPr>
        <w:endnoteReference w:id="3"/>
      </w:r>
      <w:r>
        <w:rPr>
          <w:color w:val="000000"/>
          <w:sz w:val="24"/>
          <w:szCs w:val="24"/>
        </w:rPr>
        <w:t>:……………………….</w:t>
      </w:r>
    </w:p>
    <w:p w:rsidR="00F53E09" w:rsidRDefault="00F53E09" w:rsidP="00F53E09">
      <w:pPr>
        <w:shd w:val="clear" w:color="auto" w:fill="FFFFFF"/>
        <w:spacing w:line="360" w:lineRule="auto"/>
        <w:ind w:left="6480" w:right="4" w:firstLine="720"/>
        <w:jc w:val="both"/>
        <w:rPr>
          <w:color w:val="000000"/>
          <w:sz w:val="24"/>
          <w:szCs w:val="24"/>
        </w:rPr>
      </w:pPr>
      <w:r>
        <w:rPr>
          <w:color w:val="000000"/>
          <w:sz w:val="24"/>
          <w:szCs w:val="24"/>
        </w:rPr>
        <w:t>/три имена/</w:t>
      </w:r>
    </w:p>
    <w:p w:rsidR="005E47EC" w:rsidRDefault="005E47EC" w:rsidP="00C05FC5">
      <w:pPr>
        <w:shd w:val="clear" w:color="auto" w:fill="FFFFFF"/>
        <w:spacing w:line="360" w:lineRule="auto"/>
        <w:ind w:right="4"/>
        <w:jc w:val="both"/>
        <w:rPr>
          <w:b/>
          <w:color w:val="000000"/>
          <w:sz w:val="24"/>
          <w:szCs w:val="24"/>
        </w:rPr>
      </w:pPr>
    </w:p>
    <w:p w:rsidR="005E47EC" w:rsidRDefault="005E47EC" w:rsidP="00C05FC5">
      <w:pPr>
        <w:shd w:val="clear" w:color="auto" w:fill="FFFFFF"/>
        <w:spacing w:line="360" w:lineRule="auto"/>
        <w:ind w:right="4"/>
        <w:jc w:val="both"/>
        <w:rPr>
          <w:b/>
          <w:color w:val="000000"/>
          <w:sz w:val="24"/>
          <w:szCs w:val="24"/>
        </w:rPr>
      </w:pPr>
    </w:p>
    <w:p w:rsidR="00C05FC5" w:rsidRPr="00D973D4" w:rsidRDefault="00C05FC5" w:rsidP="00C05FC5">
      <w:pPr>
        <w:shd w:val="clear" w:color="auto" w:fill="FFFFFF"/>
        <w:spacing w:line="360" w:lineRule="auto"/>
        <w:ind w:right="4"/>
        <w:jc w:val="both"/>
        <w:rPr>
          <w:b/>
          <w:color w:val="000000"/>
          <w:sz w:val="24"/>
          <w:szCs w:val="24"/>
        </w:rPr>
      </w:pPr>
      <w:r w:rsidRPr="00D973D4">
        <w:rPr>
          <w:b/>
          <w:color w:val="000000"/>
          <w:sz w:val="24"/>
          <w:szCs w:val="24"/>
        </w:rPr>
        <w:t>Указания:</w:t>
      </w:r>
    </w:p>
    <w:sectPr w:rsidR="00C05FC5" w:rsidRPr="00D973D4" w:rsidSect="001B264E">
      <w:headerReference w:type="default" r:id="rId8"/>
      <w:footerReference w:type="even" r:id="rId9"/>
      <w:footerReference w:type="default" r:id="rId10"/>
      <w:headerReference w:type="first" r:id="rId11"/>
      <w:endnotePr>
        <w:numFmt w:val="decimal"/>
      </w:endnotePr>
      <w:pgSz w:w="11909" w:h="16834"/>
      <w:pgMar w:top="1440" w:right="852" w:bottom="1276" w:left="1986" w:header="708" w:footer="708"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120" w:rsidRDefault="00576120">
      <w:r>
        <w:separator/>
      </w:r>
    </w:p>
  </w:endnote>
  <w:endnote w:type="continuationSeparator" w:id="0">
    <w:p w:rsidR="00576120" w:rsidRDefault="00576120">
      <w:r>
        <w:continuationSeparator/>
      </w:r>
    </w:p>
  </w:endnote>
  <w:endnote w:id="1">
    <w:p w:rsidR="006362DC" w:rsidRDefault="006362DC">
      <w:pPr>
        <w:pStyle w:val="EndnoteText"/>
      </w:pPr>
      <w:r>
        <w:rPr>
          <w:rStyle w:val="EndnoteReference"/>
        </w:rPr>
        <w:endnoteRef/>
      </w:r>
      <w:r>
        <w:t xml:space="preserve"> Попълва </w:t>
      </w:r>
      <w:r w:rsidR="00D973D4">
        <w:t>се приложимото</w:t>
      </w:r>
      <w:r w:rsidR="005E47EC">
        <w:t>.</w:t>
      </w:r>
      <w:r w:rsidR="00963F1E">
        <w:t xml:space="preserve"> </w:t>
      </w:r>
      <w:r w:rsidR="005E47EC">
        <w:t>Д</w:t>
      </w:r>
      <w:r w:rsidR="00963F1E">
        <w:t>екларацията се представя п</w:t>
      </w:r>
      <w:r w:rsidR="001A6E88">
        <w:t>реди верификация на</w:t>
      </w:r>
      <w:r w:rsidR="00963F1E">
        <w:t xml:space="preserve"> всяко искане за плащане/</w:t>
      </w:r>
      <w:r w:rsidR="001A6E88">
        <w:t xml:space="preserve">извършване на </w:t>
      </w:r>
      <w:r w:rsidR="00963F1E">
        <w:t>всяка проверка на място и</w:t>
      </w:r>
      <w:r w:rsidR="00AA57E2">
        <w:t xml:space="preserve"> </w:t>
      </w:r>
      <w:r w:rsidR="001A6E88">
        <w:t xml:space="preserve">преди всяко извършване на последващ контрол на </w:t>
      </w:r>
      <w:r w:rsidR="00963F1E">
        <w:t xml:space="preserve">процедура </w:t>
      </w:r>
      <w:r>
        <w:t>;</w:t>
      </w:r>
    </w:p>
  </w:endnote>
  <w:endnote w:id="2">
    <w:p w:rsidR="006362DC" w:rsidRDefault="006362DC">
      <w:pPr>
        <w:pStyle w:val="EndnoteText"/>
      </w:pPr>
      <w:r>
        <w:rPr>
          <w:rStyle w:val="EndnoteReference"/>
        </w:rPr>
        <w:endnoteRef/>
      </w:r>
      <w:r>
        <w:t xml:space="preserve"> Оставя се само приложимата задача</w:t>
      </w:r>
      <w:r w:rsidR="00F22F12">
        <w:t>;</w:t>
      </w:r>
    </w:p>
  </w:endnote>
  <w:endnote w:id="3">
    <w:p w:rsidR="00D973D4" w:rsidRDefault="00D973D4">
      <w:pPr>
        <w:pStyle w:val="EndnoteText"/>
      </w:pPr>
      <w:r>
        <w:rPr>
          <w:rStyle w:val="EndnoteReference"/>
        </w:rPr>
        <w:endnoteRef/>
      </w:r>
      <w:r w:rsidR="001A6E88">
        <w:t>Декларацията се при</w:t>
      </w:r>
      <w:r w:rsidR="00B57CB3">
        <w:t>качва в ИСУН в съответния модул</w:t>
      </w:r>
      <w:r w:rsidR="001A6E88">
        <w:t xml:space="preserve">, а оригиналът се </w:t>
      </w:r>
      <w:r w:rsidR="00F22F12">
        <w:t>изпраща на н</w:t>
      </w:r>
      <w:r w:rsidR="001A6E88">
        <w:t>ачалник на</w:t>
      </w:r>
      <w:r w:rsidR="00F22F12">
        <w:t xml:space="preserve"> отдел МВ </w:t>
      </w:r>
      <w:r w:rsidR="001A6E88">
        <w:t xml:space="preserve">в </w:t>
      </w:r>
      <w:r w:rsidR="00F22F12">
        <w:t>д</w:t>
      </w:r>
      <w:r w:rsidR="001A6E88">
        <w:t>ирекция</w:t>
      </w:r>
      <w:r w:rsidR="00AA57E2">
        <w:t xml:space="preserve"> </w:t>
      </w:r>
      <w:r w:rsidR="00F22F12">
        <w:t>ДУ.</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8505C" w:rsidRDefault="0028505C" w:rsidP="003D16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40796">
      <w:rPr>
        <w:rStyle w:val="PageNumber"/>
        <w:noProof/>
      </w:rPr>
      <w:t>4</w:t>
    </w:r>
    <w:r>
      <w:rPr>
        <w:rStyle w:val="PageNumber"/>
      </w:rPr>
      <w:fldChar w:fldCharType="end"/>
    </w:r>
  </w:p>
  <w:p w:rsidR="0028505C" w:rsidRDefault="0028505C" w:rsidP="00B666EA">
    <w:pPr>
      <w:pStyle w:val="Footer"/>
      <w:tabs>
        <w:tab w:val="clear" w:pos="4536"/>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120" w:rsidRDefault="00576120">
      <w:r>
        <w:separator/>
      </w:r>
    </w:p>
  </w:footnote>
  <w:footnote w:type="continuationSeparator" w:id="0">
    <w:p w:rsidR="00576120" w:rsidRDefault="005761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B666EA">
    <w:pPr>
      <w:pStyle w:val="Header"/>
      <w:ind w:hanging="99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64E" w:rsidRDefault="002D1B0F">
    <w:pPr>
      <w:pStyle w:val="Header"/>
      <w:rPr>
        <w:rFonts w:ascii="Trebuchet MS" w:hAnsi="Trebuchet MS"/>
        <w:noProof/>
        <w:color w:val="32598C"/>
        <w:sz w:val="19"/>
        <w:szCs w:val="19"/>
      </w:rPr>
    </w:pPr>
    <w:r>
      <w:rPr>
        <w:rFonts w:ascii="Trebuchet MS" w:hAnsi="Trebuchet MS"/>
        <w:noProof/>
        <w:color w:val="32598C"/>
        <w:sz w:val="19"/>
        <w:szCs w:val="19"/>
        <w:lang w:val="bg-BG"/>
      </w:rPr>
      <w:drawing>
        <wp:inline distT="0" distB="0" distL="0" distR="0" wp14:anchorId="29A3CA3D" wp14:editId="0B923FDC">
          <wp:extent cx="704850" cy="542925"/>
          <wp:effectExtent l="0" t="0" r="0" b="0"/>
          <wp:docPr id="28" name="Picture 28"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sidR="001B264E">
      <w:rPr>
        <w:rFonts w:ascii="Trebuchet MS" w:hAnsi="Trebuchet MS"/>
        <w:noProof/>
        <w:color w:val="32598C"/>
        <w:sz w:val="19"/>
        <w:szCs w:val="19"/>
      </w:rPr>
      <w:t xml:space="preserve">     </w:t>
    </w:r>
    <w:r>
      <w:rPr>
        <w:rFonts w:ascii="Trebuchet MS" w:hAnsi="Trebuchet MS"/>
        <w:noProof/>
        <w:color w:val="32598C"/>
        <w:sz w:val="19"/>
        <w:szCs w:val="19"/>
        <w:lang w:val="bg-BG"/>
      </w:rPr>
      <w:drawing>
        <wp:inline distT="0" distB="0" distL="0" distR="0" wp14:anchorId="04A88928" wp14:editId="50A279C7">
          <wp:extent cx="3600450" cy="419100"/>
          <wp:effectExtent l="0" t="0" r="0" b="0"/>
          <wp:docPr id="29" name="Picture 29"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sidR="001B264E">
      <w:rPr>
        <w:rFonts w:ascii="Trebuchet MS" w:hAnsi="Trebuchet MS"/>
        <w:noProof/>
        <w:color w:val="32598C"/>
        <w:sz w:val="19"/>
        <w:szCs w:val="19"/>
      </w:rPr>
      <w:t xml:space="preserve">     </w:t>
    </w:r>
    <w:r w:rsidR="001B264E" w:rsidRPr="006212FD">
      <w:rPr>
        <w:rFonts w:ascii="Trebuchet MS" w:hAnsi="Trebuchet MS"/>
        <w:noProof/>
        <w:color w:val="32598C"/>
        <w:sz w:val="19"/>
        <w:szCs w:val="19"/>
      </w:rPr>
      <w:t xml:space="preserve"> </w:t>
    </w:r>
    <w:r>
      <w:rPr>
        <w:rFonts w:ascii="Trebuchet MS" w:hAnsi="Trebuchet MS"/>
        <w:noProof/>
        <w:color w:val="32598C"/>
        <w:sz w:val="19"/>
        <w:szCs w:val="19"/>
        <w:lang w:val="bg-BG"/>
      </w:rPr>
      <w:drawing>
        <wp:inline distT="0" distB="0" distL="0" distR="0" wp14:anchorId="0426B49E" wp14:editId="5BEBC566">
          <wp:extent cx="619125" cy="561975"/>
          <wp:effectExtent l="0" t="0" r="0" b="0"/>
          <wp:docPr id="30" name="Picture 30"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001B264E" w:rsidRPr="006212FD">
      <w:rPr>
        <w:rFonts w:ascii="Trebuchet MS" w:hAnsi="Trebuchet MS"/>
        <w:noProof/>
        <w:color w:val="32598C"/>
        <w:sz w:val="19"/>
        <w:szCs w:val="19"/>
      </w:rPr>
      <w:t xml:space="preserve">  </w:t>
    </w:r>
  </w:p>
  <w:p w:rsidR="001B264E" w:rsidRDefault="001B26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00172CC7"/>
    <w:multiLevelType w:val="hybridMultilevel"/>
    <w:tmpl w:val="E27A04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1C0A18"/>
    <w:multiLevelType w:val="hybridMultilevel"/>
    <w:tmpl w:val="64627A6C"/>
    <w:lvl w:ilvl="0" w:tplc="0402000F">
      <w:start w:val="1"/>
      <w:numFmt w:val="decimal"/>
      <w:lvlText w:val="%1."/>
      <w:lvlJc w:val="left"/>
      <w:pPr>
        <w:tabs>
          <w:tab w:val="num" w:pos="720"/>
        </w:tabs>
        <w:ind w:left="720" w:hanging="360"/>
      </w:pPr>
      <w:rPr>
        <w:rFonts w:hint="default"/>
      </w:rPr>
    </w:lvl>
    <w:lvl w:ilvl="1" w:tplc="116A7AA4">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202A2EED"/>
    <w:multiLevelType w:val="hybridMultilevel"/>
    <w:tmpl w:val="D604F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B78D7"/>
    <w:multiLevelType w:val="hybridMultilevel"/>
    <w:tmpl w:val="3E187D40"/>
    <w:lvl w:ilvl="0" w:tplc="0409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15:restartNumberingAfterBreak="0">
    <w:nsid w:val="2441170E"/>
    <w:multiLevelType w:val="hybridMultilevel"/>
    <w:tmpl w:val="67849FD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FC67B54"/>
    <w:multiLevelType w:val="hybridMultilevel"/>
    <w:tmpl w:val="374475A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3F1D5D"/>
    <w:multiLevelType w:val="hybridMultilevel"/>
    <w:tmpl w:val="56AC672E"/>
    <w:lvl w:ilvl="0" w:tplc="0409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 w15:restartNumberingAfterBreak="0">
    <w:nsid w:val="41C86A78"/>
    <w:multiLevelType w:val="multilevel"/>
    <w:tmpl w:val="1A9887EE"/>
    <w:lvl w:ilvl="0">
      <w:start w:val="1"/>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9" w15:restartNumberingAfterBreak="0">
    <w:nsid w:val="41E10655"/>
    <w:multiLevelType w:val="hybridMultilevel"/>
    <w:tmpl w:val="112AF82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5D5C6FAE"/>
    <w:multiLevelType w:val="multilevel"/>
    <w:tmpl w:val="5B86BA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StyleHeading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5640147"/>
    <w:multiLevelType w:val="hybridMultilevel"/>
    <w:tmpl w:val="3ADA0BC2"/>
    <w:lvl w:ilvl="0" w:tplc="0402000F">
      <w:start w:val="1"/>
      <w:numFmt w:val="decimal"/>
      <w:lvlText w:val="%1."/>
      <w:lvlJc w:val="left"/>
      <w:pPr>
        <w:tabs>
          <w:tab w:val="num" w:pos="-556"/>
        </w:tabs>
        <w:ind w:left="-556" w:hanging="360"/>
      </w:pPr>
    </w:lvl>
    <w:lvl w:ilvl="1" w:tplc="04020019" w:tentative="1">
      <w:start w:val="1"/>
      <w:numFmt w:val="lowerLetter"/>
      <w:lvlText w:val="%2."/>
      <w:lvlJc w:val="left"/>
      <w:pPr>
        <w:tabs>
          <w:tab w:val="num" w:pos="164"/>
        </w:tabs>
        <w:ind w:left="164" w:hanging="360"/>
      </w:pPr>
    </w:lvl>
    <w:lvl w:ilvl="2" w:tplc="0402001B" w:tentative="1">
      <w:start w:val="1"/>
      <w:numFmt w:val="lowerRoman"/>
      <w:lvlText w:val="%3."/>
      <w:lvlJc w:val="right"/>
      <w:pPr>
        <w:tabs>
          <w:tab w:val="num" w:pos="884"/>
        </w:tabs>
        <w:ind w:left="884" w:hanging="180"/>
      </w:pPr>
    </w:lvl>
    <w:lvl w:ilvl="3" w:tplc="0402000F" w:tentative="1">
      <w:start w:val="1"/>
      <w:numFmt w:val="decimal"/>
      <w:lvlText w:val="%4."/>
      <w:lvlJc w:val="left"/>
      <w:pPr>
        <w:tabs>
          <w:tab w:val="num" w:pos="1604"/>
        </w:tabs>
        <w:ind w:left="1604" w:hanging="360"/>
      </w:pPr>
    </w:lvl>
    <w:lvl w:ilvl="4" w:tplc="04020019" w:tentative="1">
      <w:start w:val="1"/>
      <w:numFmt w:val="lowerLetter"/>
      <w:lvlText w:val="%5."/>
      <w:lvlJc w:val="left"/>
      <w:pPr>
        <w:tabs>
          <w:tab w:val="num" w:pos="2324"/>
        </w:tabs>
        <w:ind w:left="2324" w:hanging="360"/>
      </w:pPr>
    </w:lvl>
    <w:lvl w:ilvl="5" w:tplc="0402001B" w:tentative="1">
      <w:start w:val="1"/>
      <w:numFmt w:val="lowerRoman"/>
      <w:lvlText w:val="%6."/>
      <w:lvlJc w:val="right"/>
      <w:pPr>
        <w:tabs>
          <w:tab w:val="num" w:pos="3044"/>
        </w:tabs>
        <w:ind w:left="3044" w:hanging="180"/>
      </w:pPr>
    </w:lvl>
    <w:lvl w:ilvl="6" w:tplc="0402000F" w:tentative="1">
      <w:start w:val="1"/>
      <w:numFmt w:val="decimal"/>
      <w:lvlText w:val="%7."/>
      <w:lvlJc w:val="left"/>
      <w:pPr>
        <w:tabs>
          <w:tab w:val="num" w:pos="3764"/>
        </w:tabs>
        <w:ind w:left="3764" w:hanging="360"/>
      </w:pPr>
    </w:lvl>
    <w:lvl w:ilvl="7" w:tplc="04020019" w:tentative="1">
      <w:start w:val="1"/>
      <w:numFmt w:val="lowerLetter"/>
      <w:lvlText w:val="%8."/>
      <w:lvlJc w:val="left"/>
      <w:pPr>
        <w:tabs>
          <w:tab w:val="num" w:pos="4484"/>
        </w:tabs>
        <w:ind w:left="4484" w:hanging="360"/>
      </w:pPr>
    </w:lvl>
    <w:lvl w:ilvl="8" w:tplc="0402001B" w:tentative="1">
      <w:start w:val="1"/>
      <w:numFmt w:val="lowerRoman"/>
      <w:lvlText w:val="%9."/>
      <w:lvlJc w:val="right"/>
      <w:pPr>
        <w:tabs>
          <w:tab w:val="num" w:pos="5204"/>
        </w:tabs>
        <w:ind w:left="5204" w:hanging="180"/>
      </w:p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2"/>
  </w:num>
  <w:num w:numId="4">
    <w:abstractNumId w:val="11"/>
  </w:num>
  <w:num w:numId="5">
    <w:abstractNumId w:val="9"/>
  </w:num>
  <w:num w:numId="6">
    <w:abstractNumId w:val="1"/>
  </w:num>
  <w:num w:numId="7">
    <w:abstractNumId w:val="6"/>
  </w:num>
  <w:num w:numId="8">
    <w:abstractNumId w:val="8"/>
  </w:num>
  <w:num w:numId="9">
    <w:abstractNumId w:val="10"/>
  </w:num>
  <w:num w:numId="10">
    <w:abstractNumId w:val="7"/>
  </w:num>
  <w:num w:numId="11">
    <w:abstractNumId w:val="4"/>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C36"/>
    <w:rsid w:val="00004334"/>
    <w:rsid w:val="0001399F"/>
    <w:rsid w:val="00033299"/>
    <w:rsid w:val="000351FB"/>
    <w:rsid w:val="0003589B"/>
    <w:rsid w:val="00040796"/>
    <w:rsid w:val="0006591D"/>
    <w:rsid w:val="00067521"/>
    <w:rsid w:val="00070C36"/>
    <w:rsid w:val="000724AC"/>
    <w:rsid w:val="00074E9D"/>
    <w:rsid w:val="00090E75"/>
    <w:rsid w:val="000B4D3E"/>
    <w:rsid w:val="000C422C"/>
    <w:rsid w:val="000F13CF"/>
    <w:rsid w:val="00101488"/>
    <w:rsid w:val="0010227F"/>
    <w:rsid w:val="00103FD0"/>
    <w:rsid w:val="00116287"/>
    <w:rsid w:val="00133798"/>
    <w:rsid w:val="00133F4A"/>
    <w:rsid w:val="0014096D"/>
    <w:rsid w:val="00140A85"/>
    <w:rsid w:val="00144F9A"/>
    <w:rsid w:val="001452FF"/>
    <w:rsid w:val="00145ABF"/>
    <w:rsid w:val="0015772B"/>
    <w:rsid w:val="00162245"/>
    <w:rsid w:val="00184F15"/>
    <w:rsid w:val="00191C14"/>
    <w:rsid w:val="001A6E88"/>
    <w:rsid w:val="001B264E"/>
    <w:rsid w:val="001B526A"/>
    <w:rsid w:val="001C1DEB"/>
    <w:rsid w:val="001E4344"/>
    <w:rsid w:val="002015A0"/>
    <w:rsid w:val="00210170"/>
    <w:rsid w:val="002258D3"/>
    <w:rsid w:val="0028505C"/>
    <w:rsid w:val="00285B4A"/>
    <w:rsid w:val="00291368"/>
    <w:rsid w:val="002A309B"/>
    <w:rsid w:val="002B1C51"/>
    <w:rsid w:val="002D1B0F"/>
    <w:rsid w:val="002D24FF"/>
    <w:rsid w:val="002D53C5"/>
    <w:rsid w:val="002F66AA"/>
    <w:rsid w:val="003116D7"/>
    <w:rsid w:val="003132C8"/>
    <w:rsid w:val="00315289"/>
    <w:rsid w:val="00315F6B"/>
    <w:rsid w:val="003231CD"/>
    <w:rsid w:val="0034333C"/>
    <w:rsid w:val="00375CB7"/>
    <w:rsid w:val="00394195"/>
    <w:rsid w:val="003D165A"/>
    <w:rsid w:val="003E1442"/>
    <w:rsid w:val="00402B55"/>
    <w:rsid w:val="00450194"/>
    <w:rsid w:val="00451132"/>
    <w:rsid w:val="00451938"/>
    <w:rsid w:val="00481153"/>
    <w:rsid w:val="0048662C"/>
    <w:rsid w:val="004A0664"/>
    <w:rsid w:val="004D0D6C"/>
    <w:rsid w:val="004E3464"/>
    <w:rsid w:val="004F4D78"/>
    <w:rsid w:val="005102B9"/>
    <w:rsid w:val="00511D77"/>
    <w:rsid w:val="0053609D"/>
    <w:rsid w:val="00537DEC"/>
    <w:rsid w:val="00541B3D"/>
    <w:rsid w:val="00545D17"/>
    <w:rsid w:val="00554E6E"/>
    <w:rsid w:val="00560BA8"/>
    <w:rsid w:val="00573C34"/>
    <w:rsid w:val="00576120"/>
    <w:rsid w:val="00585893"/>
    <w:rsid w:val="00587A40"/>
    <w:rsid w:val="00587F6F"/>
    <w:rsid w:val="00592CBD"/>
    <w:rsid w:val="005A0257"/>
    <w:rsid w:val="005A41FE"/>
    <w:rsid w:val="005A5DAA"/>
    <w:rsid w:val="005C041E"/>
    <w:rsid w:val="005C215D"/>
    <w:rsid w:val="005D7735"/>
    <w:rsid w:val="005D7A57"/>
    <w:rsid w:val="005E47EC"/>
    <w:rsid w:val="005E5763"/>
    <w:rsid w:val="005E7674"/>
    <w:rsid w:val="005F5FA2"/>
    <w:rsid w:val="00611E3F"/>
    <w:rsid w:val="006222C5"/>
    <w:rsid w:val="00623967"/>
    <w:rsid w:val="0062454F"/>
    <w:rsid w:val="006263CA"/>
    <w:rsid w:val="00626887"/>
    <w:rsid w:val="00631198"/>
    <w:rsid w:val="006362DC"/>
    <w:rsid w:val="0064059A"/>
    <w:rsid w:val="00674613"/>
    <w:rsid w:val="00685C96"/>
    <w:rsid w:val="006916BE"/>
    <w:rsid w:val="00692021"/>
    <w:rsid w:val="006A0F78"/>
    <w:rsid w:val="006A4F44"/>
    <w:rsid w:val="006B3080"/>
    <w:rsid w:val="006B5698"/>
    <w:rsid w:val="006E2CA6"/>
    <w:rsid w:val="006F4613"/>
    <w:rsid w:val="006F50A9"/>
    <w:rsid w:val="00741B29"/>
    <w:rsid w:val="007667D8"/>
    <w:rsid w:val="007713B5"/>
    <w:rsid w:val="007831B1"/>
    <w:rsid w:val="00784BD3"/>
    <w:rsid w:val="00785D97"/>
    <w:rsid w:val="00791B4E"/>
    <w:rsid w:val="0079447B"/>
    <w:rsid w:val="007B481E"/>
    <w:rsid w:val="007B4BB3"/>
    <w:rsid w:val="007C0661"/>
    <w:rsid w:val="007E07AD"/>
    <w:rsid w:val="0080017C"/>
    <w:rsid w:val="008362E4"/>
    <w:rsid w:val="00842D1D"/>
    <w:rsid w:val="0084682D"/>
    <w:rsid w:val="00867ED4"/>
    <w:rsid w:val="0087315A"/>
    <w:rsid w:val="00881BF4"/>
    <w:rsid w:val="008857C0"/>
    <w:rsid w:val="0089784F"/>
    <w:rsid w:val="008A69F9"/>
    <w:rsid w:val="008B6EC6"/>
    <w:rsid w:val="008D0056"/>
    <w:rsid w:val="008F39C6"/>
    <w:rsid w:val="00923A4C"/>
    <w:rsid w:val="0092655C"/>
    <w:rsid w:val="0093770C"/>
    <w:rsid w:val="009477A8"/>
    <w:rsid w:val="00952E47"/>
    <w:rsid w:val="00963F1E"/>
    <w:rsid w:val="00964A9A"/>
    <w:rsid w:val="00991785"/>
    <w:rsid w:val="009922FB"/>
    <w:rsid w:val="009A0CB8"/>
    <w:rsid w:val="009C59EC"/>
    <w:rsid w:val="009D0314"/>
    <w:rsid w:val="009D18EC"/>
    <w:rsid w:val="009D2522"/>
    <w:rsid w:val="009D400B"/>
    <w:rsid w:val="009D7CA7"/>
    <w:rsid w:val="009E797A"/>
    <w:rsid w:val="009F7DA5"/>
    <w:rsid w:val="00A105AE"/>
    <w:rsid w:val="00A1458D"/>
    <w:rsid w:val="00A27559"/>
    <w:rsid w:val="00A54A92"/>
    <w:rsid w:val="00A61CA5"/>
    <w:rsid w:val="00A6373A"/>
    <w:rsid w:val="00A648E5"/>
    <w:rsid w:val="00A722F0"/>
    <w:rsid w:val="00A76F52"/>
    <w:rsid w:val="00A80EC1"/>
    <w:rsid w:val="00A90F1C"/>
    <w:rsid w:val="00A94F1E"/>
    <w:rsid w:val="00AA57E2"/>
    <w:rsid w:val="00AB3E3E"/>
    <w:rsid w:val="00AB6E4E"/>
    <w:rsid w:val="00AE00A6"/>
    <w:rsid w:val="00AE3C91"/>
    <w:rsid w:val="00AE59D7"/>
    <w:rsid w:val="00B10E8A"/>
    <w:rsid w:val="00B1624B"/>
    <w:rsid w:val="00B23BC7"/>
    <w:rsid w:val="00B34F9A"/>
    <w:rsid w:val="00B421E9"/>
    <w:rsid w:val="00B44FA9"/>
    <w:rsid w:val="00B511E2"/>
    <w:rsid w:val="00B57CB3"/>
    <w:rsid w:val="00B65273"/>
    <w:rsid w:val="00B65C4B"/>
    <w:rsid w:val="00B666EA"/>
    <w:rsid w:val="00B66F0A"/>
    <w:rsid w:val="00B9237E"/>
    <w:rsid w:val="00B926A4"/>
    <w:rsid w:val="00BA35C7"/>
    <w:rsid w:val="00BA787B"/>
    <w:rsid w:val="00BC1404"/>
    <w:rsid w:val="00BC4BF6"/>
    <w:rsid w:val="00BD2CCE"/>
    <w:rsid w:val="00C002F3"/>
    <w:rsid w:val="00C05FC5"/>
    <w:rsid w:val="00C062E4"/>
    <w:rsid w:val="00C06778"/>
    <w:rsid w:val="00C26FA4"/>
    <w:rsid w:val="00C50E5E"/>
    <w:rsid w:val="00C54145"/>
    <w:rsid w:val="00C728CB"/>
    <w:rsid w:val="00C814C4"/>
    <w:rsid w:val="00C83617"/>
    <w:rsid w:val="00CB06A5"/>
    <w:rsid w:val="00CB5925"/>
    <w:rsid w:val="00CB7021"/>
    <w:rsid w:val="00CD7DC3"/>
    <w:rsid w:val="00CF6FE8"/>
    <w:rsid w:val="00D153FF"/>
    <w:rsid w:val="00D57E6C"/>
    <w:rsid w:val="00D973D4"/>
    <w:rsid w:val="00DA4B47"/>
    <w:rsid w:val="00DA5847"/>
    <w:rsid w:val="00DB5FE7"/>
    <w:rsid w:val="00DC2FB1"/>
    <w:rsid w:val="00DC3189"/>
    <w:rsid w:val="00DC5977"/>
    <w:rsid w:val="00DC6CCB"/>
    <w:rsid w:val="00DD4AE0"/>
    <w:rsid w:val="00DE353D"/>
    <w:rsid w:val="00DF3AD8"/>
    <w:rsid w:val="00E25363"/>
    <w:rsid w:val="00E25D59"/>
    <w:rsid w:val="00E33340"/>
    <w:rsid w:val="00E41A02"/>
    <w:rsid w:val="00E737BE"/>
    <w:rsid w:val="00E937FB"/>
    <w:rsid w:val="00EA00CD"/>
    <w:rsid w:val="00EA7762"/>
    <w:rsid w:val="00EB367F"/>
    <w:rsid w:val="00EC2077"/>
    <w:rsid w:val="00EE2C2F"/>
    <w:rsid w:val="00EE4609"/>
    <w:rsid w:val="00EE6E4A"/>
    <w:rsid w:val="00F00EAC"/>
    <w:rsid w:val="00F05E42"/>
    <w:rsid w:val="00F22977"/>
    <w:rsid w:val="00F22F12"/>
    <w:rsid w:val="00F50F01"/>
    <w:rsid w:val="00F51494"/>
    <w:rsid w:val="00F53E09"/>
    <w:rsid w:val="00F551FB"/>
    <w:rsid w:val="00F773A6"/>
    <w:rsid w:val="00F85F0E"/>
    <w:rsid w:val="00F86971"/>
    <w:rsid w:val="00FA2053"/>
    <w:rsid w:val="00FA4285"/>
    <w:rsid w:val="00FB3619"/>
    <w:rsid w:val="00FC10B2"/>
    <w:rsid w:val="00FC1CD3"/>
    <w:rsid w:val="00FD1DC4"/>
    <w:rsid w:val="00FD643B"/>
    <w:rsid w:val="00FE2BB3"/>
    <w:rsid w:val="00FE7F70"/>
    <w:rsid w:val="00FF67BF"/>
    <w:rsid w:val="00FF74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27AED038"/>
  <w15:chartTrackingRefBased/>
  <w15:docId w15:val="{9BD8E2B3-BF9B-4D3E-9E2A-284CE605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
    <w:name w:val="Char1"/>
    <w:basedOn w:val="Normal"/>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
    <w:basedOn w:val="Normal"/>
    <w:link w:val="FootnoteTextChar"/>
    <w:semiHidden/>
    <w:rsid w:val="007E07AD"/>
  </w:style>
  <w:style w:type="character" w:styleId="FootnoteReference">
    <w:name w:val="footnote reference"/>
    <w:aliases w:val="Footnote,Footnote symbol"/>
    <w:semiHidden/>
    <w:rsid w:val="007E07AD"/>
    <w:rPr>
      <w:vertAlign w:val="superscript"/>
    </w:rPr>
  </w:style>
  <w:style w:type="paragraph" w:styleId="Header">
    <w:name w:val="header"/>
    <w:basedOn w:val="Normal"/>
    <w:link w:val="HeaderChar"/>
    <w:uiPriority w:val="99"/>
    <w:rsid w:val="00AB3E3E"/>
    <w:pPr>
      <w:suppressLineNumbers/>
      <w:tabs>
        <w:tab w:val="center" w:pos="4152"/>
        <w:tab w:val="right" w:pos="8305"/>
      </w:tabs>
      <w:suppressAutoHyphens/>
      <w:autoSpaceDE/>
      <w:autoSpaceDN/>
      <w:adjustRightInd/>
    </w:pPr>
    <w:rPr>
      <w:rFonts w:eastAsia="HG Mincho Light J"/>
      <w:color w:val="000000"/>
      <w:sz w:val="24"/>
      <w:lang w:val="en-US"/>
    </w:rPr>
  </w:style>
  <w:style w:type="paragraph" w:customStyle="1" w:styleId="Index">
    <w:name w:val="Index"/>
    <w:basedOn w:val="Normal"/>
    <w:uiPriority w:val="99"/>
    <w:rsid w:val="00AB3E3E"/>
    <w:pPr>
      <w:suppressLineNumbers/>
      <w:suppressAutoHyphens/>
      <w:autoSpaceDE/>
      <w:autoSpaceDN/>
      <w:adjustRightInd/>
    </w:pPr>
    <w:rPr>
      <w:rFonts w:eastAsia="HG Mincho Light J"/>
      <w:color w:val="000000"/>
      <w:sz w:val="24"/>
      <w:lang w:val="en-US"/>
    </w:rPr>
  </w:style>
  <w:style w:type="paragraph" w:customStyle="1" w:styleId="TableContents">
    <w:name w:val="Table Contents"/>
    <w:basedOn w:val="BodyText"/>
    <w:uiPriority w:val="99"/>
    <w:rsid w:val="00AB3E3E"/>
    <w:pPr>
      <w:suppressLineNumbers/>
      <w:suppressAutoHyphens/>
      <w:autoSpaceDE/>
      <w:autoSpaceDN/>
      <w:adjustRightInd/>
    </w:pPr>
    <w:rPr>
      <w:rFonts w:eastAsia="HG Mincho Light J"/>
      <w:color w:val="000000"/>
      <w:sz w:val="24"/>
      <w:lang w:val="en-US"/>
    </w:rPr>
  </w:style>
  <w:style w:type="paragraph" w:styleId="TOC6">
    <w:name w:val="toc 6"/>
    <w:basedOn w:val="Normal"/>
    <w:next w:val="Normal"/>
    <w:autoRedefine/>
    <w:semiHidden/>
    <w:rsid w:val="00AB3E3E"/>
    <w:pPr>
      <w:suppressAutoHyphens/>
      <w:autoSpaceDE/>
      <w:autoSpaceDN/>
      <w:adjustRightInd/>
      <w:spacing w:beforeAutospacing="1" w:afterAutospacing="1"/>
      <w:jc w:val="center"/>
    </w:pPr>
    <w:rPr>
      <w:rFonts w:eastAsia="HG Mincho Light J"/>
      <w:b/>
      <w:color w:val="000000"/>
      <w:sz w:val="18"/>
      <w:szCs w:val="18"/>
    </w:rPr>
  </w:style>
  <w:style w:type="character" w:styleId="Hyperlink">
    <w:name w:val="Hyperlink"/>
    <w:rsid w:val="00AB3E3E"/>
    <w:rPr>
      <w:color w:val="0000FF"/>
      <w:u w:val="single"/>
    </w:rPr>
  </w:style>
  <w:style w:type="paragraph" w:styleId="BodyText">
    <w:name w:val="Body Text"/>
    <w:basedOn w:val="Normal"/>
    <w:rsid w:val="00AB3E3E"/>
    <w:pPr>
      <w:spacing w:after="120"/>
    </w:pPr>
  </w:style>
  <w:style w:type="paragraph" w:styleId="BalloonText">
    <w:name w:val="Balloon Text"/>
    <w:basedOn w:val="Normal"/>
    <w:semiHidden/>
    <w:rsid w:val="00AB3E3E"/>
    <w:rPr>
      <w:rFonts w:ascii="Tahoma" w:hAnsi="Tahoma" w:cs="Tahoma"/>
      <w:sz w:val="16"/>
      <w:szCs w:val="16"/>
    </w:rPr>
  </w:style>
  <w:style w:type="paragraph" w:styleId="Footer">
    <w:name w:val="footer"/>
    <w:basedOn w:val="Normal"/>
    <w:rsid w:val="003D165A"/>
    <w:pPr>
      <w:tabs>
        <w:tab w:val="center" w:pos="4536"/>
        <w:tab w:val="right" w:pos="9072"/>
      </w:tabs>
    </w:pPr>
  </w:style>
  <w:style w:type="character" w:styleId="PageNumber">
    <w:name w:val="page number"/>
    <w:basedOn w:val="DefaultParagraphFont"/>
    <w:rsid w:val="003D165A"/>
  </w:style>
  <w:style w:type="paragraph" w:customStyle="1" w:styleId="CharCharCharCharChar1">
    <w:name w:val="Char Char Char Char Char1 Знак Знак"/>
    <w:basedOn w:val="Normal"/>
    <w:rsid w:val="00B511E2"/>
    <w:pPr>
      <w:tabs>
        <w:tab w:val="left" w:pos="709"/>
      </w:tabs>
    </w:pPr>
    <w:rPr>
      <w:rFonts w:ascii="Tahoma" w:hAnsi="Tahoma"/>
      <w:lang w:val="pl-PL" w:eastAsia="pl-PL"/>
    </w:rPr>
  </w:style>
  <w:style w:type="paragraph" w:customStyle="1" w:styleId="CharCharChar1Char">
    <w:name w:val="Char Char Char1 Char"/>
    <w:basedOn w:val="Normal"/>
    <w:rsid w:val="00991785"/>
    <w:pPr>
      <w:widowControl/>
      <w:autoSpaceDE/>
      <w:autoSpaceDN/>
      <w:adjustRightInd/>
      <w:spacing w:after="160" w:line="240" w:lineRule="exact"/>
    </w:pPr>
    <w:rPr>
      <w:rFonts w:ascii="Tahoma" w:hAnsi="Tahoma"/>
      <w:lang w:val="en-US" w:eastAsia="en-US"/>
    </w:rPr>
  </w:style>
  <w:style w:type="character" w:customStyle="1" w:styleId="HeaderChar">
    <w:name w:val="Header Char"/>
    <w:link w:val="Header"/>
    <w:uiPriority w:val="99"/>
    <w:rsid w:val="00B666EA"/>
    <w:rPr>
      <w:rFonts w:eastAsia="HG Mincho Light J"/>
      <w:color w:val="000000"/>
      <w:sz w:val="24"/>
      <w:lang w:val="en-US" w:eastAsia="bg-BG"/>
    </w:rPr>
  </w:style>
  <w:style w:type="paragraph" w:customStyle="1" w:styleId="StyleHeading3">
    <w:name w:val="Style Heading 3"/>
    <w:basedOn w:val="Normal"/>
    <w:rsid w:val="00145ABF"/>
    <w:pPr>
      <w:widowControl/>
      <w:numPr>
        <w:ilvl w:val="2"/>
        <w:numId w:val="9"/>
      </w:numPr>
      <w:autoSpaceDE/>
      <w:autoSpaceDN/>
      <w:adjustRightInd/>
    </w:pPr>
    <w:rPr>
      <w:sz w:val="24"/>
      <w:szCs w:val="24"/>
      <w:lang w:val="en-GB"/>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basedOn w:val="DefaultParagraphFont"/>
    <w:link w:val="FootnoteText"/>
    <w:semiHidden/>
    <w:rsid w:val="00CB06A5"/>
  </w:style>
  <w:style w:type="paragraph" w:customStyle="1" w:styleId="Normal1">
    <w:name w:val="Normal1"/>
    <w:basedOn w:val="Normal"/>
    <w:rsid w:val="00CB06A5"/>
    <w:pPr>
      <w:widowControl/>
      <w:autoSpaceDE/>
      <w:autoSpaceDN/>
      <w:adjustRightInd/>
      <w:spacing w:before="109"/>
      <w:jc w:val="both"/>
    </w:pPr>
    <w:rPr>
      <w:sz w:val="24"/>
      <w:szCs w:val="24"/>
    </w:rPr>
  </w:style>
  <w:style w:type="character" w:customStyle="1" w:styleId="4">
    <w:name w:val="Основен текст (4)"/>
    <w:rsid w:val="00CB06A5"/>
    <w:rPr>
      <w:rFonts w:ascii="Times New Roman" w:eastAsia="Times New Roman" w:hAnsi="Times New Roman" w:cs="Times New Roman"/>
      <w:b w:val="0"/>
      <w:bCs w:val="0"/>
      <w:i w:val="0"/>
      <w:iCs w:val="0"/>
      <w:smallCaps w:val="0"/>
      <w:strike w:val="0"/>
      <w:spacing w:val="0"/>
      <w:sz w:val="17"/>
      <w:szCs w:val="17"/>
    </w:rPr>
  </w:style>
  <w:style w:type="paragraph" w:styleId="ListParagraph">
    <w:name w:val="List Paragraph"/>
    <w:basedOn w:val="Normal"/>
    <w:uiPriority w:val="34"/>
    <w:qFormat/>
    <w:rsid w:val="00BC140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CommentReference">
    <w:name w:val="annotation reference"/>
    <w:basedOn w:val="DefaultParagraphFont"/>
    <w:rsid w:val="00A80EC1"/>
    <w:rPr>
      <w:sz w:val="16"/>
      <w:szCs w:val="16"/>
    </w:rPr>
  </w:style>
  <w:style w:type="paragraph" w:styleId="CommentText">
    <w:name w:val="annotation text"/>
    <w:basedOn w:val="Normal"/>
    <w:link w:val="CommentTextChar"/>
    <w:rsid w:val="00A80EC1"/>
  </w:style>
  <w:style w:type="character" w:customStyle="1" w:styleId="CommentTextChar">
    <w:name w:val="Comment Text Char"/>
    <w:basedOn w:val="DefaultParagraphFont"/>
    <w:link w:val="CommentText"/>
    <w:rsid w:val="00A80EC1"/>
  </w:style>
  <w:style w:type="paragraph" w:styleId="CommentSubject">
    <w:name w:val="annotation subject"/>
    <w:basedOn w:val="CommentText"/>
    <w:next w:val="CommentText"/>
    <w:link w:val="CommentSubjectChar"/>
    <w:rsid w:val="009922FB"/>
    <w:rPr>
      <w:b/>
      <w:bCs/>
    </w:rPr>
  </w:style>
  <w:style w:type="character" w:customStyle="1" w:styleId="CommentSubjectChar">
    <w:name w:val="Comment Subject Char"/>
    <w:basedOn w:val="CommentTextChar"/>
    <w:link w:val="CommentSubject"/>
    <w:rsid w:val="009922FB"/>
    <w:rPr>
      <w:b/>
      <w:bCs/>
    </w:rPr>
  </w:style>
  <w:style w:type="paragraph" w:styleId="EndnoteText">
    <w:name w:val="endnote text"/>
    <w:basedOn w:val="Normal"/>
    <w:link w:val="EndnoteTextChar"/>
    <w:rsid w:val="00EC2077"/>
  </w:style>
  <w:style w:type="character" w:customStyle="1" w:styleId="EndnoteTextChar">
    <w:name w:val="Endnote Text Char"/>
    <w:basedOn w:val="DefaultParagraphFont"/>
    <w:link w:val="EndnoteText"/>
    <w:rsid w:val="00EC2077"/>
  </w:style>
  <w:style w:type="character" w:styleId="EndnoteReference">
    <w:name w:val="endnote reference"/>
    <w:basedOn w:val="DefaultParagraphFont"/>
    <w:rsid w:val="00EC20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D853B8-067D-41B5-8021-DBBB6F110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1141</Words>
  <Characters>7185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8310</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dc:description/>
  <cp:lastModifiedBy>Хилми Кушев</cp:lastModifiedBy>
  <cp:revision>6</cp:revision>
  <dcterms:created xsi:type="dcterms:W3CDTF">2019-06-26T10:21:00Z</dcterms:created>
  <dcterms:modified xsi:type="dcterms:W3CDTF">2020-01-21T16:00:00Z</dcterms:modified>
</cp:coreProperties>
</file>