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CD83" w14:textId="77777777" w:rsidR="00693FCB" w:rsidRPr="006517D9" w:rsidRDefault="00693FCB" w:rsidP="005F7BC7">
      <w:pPr>
        <w:jc w:val="center"/>
        <w:rPr>
          <w:rFonts w:ascii="Times New Roman" w:hAnsi="Times New Roman" w:cs="Times New Roman"/>
          <w:b/>
          <w:sz w:val="24"/>
          <w:szCs w:val="24"/>
        </w:rPr>
      </w:pPr>
      <w:r w:rsidRPr="006517D9">
        <w:rPr>
          <w:rFonts w:ascii="Times New Roman" w:hAnsi="Times New Roman" w:cs="Times New Roman"/>
          <w:b/>
          <w:sz w:val="24"/>
          <w:szCs w:val="24"/>
        </w:rPr>
        <w:t>СЪГЛАСУВАТЕЛНА ТАБЛИЦА</w:t>
      </w:r>
    </w:p>
    <w:p w14:paraId="067613E7" w14:textId="77777777" w:rsidR="00693FCB" w:rsidRPr="006517D9" w:rsidRDefault="00693FCB" w:rsidP="005F7BC7">
      <w:pPr>
        <w:jc w:val="center"/>
        <w:rPr>
          <w:rFonts w:ascii="Times New Roman" w:hAnsi="Times New Roman" w:cs="Times New Roman"/>
          <w:b/>
          <w:sz w:val="24"/>
          <w:szCs w:val="24"/>
        </w:rPr>
      </w:pPr>
      <w:r w:rsidRPr="006517D9">
        <w:rPr>
          <w:rFonts w:ascii="Times New Roman" w:hAnsi="Times New Roman" w:cs="Times New Roman"/>
          <w:b/>
          <w:sz w:val="24"/>
          <w:szCs w:val="24"/>
        </w:rPr>
        <w:t xml:space="preserve">ЗА ОТРАЗЯВАНЕ НА СТАНОВИЩАТА НА ЧЛЕНОВЕТЕ НА КОМИТЕТА ЗА НАБЛЮДЕНИЕ НА ОПЕРАТИВНА ПРОГРАМА „ДОБРО УПРАВЛЕНИЕ“ (КН НА ОПДУ) ПО ПРЕДЛОЖЕНИЕ, ОТПРАВЕНО ЧРЕЗ ПРОЦЕДУРА ЗА НЕПРИСЪСТВЕНО ПРИЕМАНЕ НА РЕШЕНИЕ, </w:t>
      </w:r>
      <w:r w:rsidRPr="008B552B">
        <w:rPr>
          <w:rFonts w:ascii="Times New Roman" w:hAnsi="Times New Roman" w:cs="Times New Roman"/>
          <w:b/>
          <w:sz w:val="24"/>
          <w:szCs w:val="24"/>
        </w:rPr>
        <w:t xml:space="preserve">ИНИЦИИРАНА НА </w:t>
      </w:r>
      <w:r w:rsidR="00AA2FDB" w:rsidRPr="008B552B">
        <w:rPr>
          <w:rFonts w:ascii="Times New Roman" w:hAnsi="Times New Roman" w:cs="Times New Roman"/>
          <w:b/>
          <w:sz w:val="24"/>
          <w:szCs w:val="24"/>
        </w:rPr>
        <w:t>14</w:t>
      </w:r>
      <w:r w:rsidR="00486FD2" w:rsidRPr="008B552B">
        <w:rPr>
          <w:rFonts w:ascii="Times New Roman" w:hAnsi="Times New Roman" w:cs="Times New Roman"/>
          <w:b/>
          <w:sz w:val="24"/>
          <w:szCs w:val="24"/>
        </w:rPr>
        <w:t>.</w:t>
      </w:r>
      <w:r w:rsidR="00AA2FDB" w:rsidRPr="008B552B">
        <w:rPr>
          <w:rFonts w:ascii="Times New Roman" w:hAnsi="Times New Roman" w:cs="Times New Roman"/>
          <w:b/>
          <w:sz w:val="24"/>
          <w:szCs w:val="24"/>
          <w:lang w:val="ru-RU"/>
        </w:rPr>
        <w:t>01</w:t>
      </w:r>
      <w:r w:rsidRPr="008B552B">
        <w:rPr>
          <w:rFonts w:ascii="Times New Roman" w:hAnsi="Times New Roman" w:cs="Times New Roman"/>
          <w:b/>
          <w:sz w:val="24"/>
          <w:szCs w:val="24"/>
        </w:rPr>
        <w:t>.20</w:t>
      </w:r>
      <w:r w:rsidR="00AA2FDB" w:rsidRPr="008B552B">
        <w:rPr>
          <w:rFonts w:ascii="Times New Roman" w:hAnsi="Times New Roman" w:cs="Times New Roman"/>
          <w:b/>
          <w:sz w:val="24"/>
          <w:szCs w:val="24"/>
          <w:lang w:val="ru-RU"/>
        </w:rPr>
        <w:t>20</w:t>
      </w:r>
      <w:r w:rsidRPr="008B552B">
        <w:rPr>
          <w:rFonts w:ascii="Times New Roman" w:hAnsi="Times New Roman" w:cs="Times New Roman"/>
          <w:b/>
          <w:sz w:val="24"/>
          <w:szCs w:val="24"/>
        </w:rPr>
        <w:t xml:space="preserve"> Г.</w:t>
      </w:r>
    </w:p>
    <w:tbl>
      <w:tblPr>
        <w:tblStyle w:val="TableGrid"/>
        <w:tblW w:w="14737" w:type="dxa"/>
        <w:tblLook w:val="04A0" w:firstRow="1" w:lastRow="0" w:firstColumn="1" w:lastColumn="0" w:noHBand="0" w:noVBand="1"/>
      </w:tblPr>
      <w:tblGrid>
        <w:gridCol w:w="578"/>
        <w:gridCol w:w="2365"/>
        <w:gridCol w:w="7258"/>
        <w:gridCol w:w="4536"/>
      </w:tblGrid>
      <w:tr w:rsidR="00624DC5" w:rsidRPr="00652EBD" w14:paraId="3EE3154F" w14:textId="77777777" w:rsidTr="00086ECB">
        <w:tc>
          <w:tcPr>
            <w:tcW w:w="578" w:type="dxa"/>
            <w:vAlign w:val="center"/>
          </w:tcPr>
          <w:p w14:paraId="7AE63B50" w14:textId="77777777" w:rsidR="00693FCB" w:rsidRPr="00652EBD" w:rsidRDefault="00693FCB" w:rsidP="00652EBD">
            <w:pPr>
              <w:jc w:val="center"/>
              <w:rPr>
                <w:rFonts w:ascii="Times New Roman" w:hAnsi="Times New Roman" w:cs="Times New Roman"/>
                <w:b/>
                <w:i/>
                <w:sz w:val="20"/>
                <w:szCs w:val="20"/>
              </w:rPr>
            </w:pPr>
            <w:r w:rsidRPr="00652EBD">
              <w:rPr>
                <w:rFonts w:ascii="Times New Roman" w:hAnsi="Times New Roman" w:cs="Times New Roman"/>
                <w:b/>
                <w:i/>
                <w:sz w:val="20"/>
                <w:szCs w:val="20"/>
              </w:rPr>
              <w:t xml:space="preserve">№ </w:t>
            </w:r>
          </w:p>
        </w:tc>
        <w:tc>
          <w:tcPr>
            <w:tcW w:w="2365" w:type="dxa"/>
            <w:vAlign w:val="center"/>
          </w:tcPr>
          <w:p w14:paraId="6D7E6751" w14:textId="77777777" w:rsidR="00693FCB" w:rsidRPr="00652EBD" w:rsidRDefault="00693FCB" w:rsidP="00652EBD">
            <w:pPr>
              <w:jc w:val="center"/>
              <w:rPr>
                <w:rFonts w:ascii="Times New Roman" w:hAnsi="Times New Roman" w:cs="Times New Roman"/>
                <w:b/>
                <w:i/>
                <w:sz w:val="20"/>
                <w:szCs w:val="20"/>
              </w:rPr>
            </w:pPr>
            <w:r w:rsidRPr="00652EBD">
              <w:rPr>
                <w:rFonts w:ascii="Times New Roman" w:hAnsi="Times New Roman" w:cs="Times New Roman"/>
                <w:b/>
                <w:i/>
                <w:sz w:val="20"/>
                <w:szCs w:val="20"/>
              </w:rPr>
              <w:t>Член на КН на ОПДУ, длъжност</w:t>
            </w:r>
          </w:p>
        </w:tc>
        <w:tc>
          <w:tcPr>
            <w:tcW w:w="7258" w:type="dxa"/>
            <w:vAlign w:val="center"/>
          </w:tcPr>
          <w:p w14:paraId="254E86FD" w14:textId="77777777" w:rsidR="00693FCB" w:rsidRPr="00652EBD" w:rsidRDefault="00693FCB" w:rsidP="00652EBD">
            <w:pPr>
              <w:jc w:val="center"/>
              <w:rPr>
                <w:rFonts w:ascii="Times New Roman" w:hAnsi="Times New Roman" w:cs="Times New Roman"/>
                <w:b/>
                <w:i/>
                <w:sz w:val="20"/>
                <w:szCs w:val="20"/>
              </w:rPr>
            </w:pPr>
            <w:r w:rsidRPr="00652EBD">
              <w:rPr>
                <w:rFonts w:ascii="Times New Roman" w:hAnsi="Times New Roman" w:cs="Times New Roman"/>
                <w:b/>
                <w:i/>
                <w:sz w:val="20"/>
                <w:szCs w:val="20"/>
              </w:rPr>
              <w:t>Предложение</w:t>
            </w:r>
          </w:p>
        </w:tc>
        <w:tc>
          <w:tcPr>
            <w:tcW w:w="4536" w:type="dxa"/>
            <w:vAlign w:val="center"/>
          </w:tcPr>
          <w:p w14:paraId="509D556D" w14:textId="77777777" w:rsidR="00693FCB" w:rsidRPr="00652EBD" w:rsidRDefault="00693FCB" w:rsidP="00652EBD">
            <w:pPr>
              <w:jc w:val="center"/>
              <w:rPr>
                <w:rFonts w:ascii="Times New Roman" w:hAnsi="Times New Roman" w:cs="Times New Roman"/>
                <w:b/>
                <w:i/>
                <w:sz w:val="20"/>
                <w:szCs w:val="20"/>
              </w:rPr>
            </w:pPr>
            <w:r w:rsidRPr="00652EBD">
              <w:rPr>
                <w:rFonts w:ascii="Times New Roman" w:hAnsi="Times New Roman" w:cs="Times New Roman"/>
                <w:b/>
                <w:i/>
                <w:sz w:val="20"/>
                <w:szCs w:val="20"/>
              </w:rPr>
              <w:t>Становище на УО на ОПДУ</w:t>
            </w:r>
          </w:p>
        </w:tc>
      </w:tr>
      <w:tr w:rsidR="00624DC5" w:rsidRPr="00652EBD" w14:paraId="6D201F62" w14:textId="77777777" w:rsidTr="00086ECB">
        <w:tc>
          <w:tcPr>
            <w:tcW w:w="578" w:type="dxa"/>
            <w:vAlign w:val="center"/>
          </w:tcPr>
          <w:p w14:paraId="28B541F4" w14:textId="77777777" w:rsidR="000C17AE" w:rsidRDefault="000C17AE" w:rsidP="00652EBD">
            <w:pPr>
              <w:jc w:val="center"/>
              <w:rPr>
                <w:rFonts w:ascii="Times New Roman" w:hAnsi="Times New Roman" w:cs="Times New Roman"/>
                <w:b/>
                <w:i/>
                <w:sz w:val="20"/>
                <w:szCs w:val="20"/>
              </w:rPr>
            </w:pPr>
          </w:p>
          <w:p w14:paraId="4CB007B4" w14:textId="77777777" w:rsidR="000C17AE" w:rsidRPr="005412D0" w:rsidRDefault="005412D0" w:rsidP="00652EBD">
            <w:pPr>
              <w:jc w:val="center"/>
              <w:rPr>
                <w:rFonts w:ascii="Times New Roman" w:hAnsi="Times New Roman" w:cs="Times New Roman"/>
                <w:sz w:val="24"/>
                <w:szCs w:val="24"/>
              </w:rPr>
            </w:pPr>
            <w:r w:rsidRPr="005412D0">
              <w:rPr>
                <w:rFonts w:ascii="Times New Roman" w:hAnsi="Times New Roman" w:cs="Times New Roman"/>
                <w:sz w:val="24"/>
                <w:szCs w:val="24"/>
              </w:rPr>
              <w:t xml:space="preserve">1. </w:t>
            </w:r>
          </w:p>
          <w:p w14:paraId="18246AF8" w14:textId="77777777" w:rsidR="000C17AE" w:rsidRDefault="000C17AE" w:rsidP="00652EBD">
            <w:pPr>
              <w:jc w:val="center"/>
              <w:rPr>
                <w:rFonts w:ascii="Times New Roman" w:hAnsi="Times New Roman" w:cs="Times New Roman"/>
                <w:b/>
                <w:i/>
                <w:sz w:val="20"/>
                <w:szCs w:val="20"/>
              </w:rPr>
            </w:pPr>
          </w:p>
          <w:p w14:paraId="4828791F" w14:textId="77777777" w:rsidR="000C17AE" w:rsidRDefault="000C17AE" w:rsidP="00652EBD">
            <w:pPr>
              <w:jc w:val="center"/>
              <w:rPr>
                <w:rFonts w:ascii="Times New Roman" w:hAnsi="Times New Roman" w:cs="Times New Roman"/>
                <w:b/>
                <w:i/>
                <w:sz w:val="20"/>
                <w:szCs w:val="20"/>
              </w:rPr>
            </w:pPr>
          </w:p>
          <w:p w14:paraId="53BB699C" w14:textId="77777777" w:rsidR="000C17AE" w:rsidRPr="00652EBD" w:rsidRDefault="000C17AE" w:rsidP="00652EBD">
            <w:pPr>
              <w:jc w:val="center"/>
              <w:rPr>
                <w:rFonts w:ascii="Times New Roman" w:hAnsi="Times New Roman" w:cs="Times New Roman"/>
                <w:b/>
                <w:i/>
                <w:sz w:val="20"/>
                <w:szCs w:val="20"/>
              </w:rPr>
            </w:pPr>
          </w:p>
        </w:tc>
        <w:tc>
          <w:tcPr>
            <w:tcW w:w="2365" w:type="dxa"/>
            <w:vAlign w:val="center"/>
          </w:tcPr>
          <w:p w14:paraId="57CF6D39" w14:textId="77777777" w:rsidR="000C17AE" w:rsidRPr="00086ECB" w:rsidRDefault="000C17AE" w:rsidP="000C17AE">
            <w:pPr>
              <w:spacing w:after="120"/>
              <w:rPr>
                <w:rFonts w:ascii="Times New Roman" w:hAnsi="Times New Roman" w:cs="Times New Roman"/>
              </w:rPr>
            </w:pPr>
            <w:r w:rsidRPr="00086ECB">
              <w:rPr>
                <w:rFonts w:ascii="Times New Roman" w:hAnsi="Times New Roman" w:cs="Times New Roman"/>
              </w:rPr>
              <w:t>Миглена Тачева</w:t>
            </w:r>
          </w:p>
          <w:p w14:paraId="4B9DFE98" w14:textId="77777777" w:rsidR="000C17AE" w:rsidRPr="00086ECB" w:rsidRDefault="000C17AE" w:rsidP="000C17AE">
            <w:pPr>
              <w:spacing w:after="120"/>
              <w:rPr>
                <w:rFonts w:ascii="Times New Roman" w:hAnsi="Times New Roman" w:cs="Times New Roman"/>
              </w:rPr>
            </w:pPr>
            <w:r w:rsidRPr="00086ECB">
              <w:rPr>
                <w:rFonts w:ascii="Times New Roman" w:hAnsi="Times New Roman"/>
                <w:i/>
                <w:lang w:eastAsia="bg-BG"/>
              </w:rPr>
              <w:t>Директор на Националния институт на правосъдието</w:t>
            </w:r>
          </w:p>
        </w:tc>
        <w:tc>
          <w:tcPr>
            <w:tcW w:w="7258" w:type="dxa"/>
            <w:vAlign w:val="center"/>
          </w:tcPr>
          <w:p w14:paraId="073CF3B9" w14:textId="77777777" w:rsidR="000C17AE" w:rsidRPr="00086ECB" w:rsidRDefault="000C17AE" w:rsidP="000C17AE">
            <w:pPr>
              <w:jc w:val="both"/>
              <w:rPr>
                <w:rFonts w:ascii="Times New Roman" w:hAnsi="Times New Roman"/>
              </w:rPr>
            </w:pPr>
            <w:r w:rsidRPr="00086ECB">
              <w:rPr>
                <w:rFonts w:ascii="Times New Roman" w:hAnsi="Times New Roman"/>
              </w:rPr>
              <w:t xml:space="preserve">Предложена редакция „На основание чл. 11, ал. 1, т. 1 и </w:t>
            </w:r>
            <w:r w:rsidRPr="00086ECB">
              <w:rPr>
                <w:rFonts w:ascii="Times New Roman" w:hAnsi="Times New Roman"/>
                <w:b/>
                <w:u w:val="single"/>
              </w:rPr>
              <w:t>т. 2</w:t>
            </w:r>
            <w:r w:rsidRPr="00086ECB">
              <w:rPr>
                <w:rFonts w:ascii="Times New Roman" w:hAnsi="Times New Roman"/>
              </w:rPr>
              <w:t xml:space="preserve"> от Постановление № 79 на МС от 10.04.2014 г., чл. 26, ал. 8, т. 1 от Постановление № 162 на МС от 05.07.2016 г. и чл. 3, т. 1 и 2 и чл. 21 от Вътрешните правила за работа на Комитета за наблюдение на Оперативна програма „Добро управление“ (КН на ОПДУ), Комитетът за наблюдение на ОПДУ реши:….“</w:t>
            </w:r>
          </w:p>
          <w:p w14:paraId="485EC644" w14:textId="77777777" w:rsidR="000C17AE" w:rsidRPr="00086ECB" w:rsidRDefault="000C17AE" w:rsidP="000C17AE">
            <w:pPr>
              <w:jc w:val="both"/>
              <w:rPr>
                <w:rFonts w:ascii="Times New Roman" w:hAnsi="Times New Roman"/>
              </w:rPr>
            </w:pPr>
            <w:r w:rsidRPr="00086ECB">
              <w:rPr>
                <w:rFonts w:ascii="Times New Roman" w:hAnsi="Times New Roman"/>
              </w:rPr>
              <w:t>Съображенията за това са следните:</w:t>
            </w:r>
          </w:p>
          <w:p w14:paraId="76E8F22C" w14:textId="77777777" w:rsidR="000C17AE" w:rsidRPr="00086ECB" w:rsidRDefault="000C17AE" w:rsidP="000C17AE">
            <w:pPr>
              <w:jc w:val="both"/>
              <w:rPr>
                <w:rFonts w:ascii="Times New Roman" w:hAnsi="Times New Roman"/>
              </w:rPr>
            </w:pPr>
            <w:r w:rsidRPr="00086ECB">
              <w:rPr>
                <w:rFonts w:ascii="Times New Roman" w:hAnsi="Times New Roman"/>
              </w:rPr>
              <w:t xml:space="preserve">В чл. 11, ал. 1 от Постановление № 79 на МС от 10.04.2014 г. за създаване на комитети за наблюдение на Споразумение за партньорство на Република България и на програмите, съфинансирани от ЕСИФ, за програмен период 2014-2020 са уредени функциите на Комитетите за наблюдение на всяка една програма. Под т. 1 и т. 2 е посочено, че Комитетът разглежда и одобрява предложения от Ръководителя на УО на съответната програма методология и критерии за подбор на операции, както и последващи изменения и допълнения в тях, както и съгласува </w:t>
            </w:r>
            <w:r w:rsidR="005412D0" w:rsidRPr="00086ECB">
              <w:rPr>
                <w:rFonts w:ascii="Times New Roman" w:hAnsi="Times New Roman"/>
              </w:rPr>
              <w:t xml:space="preserve">по предложение на РУО индикативната работна програма, както и последващи изменения в нея. </w:t>
            </w:r>
          </w:p>
          <w:p w14:paraId="619F6929" w14:textId="77777777" w:rsidR="005412D0" w:rsidRPr="00086ECB" w:rsidRDefault="005412D0" w:rsidP="000C17AE">
            <w:pPr>
              <w:jc w:val="both"/>
              <w:rPr>
                <w:rFonts w:ascii="Times New Roman" w:hAnsi="Times New Roman"/>
              </w:rPr>
            </w:pPr>
            <w:r w:rsidRPr="00086ECB">
              <w:rPr>
                <w:rFonts w:ascii="Times New Roman" w:hAnsi="Times New Roman"/>
              </w:rPr>
              <w:t xml:space="preserve">Видно от приложения проект на решение, Комитетът за наблюдение на ОПДУ следва да одобри две точки, както следва: </w:t>
            </w:r>
          </w:p>
          <w:p w14:paraId="3B922861" w14:textId="77777777" w:rsidR="005412D0" w:rsidRPr="00086ECB" w:rsidRDefault="005412D0" w:rsidP="005412D0">
            <w:pPr>
              <w:pStyle w:val="ListParagraph"/>
              <w:numPr>
                <w:ilvl w:val="0"/>
                <w:numId w:val="5"/>
              </w:numPr>
              <w:jc w:val="both"/>
              <w:rPr>
                <w:rFonts w:ascii="Times New Roman" w:hAnsi="Times New Roman"/>
              </w:rPr>
            </w:pPr>
            <w:r w:rsidRPr="00086ECB">
              <w:rPr>
                <w:rFonts w:ascii="Times New Roman" w:hAnsi="Times New Roman"/>
              </w:rPr>
              <w:t>Предложеното от ръководителя на управляващия орган на ОПДУ първо изменение на ИГРП на ОПДУ за 2020 г.</w:t>
            </w:r>
          </w:p>
          <w:p w14:paraId="7123ECF3" w14:textId="77777777" w:rsidR="005412D0" w:rsidRPr="00086ECB" w:rsidRDefault="005412D0" w:rsidP="005412D0">
            <w:pPr>
              <w:pStyle w:val="ListParagraph"/>
              <w:numPr>
                <w:ilvl w:val="0"/>
                <w:numId w:val="5"/>
              </w:numPr>
              <w:jc w:val="both"/>
              <w:rPr>
                <w:rFonts w:ascii="Times New Roman" w:hAnsi="Times New Roman"/>
              </w:rPr>
            </w:pPr>
            <w:r w:rsidRPr="00086ECB">
              <w:rPr>
                <w:rFonts w:ascii="Times New Roman" w:hAnsi="Times New Roman"/>
              </w:rPr>
              <w:t>Критерии за подбор на операции по процедура чрез директно предоставяне на безвъзмездна финансова помощ „Разработка и внедряване в съдебната система на софтуер за ускорено създаване и възпроизвеждане на актове и други документи чрез диктовка и автоматично конвертиране на гласов запис в текст (voice-to-text) и съпътстващи системи за обработка“ по ПО 3.</w:t>
            </w:r>
          </w:p>
          <w:p w14:paraId="0A460CB5" w14:textId="77777777" w:rsidR="005412D0" w:rsidRPr="00086ECB" w:rsidRDefault="005412D0" w:rsidP="005412D0">
            <w:pPr>
              <w:jc w:val="both"/>
              <w:rPr>
                <w:rFonts w:ascii="Times New Roman" w:hAnsi="Times New Roman"/>
              </w:rPr>
            </w:pPr>
            <w:r w:rsidRPr="00086ECB">
              <w:rPr>
                <w:rFonts w:ascii="Times New Roman" w:hAnsi="Times New Roman"/>
              </w:rPr>
              <w:t xml:space="preserve">При преглед на представения за съгласуване проект на решение, се установява посочване на правно основание за одобряване само в частта на т. 2 от Решението, касаещо приемането на критерии за подбор на операции. По отношение на т. 1 от Решението, а именно предложеното от ръководителя на управляващия орган на ОПДУ първо изменение на ИГРП на ОПДУ за 2020 г., липсва посочване на разпоредбата на чл. 11, ал. 1, т. 2 от ПМС № 79/10.04.2014 г. </w:t>
            </w:r>
          </w:p>
          <w:p w14:paraId="1F7B27EF" w14:textId="20EFDF3D" w:rsidR="000C17AE" w:rsidRPr="00086ECB" w:rsidRDefault="005412D0" w:rsidP="00086ECB">
            <w:pPr>
              <w:jc w:val="both"/>
              <w:rPr>
                <w:rFonts w:ascii="Times New Roman" w:hAnsi="Times New Roman" w:cs="Times New Roman"/>
                <w:b/>
                <w:i/>
              </w:rPr>
            </w:pPr>
            <w:r w:rsidRPr="00086ECB">
              <w:rPr>
                <w:rFonts w:ascii="Times New Roman" w:hAnsi="Times New Roman"/>
              </w:rPr>
              <w:lastRenderedPageBreak/>
              <w:t xml:space="preserve">Считам че отразяването на предложеното допълнение ще приведе решението на Комитета за наблюдение на Оперативна програма „Добро управление“ в съответствие с изискванията на чл. 59 от АПК. </w:t>
            </w:r>
          </w:p>
        </w:tc>
        <w:tc>
          <w:tcPr>
            <w:tcW w:w="4536" w:type="dxa"/>
            <w:vAlign w:val="center"/>
          </w:tcPr>
          <w:p w14:paraId="18D0DCB5" w14:textId="77777777" w:rsidR="00086ECB" w:rsidRDefault="000C17AE" w:rsidP="000C17AE">
            <w:pPr>
              <w:spacing w:after="120"/>
              <w:jc w:val="both"/>
              <w:outlineLvl w:val="0"/>
              <w:rPr>
                <w:rFonts w:ascii="Times New Roman" w:hAnsi="Times New Roman" w:cs="Times New Roman"/>
                <w:b/>
                <w:i/>
                <w:sz w:val="20"/>
                <w:szCs w:val="20"/>
              </w:rPr>
            </w:pPr>
            <w:r>
              <w:rPr>
                <w:rFonts w:ascii="Times New Roman" w:hAnsi="Times New Roman" w:cs="Times New Roman"/>
                <w:b/>
                <w:i/>
                <w:sz w:val="20"/>
                <w:szCs w:val="20"/>
              </w:rPr>
              <w:lastRenderedPageBreak/>
              <w:t xml:space="preserve">Приема се. </w:t>
            </w:r>
          </w:p>
          <w:p w14:paraId="52B7B824" w14:textId="1FAFC587" w:rsidR="000C17AE" w:rsidRPr="00652EBD" w:rsidRDefault="000C17AE" w:rsidP="000C17AE">
            <w:pPr>
              <w:spacing w:after="120"/>
              <w:jc w:val="both"/>
              <w:outlineLvl w:val="0"/>
              <w:rPr>
                <w:rFonts w:ascii="Times New Roman" w:hAnsi="Times New Roman" w:cs="Times New Roman"/>
                <w:b/>
                <w:i/>
                <w:sz w:val="20"/>
                <w:szCs w:val="20"/>
              </w:rPr>
            </w:pPr>
            <w:r w:rsidRPr="00AE775D">
              <w:rPr>
                <w:rFonts w:ascii="Times New Roman" w:hAnsi="Times New Roman" w:cs="Times New Roman"/>
                <w:sz w:val="20"/>
                <w:szCs w:val="20"/>
              </w:rPr>
              <w:t>Техническата корекция е отразена в текста на Решението.</w:t>
            </w:r>
          </w:p>
        </w:tc>
      </w:tr>
      <w:tr w:rsidR="00624DC5" w:rsidRPr="00652EBD" w14:paraId="310BA8BB" w14:textId="77777777" w:rsidTr="00086ECB">
        <w:tc>
          <w:tcPr>
            <w:tcW w:w="578" w:type="dxa"/>
            <w:vAlign w:val="center"/>
          </w:tcPr>
          <w:p w14:paraId="0460D86F" w14:textId="77777777" w:rsidR="005412D0" w:rsidRPr="005412D0" w:rsidRDefault="005412D0" w:rsidP="005412D0">
            <w:pPr>
              <w:jc w:val="both"/>
              <w:rPr>
                <w:rFonts w:ascii="Times New Roman" w:hAnsi="Times New Roman" w:cs="Times New Roman"/>
                <w:sz w:val="24"/>
                <w:szCs w:val="24"/>
              </w:rPr>
            </w:pPr>
            <w:r w:rsidRPr="005412D0">
              <w:rPr>
                <w:rFonts w:ascii="Times New Roman" w:hAnsi="Times New Roman" w:cs="Times New Roman"/>
                <w:sz w:val="24"/>
                <w:szCs w:val="24"/>
              </w:rPr>
              <w:t>2.</w:t>
            </w:r>
          </w:p>
        </w:tc>
        <w:tc>
          <w:tcPr>
            <w:tcW w:w="2365" w:type="dxa"/>
            <w:vAlign w:val="center"/>
          </w:tcPr>
          <w:p w14:paraId="125BC81C" w14:textId="77777777" w:rsidR="005412D0" w:rsidRPr="00086ECB" w:rsidRDefault="005412D0" w:rsidP="005412D0">
            <w:pPr>
              <w:spacing w:after="120"/>
              <w:rPr>
                <w:rFonts w:ascii="Times New Roman" w:hAnsi="Times New Roman" w:cs="Times New Roman"/>
              </w:rPr>
            </w:pPr>
            <w:r w:rsidRPr="00086ECB">
              <w:rPr>
                <w:rFonts w:ascii="Times New Roman" w:hAnsi="Times New Roman" w:cs="Times New Roman"/>
              </w:rPr>
              <w:t>доц. д-р Ана Джумалиева</w:t>
            </w:r>
          </w:p>
          <w:p w14:paraId="66188CF9" w14:textId="77777777" w:rsidR="005412D0" w:rsidRPr="00086ECB" w:rsidRDefault="005412D0" w:rsidP="005412D0">
            <w:pPr>
              <w:pStyle w:val="PlainText"/>
              <w:rPr>
                <w:rFonts w:ascii="Times New Roman" w:hAnsi="Times New Roman" w:cs="Times New Roman"/>
                <w:i/>
                <w:szCs w:val="22"/>
              </w:rPr>
            </w:pPr>
            <w:r w:rsidRPr="00086ECB">
              <w:rPr>
                <w:rFonts w:ascii="Times New Roman" w:hAnsi="Times New Roman" w:cs="Times New Roman"/>
                <w:i/>
                <w:szCs w:val="22"/>
              </w:rPr>
              <w:t>Председател на КЗД</w:t>
            </w:r>
          </w:p>
          <w:p w14:paraId="56E50C24" w14:textId="77777777" w:rsidR="005412D0" w:rsidRPr="00086ECB" w:rsidRDefault="005412D0" w:rsidP="005412D0">
            <w:pPr>
              <w:pStyle w:val="PlainText"/>
              <w:rPr>
                <w:szCs w:val="22"/>
              </w:rPr>
            </w:pPr>
          </w:p>
          <w:p w14:paraId="2C0F9932" w14:textId="77777777" w:rsidR="005412D0" w:rsidRPr="00086ECB" w:rsidRDefault="005412D0" w:rsidP="000C17AE">
            <w:pPr>
              <w:spacing w:after="120"/>
              <w:rPr>
                <w:rFonts w:ascii="Times New Roman" w:hAnsi="Times New Roman" w:cs="Times New Roman"/>
              </w:rPr>
            </w:pPr>
          </w:p>
        </w:tc>
        <w:tc>
          <w:tcPr>
            <w:tcW w:w="7258" w:type="dxa"/>
            <w:vAlign w:val="center"/>
          </w:tcPr>
          <w:p w14:paraId="6D74DE04" w14:textId="77777777" w:rsidR="005412D0" w:rsidRPr="00086ECB" w:rsidRDefault="005412D0" w:rsidP="005412D0">
            <w:pPr>
              <w:jc w:val="both"/>
              <w:rPr>
                <w:rFonts w:ascii="Times New Roman" w:hAnsi="Times New Roman"/>
              </w:rPr>
            </w:pPr>
            <w:r w:rsidRPr="00086ECB">
              <w:rPr>
                <w:rFonts w:ascii="Times New Roman" w:hAnsi="Times New Roman"/>
              </w:rPr>
              <w:t>Във връзка с направено предложение до членовете на Комитета за наблюдение на Оперативна програма „Добро управление“  по  Единадесетата процедура за неприсъствено приемане на КН ОПДУ, относно Проект на Критерии за подбор на операции по Процедура „Разработка и внедряване в съдебната система на софтуер за ускорено създаване и възпроизвеждане на актове и други документи чрез диктовка и автоматично конвертиране на гласов запис в текст</w:t>
            </w:r>
            <w:r w:rsidR="00624DC5" w:rsidRPr="00086ECB">
              <w:rPr>
                <w:rFonts w:ascii="Times New Roman" w:hAnsi="Times New Roman"/>
              </w:rPr>
              <w:t xml:space="preserve"> </w:t>
            </w:r>
            <w:r w:rsidRPr="00086ECB">
              <w:rPr>
                <w:rFonts w:ascii="Times New Roman" w:hAnsi="Times New Roman"/>
              </w:rPr>
              <w:t>(voice-to-text) и съпътстващи системи за обработка“ по ПО 3 на ОПДУ и предложениe за изменение на ИГРП на ОПДУ за 2020 г. (включване на нова процедура), Комисия за защита от дискриминация предлага КЗД да бъде включена като конкретен бенефициент по процедурата за финансиране.</w:t>
            </w:r>
          </w:p>
          <w:p w14:paraId="37762AE7" w14:textId="770942D5" w:rsidR="005412D0" w:rsidRPr="00086ECB" w:rsidRDefault="005412D0" w:rsidP="005412D0">
            <w:pPr>
              <w:jc w:val="both"/>
              <w:rPr>
                <w:rFonts w:ascii="Times New Roman" w:hAnsi="Times New Roman"/>
              </w:rPr>
            </w:pPr>
            <w:r w:rsidRPr="00086ECB">
              <w:rPr>
                <w:rFonts w:ascii="Times New Roman" w:hAnsi="Times New Roman"/>
              </w:rPr>
              <w:t>Комисия за защита от дискриминация е н</w:t>
            </w:r>
            <w:r w:rsidR="00AE775D" w:rsidRPr="00086ECB">
              <w:rPr>
                <w:rFonts w:ascii="Times New Roman" w:hAnsi="Times New Roman"/>
                <w:lang w:val="en-US"/>
              </w:rPr>
              <w:t>e</w:t>
            </w:r>
            <w:r w:rsidRPr="00086ECB">
              <w:rPr>
                <w:rFonts w:ascii="Times New Roman" w:hAnsi="Times New Roman"/>
              </w:rPr>
              <w:t>зависим специализиран държавен орган за предотвратяване на дискриминация, защита от дискриминация и осигуряване равенство на възможностите. С оглед независимостта на органа както и факта и спецификата му на квазисъдебен орган,  същият не се отнася към нито една от трите вида власти: законодателна, изпълнителна и съдебна.</w:t>
            </w:r>
          </w:p>
          <w:p w14:paraId="4B58A5AD" w14:textId="30CB0611" w:rsidR="005412D0" w:rsidRPr="00086ECB" w:rsidRDefault="005412D0" w:rsidP="005412D0">
            <w:pPr>
              <w:jc w:val="both"/>
              <w:rPr>
                <w:rFonts w:ascii="Times New Roman" w:hAnsi="Times New Roman"/>
              </w:rPr>
            </w:pPr>
            <w:r w:rsidRPr="00086ECB">
              <w:rPr>
                <w:rFonts w:ascii="Times New Roman" w:hAnsi="Times New Roman"/>
              </w:rPr>
              <w:t>Изразяваме нашето предложение Комисия за защита от дискриминация да бъде включена като бенефициент във връзка с разработване на продукт на софтуер за ускорено създаване и възпроизвеждане на актове и други документи чрез диктовка и автоматично конвертиране на гласов запис в текст</w:t>
            </w:r>
            <w:r w:rsidR="00624DC5" w:rsidRPr="00086ECB">
              <w:rPr>
                <w:rFonts w:ascii="Times New Roman" w:hAnsi="Times New Roman"/>
              </w:rPr>
              <w:t xml:space="preserve"> </w:t>
            </w:r>
            <w:r w:rsidRPr="00086ECB">
              <w:rPr>
                <w:rFonts w:ascii="Times New Roman" w:hAnsi="Times New Roman"/>
              </w:rPr>
              <w:t xml:space="preserve">(voice-to-text) и съпътстващи системи за обработка“, който да бъде съобразен със специфичната дейност на единствения по рода си орган по равнопоставеност и същият да бъде финансиран по Оперативна програма „Добро управление“. Предлагаме този продукт да бъде отделен и финансиран по програмата от тези, които са предназначени за останалите ведомства. </w:t>
            </w:r>
          </w:p>
          <w:p w14:paraId="22D8BBCF" w14:textId="77777777" w:rsidR="005412D0" w:rsidRPr="00086ECB" w:rsidRDefault="005412D0" w:rsidP="005412D0">
            <w:pPr>
              <w:jc w:val="both"/>
              <w:rPr>
                <w:rFonts w:ascii="Times New Roman" w:hAnsi="Times New Roman"/>
              </w:rPr>
            </w:pPr>
            <w:r w:rsidRPr="00086ECB">
              <w:rPr>
                <w:rFonts w:ascii="Times New Roman" w:hAnsi="Times New Roman"/>
              </w:rPr>
              <w:t>Причините за това са комплексни.</w:t>
            </w:r>
          </w:p>
          <w:p w14:paraId="6FA9C57E" w14:textId="77777777" w:rsidR="005412D0" w:rsidRPr="00086ECB" w:rsidRDefault="005412D0" w:rsidP="005412D0">
            <w:pPr>
              <w:jc w:val="both"/>
              <w:rPr>
                <w:rFonts w:ascii="Times New Roman" w:hAnsi="Times New Roman"/>
              </w:rPr>
            </w:pPr>
            <w:r w:rsidRPr="00086ECB">
              <w:rPr>
                <w:rFonts w:ascii="Times New Roman" w:hAnsi="Times New Roman"/>
              </w:rPr>
              <w:t>Комисията за защита от дискриминация не разполага с нарочен, допълнителен финансов ресурс за реализиране на софтуер (voice-to-text), но в дейността си като квазисъдебен административен орган е оторизирана да приема и разглежда жалби и сигнали относно евентуални прояви на пряка и непряка дискриминация, преследване, подбуждане, расова сегрегация, тормоз и други форми на неравно третиране. В провежданите по образувани пред КЗД преписки, членовете на Комисията разпределени  в заседателни състави, участват в открити заседания, които са публични, водят се стенографки протоколи, както и звукозаписи, като след снемането им същите са неразделна част от кориците на преписката.</w:t>
            </w:r>
          </w:p>
          <w:p w14:paraId="5F0A760C" w14:textId="371AB25E" w:rsidR="005412D0" w:rsidRPr="00086ECB" w:rsidRDefault="005412D0" w:rsidP="00AE775D">
            <w:pPr>
              <w:jc w:val="both"/>
              <w:rPr>
                <w:rFonts w:ascii="Times New Roman" w:hAnsi="Times New Roman"/>
              </w:rPr>
            </w:pPr>
            <w:r w:rsidRPr="00086ECB">
              <w:rPr>
                <w:rFonts w:ascii="Times New Roman" w:hAnsi="Times New Roman"/>
              </w:rPr>
              <w:lastRenderedPageBreak/>
              <w:t>Възможността Комисия за защита от дискриминация да участва в процедурата за създаване на специално разработен софтуер, който да бъде съобразен със спецификата на дейността на органа по равнопоставеност ще доведе до улесняване процеса на работа, а целта е една работа в името на гражданите потърсили защита на своите права. Средствата които биха били достатъчни за изработване на качествен продукт  необходим за дейността на КЗД по първоначални данни възлиза на 500 000 лева (петстотин хиляди лева).</w:t>
            </w:r>
          </w:p>
        </w:tc>
        <w:tc>
          <w:tcPr>
            <w:tcW w:w="4536" w:type="dxa"/>
            <w:vAlign w:val="center"/>
          </w:tcPr>
          <w:p w14:paraId="3E8B21AA" w14:textId="77777777" w:rsidR="00086ECB" w:rsidRDefault="00624DC5" w:rsidP="003E12AD">
            <w:pPr>
              <w:spacing w:after="120"/>
              <w:jc w:val="both"/>
              <w:rPr>
                <w:rFonts w:ascii="Times New Roman" w:hAnsi="Times New Roman" w:cs="Times New Roman"/>
                <w:b/>
                <w:i/>
                <w:sz w:val="20"/>
                <w:szCs w:val="20"/>
              </w:rPr>
            </w:pPr>
            <w:r w:rsidRPr="004B5C01">
              <w:rPr>
                <w:rFonts w:ascii="Times New Roman" w:hAnsi="Times New Roman" w:cs="Times New Roman"/>
                <w:b/>
                <w:i/>
                <w:sz w:val="20"/>
                <w:szCs w:val="20"/>
              </w:rPr>
              <w:lastRenderedPageBreak/>
              <w:t xml:space="preserve">Не се приема. </w:t>
            </w:r>
          </w:p>
          <w:p w14:paraId="2F5F8D31" w14:textId="7A9748CD" w:rsidR="00624DC5" w:rsidRPr="00AE775D" w:rsidRDefault="004B5C01" w:rsidP="003E12AD">
            <w:pPr>
              <w:spacing w:after="120"/>
              <w:jc w:val="both"/>
              <w:rPr>
                <w:rFonts w:ascii="Times New Roman" w:hAnsi="Times New Roman" w:cs="Times New Roman"/>
                <w:sz w:val="20"/>
                <w:szCs w:val="20"/>
              </w:rPr>
            </w:pPr>
            <w:r w:rsidRPr="00AE775D">
              <w:rPr>
                <w:rFonts w:ascii="Times New Roman" w:hAnsi="Times New Roman" w:cs="Times New Roman"/>
                <w:sz w:val="20"/>
                <w:szCs w:val="20"/>
              </w:rPr>
              <w:t>Процедурата е предложена в изпълнение на м</w:t>
            </w:r>
            <w:r w:rsidR="00624DC5" w:rsidRPr="00AE775D">
              <w:rPr>
                <w:rFonts w:ascii="Times New Roman" w:hAnsi="Times New Roman" w:cs="Times New Roman"/>
                <w:sz w:val="20"/>
                <w:szCs w:val="20"/>
              </w:rPr>
              <w:t>ярка</w:t>
            </w:r>
            <w:r w:rsidRPr="00AE775D">
              <w:rPr>
                <w:rFonts w:ascii="Times New Roman" w:hAnsi="Times New Roman" w:cs="Times New Roman"/>
                <w:sz w:val="20"/>
                <w:szCs w:val="20"/>
              </w:rPr>
              <w:t xml:space="preserve"> 54 „Въвеждане в експлоатация и бъдещо развитие на ЕИСС и разработване и/или интегриране на нови функционалности в нея, ресурсно обезпечаване на нейното функциониране и на съдилищата с необходимите технически средства и системен софтуер за реализиране на е-правосъдие, както и други проекти, свързани с основните цели на стратегията за въвеждане на електронно управление и електронно правосъдие – информационни системи, софтуер, функционалности и др.“</w:t>
            </w:r>
            <w:r w:rsidR="00624DC5" w:rsidRPr="00AE775D">
              <w:rPr>
                <w:rFonts w:ascii="Times New Roman" w:hAnsi="Times New Roman" w:cs="Times New Roman"/>
                <w:sz w:val="20"/>
                <w:szCs w:val="20"/>
              </w:rPr>
              <w:t xml:space="preserve"> от</w:t>
            </w:r>
            <w:r w:rsidRPr="00AE775D">
              <w:rPr>
                <w:rFonts w:ascii="Times New Roman" w:hAnsi="Times New Roman" w:cs="Times New Roman"/>
                <w:sz w:val="20"/>
                <w:szCs w:val="20"/>
              </w:rPr>
              <w:t xml:space="preserve"> Актуализирана Пътна карта за изпълнение на Актуализираната стратегия за развитие на електронното управление в Република България 2019-2023 г. (ПКЕУ), по инициатива на ВСС</w:t>
            </w:r>
            <w:r w:rsidR="00D260B4" w:rsidRPr="00AE775D">
              <w:rPr>
                <w:rFonts w:ascii="Times New Roman" w:hAnsi="Times New Roman" w:cs="Times New Roman"/>
                <w:sz w:val="20"/>
                <w:szCs w:val="20"/>
              </w:rPr>
              <w:t xml:space="preserve">. </w:t>
            </w:r>
            <w:r w:rsidR="003E12AD" w:rsidRPr="00AE775D">
              <w:rPr>
                <w:rFonts w:ascii="Times New Roman" w:hAnsi="Times New Roman" w:cs="Times New Roman"/>
                <w:sz w:val="20"/>
                <w:szCs w:val="20"/>
              </w:rPr>
              <w:t xml:space="preserve">ПКЕУ не предвижда КЗД като организация, отговорна за изпълнението на цитираната мярка. Съгласно предвиденото в ПКЕУ, организацията, отговорна за изпълнението на мярка 54 е ВСС. </w:t>
            </w:r>
          </w:p>
          <w:p w14:paraId="4B94031E" w14:textId="77777777" w:rsidR="00C448AB" w:rsidRPr="005E2AC6" w:rsidRDefault="00C448AB" w:rsidP="005E2AC6">
            <w:pPr>
              <w:tabs>
                <w:tab w:val="left" w:pos="345"/>
              </w:tabs>
              <w:spacing w:after="120"/>
              <w:jc w:val="both"/>
              <w:rPr>
                <w:rFonts w:ascii="Times New Roman" w:hAnsi="Times New Roman" w:cs="Times New Roman"/>
                <w:bCs/>
                <w:iCs/>
                <w:snapToGrid w:val="0"/>
                <w:sz w:val="20"/>
                <w:szCs w:val="20"/>
              </w:rPr>
            </w:pPr>
            <w:r w:rsidRPr="005E2AC6">
              <w:rPr>
                <w:rFonts w:ascii="Times New Roman" w:hAnsi="Times New Roman" w:cs="Times New Roman"/>
                <w:sz w:val="20"/>
                <w:szCs w:val="20"/>
              </w:rPr>
              <w:t>В административния договор за предоставяне на безвъзмездна финансова помощ по процедурата, УО на ОПДУ ще предвиди следните изисквания към бенефициента ВСС:</w:t>
            </w:r>
          </w:p>
          <w:p w14:paraId="08487151" w14:textId="77777777" w:rsidR="00C448AB" w:rsidRPr="00086ECB" w:rsidRDefault="00C448AB" w:rsidP="00C448AB">
            <w:pPr>
              <w:pStyle w:val="ListParagraph"/>
              <w:numPr>
                <w:ilvl w:val="0"/>
                <w:numId w:val="13"/>
              </w:numPr>
              <w:tabs>
                <w:tab w:val="left" w:pos="345"/>
              </w:tabs>
              <w:spacing w:after="120"/>
              <w:ind w:left="346" w:hanging="142"/>
              <w:contextualSpacing w:val="0"/>
              <w:jc w:val="both"/>
              <w:rPr>
                <w:rFonts w:ascii="Times New Roman" w:hAnsi="Times New Roman" w:cs="Times New Roman"/>
                <w:bCs/>
                <w:iCs/>
                <w:snapToGrid w:val="0"/>
                <w:sz w:val="20"/>
                <w:szCs w:val="20"/>
              </w:rPr>
            </w:pPr>
            <w:r w:rsidRPr="00086ECB">
              <w:rPr>
                <w:rFonts w:ascii="Times New Roman" w:hAnsi="Times New Roman" w:cs="Times New Roman"/>
                <w:sz w:val="20"/>
                <w:szCs w:val="20"/>
              </w:rPr>
              <w:t xml:space="preserve">да осигури и гарантира възможност </w:t>
            </w:r>
            <w:r>
              <w:rPr>
                <w:rFonts w:ascii="Times New Roman" w:hAnsi="Times New Roman" w:cs="Times New Roman"/>
                <w:sz w:val="20"/>
                <w:szCs w:val="20"/>
              </w:rPr>
              <w:t>разработения по проекта софтуер да се</w:t>
            </w:r>
            <w:r w:rsidRPr="00086ECB">
              <w:rPr>
                <w:rFonts w:ascii="Times New Roman" w:hAnsi="Times New Roman" w:cs="Times New Roman"/>
                <w:sz w:val="20"/>
                <w:szCs w:val="20"/>
              </w:rPr>
              <w:t xml:space="preserve"> използва и адаптира за нуждите на други държавни органи и администрации;</w:t>
            </w:r>
          </w:p>
          <w:p w14:paraId="605922CC" w14:textId="01CE8CED" w:rsidR="00D260B4" w:rsidRPr="00B1304F" w:rsidRDefault="00C448AB" w:rsidP="00B1304F">
            <w:pPr>
              <w:pStyle w:val="ListParagraph"/>
              <w:numPr>
                <w:ilvl w:val="0"/>
                <w:numId w:val="13"/>
              </w:numPr>
              <w:tabs>
                <w:tab w:val="left" w:pos="345"/>
              </w:tabs>
              <w:spacing w:after="120"/>
              <w:ind w:left="346" w:hanging="142"/>
              <w:contextualSpacing w:val="0"/>
              <w:jc w:val="both"/>
              <w:rPr>
                <w:rFonts w:ascii="Times New Roman" w:hAnsi="Times New Roman" w:cs="Times New Roman"/>
                <w:bCs/>
                <w:iCs/>
                <w:snapToGrid w:val="0"/>
                <w:sz w:val="20"/>
                <w:szCs w:val="20"/>
              </w:rPr>
            </w:pPr>
            <w:r w:rsidRPr="00086ECB">
              <w:rPr>
                <w:rFonts w:ascii="Times New Roman" w:hAnsi="Times New Roman" w:cs="Times New Roman"/>
                <w:sz w:val="20"/>
                <w:szCs w:val="20"/>
              </w:rPr>
              <w:t>да предоставя безвъзмездно разработения по проекта софтуер на други държавни органи и администрации при поискване от тяхна страна, за ползване на продукта и адаптиране към техните нужди при необходимост.</w:t>
            </w:r>
          </w:p>
          <w:p w14:paraId="09BE92E3" w14:textId="6663E898" w:rsidR="00624DC5" w:rsidRPr="00B1304F" w:rsidRDefault="00386E8E" w:rsidP="000C17AE">
            <w:pPr>
              <w:spacing w:after="120"/>
              <w:jc w:val="both"/>
              <w:outlineLvl w:val="0"/>
              <w:rPr>
                <w:rFonts w:ascii="Times New Roman" w:hAnsi="Times New Roman" w:cs="Times New Roman"/>
                <w:sz w:val="20"/>
                <w:szCs w:val="20"/>
              </w:rPr>
            </w:pPr>
            <w:r w:rsidRPr="00B1304F">
              <w:rPr>
                <w:rFonts w:ascii="Times New Roman" w:hAnsi="Times New Roman" w:cs="Times New Roman"/>
                <w:sz w:val="20"/>
                <w:szCs w:val="20"/>
              </w:rPr>
              <w:t>В допълнение в Критериите за подбор на операции е включено изискване п</w:t>
            </w:r>
            <w:r w:rsidRPr="00B1304F">
              <w:rPr>
                <w:rFonts w:ascii="Times New Roman" w:hAnsi="Times New Roman" w:cs="Times New Roman"/>
                <w:bCs/>
                <w:sz w:val="20"/>
                <w:szCs w:val="20"/>
              </w:rPr>
              <w:t xml:space="preserve">роектът задължително се изпълнява при спазване на </w:t>
            </w:r>
            <w:bookmarkStart w:id="0" w:name="_GoBack"/>
            <w:r w:rsidR="00B1304F" w:rsidRPr="00B1304F">
              <w:rPr>
                <w:rFonts w:ascii="Times New Roman" w:hAnsi="Times New Roman" w:cs="Times New Roman"/>
                <w:b/>
                <w:i/>
                <w:sz w:val="20"/>
                <w:szCs w:val="20"/>
              </w:rPr>
              <w:fldChar w:fldCharType="begin"/>
            </w:r>
            <w:r w:rsidR="00B1304F" w:rsidRPr="00B1304F">
              <w:rPr>
                <w:rFonts w:ascii="Times New Roman" w:hAnsi="Times New Roman" w:cs="Times New Roman"/>
                <w:b/>
                <w:i/>
                <w:sz w:val="20"/>
                <w:szCs w:val="20"/>
                <w:lang w:val="ru-RU"/>
              </w:rPr>
              <w:instrText xml:space="preserve"> </w:instrText>
            </w:r>
            <w:r w:rsidR="00B1304F" w:rsidRPr="00B1304F">
              <w:rPr>
                <w:rFonts w:ascii="Times New Roman" w:hAnsi="Times New Roman" w:cs="Times New Roman"/>
                <w:b/>
                <w:i/>
                <w:sz w:val="20"/>
                <w:szCs w:val="20"/>
              </w:rPr>
              <w:instrText>HYPERLINK</w:instrText>
            </w:r>
            <w:r w:rsidR="00B1304F" w:rsidRPr="00B1304F">
              <w:rPr>
                <w:rFonts w:ascii="Times New Roman" w:hAnsi="Times New Roman" w:cs="Times New Roman"/>
                <w:b/>
                <w:i/>
                <w:sz w:val="20"/>
                <w:szCs w:val="20"/>
                <w:lang w:val="ru-RU"/>
              </w:rPr>
              <w:instrText xml:space="preserve"> "</w:instrText>
            </w:r>
            <w:r w:rsidR="00B1304F" w:rsidRPr="00B1304F">
              <w:rPr>
                <w:rFonts w:ascii="Times New Roman" w:hAnsi="Times New Roman" w:cs="Times New Roman"/>
                <w:b/>
                <w:i/>
                <w:sz w:val="20"/>
                <w:szCs w:val="20"/>
              </w:rPr>
              <w:instrText>https</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www</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eufunds</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bg</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sites</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default</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files</w:instrText>
            </w:r>
            <w:r w:rsidR="00B1304F" w:rsidRPr="00B1304F">
              <w:rPr>
                <w:rFonts w:ascii="Times New Roman" w:hAnsi="Times New Roman" w:cs="Times New Roman"/>
                <w:b/>
                <w:i/>
                <w:sz w:val="20"/>
                <w:szCs w:val="20"/>
                <w:lang w:val="ru-RU"/>
              </w:rPr>
              <w:instrText>/2018-11/_%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0%9</w:instrText>
            </w:r>
            <w:r w:rsidR="00B1304F" w:rsidRPr="00B1304F">
              <w:rPr>
                <w:rFonts w:ascii="Times New Roman" w:hAnsi="Times New Roman" w:cs="Times New Roman"/>
                <w:b/>
                <w:i/>
                <w:sz w:val="20"/>
                <w:szCs w:val="20"/>
              </w:rPr>
              <w:instrText>F</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1%80%</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5%</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4%</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2%</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1%80%</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8%</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1%82%</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5%</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BB</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BD</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8_%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1%83%</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1%81%</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BB</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BE</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2%</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8%</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w:instrText>
            </w:r>
            <w:r w:rsidR="00B1304F" w:rsidRPr="00B1304F">
              <w:rPr>
                <w:rFonts w:ascii="Times New Roman" w:hAnsi="Times New Roman" w:cs="Times New Roman"/>
                <w:b/>
                <w:i/>
                <w:sz w:val="20"/>
                <w:szCs w:val="20"/>
              </w:rPr>
              <w:instrText>F</w:instrText>
            </w:r>
            <w:r w:rsidR="00B1304F" w:rsidRPr="00B1304F">
              <w:rPr>
                <w:rFonts w:ascii="Times New Roman" w:hAnsi="Times New Roman" w:cs="Times New Roman"/>
                <w:b/>
                <w:i/>
                <w:sz w:val="20"/>
                <w:szCs w:val="20"/>
                <w:lang w:val="ru-RU"/>
              </w:rPr>
              <w:instrText>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7%</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0_%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4%</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BE</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BF</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1%83%</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1%81%</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1%82%</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8%</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BC</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BE</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1%81%</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1%82_%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BD</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0_%</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BF</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1%80%</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BE</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5%</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BA</w:instrText>
            </w:r>
            <w:r w:rsidR="00B1304F" w:rsidRPr="00B1304F">
              <w:rPr>
                <w:rFonts w:ascii="Times New Roman" w:hAnsi="Times New Roman" w:cs="Times New Roman"/>
                <w:b/>
                <w:i/>
                <w:sz w:val="20"/>
                <w:szCs w:val="20"/>
                <w:lang w:val="ru-RU"/>
              </w:rPr>
              <w:instrText>%</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1%82%</w:instrText>
            </w:r>
            <w:r w:rsidR="00B1304F" w:rsidRPr="00B1304F">
              <w:rPr>
                <w:rFonts w:ascii="Times New Roman" w:hAnsi="Times New Roman" w:cs="Times New Roman"/>
                <w:b/>
                <w:i/>
                <w:sz w:val="20"/>
                <w:szCs w:val="20"/>
              </w:rPr>
              <w:instrText>D</w:instrText>
            </w:r>
            <w:r w:rsidR="00B1304F" w:rsidRPr="00B1304F">
              <w:rPr>
                <w:rFonts w:ascii="Times New Roman" w:hAnsi="Times New Roman" w:cs="Times New Roman"/>
                <w:b/>
                <w:i/>
                <w:sz w:val="20"/>
                <w:szCs w:val="20"/>
                <w:lang w:val="ru-RU"/>
              </w:rPr>
              <w:instrText>0%</w:instrText>
            </w:r>
            <w:r w:rsidR="00B1304F" w:rsidRPr="00B1304F">
              <w:rPr>
                <w:rFonts w:ascii="Times New Roman" w:hAnsi="Times New Roman" w:cs="Times New Roman"/>
                <w:b/>
                <w:i/>
                <w:sz w:val="20"/>
                <w:szCs w:val="20"/>
              </w:rPr>
              <w:instrText>B</w:instrText>
            </w:r>
            <w:r w:rsidR="00B1304F" w:rsidRPr="00B1304F">
              <w:rPr>
                <w:rFonts w:ascii="Times New Roman" w:hAnsi="Times New Roman" w:cs="Times New Roman"/>
                <w:b/>
                <w:i/>
                <w:sz w:val="20"/>
                <w:szCs w:val="20"/>
                <w:lang w:val="ru-RU"/>
              </w:rPr>
              <w:instrText>8.</w:instrText>
            </w:r>
            <w:r w:rsidR="00B1304F" w:rsidRPr="00B1304F">
              <w:rPr>
                <w:rFonts w:ascii="Times New Roman" w:hAnsi="Times New Roman" w:cs="Times New Roman"/>
                <w:b/>
                <w:i/>
                <w:sz w:val="20"/>
                <w:szCs w:val="20"/>
              </w:rPr>
              <w:instrText>pdf</w:instrText>
            </w:r>
            <w:r w:rsidR="00B1304F" w:rsidRPr="00B1304F">
              <w:rPr>
                <w:rFonts w:ascii="Times New Roman" w:hAnsi="Times New Roman" w:cs="Times New Roman"/>
                <w:b/>
                <w:i/>
                <w:sz w:val="20"/>
                <w:szCs w:val="20"/>
                <w:lang w:val="ru-RU"/>
              </w:rPr>
              <w:instrText>_.</w:instrText>
            </w:r>
            <w:r w:rsidR="00B1304F" w:rsidRPr="00B1304F">
              <w:rPr>
                <w:rFonts w:ascii="Times New Roman" w:hAnsi="Times New Roman" w:cs="Times New Roman"/>
                <w:b/>
                <w:i/>
                <w:sz w:val="20"/>
                <w:szCs w:val="20"/>
              </w:rPr>
              <w:instrText>pdf</w:instrText>
            </w:r>
            <w:r w:rsidR="00B1304F" w:rsidRPr="00B1304F">
              <w:rPr>
                <w:rFonts w:ascii="Times New Roman" w:hAnsi="Times New Roman" w:cs="Times New Roman"/>
                <w:b/>
                <w:i/>
                <w:sz w:val="20"/>
                <w:szCs w:val="20"/>
                <w:lang w:val="ru-RU"/>
              </w:rPr>
              <w:instrText xml:space="preserve">" </w:instrText>
            </w:r>
            <w:r w:rsidR="00B1304F" w:rsidRPr="00B1304F">
              <w:rPr>
                <w:rFonts w:ascii="Times New Roman" w:hAnsi="Times New Roman" w:cs="Times New Roman"/>
                <w:b/>
                <w:i/>
                <w:sz w:val="20"/>
                <w:szCs w:val="20"/>
              </w:rPr>
              <w:fldChar w:fldCharType="separate"/>
            </w:r>
            <w:r w:rsidR="00B1304F" w:rsidRPr="00B1304F">
              <w:rPr>
                <w:rStyle w:val="Hyperlink"/>
                <w:rFonts w:ascii="Times New Roman" w:hAnsi="Times New Roman" w:cs="Times New Roman"/>
                <w:b/>
                <w:i/>
                <w:sz w:val="20"/>
                <w:szCs w:val="20"/>
              </w:rPr>
              <w:t>П</w:t>
            </w:r>
            <w:r w:rsidR="00B1304F" w:rsidRPr="00B1304F">
              <w:rPr>
                <w:rStyle w:val="Hyperlink"/>
                <w:rFonts w:ascii="Times New Roman" w:hAnsi="Times New Roman" w:cs="Times New Roman"/>
                <w:b/>
                <w:i/>
                <w:sz w:val="20"/>
                <w:szCs w:val="20"/>
              </w:rPr>
              <w:t>редварителни условия за допустимост на проекти за е-</w:t>
            </w:r>
            <w:r w:rsidR="00B1304F" w:rsidRPr="00B1304F">
              <w:rPr>
                <w:rStyle w:val="Hyperlink"/>
                <w:rFonts w:ascii="Times New Roman" w:hAnsi="Times New Roman" w:cs="Times New Roman"/>
                <w:b/>
                <w:i/>
                <w:sz w:val="20"/>
                <w:szCs w:val="20"/>
              </w:rPr>
              <w:lastRenderedPageBreak/>
              <w:t>управление по ОПДУ</w:t>
            </w:r>
            <w:r w:rsidR="00B1304F" w:rsidRPr="00B1304F">
              <w:rPr>
                <w:rFonts w:ascii="Times New Roman" w:hAnsi="Times New Roman" w:cs="Times New Roman"/>
                <w:b/>
                <w:i/>
                <w:sz w:val="20"/>
                <w:szCs w:val="20"/>
              </w:rPr>
              <w:fldChar w:fldCharType="end"/>
            </w:r>
            <w:bookmarkEnd w:id="0"/>
            <w:r w:rsidRPr="00B1304F">
              <w:rPr>
                <w:rFonts w:ascii="Times New Roman" w:hAnsi="Times New Roman" w:cs="Times New Roman"/>
                <w:bCs/>
                <w:sz w:val="20"/>
                <w:szCs w:val="20"/>
              </w:rPr>
              <w:t>, които ще бъдат част от Насоките за кандидатстване.</w:t>
            </w:r>
          </w:p>
          <w:p w14:paraId="6F15C3F6" w14:textId="25855BA5" w:rsidR="005412D0" w:rsidRPr="005D7967" w:rsidRDefault="005412D0" w:rsidP="000C17AE">
            <w:pPr>
              <w:spacing w:after="120"/>
              <w:jc w:val="both"/>
              <w:outlineLvl w:val="0"/>
              <w:rPr>
                <w:rFonts w:ascii="Times New Roman" w:hAnsi="Times New Roman" w:cs="Times New Roman"/>
                <w:b/>
                <w:i/>
                <w:sz w:val="20"/>
                <w:szCs w:val="20"/>
                <w:lang w:val="ru-RU"/>
              </w:rPr>
            </w:pPr>
          </w:p>
        </w:tc>
      </w:tr>
      <w:tr w:rsidR="00624DC5" w:rsidRPr="00652EBD" w14:paraId="6A249A50" w14:textId="77777777" w:rsidTr="00086ECB">
        <w:tc>
          <w:tcPr>
            <w:tcW w:w="578" w:type="dxa"/>
            <w:vAlign w:val="center"/>
          </w:tcPr>
          <w:p w14:paraId="2754EB39" w14:textId="77777777" w:rsidR="00624DC5" w:rsidRPr="00624DC5" w:rsidRDefault="00624DC5" w:rsidP="005412D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365" w:type="dxa"/>
            <w:vAlign w:val="center"/>
          </w:tcPr>
          <w:p w14:paraId="7FD0A2A6" w14:textId="6961E9D2" w:rsidR="00624DC5" w:rsidRPr="00086ECB" w:rsidRDefault="003E12AD" w:rsidP="00433D42">
            <w:pPr>
              <w:spacing w:after="120"/>
              <w:rPr>
                <w:rFonts w:ascii="Times New Roman" w:hAnsi="Times New Roman" w:cs="Times New Roman"/>
                <w:i/>
              </w:rPr>
            </w:pPr>
            <w:r w:rsidRPr="00086ECB">
              <w:rPr>
                <w:rFonts w:ascii="Times New Roman" w:hAnsi="Times New Roman" w:cs="Times New Roman"/>
                <w:i/>
                <w:lang w:eastAsia="bg-BG"/>
              </w:rPr>
              <w:t xml:space="preserve">Становище от ГД </w:t>
            </w:r>
            <w:r w:rsidR="00433D42" w:rsidRPr="00086ECB">
              <w:rPr>
                <w:rFonts w:ascii="Times New Roman" w:hAnsi="Times New Roman" w:cs="Times New Roman"/>
                <w:bCs/>
                <w:i/>
                <w:iCs/>
              </w:rPr>
              <w:t>„Трудова заетост, социални въпроси и приобщаване” на Европейската комисия</w:t>
            </w:r>
            <w:r w:rsidR="00433D42" w:rsidRPr="00086ECB">
              <w:rPr>
                <w:rStyle w:val="FootnoteReference"/>
                <w:rFonts w:ascii="Times New Roman" w:hAnsi="Times New Roman" w:cs="Times New Roman"/>
                <w:bCs/>
                <w:i/>
                <w:iCs/>
              </w:rPr>
              <w:footnoteReference w:id="1"/>
            </w:r>
          </w:p>
        </w:tc>
        <w:tc>
          <w:tcPr>
            <w:tcW w:w="7258" w:type="dxa"/>
            <w:vAlign w:val="center"/>
          </w:tcPr>
          <w:p w14:paraId="606675E6" w14:textId="3B6B97E5" w:rsidR="00CD4DC7" w:rsidRPr="00086ECB" w:rsidRDefault="00D42C82" w:rsidP="002C6055">
            <w:pPr>
              <w:numPr>
                <w:ilvl w:val="0"/>
                <w:numId w:val="6"/>
              </w:numPr>
              <w:jc w:val="both"/>
              <w:rPr>
                <w:rFonts w:ascii="Times New Roman" w:eastAsia="Times New Roman" w:hAnsi="Times New Roman" w:cs="Times New Roman"/>
              </w:rPr>
            </w:pPr>
            <w:r w:rsidRPr="00086ECB">
              <w:rPr>
                <w:rFonts w:ascii="Times New Roman" w:eastAsia="Times New Roman" w:hAnsi="Times New Roman" w:cs="Times New Roman"/>
              </w:rPr>
              <w:t xml:space="preserve">Оценяваме </w:t>
            </w:r>
            <w:r w:rsidR="002C6055" w:rsidRPr="00086ECB">
              <w:rPr>
                <w:rFonts w:ascii="Times New Roman" w:eastAsia="Times New Roman" w:hAnsi="Times New Roman" w:cs="Times New Roman"/>
              </w:rPr>
              <w:t>факта, че УО предостави детайлна</w:t>
            </w:r>
            <w:r w:rsidR="00CD4DC7" w:rsidRPr="00086ECB">
              <w:rPr>
                <w:rFonts w:ascii="Times New Roman" w:eastAsia="Times New Roman" w:hAnsi="Times New Roman" w:cs="Times New Roman"/>
              </w:rPr>
              <w:t xml:space="preserve"> информация </w:t>
            </w:r>
            <w:r w:rsidR="002C6055" w:rsidRPr="00086ECB">
              <w:rPr>
                <w:rFonts w:ascii="Times New Roman" w:eastAsia="Times New Roman" w:hAnsi="Times New Roman" w:cs="Times New Roman"/>
              </w:rPr>
              <w:t>във връзка с предлаганите мерки, в т.ч.  финансова обосновка;</w:t>
            </w:r>
          </w:p>
          <w:p w14:paraId="225047EB" w14:textId="6880D442" w:rsidR="002C6055" w:rsidRPr="00086ECB" w:rsidRDefault="002C6055" w:rsidP="002C6055">
            <w:pPr>
              <w:numPr>
                <w:ilvl w:val="0"/>
                <w:numId w:val="6"/>
              </w:numPr>
              <w:jc w:val="both"/>
              <w:rPr>
                <w:rFonts w:ascii="Times New Roman" w:hAnsi="Times New Roman" w:cs="Times New Roman"/>
              </w:rPr>
            </w:pPr>
            <w:r w:rsidRPr="00086ECB">
              <w:rPr>
                <w:rFonts w:ascii="Times New Roman" w:hAnsi="Times New Roman" w:cs="Times New Roman"/>
              </w:rPr>
              <w:t xml:space="preserve">Препоръчваме да се въведат конкретни индикатори за резултатите от операцията </w:t>
            </w:r>
            <w:r w:rsidR="00AE775D" w:rsidRPr="00086ECB">
              <w:rPr>
                <w:rFonts w:ascii="Times New Roman" w:hAnsi="Times New Roman" w:cs="Times New Roman"/>
              </w:rPr>
              <w:t>–</w:t>
            </w:r>
            <w:r w:rsidRPr="00086ECB">
              <w:rPr>
                <w:rFonts w:ascii="Times New Roman" w:hAnsi="Times New Roman" w:cs="Times New Roman"/>
              </w:rPr>
              <w:t xml:space="preserve"> например лица в съдебната система, използващи инструмента V2T, който вече е </w:t>
            </w:r>
            <w:r w:rsidR="00D42C82" w:rsidRPr="00086ECB">
              <w:rPr>
                <w:rFonts w:ascii="Times New Roman" w:hAnsi="Times New Roman" w:cs="Times New Roman"/>
              </w:rPr>
              <w:t>остойностен</w:t>
            </w:r>
            <w:r w:rsidRPr="00086ECB">
              <w:rPr>
                <w:rFonts w:ascii="Times New Roman" w:hAnsi="Times New Roman" w:cs="Times New Roman"/>
              </w:rPr>
              <w:t xml:space="preserve"> в обосновката и официалната кореспонденция </w:t>
            </w:r>
            <w:r w:rsidR="00AE775D" w:rsidRPr="00086ECB">
              <w:rPr>
                <w:rFonts w:ascii="Times New Roman" w:hAnsi="Times New Roman" w:cs="Times New Roman"/>
              </w:rPr>
              <w:t>–</w:t>
            </w:r>
            <w:r w:rsidRPr="00086ECB">
              <w:rPr>
                <w:rFonts w:ascii="Times New Roman" w:hAnsi="Times New Roman" w:cs="Times New Roman"/>
              </w:rPr>
              <w:t xml:space="preserve"> 4114 от 6289 потенциални потребители в съдебната система. Също така е препоръчително да се въведе индикатор за това как този инструмент ще съкрати продължителността на някои процеси в съдебната система, както и да се поставят </w:t>
            </w:r>
            <w:r w:rsidR="00D42C82" w:rsidRPr="00086ECB">
              <w:rPr>
                <w:rFonts w:ascii="Times New Roman" w:hAnsi="Times New Roman" w:cs="Times New Roman"/>
              </w:rPr>
              <w:t>целеви стойности</w:t>
            </w:r>
            <w:r w:rsidRPr="00086ECB">
              <w:rPr>
                <w:rFonts w:ascii="Times New Roman" w:hAnsi="Times New Roman" w:cs="Times New Roman"/>
              </w:rPr>
              <w:t xml:space="preserve"> за </w:t>
            </w:r>
            <w:r w:rsidR="00D42C82" w:rsidRPr="00086ECB">
              <w:rPr>
                <w:rFonts w:ascii="Times New Roman" w:hAnsi="Times New Roman" w:cs="Times New Roman"/>
              </w:rPr>
              <w:t>включените</w:t>
            </w:r>
            <w:r w:rsidRPr="00086ECB">
              <w:rPr>
                <w:rFonts w:ascii="Times New Roman" w:hAnsi="Times New Roman" w:cs="Times New Roman"/>
              </w:rPr>
              <w:t xml:space="preserve"> индикатори за продукт и за резултат.</w:t>
            </w:r>
          </w:p>
          <w:p w14:paraId="4A19D118" w14:textId="77777777" w:rsidR="002C6055" w:rsidRPr="00086ECB" w:rsidRDefault="002C6055" w:rsidP="002C6055">
            <w:pPr>
              <w:numPr>
                <w:ilvl w:val="0"/>
                <w:numId w:val="6"/>
              </w:numPr>
              <w:jc w:val="both"/>
              <w:rPr>
                <w:rFonts w:ascii="Times New Roman" w:hAnsi="Times New Roman" w:cs="Times New Roman"/>
              </w:rPr>
            </w:pPr>
            <w:r w:rsidRPr="00086ECB">
              <w:rPr>
                <w:rFonts w:ascii="Times New Roman" w:hAnsi="Times New Roman" w:cs="Times New Roman"/>
              </w:rPr>
              <w:t>В обосновката се споменава, че веднъж разработеният V2T инструмент / продукт може лесно да се използва във всички държавни и общински институции / администрации. Какви последващи действия са предвидени, за да бъде въведен V2T към други администрации? Реакциите на Комитета за наблюдение и по време на писмената процедура ясно показват интерес от страна на други администрации. Има ли друга планирана мярка, която предвижда въвеждането на инструмента в други администрации? Как ще бъде осигурена адаптивността с други администрации?</w:t>
            </w:r>
          </w:p>
          <w:p w14:paraId="0E183CEF" w14:textId="77777777" w:rsidR="00624DC5" w:rsidRPr="00086ECB" w:rsidRDefault="00CD4DC7" w:rsidP="002C6055">
            <w:pPr>
              <w:numPr>
                <w:ilvl w:val="0"/>
                <w:numId w:val="6"/>
              </w:numPr>
              <w:jc w:val="both"/>
              <w:rPr>
                <w:rFonts w:ascii="Times New Roman" w:hAnsi="Times New Roman" w:cs="Times New Roman"/>
              </w:rPr>
            </w:pPr>
            <w:r w:rsidRPr="00086ECB">
              <w:rPr>
                <w:rFonts w:ascii="Times New Roman" w:hAnsi="Times New Roman" w:cs="Times New Roman"/>
              </w:rPr>
              <w:t>Тъй като предложеният бюджет беше оптимизиран (някои дейности и елементи бяха премахнати), първоначалната стойност остана. Отговорност на Управляващия орган е правилно да оцени приложимостта на бюджета и да следи, че доброто финансово управление е гарантирано по време на подбора и изпълнението.</w:t>
            </w:r>
          </w:p>
        </w:tc>
        <w:tc>
          <w:tcPr>
            <w:tcW w:w="4536" w:type="dxa"/>
            <w:vAlign w:val="center"/>
          </w:tcPr>
          <w:p w14:paraId="5A5DF9E0" w14:textId="77777777" w:rsidR="00D42C82" w:rsidRPr="00086ECB" w:rsidRDefault="00D42C82" w:rsidP="00D42C82">
            <w:pPr>
              <w:pBdr>
                <w:top w:val="nil"/>
                <w:left w:val="nil"/>
                <w:bottom w:val="nil"/>
                <w:right w:val="nil"/>
                <w:between w:val="nil"/>
                <w:bar w:val="nil"/>
              </w:pBdr>
              <w:tabs>
                <w:tab w:val="left" w:pos="345"/>
              </w:tabs>
              <w:spacing w:after="120"/>
              <w:jc w:val="both"/>
              <w:rPr>
                <w:rFonts w:ascii="Times New Roman" w:hAnsi="Times New Roman" w:cs="Times New Roman"/>
                <w:b/>
                <w:i/>
                <w:sz w:val="20"/>
                <w:szCs w:val="20"/>
              </w:rPr>
            </w:pPr>
            <w:r w:rsidRPr="00086ECB">
              <w:rPr>
                <w:rFonts w:ascii="Times New Roman" w:hAnsi="Times New Roman" w:cs="Times New Roman"/>
                <w:b/>
                <w:i/>
                <w:sz w:val="20"/>
                <w:szCs w:val="20"/>
              </w:rPr>
              <w:t>Всички препоръки и предложения се приемат по принцип:</w:t>
            </w:r>
          </w:p>
          <w:p w14:paraId="44D8E0D1" w14:textId="61A4120C" w:rsidR="00026A05" w:rsidRPr="00B1304F" w:rsidRDefault="00AE775D" w:rsidP="00386E8E">
            <w:pPr>
              <w:pStyle w:val="ListParagraph"/>
              <w:numPr>
                <w:ilvl w:val="0"/>
                <w:numId w:val="9"/>
              </w:numPr>
              <w:pBdr>
                <w:top w:val="nil"/>
                <w:left w:val="nil"/>
                <w:bottom w:val="nil"/>
                <w:right w:val="nil"/>
                <w:between w:val="nil"/>
                <w:bar w:val="nil"/>
              </w:pBdr>
              <w:tabs>
                <w:tab w:val="left" w:pos="345"/>
              </w:tabs>
              <w:spacing w:after="120"/>
              <w:ind w:left="204" w:hanging="204"/>
              <w:contextualSpacing w:val="0"/>
              <w:jc w:val="both"/>
              <w:rPr>
                <w:rFonts w:ascii="Times New Roman" w:hAnsi="Times New Roman" w:cs="Times New Roman"/>
                <w:sz w:val="20"/>
                <w:szCs w:val="20"/>
              </w:rPr>
            </w:pPr>
            <w:r w:rsidRPr="00086ECB">
              <w:rPr>
                <w:rFonts w:ascii="Times New Roman" w:hAnsi="Times New Roman" w:cs="Times New Roman"/>
                <w:sz w:val="20"/>
                <w:szCs w:val="20"/>
              </w:rPr>
              <w:t xml:space="preserve">В критериите за подбор на операции е </w:t>
            </w:r>
            <w:r w:rsidR="00D42C82" w:rsidRPr="00086ECB">
              <w:rPr>
                <w:rFonts w:ascii="Times New Roman" w:hAnsi="Times New Roman" w:cs="Times New Roman"/>
                <w:sz w:val="20"/>
                <w:szCs w:val="20"/>
              </w:rPr>
              <w:t>добавен</w:t>
            </w:r>
            <w:r w:rsidR="00086ECB" w:rsidRPr="00086ECB">
              <w:rPr>
                <w:rFonts w:ascii="Times New Roman" w:hAnsi="Times New Roman" w:cs="Times New Roman"/>
                <w:sz w:val="20"/>
                <w:szCs w:val="20"/>
              </w:rPr>
              <w:t xml:space="preserve"> </w:t>
            </w:r>
            <w:r w:rsidRPr="00086ECB">
              <w:rPr>
                <w:rFonts w:ascii="Times New Roman" w:hAnsi="Times New Roman" w:cs="Times New Roman"/>
                <w:sz w:val="20"/>
                <w:szCs w:val="20"/>
              </w:rPr>
              <w:t>следният специфичен за процедурата индикатор: „</w:t>
            </w:r>
            <w:r w:rsidR="00086ECB" w:rsidRPr="00086ECB">
              <w:rPr>
                <w:rFonts w:ascii="Times New Roman" w:hAnsi="Times New Roman" w:cs="Times New Roman"/>
                <w:sz w:val="20"/>
                <w:szCs w:val="20"/>
              </w:rPr>
              <w:t>Брой</w:t>
            </w:r>
            <w:r w:rsidRPr="00086ECB">
              <w:rPr>
                <w:rFonts w:ascii="Times New Roman" w:hAnsi="Times New Roman" w:cs="Times New Roman"/>
                <w:sz w:val="20"/>
                <w:szCs w:val="20"/>
              </w:rPr>
              <w:t xml:space="preserve"> потребители (магистрати и съдебни служители), използващи софтуера за ускорено създаване и възпроизвеждане на актове и други документи чрез диктовка и автоматично конвертиране на гласов запис в текст (voice-to-text) в края на проекта</w:t>
            </w:r>
            <w:r w:rsidR="00026A05" w:rsidRPr="00086ECB">
              <w:rPr>
                <w:rFonts w:ascii="Times New Roman" w:hAnsi="Times New Roman" w:cs="Times New Roman"/>
                <w:sz w:val="20"/>
                <w:szCs w:val="20"/>
              </w:rPr>
              <w:t>“</w:t>
            </w:r>
            <w:r w:rsidR="00086ECB" w:rsidRPr="00086ECB">
              <w:rPr>
                <w:rFonts w:ascii="Times New Roman" w:hAnsi="Times New Roman" w:cs="Times New Roman"/>
                <w:sz w:val="20"/>
                <w:szCs w:val="20"/>
              </w:rPr>
              <w:t xml:space="preserve">. </w:t>
            </w:r>
            <w:r w:rsidR="00386E8E">
              <w:rPr>
                <w:rFonts w:ascii="Times New Roman" w:hAnsi="Times New Roman" w:cs="Times New Roman"/>
                <w:sz w:val="20"/>
                <w:szCs w:val="20"/>
              </w:rPr>
              <w:t xml:space="preserve">На база на предварителен анализ, направен от ВСС </w:t>
            </w:r>
            <w:r w:rsidR="00026A05" w:rsidRPr="00086ECB">
              <w:rPr>
                <w:rFonts w:ascii="Times New Roman" w:hAnsi="Times New Roman" w:cs="Times New Roman"/>
                <w:sz w:val="20"/>
                <w:szCs w:val="20"/>
              </w:rPr>
              <w:t>в Насоките за кандидатстване по процедурата</w:t>
            </w:r>
            <w:r w:rsidR="00386E8E">
              <w:rPr>
                <w:rFonts w:ascii="Times New Roman" w:hAnsi="Times New Roman" w:cs="Times New Roman"/>
                <w:sz w:val="20"/>
                <w:szCs w:val="20"/>
              </w:rPr>
              <w:t xml:space="preserve"> ще бъде определена м</w:t>
            </w:r>
            <w:r w:rsidR="00386E8E" w:rsidRPr="00086ECB">
              <w:rPr>
                <w:rFonts w:ascii="Times New Roman" w:hAnsi="Times New Roman" w:cs="Times New Roman"/>
                <w:sz w:val="20"/>
                <w:szCs w:val="20"/>
              </w:rPr>
              <w:t>инималната целева стойност</w:t>
            </w:r>
            <w:r w:rsidR="00386E8E">
              <w:rPr>
                <w:rFonts w:ascii="Times New Roman" w:hAnsi="Times New Roman" w:cs="Times New Roman"/>
                <w:sz w:val="20"/>
                <w:szCs w:val="20"/>
              </w:rPr>
              <w:t xml:space="preserve"> </w:t>
            </w:r>
            <w:r w:rsidR="00386E8E" w:rsidRPr="00086ECB">
              <w:rPr>
                <w:rFonts w:ascii="Times New Roman" w:hAnsi="Times New Roman" w:cs="Times New Roman"/>
                <w:sz w:val="20"/>
                <w:szCs w:val="20"/>
              </w:rPr>
              <w:t xml:space="preserve">на този индикатор </w:t>
            </w:r>
            <w:r w:rsidR="00386E8E">
              <w:rPr>
                <w:rFonts w:ascii="Times New Roman" w:hAnsi="Times New Roman" w:cs="Times New Roman"/>
                <w:sz w:val="20"/>
                <w:szCs w:val="20"/>
              </w:rPr>
              <w:t xml:space="preserve">– </w:t>
            </w:r>
            <w:r w:rsidR="00386E8E" w:rsidRPr="00B1304F">
              <w:rPr>
                <w:rFonts w:ascii="Times New Roman" w:hAnsi="Times New Roman" w:cs="Times New Roman"/>
                <w:sz w:val="20"/>
                <w:szCs w:val="20"/>
              </w:rPr>
              <w:t>2147</w:t>
            </w:r>
            <w:r w:rsidR="00386E8E">
              <w:rPr>
                <w:rFonts w:ascii="Times New Roman" w:hAnsi="Times New Roman" w:cs="Times New Roman"/>
                <w:sz w:val="20"/>
                <w:szCs w:val="20"/>
              </w:rPr>
              <w:t xml:space="preserve">. </w:t>
            </w:r>
          </w:p>
          <w:p w14:paraId="6C66251B" w14:textId="77777777" w:rsidR="00CE2F91" w:rsidRPr="00086ECB" w:rsidRDefault="00026A05" w:rsidP="00D42C82">
            <w:pPr>
              <w:pStyle w:val="ListParagraph"/>
              <w:numPr>
                <w:ilvl w:val="0"/>
                <w:numId w:val="9"/>
              </w:numPr>
              <w:tabs>
                <w:tab w:val="left" w:pos="345"/>
              </w:tabs>
              <w:spacing w:after="120"/>
              <w:ind w:left="204" w:hanging="204"/>
              <w:contextualSpacing w:val="0"/>
              <w:jc w:val="both"/>
              <w:rPr>
                <w:rFonts w:ascii="Times New Roman" w:hAnsi="Times New Roman" w:cs="Times New Roman"/>
                <w:bCs/>
                <w:iCs/>
                <w:snapToGrid w:val="0"/>
                <w:sz w:val="20"/>
                <w:szCs w:val="20"/>
              </w:rPr>
            </w:pPr>
            <w:r w:rsidRPr="00086ECB">
              <w:rPr>
                <w:rFonts w:ascii="Times New Roman" w:hAnsi="Times New Roman" w:cs="Times New Roman"/>
                <w:sz w:val="20"/>
                <w:szCs w:val="20"/>
              </w:rPr>
              <w:t xml:space="preserve">В административния договор за предоставяне на безвъзмездна финансова помощ по процедурата, УО на ОПДУ ще предвиди </w:t>
            </w:r>
            <w:r w:rsidR="00CE2F91" w:rsidRPr="00086ECB">
              <w:rPr>
                <w:rFonts w:ascii="Times New Roman" w:hAnsi="Times New Roman" w:cs="Times New Roman"/>
                <w:sz w:val="20"/>
                <w:szCs w:val="20"/>
              </w:rPr>
              <w:t xml:space="preserve">следните </w:t>
            </w:r>
            <w:r w:rsidRPr="00086ECB">
              <w:rPr>
                <w:rFonts w:ascii="Times New Roman" w:hAnsi="Times New Roman" w:cs="Times New Roman"/>
                <w:sz w:val="20"/>
                <w:szCs w:val="20"/>
              </w:rPr>
              <w:t>изисквания към бенефициента ВСС</w:t>
            </w:r>
            <w:r w:rsidR="00CE2F91" w:rsidRPr="00086ECB">
              <w:rPr>
                <w:rFonts w:ascii="Times New Roman" w:hAnsi="Times New Roman" w:cs="Times New Roman"/>
                <w:sz w:val="20"/>
                <w:szCs w:val="20"/>
              </w:rPr>
              <w:t>:</w:t>
            </w:r>
          </w:p>
          <w:p w14:paraId="11FB5750" w14:textId="73EC65CA" w:rsidR="00CE2F91" w:rsidRPr="00086ECB" w:rsidRDefault="00CE2F91" w:rsidP="00086ECB">
            <w:pPr>
              <w:pStyle w:val="ListParagraph"/>
              <w:numPr>
                <w:ilvl w:val="0"/>
                <w:numId w:val="13"/>
              </w:numPr>
              <w:tabs>
                <w:tab w:val="left" w:pos="345"/>
              </w:tabs>
              <w:spacing w:after="120"/>
              <w:ind w:left="346" w:hanging="142"/>
              <w:contextualSpacing w:val="0"/>
              <w:jc w:val="both"/>
              <w:rPr>
                <w:rFonts w:ascii="Times New Roman" w:hAnsi="Times New Roman" w:cs="Times New Roman"/>
                <w:bCs/>
                <w:iCs/>
                <w:snapToGrid w:val="0"/>
                <w:sz w:val="20"/>
                <w:szCs w:val="20"/>
              </w:rPr>
            </w:pPr>
            <w:r w:rsidRPr="00086ECB">
              <w:rPr>
                <w:rFonts w:ascii="Times New Roman" w:hAnsi="Times New Roman" w:cs="Times New Roman"/>
                <w:sz w:val="20"/>
                <w:szCs w:val="20"/>
              </w:rPr>
              <w:t>да осигури</w:t>
            </w:r>
            <w:r w:rsidR="00AE7A95" w:rsidRPr="00086ECB">
              <w:rPr>
                <w:rFonts w:ascii="Times New Roman" w:hAnsi="Times New Roman" w:cs="Times New Roman"/>
                <w:sz w:val="20"/>
                <w:szCs w:val="20"/>
              </w:rPr>
              <w:t xml:space="preserve"> и гарантира</w:t>
            </w:r>
            <w:r w:rsidRPr="00086ECB">
              <w:rPr>
                <w:rFonts w:ascii="Times New Roman" w:hAnsi="Times New Roman" w:cs="Times New Roman"/>
                <w:sz w:val="20"/>
                <w:szCs w:val="20"/>
              </w:rPr>
              <w:t xml:space="preserve"> възможност </w:t>
            </w:r>
            <w:r w:rsidR="00086ECB">
              <w:rPr>
                <w:rFonts w:ascii="Times New Roman" w:hAnsi="Times New Roman" w:cs="Times New Roman"/>
                <w:sz w:val="20"/>
                <w:szCs w:val="20"/>
              </w:rPr>
              <w:t>разработения по проекта софтуер да се</w:t>
            </w:r>
            <w:r w:rsidRPr="00086ECB">
              <w:rPr>
                <w:rFonts w:ascii="Times New Roman" w:hAnsi="Times New Roman" w:cs="Times New Roman"/>
                <w:sz w:val="20"/>
                <w:szCs w:val="20"/>
              </w:rPr>
              <w:t xml:space="preserve"> използва и адаптира за нуждите на други държавни органи и администрации;</w:t>
            </w:r>
          </w:p>
          <w:p w14:paraId="0D71C85D" w14:textId="57F4E30B" w:rsidR="00814E2E" w:rsidRPr="0019079A" w:rsidRDefault="00026A05" w:rsidP="00086ECB">
            <w:pPr>
              <w:pStyle w:val="ListParagraph"/>
              <w:numPr>
                <w:ilvl w:val="0"/>
                <w:numId w:val="13"/>
              </w:numPr>
              <w:tabs>
                <w:tab w:val="left" w:pos="345"/>
              </w:tabs>
              <w:spacing w:after="120"/>
              <w:ind w:left="346" w:hanging="142"/>
              <w:contextualSpacing w:val="0"/>
              <w:jc w:val="both"/>
              <w:rPr>
                <w:rFonts w:ascii="Times New Roman" w:hAnsi="Times New Roman" w:cs="Times New Roman"/>
                <w:bCs/>
                <w:iCs/>
                <w:snapToGrid w:val="0"/>
                <w:sz w:val="20"/>
                <w:szCs w:val="20"/>
              </w:rPr>
            </w:pPr>
            <w:r w:rsidRPr="00086ECB">
              <w:rPr>
                <w:rFonts w:ascii="Times New Roman" w:hAnsi="Times New Roman" w:cs="Times New Roman"/>
                <w:sz w:val="20"/>
                <w:szCs w:val="20"/>
              </w:rPr>
              <w:t>да предоставя безвъзмездно разработения по проекта софтуер на други държавни органи и администрации при поискване от тяхна страна, за ползване на продукта и адаптиране към техните нужди при необходимост</w:t>
            </w:r>
            <w:r w:rsidR="00814E2E" w:rsidRPr="00086ECB">
              <w:rPr>
                <w:rFonts w:ascii="Times New Roman" w:hAnsi="Times New Roman" w:cs="Times New Roman"/>
                <w:sz w:val="20"/>
                <w:szCs w:val="20"/>
              </w:rPr>
              <w:t>.</w:t>
            </w:r>
          </w:p>
          <w:p w14:paraId="6F613EDE" w14:textId="77777777" w:rsidR="00B1304F" w:rsidRPr="00B1304F" w:rsidRDefault="00B1304F" w:rsidP="00B1304F">
            <w:pPr>
              <w:spacing w:after="120"/>
              <w:jc w:val="both"/>
              <w:outlineLvl w:val="0"/>
              <w:rPr>
                <w:rFonts w:ascii="Times New Roman" w:hAnsi="Times New Roman" w:cs="Times New Roman"/>
                <w:sz w:val="20"/>
                <w:szCs w:val="20"/>
              </w:rPr>
            </w:pPr>
            <w:r w:rsidRPr="00B1304F">
              <w:rPr>
                <w:rFonts w:ascii="Times New Roman" w:hAnsi="Times New Roman" w:cs="Times New Roman"/>
                <w:sz w:val="20"/>
                <w:szCs w:val="20"/>
              </w:rPr>
              <w:t>В допълнение в Критериите за подбор на операции е включено изискване п</w:t>
            </w:r>
            <w:r w:rsidRPr="00B1304F">
              <w:rPr>
                <w:rFonts w:ascii="Times New Roman" w:hAnsi="Times New Roman" w:cs="Times New Roman"/>
                <w:bCs/>
                <w:sz w:val="20"/>
                <w:szCs w:val="20"/>
              </w:rPr>
              <w:t xml:space="preserve">роектът задължително се изпълнява при спазване на </w:t>
            </w:r>
            <w:hyperlink r:id="rId8" w:history="1">
              <w:r w:rsidRPr="00B1304F">
                <w:rPr>
                  <w:rStyle w:val="Hyperlink"/>
                  <w:rFonts w:ascii="Times New Roman" w:hAnsi="Times New Roman" w:cs="Times New Roman"/>
                  <w:b/>
                  <w:i/>
                  <w:sz w:val="20"/>
                  <w:szCs w:val="20"/>
                </w:rPr>
                <w:t>Предварителни условия за допустимост на проекти за е-</w:t>
              </w:r>
              <w:r w:rsidRPr="00B1304F">
                <w:rPr>
                  <w:rStyle w:val="Hyperlink"/>
                  <w:rFonts w:ascii="Times New Roman" w:hAnsi="Times New Roman" w:cs="Times New Roman"/>
                  <w:b/>
                  <w:i/>
                  <w:sz w:val="20"/>
                  <w:szCs w:val="20"/>
                </w:rPr>
                <w:lastRenderedPageBreak/>
                <w:t>управление по ОПДУ</w:t>
              </w:r>
            </w:hyperlink>
            <w:r w:rsidRPr="00B1304F">
              <w:rPr>
                <w:rFonts w:ascii="Times New Roman" w:hAnsi="Times New Roman" w:cs="Times New Roman"/>
                <w:bCs/>
                <w:sz w:val="20"/>
                <w:szCs w:val="20"/>
              </w:rPr>
              <w:t>, които ще бъдат част от Насоките за кандидатстване.</w:t>
            </w:r>
          </w:p>
          <w:p w14:paraId="4F09E4E7" w14:textId="261C0FB3" w:rsidR="00086ECB" w:rsidRPr="00086ECB" w:rsidRDefault="00086ECB" w:rsidP="00086ECB">
            <w:pPr>
              <w:tabs>
                <w:tab w:val="left" w:pos="345"/>
              </w:tabs>
              <w:spacing w:after="120"/>
              <w:ind w:left="204"/>
              <w:jc w:val="both"/>
              <w:rPr>
                <w:rFonts w:ascii="Times New Roman" w:hAnsi="Times New Roman" w:cs="Times New Roman"/>
                <w:bCs/>
                <w:iCs/>
                <w:snapToGrid w:val="0"/>
                <w:sz w:val="20"/>
                <w:szCs w:val="20"/>
              </w:rPr>
            </w:pPr>
            <w:r w:rsidRPr="00086ECB">
              <w:rPr>
                <w:rFonts w:ascii="Times New Roman" w:hAnsi="Times New Roman" w:cs="Times New Roman"/>
                <w:sz w:val="20"/>
                <w:szCs w:val="20"/>
              </w:rPr>
              <w:t xml:space="preserve">УО на ОПДУ не планира мярка за въвеждане на инструмента в други администрации и органи. </w:t>
            </w:r>
          </w:p>
          <w:p w14:paraId="1C39D5E6" w14:textId="47F67D26" w:rsidR="000D0B71" w:rsidRPr="00086ECB" w:rsidRDefault="004F398F" w:rsidP="004F398F">
            <w:pPr>
              <w:pStyle w:val="ListParagraph"/>
              <w:numPr>
                <w:ilvl w:val="0"/>
                <w:numId w:val="9"/>
              </w:numPr>
              <w:tabs>
                <w:tab w:val="left" w:pos="345"/>
              </w:tabs>
              <w:spacing w:after="120"/>
              <w:ind w:left="204" w:hanging="204"/>
              <w:contextualSpacing w:val="0"/>
              <w:jc w:val="both"/>
              <w:rPr>
                <w:rFonts w:ascii="Times New Roman" w:hAnsi="Times New Roman" w:cs="Times New Roman"/>
                <w:sz w:val="20"/>
                <w:szCs w:val="20"/>
              </w:rPr>
            </w:pPr>
            <w:r w:rsidRPr="00086ECB">
              <w:rPr>
                <w:rFonts w:ascii="Times New Roman" w:hAnsi="Times New Roman" w:cs="Times New Roman"/>
                <w:sz w:val="20"/>
                <w:szCs w:val="20"/>
              </w:rPr>
              <w:t xml:space="preserve">Съответствието </w:t>
            </w:r>
            <w:r w:rsidR="000D0B71" w:rsidRPr="00086ECB">
              <w:rPr>
                <w:rFonts w:ascii="Times New Roman" w:hAnsi="Times New Roman" w:cs="Times New Roman"/>
                <w:sz w:val="20"/>
                <w:szCs w:val="20"/>
              </w:rPr>
              <w:t>на разходите с принципа на добро финансово управление</w:t>
            </w:r>
            <w:r w:rsidRPr="00086ECB">
              <w:rPr>
                <w:rFonts w:ascii="Times New Roman" w:hAnsi="Times New Roman" w:cs="Times New Roman"/>
                <w:sz w:val="20"/>
                <w:szCs w:val="20"/>
              </w:rPr>
              <w:t xml:space="preserve"> се проследява на етап оценка на проектното предложение. Към </w:t>
            </w:r>
            <w:r w:rsidR="000D0B71" w:rsidRPr="00086ECB">
              <w:rPr>
                <w:rFonts w:ascii="Times New Roman" w:hAnsi="Times New Roman" w:cs="Times New Roman"/>
                <w:sz w:val="20"/>
                <w:szCs w:val="20"/>
              </w:rPr>
              <w:t>Ф</w:t>
            </w:r>
            <w:r w:rsidRPr="00086ECB">
              <w:rPr>
                <w:rFonts w:ascii="Times New Roman" w:hAnsi="Times New Roman" w:cs="Times New Roman"/>
                <w:sz w:val="20"/>
                <w:szCs w:val="20"/>
              </w:rPr>
              <w:t xml:space="preserve">ормуляра за кандидатстване </w:t>
            </w:r>
            <w:r w:rsidR="000D0B71" w:rsidRPr="00086ECB">
              <w:rPr>
                <w:rFonts w:ascii="Times New Roman" w:hAnsi="Times New Roman" w:cs="Times New Roman"/>
                <w:sz w:val="20"/>
                <w:szCs w:val="20"/>
              </w:rPr>
              <w:t>К</w:t>
            </w:r>
            <w:r w:rsidRPr="00086ECB">
              <w:rPr>
                <w:rFonts w:ascii="Times New Roman" w:hAnsi="Times New Roman" w:cs="Times New Roman"/>
                <w:sz w:val="20"/>
                <w:szCs w:val="20"/>
              </w:rPr>
              <w:t>андидатът прилага</w:t>
            </w:r>
            <w:r w:rsidR="000D0B71" w:rsidRPr="00086ECB">
              <w:rPr>
                <w:rFonts w:ascii="Times New Roman" w:hAnsi="Times New Roman" w:cs="Times New Roman"/>
                <w:sz w:val="20"/>
                <w:szCs w:val="20"/>
              </w:rPr>
              <w:t xml:space="preserve"> Ф</w:t>
            </w:r>
            <w:r w:rsidRPr="00086ECB">
              <w:rPr>
                <w:rFonts w:ascii="Times New Roman" w:hAnsi="Times New Roman" w:cs="Times New Roman"/>
                <w:sz w:val="20"/>
                <w:szCs w:val="20"/>
              </w:rPr>
              <w:t xml:space="preserve">инансова обосновка на бюджета на проекта, в която </w:t>
            </w:r>
            <w:r w:rsidR="000D0B71" w:rsidRPr="00086ECB">
              <w:rPr>
                <w:rFonts w:ascii="Times New Roman" w:hAnsi="Times New Roman" w:cs="Times New Roman"/>
                <w:sz w:val="20"/>
                <w:szCs w:val="20"/>
              </w:rPr>
              <w:t>се посоч</w:t>
            </w:r>
            <w:r w:rsidRPr="00086ECB">
              <w:rPr>
                <w:rFonts w:ascii="Times New Roman" w:hAnsi="Times New Roman" w:cs="Times New Roman"/>
                <w:sz w:val="20"/>
                <w:szCs w:val="20"/>
              </w:rPr>
              <w:t>в</w:t>
            </w:r>
            <w:r w:rsidR="000D0B71" w:rsidRPr="00086ECB">
              <w:rPr>
                <w:rFonts w:ascii="Times New Roman" w:hAnsi="Times New Roman" w:cs="Times New Roman"/>
                <w:sz w:val="20"/>
                <w:szCs w:val="20"/>
              </w:rPr>
              <w:t xml:space="preserve">ат: </w:t>
            </w:r>
          </w:p>
          <w:p w14:paraId="1F582A0D" w14:textId="7C64CDEC" w:rsidR="004F398F" w:rsidRPr="00086ECB" w:rsidRDefault="004F398F" w:rsidP="004F398F">
            <w:pPr>
              <w:pStyle w:val="ListParagraph"/>
              <w:numPr>
                <w:ilvl w:val="0"/>
                <w:numId w:val="10"/>
              </w:numPr>
              <w:tabs>
                <w:tab w:val="left" w:pos="345"/>
              </w:tabs>
              <w:spacing w:after="120"/>
              <w:ind w:left="714" w:hanging="357"/>
              <w:contextualSpacing w:val="0"/>
              <w:jc w:val="both"/>
              <w:rPr>
                <w:rFonts w:ascii="Times New Roman" w:hAnsi="Times New Roman" w:cs="Times New Roman"/>
                <w:sz w:val="20"/>
                <w:szCs w:val="20"/>
              </w:rPr>
            </w:pPr>
            <w:r w:rsidRPr="00086ECB">
              <w:rPr>
                <w:rFonts w:ascii="Times New Roman" w:hAnsi="Times New Roman" w:cs="Times New Roman"/>
                <w:sz w:val="20"/>
                <w:szCs w:val="20"/>
              </w:rPr>
              <w:t>начинът, по който е определена прогнозната стойност на конкретния разход. В случай, че разходът е формиран от отделни елементи, кандидатът следва да ги посочи и да опише начина на изчисление на общата стойност, като представи план-сметка (количества и прогнозни единични цени).</w:t>
            </w:r>
          </w:p>
          <w:p w14:paraId="1451F5C3" w14:textId="67FCB07E" w:rsidR="004F398F" w:rsidRPr="00086ECB" w:rsidRDefault="004F398F" w:rsidP="004F398F">
            <w:pPr>
              <w:pStyle w:val="ListParagraph"/>
              <w:numPr>
                <w:ilvl w:val="0"/>
                <w:numId w:val="10"/>
              </w:numPr>
              <w:tabs>
                <w:tab w:val="left" w:pos="345"/>
              </w:tabs>
              <w:spacing w:after="120"/>
              <w:ind w:left="714" w:hanging="357"/>
              <w:contextualSpacing w:val="0"/>
              <w:jc w:val="both"/>
              <w:rPr>
                <w:rFonts w:ascii="Times New Roman" w:hAnsi="Times New Roman" w:cs="Times New Roman"/>
                <w:sz w:val="20"/>
                <w:szCs w:val="20"/>
              </w:rPr>
            </w:pPr>
            <w:r w:rsidRPr="00086ECB">
              <w:rPr>
                <w:rFonts w:ascii="Times New Roman" w:hAnsi="Times New Roman" w:cs="Times New Roman"/>
                <w:sz w:val="20"/>
                <w:szCs w:val="20"/>
              </w:rPr>
              <w:t>подходящи източници на информация, въз основа на които са определени прогнозните стойности на разходите или на отделните им елементи, като използва някоя от следните възможности:</w:t>
            </w:r>
          </w:p>
          <w:p w14:paraId="6DBA917A" w14:textId="562BFDB6" w:rsidR="004F398F" w:rsidRPr="00086ECB" w:rsidRDefault="00AE7A95" w:rsidP="008F00BA">
            <w:pPr>
              <w:pStyle w:val="ListParagraph"/>
              <w:numPr>
                <w:ilvl w:val="0"/>
                <w:numId w:val="12"/>
              </w:numPr>
              <w:tabs>
                <w:tab w:val="left" w:pos="345"/>
                <w:tab w:val="left" w:pos="1054"/>
              </w:tabs>
              <w:spacing w:after="120"/>
              <w:ind w:firstLine="50"/>
              <w:contextualSpacing w:val="0"/>
              <w:jc w:val="both"/>
              <w:rPr>
                <w:rFonts w:ascii="Times New Roman" w:hAnsi="Times New Roman" w:cs="Times New Roman"/>
                <w:sz w:val="20"/>
                <w:szCs w:val="20"/>
              </w:rPr>
            </w:pPr>
            <w:r w:rsidRPr="00086ECB">
              <w:rPr>
                <w:rFonts w:ascii="Times New Roman" w:hAnsi="Times New Roman" w:cs="Times New Roman"/>
                <w:sz w:val="20"/>
                <w:szCs w:val="20"/>
              </w:rPr>
              <w:t>д</w:t>
            </w:r>
            <w:r w:rsidR="004F398F" w:rsidRPr="00086ECB">
              <w:rPr>
                <w:rFonts w:ascii="Times New Roman" w:hAnsi="Times New Roman" w:cs="Times New Roman"/>
                <w:sz w:val="20"/>
                <w:szCs w:val="20"/>
              </w:rPr>
              <w:t>оговор за доставки, услуги или дейности, сключен от кандидата или друг възложител по чл. 5, ал. 2 от ЗОП;</w:t>
            </w:r>
          </w:p>
          <w:p w14:paraId="296BE8C9" w14:textId="532CFB8B" w:rsidR="004F398F" w:rsidRPr="00086ECB" w:rsidRDefault="00AE7A95" w:rsidP="008F00BA">
            <w:pPr>
              <w:pStyle w:val="ListParagraph"/>
              <w:numPr>
                <w:ilvl w:val="0"/>
                <w:numId w:val="12"/>
              </w:numPr>
              <w:tabs>
                <w:tab w:val="left" w:pos="345"/>
                <w:tab w:val="left" w:pos="1054"/>
              </w:tabs>
              <w:spacing w:after="120"/>
              <w:ind w:firstLine="50"/>
              <w:contextualSpacing w:val="0"/>
              <w:jc w:val="both"/>
              <w:rPr>
                <w:rFonts w:ascii="Times New Roman" w:hAnsi="Times New Roman" w:cs="Times New Roman"/>
                <w:sz w:val="20"/>
                <w:szCs w:val="20"/>
              </w:rPr>
            </w:pPr>
            <w:r w:rsidRPr="00086ECB">
              <w:rPr>
                <w:rFonts w:ascii="Times New Roman" w:hAnsi="Times New Roman" w:cs="Times New Roman"/>
                <w:sz w:val="20"/>
                <w:szCs w:val="20"/>
              </w:rPr>
              <w:t>ф</w:t>
            </w:r>
            <w:r w:rsidR="004F398F" w:rsidRPr="00086ECB">
              <w:rPr>
                <w:rFonts w:ascii="Times New Roman" w:hAnsi="Times New Roman" w:cs="Times New Roman"/>
                <w:sz w:val="20"/>
                <w:szCs w:val="20"/>
              </w:rPr>
              <w:t>актур</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 xml:space="preserve"> и документ</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 xml:space="preserve"> за извършен</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 xml:space="preserve"> плащан</w:t>
            </w:r>
            <w:r w:rsidRPr="00086ECB">
              <w:rPr>
                <w:rFonts w:ascii="Times New Roman" w:hAnsi="Times New Roman" w:cs="Times New Roman"/>
                <w:sz w:val="20"/>
                <w:szCs w:val="20"/>
              </w:rPr>
              <w:t>ия</w:t>
            </w:r>
            <w:r w:rsidR="004F398F" w:rsidRPr="00086ECB">
              <w:rPr>
                <w:rFonts w:ascii="Times New Roman" w:hAnsi="Times New Roman" w:cs="Times New Roman"/>
                <w:sz w:val="20"/>
                <w:szCs w:val="20"/>
              </w:rPr>
              <w:t xml:space="preserve"> от </w:t>
            </w:r>
            <w:r w:rsidRPr="00086ECB">
              <w:rPr>
                <w:rFonts w:ascii="Times New Roman" w:hAnsi="Times New Roman" w:cs="Times New Roman"/>
                <w:sz w:val="20"/>
                <w:szCs w:val="20"/>
              </w:rPr>
              <w:t>к</w:t>
            </w:r>
            <w:r w:rsidR="004F398F" w:rsidRPr="00086ECB">
              <w:rPr>
                <w:rFonts w:ascii="Times New Roman" w:hAnsi="Times New Roman" w:cs="Times New Roman"/>
                <w:sz w:val="20"/>
                <w:szCs w:val="20"/>
              </w:rPr>
              <w:t>андидата за услуги или доставки, в случай че плащан</w:t>
            </w:r>
            <w:r w:rsidRPr="00086ECB">
              <w:rPr>
                <w:rFonts w:ascii="Times New Roman" w:hAnsi="Times New Roman" w:cs="Times New Roman"/>
                <w:sz w:val="20"/>
                <w:szCs w:val="20"/>
              </w:rPr>
              <w:t>ията</w:t>
            </w:r>
            <w:r w:rsidR="004F398F" w:rsidRPr="00086ECB">
              <w:rPr>
                <w:rFonts w:ascii="Times New Roman" w:hAnsi="Times New Roman" w:cs="Times New Roman"/>
                <w:sz w:val="20"/>
                <w:szCs w:val="20"/>
              </w:rPr>
              <w:t xml:space="preserve"> не </w:t>
            </w:r>
            <w:r w:rsidRPr="00086ECB">
              <w:rPr>
                <w:rFonts w:ascii="Times New Roman" w:hAnsi="Times New Roman" w:cs="Times New Roman"/>
                <w:sz w:val="20"/>
                <w:szCs w:val="20"/>
              </w:rPr>
              <w:t>са</w:t>
            </w:r>
            <w:r w:rsidR="004F398F" w:rsidRPr="00086ECB">
              <w:rPr>
                <w:rFonts w:ascii="Times New Roman" w:hAnsi="Times New Roman" w:cs="Times New Roman"/>
                <w:sz w:val="20"/>
                <w:szCs w:val="20"/>
              </w:rPr>
              <w:t xml:space="preserve"> извършен</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 xml:space="preserve"> въз основа на сключен</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 xml:space="preserve"> договор</w:t>
            </w:r>
            <w:r w:rsidRPr="00086ECB">
              <w:rPr>
                <w:rFonts w:ascii="Times New Roman" w:hAnsi="Times New Roman" w:cs="Times New Roman"/>
                <w:sz w:val="20"/>
                <w:szCs w:val="20"/>
              </w:rPr>
              <w:t>и</w:t>
            </w:r>
            <w:r w:rsidR="004F398F" w:rsidRPr="00086ECB">
              <w:rPr>
                <w:rFonts w:ascii="Times New Roman" w:hAnsi="Times New Roman" w:cs="Times New Roman"/>
                <w:sz w:val="20"/>
                <w:szCs w:val="20"/>
              </w:rPr>
              <w:t>;</w:t>
            </w:r>
          </w:p>
          <w:p w14:paraId="2BCE3D6A" w14:textId="5B744F8A" w:rsidR="004F398F" w:rsidRPr="00086ECB" w:rsidRDefault="00086ECB" w:rsidP="008F00BA">
            <w:pPr>
              <w:pStyle w:val="ListParagraph"/>
              <w:numPr>
                <w:ilvl w:val="0"/>
                <w:numId w:val="12"/>
              </w:numPr>
              <w:tabs>
                <w:tab w:val="left" w:pos="345"/>
                <w:tab w:val="left" w:pos="1054"/>
              </w:tabs>
              <w:spacing w:after="120"/>
              <w:ind w:firstLine="50"/>
              <w:contextualSpacing w:val="0"/>
              <w:jc w:val="both"/>
              <w:rPr>
                <w:rFonts w:ascii="Times New Roman" w:hAnsi="Times New Roman" w:cs="Times New Roman"/>
                <w:sz w:val="20"/>
                <w:szCs w:val="20"/>
              </w:rPr>
            </w:pPr>
            <w:r>
              <w:rPr>
                <w:rFonts w:ascii="Times New Roman" w:hAnsi="Times New Roman" w:cs="Times New Roman"/>
                <w:sz w:val="20"/>
                <w:szCs w:val="20"/>
              </w:rPr>
              <w:t>за</w:t>
            </w:r>
            <w:r w:rsidR="004F398F" w:rsidRPr="00086ECB">
              <w:rPr>
                <w:rFonts w:ascii="Times New Roman" w:hAnsi="Times New Roman" w:cs="Times New Roman"/>
                <w:sz w:val="20"/>
                <w:szCs w:val="20"/>
              </w:rPr>
              <w:t xml:space="preserve">питване от </w:t>
            </w:r>
            <w:r w:rsidR="00AE7A95" w:rsidRPr="00086ECB">
              <w:rPr>
                <w:rFonts w:ascii="Times New Roman" w:hAnsi="Times New Roman" w:cs="Times New Roman"/>
                <w:sz w:val="20"/>
                <w:szCs w:val="20"/>
              </w:rPr>
              <w:t>к</w:t>
            </w:r>
            <w:r w:rsidR="004F398F" w:rsidRPr="00086ECB">
              <w:rPr>
                <w:rFonts w:ascii="Times New Roman" w:hAnsi="Times New Roman" w:cs="Times New Roman"/>
                <w:sz w:val="20"/>
                <w:szCs w:val="20"/>
              </w:rPr>
              <w:t>андидата до потенциален/ни доставчик/ци или изпълнител/и и получена оферта;</w:t>
            </w:r>
          </w:p>
          <w:p w14:paraId="2216CF8B" w14:textId="65E0992E" w:rsidR="004F398F" w:rsidRPr="00086ECB" w:rsidRDefault="00AE7A95" w:rsidP="008F00BA">
            <w:pPr>
              <w:pStyle w:val="ListParagraph"/>
              <w:numPr>
                <w:ilvl w:val="0"/>
                <w:numId w:val="12"/>
              </w:numPr>
              <w:tabs>
                <w:tab w:val="left" w:pos="345"/>
                <w:tab w:val="left" w:pos="1054"/>
              </w:tabs>
              <w:spacing w:after="120"/>
              <w:ind w:firstLine="50"/>
              <w:contextualSpacing w:val="0"/>
              <w:jc w:val="both"/>
              <w:rPr>
                <w:rFonts w:ascii="Times New Roman" w:hAnsi="Times New Roman" w:cs="Times New Roman"/>
                <w:sz w:val="20"/>
                <w:szCs w:val="20"/>
              </w:rPr>
            </w:pPr>
            <w:r w:rsidRPr="00086ECB">
              <w:rPr>
                <w:rFonts w:ascii="Times New Roman" w:hAnsi="Times New Roman" w:cs="Times New Roman"/>
                <w:sz w:val="20"/>
                <w:szCs w:val="20"/>
              </w:rPr>
              <w:t>х</w:t>
            </w:r>
            <w:r w:rsidR="004F398F" w:rsidRPr="00086ECB">
              <w:rPr>
                <w:rFonts w:ascii="Times New Roman" w:hAnsi="Times New Roman" w:cs="Times New Roman"/>
                <w:sz w:val="20"/>
                <w:szCs w:val="20"/>
              </w:rPr>
              <w:t>ипервръзка (линк) към интернет страница на потенциален доставчик/изпълнител, съдържаща информация за цената на съответната услуга/продукт;</w:t>
            </w:r>
          </w:p>
          <w:p w14:paraId="52E65A57" w14:textId="4950EC69" w:rsidR="00A1210A" w:rsidRPr="00086ECB" w:rsidRDefault="00AE7A95" w:rsidP="006149E9">
            <w:pPr>
              <w:pStyle w:val="ListParagraph"/>
              <w:numPr>
                <w:ilvl w:val="0"/>
                <w:numId w:val="12"/>
              </w:numPr>
              <w:tabs>
                <w:tab w:val="left" w:pos="345"/>
                <w:tab w:val="left" w:pos="1054"/>
              </w:tabs>
              <w:spacing w:after="120"/>
              <w:ind w:firstLine="50"/>
              <w:contextualSpacing w:val="0"/>
              <w:jc w:val="both"/>
              <w:rPr>
                <w:rFonts w:ascii="Times New Roman" w:hAnsi="Times New Roman" w:cs="Times New Roman"/>
                <w:sz w:val="24"/>
                <w:szCs w:val="24"/>
              </w:rPr>
            </w:pPr>
            <w:r w:rsidRPr="00086ECB">
              <w:rPr>
                <w:rFonts w:ascii="Times New Roman" w:hAnsi="Times New Roman" w:cs="Times New Roman"/>
                <w:sz w:val="20"/>
                <w:szCs w:val="20"/>
              </w:rPr>
              <w:lastRenderedPageBreak/>
              <w:t>е</w:t>
            </w:r>
            <w:r w:rsidR="004F398F" w:rsidRPr="00086ECB">
              <w:rPr>
                <w:rFonts w:ascii="Times New Roman" w:hAnsi="Times New Roman" w:cs="Times New Roman"/>
                <w:sz w:val="20"/>
                <w:szCs w:val="20"/>
              </w:rPr>
              <w:t xml:space="preserve">кспертен анализ или официално становище, предоставени </w:t>
            </w:r>
            <w:r w:rsidR="006149E9">
              <w:rPr>
                <w:rFonts w:ascii="Times New Roman" w:hAnsi="Times New Roman" w:cs="Times New Roman"/>
                <w:sz w:val="20"/>
                <w:szCs w:val="20"/>
              </w:rPr>
              <w:t>от държавни институции/съсловни о</w:t>
            </w:r>
            <w:r w:rsidR="004F398F" w:rsidRPr="00086ECB">
              <w:rPr>
                <w:rFonts w:ascii="Times New Roman" w:hAnsi="Times New Roman" w:cs="Times New Roman"/>
                <w:sz w:val="20"/>
                <w:szCs w:val="20"/>
              </w:rPr>
              <w:t xml:space="preserve">рганизации/асоциации, извършващи услуги или изпълняващи дейности, аналогични или сходни на заложените в проекта, </w:t>
            </w:r>
            <w:r w:rsidR="005D7967" w:rsidRPr="005D7967">
              <w:rPr>
                <w:rFonts w:ascii="Times New Roman" w:hAnsi="Times New Roman" w:cs="Times New Roman"/>
                <w:sz w:val="20"/>
                <w:szCs w:val="20"/>
              </w:rPr>
              <w:t>съдържащи информация за стойността на аналогични или сходни доставки, услуги и дейности. Този начин се прилага в случай, че посочени</w:t>
            </w:r>
            <w:r w:rsidR="005D7967">
              <w:rPr>
                <w:rFonts w:ascii="Times New Roman" w:hAnsi="Times New Roman" w:cs="Times New Roman"/>
                <w:sz w:val="20"/>
                <w:szCs w:val="20"/>
              </w:rPr>
              <w:t>те</w:t>
            </w:r>
            <w:r w:rsidR="005D7967" w:rsidRPr="005D7967">
              <w:rPr>
                <w:rFonts w:ascii="Times New Roman" w:hAnsi="Times New Roman" w:cs="Times New Roman"/>
                <w:sz w:val="20"/>
                <w:szCs w:val="20"/>
              </w:rPr>
              <w:t xml:space="preserve"> по-горе начини за обосновка на планираните разходи са неприложими.</w:t>
            </w:r>
          </w:p>
        </w:tc>
      </w:tr>
      <w:tr w:rsidR="00624DC5" w:rsidRPr="00652EBD" w14:paraId="11ABA317" w14:textId="77777777" w:rsidTr="00086ECB">
        <w:tc>
          <w:tcPr>
            <w:tcW w:w="578" w:type="dxa"/>
            <w:vAlign w:val="center"/>
          </w:tcPr>
          <w:p w14:paraId="1940DFAF" w14:textId="77777777" w:rsidR="00624DC5" w:rsidRPr="005412D0" w:rsidRDefault="00624DC5" w:rsidP="005412D0">
            <w:pPr>
              <w:jc w:val="both"/>
              <w:rPr>
                <w:rFonts w:ascii="Times New Roman" w:hAnsi="Times New Roman" w:cs="Times New Roman"/>
                <w:sz w:val="24"/>
                <w:szCs w:val="24"/>
              </w:rPr>
            </w:pPr>
            <w:r>
              <w:rPr>
                <w:rFonts w:ascii="Times New Roman" w:hAnsi="Times New Roman" w:cs="Times New Roman"/>
                <w:sz w:val="24"/>
                <w:szCs w:val="24"/>
                <w:lang w:val="en-US"/>
              </w:rPr>
              <w:lastRenderedPageBreak/>
              <w:t>4</w:t>
            </w:r>
            <w:r w:rsidRPr="005412D0">
              <w:rPr>
                <w:rFonts w:ascii="Times New Roman" w:hAnsi="Times New Roman" w:cs="Times New Roman"/>
                <w:sz w:val="24"/>
                <w:szCs w:val="24"/>
              </w:rPr>
              <w:t>.</w:t>
            </w:r>
          </w:p>
        </w:tc>
        <w:tc>
          <w:tcPr>
            <w:tcW w:w="2365" w:type="dxa"/>
            <w:vAlign w:val="center"/>
          </w:tcPr>
          <w:p w14:paraId="68D1F046" w14:textId="77777777" w:rsidR="00624DC5" w:rsidRPr="00086ECB" w:rsidRDefault="00624DC5" w:rsidP="00624DC5">
            <w:r w:rsidRPr="00086ECB">
              <w:rPr>
                <w:rFonts w:ascii="Times New Roman" w:hAnsi="Times New Roman" w:cs="Times New Roman"/>
                <w:color w:val="000000"/>
              </w:rPr>
              <w:t>Добринка Кръстева</w:t>
            </w:r>
          </w:p>
          <w:p w14:paraId="58FB9401" w14:textId="77777777" w:rsidR="00624DC5" w:rsidRPr="00086ECB" w:rsidRDefault="00624DC5" w:rsidP="00624DC5">
            <w:pPr>
              <w:spacing w:after="120"/>
              <w:rPr>
                <w:rFonts w:ascii="Times New Roman" w:hAnsi="Times New Roman"/>
                <w:i/>
                <w:lang w:eastAsia="bg-BG"/>
              </w:rPr>
            </w:pPr>
          </w:p>
          <w:p w14:paraId="4669DDC1" w14:textId="77777777" w:rsidR="00624DC5" w:rsidRPr="00086ECB" w:rsidRDefault="00624DC5" w:rsidP="00624DC5">
            <w:pPr>
              <w:spacing w:after="120"/>
              <w:rPr>
                <w:rFonts w:ascii="Times New Roman" w:hAnsi="Times New Roman"/>
                <w:i/>
                <w:lang w:eastAsia="bg-BG"/>
              </w:rPr>
            </w:pPr>
            <w:r w:rsidRPr="00086ECB">
              <w:rPr>
                <w:rFonts w:ascii="Times New Roman" w:hAnsi="Times New Roman"/>
                <w:i/>
                <w:lang w:eastAsia="bg-BG"/>
              </w:rPr>
              <w:t>Началник на отдел „Наблюдение и анализ“</w:t>
            </w:r>
          </w:p>
          <w:p w14:paraId="666D0476" w14:textId="77777777" w:rsidR="00624DC5" w:rsidRPr="00086ECB" w:rsidRDefault="00624DC5" w:rsidP="00624DC5">
            <w:pPr>
              <w:spacing w:after="120"/>
              <w:rPr>
                <w:rFonts w:ascii="Times New Roman" w:hAnsi="Times New Roman"/>
                <w:i/>
                <w:lang w:eastAsia="bg-BG"/>
              </w:rPr>
            </w:pPr>
            <w:r w:rsidRPr="00086ECB">
              <w:rPr>
                <w:rFonts w:ascii="Times New Roman" w:hAnsi="Times New Roman"/>
                <w:i/>
                <w:lang w:eastAsia="bg-BG"/>
              </w:rPr>
              <w:t>Дирекция „Централно координационно звено“</w:t>
            </w:r>
          </w:p>
          <w:p w14:paraId="7F510A6A" w14:textId="77777777" w:rsidR="00624DC5" w:rsidRPr="00086ECB" w:rsidRDefault="00624DC5" w:rsidP="00624DC5">
            <w:pPr>
              <w:spacing w:after="120"/>
              <w:rPr>
                <w:rFonts w:ascii="Times New Roman" w:hAnsi="Times New Roman"/>
                <w:i/>
                <w:lang w:eastAsia="bg-BG"/>
              </w:rPr>
            </w:pPr>
            <w:r w:rsidRPr="00086ECB">
              <w:rPr>
                <w:rFonts w:ascii="Times New Roman" w:hAnsi="Times New Roman"/>
                <w:i/>
                <w:lang w:eastAsia="bg-BG"/>
              </w:rPr>
              <w:t>Администрация на Министерския съвет</w:t>
            </w:r>
          </w:p>
          <w:p w14:paraId="630985C2" w14:textId="77777777" w:rsidR="00624DC5" w:rsidRPr="00086ECB" w:rsidRDefault="00624DC5" w:rsidP="00624DC5"/>
          <w:p w14:paraId="7F5D4A0D" w14:textId="77777777" w:rsidR="00624DC5" w:rsidRPr="00086ECB" w:rsidRDefault="00624DC5" w:rsidP="005412D0">
            <w:pPr>
              <w:spacing w:after="120"/>
              <w:rPr>
                <w:rFonts w:ascii="Times New Roman" w:hAnsi="Times New Roman" w:cs="Times New Roman"/>
              </w:rPr>
            </w:pPr>
          </w:p>
        </w:tc>
        <w:tc>
          <w:tcPr>
            <w:tcW w:w="7258" w:type="dxa"/>
            <w:vAlign w:val="center"/>
          </w:tcPr>
          <w:p w14:paraId="38EEC81D" w14:textId="77777777" w:rsidR="00624DC5" w:rsidRPr="00086ECB" w:rsidRDefault="00624DC5" w:rsidP="00624DC5">
            <w:pPr>
              <w:jc w:val="both"/>
            </w:pPr>
            <w:r w:rsidRPr="00086ECB">
              <w:rPr>
                <w:rFonts w:ascii="Times New Roman" w:hAnsi="Times New Roman" w:cs="Times New Roman"/>
              </w:rPr>
              <w:t>По повод на постъпилите предложения за Проект на Критерии за подбор на операции по Процедура „Разработка и внедряване в съдебната система на софтуер за ускорено създаване и възпроизвеждане на актове и други документи чрез диктовка и автоматично конвертиране на гласов запис в текст (voice-to-text) и съпътстващи системи за обработка“ по ПО 3 на ОПДУ и изменение на ИГРП на ОПДУ за 2020 г. чрез включване на нова процедура, бихме искали да Ви обърнем внимание върху следното:</w:t>
            </w:r>
          </w:p>
          <w:p w14:paraId="3B7FCFE3" w14:textId="77777777" w:rsidR="00624DC5" w:rsidRPr="00086ECB" w:rsidRDefault="00624DC5" w:rsidP="00624DC5">
            <w:pPr>
              <w:jc w:val="both"/>
            </w:pPr>
            <w:r w:rsidRPr="00086ECB">
              <w:rPr>
                <w:rFonts w:ascii="Times New Roman" w:hAnsi="Times New Roman" w:cs="Times New Roman"/>
              </w:rPr>
              <w:t xml:space="preserve">Проличава стремеж да се подходи  по-рационално като се предлага проект, който да не бъде лимитиран само до органите на съдебната власт и до специфичната й лингвистика. В обосновката на Критериите за подбор на операции по процедурата се посочва, че тъй като в обхвата на работата на правосъдната система се включват теми от всички сфери на обществения живот, софтуерният продукт, който ще бъде разработен в рамките на проекта, ще е годен да се използва от всички държавни и общински институции и лица. Също така в кореспонденцията си ВСС уверяват, че разработеният софтуер би могъл да се ползва и от МВР и ДАНС. </w:t>
            </w:r>
          </w:p>
          <w:p w14:paraId="3156F8A7" w14:textId="77777777" w:rsidR="00624DC5" w:rsidRPr="00086ECB" w:rsidRDefault="00624DC5" w:rsidP="00624DC5">
            <w:pPr>
              <w:jc w:val="both"/>
              <w:rPr>
                <w:rFonts w:ascii="Times New Roman" w:hAnsi="Times New Roman"/>
              </w:rPr>
            </w:pPr>
            <w:r w:rsidRPr="00086ECB">
              <w:rPr>
                <w:rFonts w:ascii="Times New Roman" w:hAnsi="Times New Roman" w:cs="Times New Roman"/>
              </w:rPr>
              <w:t xml:space="preserve">С оглед прилагане на този по-рационален подход и в подкрепа на изложените аргументи и от Комисията за защита от дискриминация, Централното координационно звено също препоръчва като отчита спецификите на ЕИСС софтуерът да бъде разработен така, че да бъде достъпен за ползване и от останалите контролни институции в тези сфера, а не да се ограничава само до ВСС. Това не само би допринесло за ефективното и ефикасно въвеждане на инструменти на електронно правосъдие и дигитализация в съдебната система, но би осигурило и мултиплициращ ефект в структурите на държавната администрация. </w:t>
            </w:r>
          </w:p>
        </w:tc>
        <w:tc>
          <w:tcPr>
            <w:tcW w:w="4536" w:type="dxa"/>
            <w:vAlign w:val="center"/>
          </w:tcPr>
          <w:p w14:paraId="67CA6B83" w14:textId="77777777" w:rsidR="00624DC5" w:rsidRDefault="00A1210A" w:rsidP="00086ECB">
            <w:pPr>
              <w:spacing w:after="120"/>
              <w:jc w:val="both"/>
              <w:rPr>
                <w:rFonts w:ascii="Times New Roman" w:hAnsi="Times New Roman" w:cs="Times New Roman"/>
                <w:b/>
                <w:i/>
                <w:sz w:val="20"/>
                <w:szCs w:val="20"/>
              </w:rPr>
            </w:pPr>
            <w:r>
              <w:rPr>
                <w:rFonts w:ascii="Times New Roman" w:hAnsi="Times New Roman" w:cs="Times New Roman"/>
                <w:b/>
                <w:i/>
                <w:sz w:val="20"/>
                <w:szCs w:val="20"/>
              </w:rPr>
              <w:t xml:space="preserve">Приема се. </w:t>
            </w:r>
          </w:p>
          <w:p w14:paraId="54DB4DFF" w14:textId="315E9A9C" w:rsidR="00086ECB" w:rsidRPr="00086ECB" w:rsidRDefault="00086ECB" w:rsidP="00086ECB">
            <w:pPr>
              <w:pStyle w:val="ListParagraph"/>
              <w:tabs>
                <w:tab w:val="left" w:pos="345"/>
                <w:tab w:val="left" w:pos="1054"/>
              </w:tabs>
              <w:spacing w:after="120"/>
              <w:ind w:left="63"/>
              <w:contextualSpacing w:val="0"/>
              <w:jc w:val="both"/>
              <w:rPr>
                <w:rFonts w:ascii="Times New Roman" w:hAnsi="Times New Roman" w:cs="Times New Roman"/>
                <w:sz w:val="20"/>
                <w:szCs w:val="20"/>
              </w:rPr>
            </w:pPr>
            <w:r w:rsidRPr="00086ECB">
              <w:rPr>
                <w:rFonts w:ascii="Times New Roman" w:hAnsi="Times New Roman" w:cs="Times New Roman"/>
                <w:sz w:val="20"/>
                <w:szCs w:val="20"/>
              </w:rPr>
              <w:t>В административния договор за предоставяне на безвъзмездна финансова помощ по процедурата, УО на ОПДУ ще предвиди следните изисквания към бенефициента ВСС:</w:t>
            </w:r>
          </w:p>
          <w:p w14:paraId="7C4C044D" w14:textId="29580404" w:rsidR="00086ECB" w:rsidRPr="00086ECB" w:rsidRDefault="00086ECB" w:rsidP="00086ECB">
            <w:pPr>
              <w:pStyle w:val="ListParagraph"/>
              <w:numPr>
                <w:ilvl w:val="0"/>
                <w:numId w:val="13"/>
              </w:numPr>
              <w:tabs>
                <w:tab w:val="left" w:pos="345"/>
              </w:tabs>
              <w:spacing w:after="120"/>
              <w:ind w:left="346" w:hanging="142"/>
              <w:contextualSpacing w:val="0"/>
              <w:jc w:val="both"/>
              <w:rPr>
                <w:rFonts w:ascii="Times New Roman" w:hAnsi="Times New Roman" w:cs="Times New Roman"/>
                <w:sz w:val="20"/>
                <w:szCs w:val="20"/>
              </w:rPr>
            </w:pPr>
            <w:r w:rsidRPr="00086ECB">
              <w:rPr>
                <w:rFonts w:ascii="Times New Roman" w:hAnsi="Times New Roman" w:cs="Times New Roman"/>
                <w:sz w:val="20"/>
                <w:szCs w:val="20"/>
              </w:rPr>
              <w:t>да осигури и гарантира възможност разработения по проекта софтуер да се използва и адаптира за нуждите на други държавни органи и администрации;</w:t>
            </w:r>
          </w:p>
          <w:p w14:paraId="1A1A6405" w14:textId="77777777" w:rsidR="00086ECB" w:rsidRPr="00B1304F" w:rsidRDefault="00086ECB" w:rsidP="00086ECB">
            <w:pPr>
              <w:pStyle w:val="ListParagraph"/>
              <w:numPr>
                <w:ilvl w:val="0"/>
                <w:numId w:val="13"/>
              </w:numPr>
              <w:tabs>
                <w:tab w:val="left" w:pos="345"/>
              </w:tabs>
              <w:spacing w:after="120"/>
              <w:ind w:left="346" w:hanging="142"/>
              <w:contextualSpacing w:val="0"/>
              <w:jc w:val="both"/>
              <w:rPr>
                <w:rFonts w:ascii="Times New Roman" w:hAnsi="Times New Roman" w:cs="Times New Roman"/>
                <w:b/>
                <w:i/>
                <w:sz w:val="20"/>
                <w:szCs w:val="20"/>
              </w:rPr>
            </w:pPr>
            <w:r w:rsidRPr="00086ECB">
              <w:rPr>
                <w:rFonts w:ascii="Times New Roman" w:hAnsi="Times New Roman" w:cs="Times New Roman"/>
                <w:sz w:val="20"/>
                <w:szCs w:val="20"/>
              </w:rPr>
              <w:t>да предоставя безвъзмездно разработения по проекта софтуер на други държавни органи и администрации при поискване от тяхна страна, за ползване на продукта и адаптиране към техните нужди при необходимост.</w:t>
            </w:r>
          </w:p>
          <w:p w14:paraId="086F9237" w14:textId="77777777" w:rsidR="00B1304F" w:rsidRPr="00B1304F" w:rsidRDefault="00B1304F" w:rsidP="00B1304F">
            <w:pPr>
              <w:spacing w:after="120"/>
              <w:jc w:val="both"/>
              <w:outlineLvl w:val="0"/>
              <w:rPr>
                <w:rFonts w:ascii="Times New Roman" w:hAnsi="Times New Roman" w:cs="Times New Roman"/>
                <w:sz w:val="20"/>
                <w:szCs w:val="20"/>
              </w:rPr>
            </w:pPr>
            <w:r w:rsidRPr="00B1304F">
              <w:rPr>
                <w:rFonts w:ascii="Times New Roman" w:hAnsi="Times New Roman" w:cs="Times New Roman"/>
                <w:sz w:val="20"/>
                <w:szCs w:val="20"/>
              </w:rPr>
              <w:t>В допълнение в Критериите за подбор на операции е включено изискване п</w:t>
            </w:r>
            <w:r w:rsidRPr="00B1304F">
              <w:rPr>
                <w:rFonts w:ascii="Times New Roman" w:hAnsi="Times New Roman" w:cs="Times New Roman"/>
                <w:bCs/>
                <w:sz w:val="20"/>
                <w:szCs w:val="20"/>
              </w:rPr>
              <w:t xml:space="preserve">роектът задължително се изпълнява при спазване на </w:t>
            </w:r>
            <w:hyperlink r:id="rId9" w:history="1">
              <w:r w:rsidRPr="00B1304F">
                <w:rPr>
                  <w:rStyle w:val="Hyperlink"/>
                  <w:rFonts w:ascii="Times New Roman" w:hAnsi="Times New Roman" w:cs="Times New Roman"/>
                  <w:b/>
                  <w:i/>
                  <w:sz w:val="20"/>
                  <w:szCs w:val="20"/>
                </w:rPr>
                <w:t>Предварителни условия за допустимост на проекти за е-управление по ОПДУ</w:t>
              </w:r>
            </w:hyperlink>
            <w:r w:rsidRPr="00B1304F">
              <w:rPr>
                <w:rFonts w:ascii="Times New Roman" w:hAnsi="Times New Roman" w:cs="Times New Roman"/>
                <w:bCs/>
                <w:sz w:val="20"/>
                <w:szCs w:val="20"/>
              </w:rPr>
              <w:t>, които ще бъдат част от Насоките за кандидатстване.</w:t>
            </w:r>
          </w:p>
          <w:p w14:paraId="708DF98E" w14:textId="7DB4495E" w:rsidR="00386E8E" w:rsidRPr="00B1304F" w:rsidRDefault="00386E8E" w:rsidP="00B1304F">
            <w:pPr>
              <w:tabs>
                <w:tab w:val="left" w:pos="345"/>
              </w:tabs>
              <w:spacing w:after="120"/>
              <w:jc w:val="both"/>
              <w:rPr>
                <w:rFonts w:ascii="Times New Roman" w:hAnsi="Times New Roman" w:cs="Times New Roman"/>
                <w:b/>
                <w:i/>
                <w:sz w:val="20"/>
                <w:szCs w:val="20"/>
              </w:rPr>
            </w:pPr>
          </w:p>
        </w:tc>
      </w:tr>
    </w:tbl>
    <w:p w14:paraId="3259ACB6" w14:textId="77777777" w:rsidR="00BC0138" w:rsidRPr="00205B2C" w:rsidRDefault="00BC0138" w:rsidP="00652EBD">
      <w:pPr>
        <w:jc w:val="both"/>
        <w:rPr>
          <w:rFonts w:ascii="Times New Roman" w:hAnsi="Times New Roman" w:cs="Times New Roman"/>
          <w:sz w:val="24"/>
          <w:szCs w:val="24"/>
        </w:rPr>
      </w:pPr>
    </w:p>
    <w:sectPr w:rsidR="00BC0138" w:rsidRPr="00205B2C" w:rsidSect="00652EBD">
      <w:pgSz w:w="16838" w:h="11906" w:orient="landscape"/>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4F048" w14:textId="77777777" w:rsidR="00433D42" w:rsidRDefault="00433D42" w:rsidP="00433D42">
      <w:pPr>
        <w:spacing w:after="0" w:line="240" w:lineRule="auto"/>
      </w:pPr>
      <w:r>
        <w:separator/>
      </w:r>
    </w:p>
  </w:endnote>
  <w:endnote w:type="continuationSeparator" w:id="0">
    <w:p w14:paraId="34B91AF0" w14:textId="77777777" w:rsidR="00433D42" w:rsidRDefault="00433D42" w:rsidP="0043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73611" w14:textId="77777777" w:rsidR="00433D42" w:rsidRDefault="00433D42" w:rsidP="00433D42">
      <w:pPr>
        <w:spacing w:after="0" w:line="240" w:lineRule="auto"/>
      </w:pPr>
      <w:r>
        <w:separator/>
      </w:r>
    </w:p>
  </w:footnote>
  <w:footnote w:type="continuationSeparator" w:id="0">
    <w:p w14:paraId="3FA3F20F" w14:textId="77777777" w:rsidR="00433D42" w:rsidRDefault="00433D42" w:rsidP="00433D42">
      <w:pPr>
        <w:spacing w:after="0" w:line="240" w:lineRule="auto"/>
      </w:pPr>
      <w:r>
        <w:continuationSeparator/>
      </w:r>
    </w:p>
  </w:footnote>
  <w:footnote w:id="1">
    <w:p w14:paraId="35ABB7D5" w14:textId="741DF959" w:rsidR="00433D42" w:rsidRPr="00433D42" w:rsidRDefault="00433D42">
      <w:pPr>
        <w:pStyle w:val="FootnoteText"/>
        <w:rPr>
          <w:rFonts w:ascii="Times New Roman" w:hAnsi="Times New Roman" w:cs="Times New Roman"/>
          <w:bCs/>
          <w:i/>
          <w:iCs/>
        </w:rPr>
      </w:pPr>
      <w:r>
        <w:rPr>
          <w:rStyle w:val="FootnoteReference"/>
        </w:rPr>
        <w:footnoteRef/>
      </w:r>
      <w:r>
        <w:t xml:space="preserve"> </w:t>
      </w:r>
      <w:r w:rsidRPr="00433D42">
        <w:rPr>
          <w:rFonts w:ascii="Times New Roman" w:hAnsi="Times New Roman" w:cs="Times New Roman"/>
          <w:bCs/>
          <w:i/>
          <w:iCs/>
        </w:rPr>
        <w:t>Коментарите на ГД „Трудова заетост, социални въпроси и приобщаване” на Европейската комисия са получени на английски и са преведени от УО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5FAB"/>
    <w:multiLevelType w:val="hybridMultilevel"/>
    <w:tmpl w:val="75860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E01239E"/>
    <w:multiLevelType w:val="hybridMultilevel"/>
    <w:tmpl w:val="5A12E9CE"/>
    <w:lvl w:ilvl="0" w:tplc="3E1E5A0E">
      <w:numFmt w:val="bullet"/>
      <w:lvlText w:val="-"/>
      <w:lvlJc w:val="left"/>
      <w:pPr>
        <w:ind w:left="564" w:hanging="360"/>
      </w:pPr>
      <w:rPr>
        <w:rFonts w:ascii="Times New Roman" w:eastAsiaTheme="minorHAnsi"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 w15:restartNumberingAfterBreak="0">
    <w:nsid w:val="2E081215"/>
    <w:multiLevelType w:val="hybridMultilevel"/>
    <w:tmpl w:val="7A2A09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08D40B7"/>
    <w:multiLevelType w:val="hybridMultilevel"/>
    <w:tmpl w:val="7102FA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DC1C02"/>
    <w:multiLevelType w:val="hybridMultilevel"/>
    <w:tmpl w:val="7E84239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7F854ED"/>
    <w:multiLevelType w:val="hybridMultilevel"/>
    <w:tmpl w:val="51EAE5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9522174"/>
    <w:multiLevelType w:val="hybridMultilevel"/>
    <w:tmpl w:val="4240E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DA24D5"/>
    <w:multiLevelType w:val="hybridMultilevel"/>
    <w:tmpl w:val="2E829FCC"/>
    <w:lvl w:ilvl="0" w:tplc="73EEF61C">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9780DAE"/>
    <w:multiLevelType w:val="hybridMultilevel"/>
    <w:tmpl w:val="B5E224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BC14438"/>
    <w:multiLevelType w:val="hybridMultilevel"/>
    <w:tmpl w:val="B62E830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D5A15A5"/>
    <w:multiLevelType w:val="hybridMultilevel"/>
    <w:tmpl w:val="199CC178"/>
    <w:lvl w:ilvl="0" w:tplc="73EEF61C">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B4353A"/>
    <w:multiLevelType w:val="hybridMultilevel"/>
    <w:tmpl w:val="AB9639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CC90079"/>
    <w:multiLevelType w:val="hybridMultilevel"/>
    <w:tmpl w:val="1A581F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6"/>
  </w:num>
  <w:num w:numId="7">
    <w:abstractNumId w:val="7"/>
  </w:num>
  <w:num w:numId="8">
    <w:abstractNumId w:val="0"/>
  </w:num>
  <w:num w:numId="9">
    <w:abstractNumId w:val="8"/>
  </w:num>
  <w:num w:numId="10">
    <w:abstractNumId w:val="10"/>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C"/>
    <w:rsid w:val="00021931"/>
    <w:rsid w:val="0002352D"/>
    <w:rsid w:val="00025A9C"/>
    <w:rsid w:val="00026A05"/>
    <w:rsid w:val="00032C97"/>
    <w:rsid w:val="00086ECB"/>
    <w:rsid w:val="000A0A5B"/>
    <w:rsid w:val="000C17AE"/>
    <w:rsid w:val="000D0B71"/>
    <w:rsid w:val="000E2BAA"/>
    <w:rsid w:val="0014015A"/>
    <w:rsid w:val="00146955"/>
    <w:rsid w:val="00147E50"/>
    <w:rsid w:val="00150E3A"/>
    <w:rsid w:val="00183CFD"/>
    <w:rsid w:val="0019079A"/>
    <w:rsid w:val="00205B2C"/>
    <w:rsid w:val="002121A1"/>
    <w:rsid w:val="00223D78"/>
    <w:rsid w:val="00225717"/>
    <w:rsid w:val="002A0923"/>
    <w:rsid w:val="002B0223"/>
    <w:rsid w:val="002C6055"/>
    <w:rsid w:val="0032125E"/>
    <w:rsid w:val="003362AB"/>
    <w:rsid w:val="00346537"/>
    <w:rsid w:val="003613A6"/>
    <w:rsid w:val="00373117"/>
    <w:rsid w:val="00386E8E"/>
    <w:rsid w:val="00395CA5"/>
    <w:rsid w:val="003E12AD"/>
    <w:rsid w:val="003E6763"/>
    <w:rsid w:val="0041640C"/>
    <w:rsid w:val="004232B7"/>
    <w:rsid w:val="00433D42"/>
    <w:rsid w:val="00444997"/>
    <w:rsid w:val="00460383"/>
    <w:rsid w:val="0046649D"/>
    <w:rsid w:val="00486FD2"/>
    <w:rsid w:val="004B5C01"/>
    <w:rsid w:val="004C34E9"/>
    <w:rsid w:val="004F398F"/>
    <w:rsid w:val="004F4E30"/>
    <w:rsid w:val="004F5773"/>
    <w:rsid w:val="00514BC8"/>
    <w:rsid w:val="005412D0"/>
    <w:rsid w:val="005609A7"/>
    <w:rsid w:val="00570418"/>
    <w:rsid w:val="005A0E6F"/>
    <w:rsid w:val="005C5602"/>
    <w:rsid w:val="005D0D97"/>
    <w:rsid w:val="005D7967"/>
    <w:rsid w:val="005E0255"/>
    <w:rsid w:val="005E2AC6"/>
    <w:rsid w:val="005F7BC7"/>
    <w:rsid w:val="00606E16"/>
    <w:rsid w:val="006149E9"/>
    <w:rsid w:val="00624DC5"/>
    <w:rsid w:val="00635FB9"/>
    <w:rsid w:val="006517D9"/>
    <w:rsid w:val="00652EBD"/>
    <w:rsid w:val="00666014"/>
    <w:rsid w:val="0068019A"/>
    <w:rsid w:val="00693FCB"/>
    <w:rsid w:val="006A2B2B"/>
    <w:rsid w:val="006C66B2"/>
    <w:rsid w:val="00714D93"/>
    <w:rsid w:val="00722180"/>
    <w:rsid w:val="00734D09"/>
    <w:rsid w:val="007F1D05"/>
    <w:rsid w:val="007F70FF"/>
    <w:rsid w:val="00814E2E"/>
    <w:rsid w:val="00816538"/>
    <w:rsid w:val="00853B10"/>
    <w:rsid w:val="00854066"/>
    <w:rsid w:val="008B552B"/>
    <w:rsid w:val="008C3FA3"/>
    <w:rsid w:val="008D49C3"/>
    <w:rsid w:val="008E025E"/>
    <w:rsid w:val="008E4759"/>
    <w:rsid w:val="008F00BA"/>
    <w:rsid w:val="009008DE"/>
    <w:rsid w:val="00915645"/>
    <w:rsid w:val="0094027C"/>
    <w:rsid w:val="00946972"/>
    <w:rsid w:val="009850DB"/>
    <w:rsid w:val="00987A37"/>
    <w:rsid w:val="00991846"/>
    <w:rsid w:val="00991E03"/>
    <w:rsid w:val="009A5A3B"/>
    <w:rsid w:val="009B642D"/>
    <w:rsid w:val="009E19C4"/>
    <w:rsid w:val="00A1210A"/>
    <w:rsid w:val="00A24D70"/>
    <w:rsid w:val="00A36BB0"/>
    <w:rsid w:val="00A616B5"/>
    <w:rsid w:val="00A734C8"/>
    <w:rsid w:val="00A974FA"/>
    <w:rsid w:val="00AA2FDB"/>
    <w:rsid w:val="00AD543C"/>
    <w:rsid w:val="00AE775D"/>
    <w:rsid w:val="00AE7A95"/>
    <w:rsid w:val="00B1304F"/>
    <w:rsid w:val="00B15B67"/>
    <w:rsid w:val="00BA5321"/>
    <w:rsid w:val="00BC0138"/>
    <w:rsid w:val="00C158C8"/>
    <w:rsid w:val="00C172AE"/>
    <w:rsid w:val="00C341F3"/>
    <w:rsid w:val="00C448AB"/>
    <w:rsid w:val="00C62533"/>
    <w:rsid w:val="00C631E4"/>
    <w:rsid w:val="00CD4DC7"/>
    <w:rsid w:val="00CE2F91"/>
    <w:rsid w:val="00D2137B"/>
    <w:rsid w:val="00D260B4"/>
    <w:rsid w:val="00D42C82"/>
    <w:rsid w:val="00D457E2"/>
    <w:rsid w:val="00DE5D74"/>
    <w:rsid w:val="00ED07AB"/>
    <w:rsid w:val="00EE093D"/>
    <w:rsid w:val="00EE6909"/>
    <w:rsid w:val="00F21369"/>
    <w:rsid w:val="00F3119A"/>
    <w:rsid w:val="00F60F0A"/>
    <w:rsid w:val="00F66AA5"/>
    <w:rsid w:val="00F7479F"/>
    <w:rsid w:val="00FD2ABF"/>
    <w:rsid w:val="00FD6852"/>
    <w:rsid w:val="00FE17DE"/>
    <w:rsid w:val="00FE63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5411"/>
  <w15:docId w15:val="{F102FA5F-B7BC-4F6A-BAC0-5DF53DF0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D685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D6852"/>
    <w:rPr>
      <w:rFonts w:ascii="Calibri" w:hAnsi="Calibri" w:cs="Consolas"/>
      <w:szCs w:val="21"/>
    </w:rPr>
  </w:style>
  <w:style w:type="character" w:styleId="CommentReference">
    <w:name w:val="annotation reference"/>
    <w:basedOn w:val="DefaultParagraphFont"/>
    <w:uiPriority w:val="99"/>
    <w:semiHidden/>
    <w:unhideWhenUsed/>
    <w:rsid w:val="00FD6852"/>
    <w:rPr>
      <w:sz w:val="16"/>
      <w:szCs w:val="16"/>
    </w:rPr>
  </w:style>
  <w:style w:type="paragraph" w:styleId="CommentText">
    <w:name w:val="annotation text"/>
    <w:basedOn w:val="Normal"/>
    <w:link w:val="CommentTextChar"/>
    <w:uiPriority w:val="99"/>
    <w:semiHidden/>
    <w:unhideWhenUsed/>
    <w:rsid w:val="00FD6852"/>
    <w:pPr>
      <w:spacing w:line="240" w:lineRule="auto"/>
    </w:pPr>
    <w:rPr>
      <w:sz w:val="20"/>
      <w:szCs w:val="20"/>
    </w:rPr>
  </w:style>
  <w:style w:type="character" w:customStyle="1" w:styleId="CommentTextChar">
    <w:name w:val="Comment Text Char"/>
    <w:basedOn w:val="DefaultParagraphFont"/>
    <w:link w:val="CommentText"/>
    <w:uiPriority w:val="99"/>
    <w:semiHidden/>
    <w:rsid w:val="00FD6852"/>
    <w:rPr>
      <w:sz w:val="20"/>
      <w:szCs w:val="20"/>
    </w:rPr>
  </w:style>
  <w:style w:type="paragraph" w:styleId="CommentSubject">
    <w:name w:val="annotation subject"/>
    <w:basedOn w:val="CommentText"/>
    <w:next w:val="CommentText"/>
    <w:link w:val="CommentSubjectChar"/>
    <w:uiPriority w:val="99"/>
    <w:semiHidden/>
    <w:unhideWhenUsed/>
    <w:rsid w:val="00FD6852"/>
    <w:rPr>
      <w:b/>
      <w:bCs/>
    </w:rPr>
  </w:style>
  <w:style w:type="character" w:customStyle="1" w:styleId="CommentSubjectChar">
    <w:name w:val="Comment Subject Char"/>
    <w:basedOn w:val="CommentTextChar"/>
    <w:link w:val="CommentSubject"/>
    <w:uiPriority w:val="99"/>
    <w:semiHidden/>
    <w:rsid w:val="00FD6852"/>
    <w:rPr>
      <w:b/>
      <w:bCs/>
      <w:sz w:val="20"/>
      <w:szCs w:val="20"/>
    </w:rPr>
  </w:style>
  <w:style w:type="paragraph" w:styleId="BalloonText">
    <w:name w:val="Balloon Text"/>
    <w:basedOn w:val="Normal"/>
    <w:link w:val="BalloonTextChar"/>
    <w:uiPriority w:val="99"/>
    <w:semiHidden/>
    <w:unhideWhenUsed/>
    <w:rsid w:val="00FD6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52"/>
    <w:rPr>
      <w:rFonts w:ascii="Segoe UI" w:hAnsi="Segoe UI" w:cs="Segoe UI"/>
      <w:sz w:val="18"/>
      <w:szCs w:val="18"/>
    </w:rPr>
  </w:style>
  <w:style w:type="paragraph" w:styleId="ListParagraph">
    <w:name w:val="List Paragraph"/>
    <w:basedOn w:val="Normal"/>
    <w:uiPriority w:val="34"/>
    <w:qFormat/>
    <w:rsid w:val="00225717"/>
    <w:pPr>
      <w:ind w:left="720"/>
      <w:contextualSpacing/>
    </w:pPr>
  </w:style>
  <w:style w:type="character" w:styleId="Hyperlink">
    <w:name w:val="Hyperlink"/>
    <w:basedOn w:val="DefaultParagraphFont"/>
    <w:uiPriority w:val="99"/>
    <w:unhideWhenUsed/>
    <w:rsid w:val="005A0E6F"/>
    <w:rPr>
      <w:color w:val="0563C1" w:themeColor="hyperlink"/>
      <w:u w:val="single"/>
    </w:rPr>
  </w:style>
  <w:style w:type="character" w:styleId="FollowedHyperlink">
    <w:name w:val="FollowedHyperlink"/>
    <w:basedOn w:val="DefaultParagraphFont"/>
    <w:uiPriority w:val="99"/>
    <w:semiHidden/>
    <w:unhideWhenUsed/>
    <w:rsid w:val="00460383"/>
    <w:rPr>
      <w:color w:val="954F72" w:themeColor="followedHyperlink"/>
      <w:u w:val="single"/>
    </w:rPr>
  </w:style>
  <w:style w:type="paragraph" w:customStyle="1" w:styleId="Default">
    <w:name w:val="Default"/>
    <w:rsid w:val="00624DC5"/>
    <w:pPr>
      <w:autoSpaceDE w:val="0"/>
      <w:autoSpaceDN w:val="0"/>
      <w:adjustRightInd w:val="0"/>
      <w:spacing w:after="0" w:line="240" w:lineRule="auto"/>
    </w:pPr>
    <w:rPr>
      <w:rFonts w:ascii="Times New Roman" w:eastAsia="SimSun" w:hAnsi="Times New Roman" w:cs="Times New Roman"/>
      <w:color w:val="000000"/>
      <w:sz w:val="24"/>
      <w:szCs w:val="24"/>
      <w:lang w:eastAsia="bg-BG"/>
    </w:rPr>
  </w:style>
  <w:style w:type="paragraph" w:styleId="FootnoteText">
    <w:name w:val="footnote text"/>
    <w:basedOn w:val="Normal"/>
    <w:link w:val="FootnoteTextChar"/>
    <w:uiPriority w:val="99"/>
    <w:semiHidden/>
    <w:unhideWhenUsed/>
    <w:rsid w:val="00433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D42"/>
    <w:rPr>
      <w:sz w:val="20"/>
      <w:szCs w:val="20"/>
    </w:rPr>
  </w:style>
  <w:style w:type="character" w:styleId="FootnoteReference">
    <w:name w:val="footnote reference"/>
    <w:basedOn w:val="DefaultParagraphFont"/>
    <w:uiPriority w:val="99"/>
    <w:semiHidden/>
    <w:unhideWhenUsed/>
    <w:rsid w:val="00433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0943">
      <w:bodyDiv w:val="1"/>
      <w:marLeft w:val="0"/>
      <w:marRight w:val="0"/>
      <w:marTop w:val="0"/>
      <w:marBottom w:val="0"/>
      <w:divBdr>
        <w:top w:val="none" w:sz="0" w:space="0" w:color="auto"/>
        <w:left w:val="none" w:sz="0" w:space="0" w:color="auto"/>
        <w:bottom w:val="none" w:sz="0" w:space="0" w:color="auto"/>
        <w:right w:val="none" w:sz="0" w:space="0" w:color="auto"/>
      </w:divBdr>
    </w:div>
    <w:div w:id="333802717">
      <w:bodyDiv w:val="1"/>
      <w:marLeft w:val="0"/>
      <w:marRight w:val="0"/>
      <w:marTop w:val="0"/>
      <w:marBottom w:val="0"/>
      <w:divBdr>
        <w:top w:val="none" w:sz="0" w:space="0" w:color="auto"/>
        <w:left w:val="none" w:sz="0" w:space="0" w:color="auto"/>
        <w:bottom w:val="none" w:sz="0" w:space="0" w:color="auto"/>
        <w:right w:val="none" w:sz="0" w:space="0" w:color="auto"/>
      </w:divBdr>
    </w:div>
    <w:div w:id="506754051">
      <w:bodyDiv w:val="1"/>
      <w:marLeft w:val="0"/>
      <w:marRight w:val="0"/>
      <w:marTop w:val="0"/>
      <w:marBottom w:val="0"/>
      <w:divBdr>
        <w:top w:val="none" w:sz="0" w:space="0" w:color="auto"/>
        <w:left w:val="none" w:sz="0" w:space="0" w:color="auto"/>
        <w:bottom w:val="none" w:sz="0" w:space="0" w:color="auto"/>
        <w:right w:val="none" w:sz="0" w:space="0" w:color="auto"/>
      </w:divBdr>
    </w:div>
    <w:div w:id="662396577">
      <w:bodyDiv w:val="1"/>
      <w:marLeft w:val="0"/>
      <w:marRight w:val="0"/>
      <w:marTop w:val="0"/>
      <w:marBottom w:val="0"/>
      <w:divBdr>
        <w:top w:val="none" w:sz="0" w:space="0" w:color="auto"/>
        <w:left w:val="none" w:sz="0" w:space="0" w:color="auto"/>
        <w:bottom w:val="none" w:sz="0" w:space="0" w:color="auto"/>
        <w:right w:val="none" w:sz="0" w:space="0" w:color="auto"/>
      </w:divBdr>
    </w:div>
    <w:div w:id="757363738">
      <w:bodyDiv w:val="1"/>
      <w:marLeft w:val="0"/>
      <w:marRight w:val="0"/>
      <w:marTop w:val="0"/>
      <w:marBottom w:val="0"/>
      <w:divBdr>
        <w:top w:val="none" w:sz="0" w:space="0" w:color="auto"/>
        <w:left w:val="none" w:sz="0" w:space="0" w:color="auto"/>
        <w:bottom w:val="none" w:sz="0" w:space="0" w:color="auto"/>
        <w:right w:val="none" w:sz="0" w:space="0" w:color="auto"/>
      </w:divBdr>
    </w:div>
    <w:div w:id="779110195">
      <w:bodyDiv w:val="1"/>
      <w:marLeft w:val="0"/>
      <w:marRight w:val="0"/>
      <w:marTop w:val="0"/>
      <w:marBottom w:val="0"/>
      <w:divBdr>
        <w:top w:val="none" w:sz="0" w:space="0" w:color="auto"/>
        <w:left w:val="none" w:sz="0" w:space="0" w:color="auto"/>
        <w:bottom w:val="none" w:sz="0" w:space="0" w:color="auto"/>
        <w:right w:val="none" w:sz="0" w:space="0" w:color="auto"/>
      </w:divBdr>
    </w:div>
    <w:div w:id="823736534">
      <w:bodyDiv w:val="1"/>
      <w:marLeft w:val="0"/>
      <w:marRight w:val="0"/>
      <w:marTop w:val="0"/>
      <w:marBottom w:val="0"/>
      <w:divBdr>
        <w:top w:val="none" w:sz="0" w:space="0" w:color="auto"/>
        <w:left w:val="none" w:sz="0" w:space="0" w:color="auto"/>
        <w:bottom w:val="none" w:sz="0" w:space="0" w:color="auto"/>
        <w:right w:val="none" w:sz="0" w:space="0" w:color="auto"/>
      </w:divBdr>
    </w:div>
    <w:div w:id="852842023">
      <w:bodyDiv w:val="1"/>
      <w:marLeft w:val="0"/>
      <w:marRight w:val="0"/>
      <w:marTop w:val="0"/>
      <w:marBottom w:val="0"/>
      <w:divBdr>
        <w:top w:val="none" w:sz="0" w:space="0" w:color="auto"/>
        <w:left w:val="none" w:sz="0" w:space="0" w:color="auto"/>
        <w:bottom w:val="none" w:sz="0" w:space="0" w:color="auto"/>
        <w:right w:val="none" w:sz="0" w:space="0" w:color="auto"/>
      </w:divBdr>
    </w:div>
    <w:div w:id="909579550">
      <w:bodyDiv w:val="1"/>
      <w:marLeft w:val="0"/>
      <w:marRight w:val="0"/>
      <w:marTop w:val="0"/>
      <w:marBottom w:val="0"/>
      <w:divBdr>
        <w:top w:val="none" w:sz="0" w:space="0" w:color="auto"/>
        <w:left w:val="none" w:sz="0" w:space="0" w:color="auto"/>
        <w:bottom w:val="none" w:sz="0" w:space="0" w:color="auto"/>
        <w:right w:val="none" w:sz="0" w:space="0" w:color="auto"/>
      </w:divBdr>
    </w:div>
    <w:div w:id="1170294733">
      <w:bodyDiv w:val="1"/>
      <w:marLeft w:val="0"/>
      <w:marRight w:val="0"/>
      <w:marTop w:val="0"/>
      <w:marBottom w:val="0"/>
      <w:divBdr>
        <w:top w:val="none" w:sz="0" w:space="0" w:color="auto"/>
        <w:left w:val="none" w:sz="0" w:space="0" w:color="auto"/>
        <w:bottom w:val="none" w:sz="0" w:space="0" w:color="auto"/>
        <w:right w:val="none" w:sz="0" w:space="0" w:color="auto"/>
      </w:divBdr>
    </w:div>
    <w:div w:id="1235819609">
      <w:bodyDiv w:val="1"/>
      <w:marLeft w:val="0"/>
      <w:marRight w:val="0"/>
      <w:marTop w:val="0"/>
      <w:marBottom w:val="0"/>
      <w:divBdr>
        <w:top w:val="none" w:sz="0" w:space="0" w:color="auto"/>
        <w:left w:val="none" w:sz="0" w:space="0" w:color="auto"/>
        <w:bottom w:val="none" w:sz="0" w:space="0" w:color="auto"/>
        <w:right w:val="none" w:sz="0" w:space="0" w:color="auto"/>
      </w:divBdr>
    </w:div>
    <w:div w:id="1240555062">
      <w:bodyDiv w:val="1"/>
      <w:marLeft w:val="0"/>
      <w:marRight w:val="0"/>
      <w:marTop w:val="0"/>
      <w:marBottom w:val="0"/>
      <w:divBdr>
        <w:top w:val="none" w:sz="0" w:space="0" w:color="auto"/>
        <w:left w:val="none" w:sz="0" w:space="0" w:color="auto"/>
        <w:bottom w:val="none" w:sz="0" w:space="0" w:color="auto"/>
        <w:right w:val="none" w:sz="0" w:space="0" w:color="auto"/>
      </w:divBdr>
    </w:div>
    <w:div w:id="1253583870">
      <w:bodyDiv w:val="1"/>
      <w:marLeft w:val="0"/>
      <w:marRight w:val="0"/>
      <w:marTop w:val="0"/>
      <w:marBottom w:val="0"/>
      <w:divBdr>
        <w:top w:val="none" w:sz="0" w:space="0" w:color="auto"/>
        <w:left w:val="none" w:sz="0" w:space="0" w:color="auto"/>
        <w:bottom w:val="none" w:sz="0" w:space="0" w:color="auto"/>
        <w:right w:val="none" w:sz="0" w:space="0" w:color="auto"/>
      </w:divBdr>
    </w:div>
    <w:div w:id="1270353315">
      <w:bodyDiv w:val="1"/>
      <w:marLeft w:val="0"/>
      <w:marRight w:val="0"/>
      <w:marTop w:val="0"/>
      <w:marBottom w:val="0"/>
      <w:divBdr>
        <w:top w:val="none" w:sz="0" w:space="0" w:color="auto"/>
        <w:left w:val="none" w:sz="0" w:space="0" w:color="auto"/>
        <w:bottom w:val="none" w:sz="0" w:space="0" w:color="auto"/>
        <w:right w:val="none" w:sz="0" w:space="0" w:color="auto"/>
      </w:divBdr>
    </w:div>
    <w:div w:id="1314025385">
      <w:bodyDiv w:val="1"/>
      <w:marLeft w:val="0"/>
      <w:marRight w:val="0"/>
      <w:marTop w:val="0"/>
      <w:marBottom w:val="0"/>
      <w:divBdr>
        <w:top w:val="none" w:sz="0" w:space="0" w:color="auto"/>
        <w:left w:val="none" w:sz="0" w:space="0" w:color="auto"/>
        <w:bottom w:val="none" w:sz="0" w:space="0" w:color="auto"/>
        <w:right w:val="none" w:sz="0" w:space="0" w:color="auto"/>
      </w:divBdr>
    </w:div>
    <w:div w:id="1510026371">
      <w:bodyDiv w:val="1"/>
      <w:marLeft w:val="0"/>
      <w:marRight w:val="0"/>
      <w:marTop w:val="0"/>
      <w:marBottom w:val="0"/>
      <w:divBdr>
        <w:top w:val="none" w:sz="0" w:space="0" w:color="auto"/>
        <w:left w:val="none" w:sz="0" w:space="0" w:color="auto"/>
        <w:bottom w:val="none" w:sz="0" w:space="0" w:color="auto"/>
        <w:right w:val="none" w:sz="0" w:space="0" w:color="auto"/>
      </w:divBdr>
    </w:div>
    <w:div w:id="1637174350">
      <w:bodyDiv w:val="1"/>
      <w:marLeft w:val="0"/>
      <w:marRight w:val="0"/>
      <w:marTop w:val="0"/>
      <w:marBottom w:val="0"/>
      <w:divBdr>
        <w:top w:val="none" w:sz="0" w:space="0" w:color="auto"/>
        <w:left w:val="none" w:sz="0" w:space="0" w:color="auto"/>
        <w:bottom w:val="none" w:sz="0" w:space="0" w:color="auto"/>
        <w:right w:val="none" w:sz="0" w:space="0" w:color="auto"/>
      </w:divBdr>
    </w:div>
    <w:div w:id="1646474667">
      <w:bodyDiv w:val="1"/>
      <w:marLeft w:val="0"/>
      <w:marRight w:val="0"/>
      <w:marTop w:val="0"/>
      <w:marBottom w:val="0"/>
      <w:divBdr>
        <w:top w:val="none" w:sz="0" w:space="0" w:color="auto"/>
        <w:left w:val="none" w:sz="0" w:space="0" w:color="auto"/>
        <w:bottom w:val="none" w:sz="0" w:space="0" w:color="auto"/>
        <w:right w:val="none" w:sz="0" w:space="0" w:color="auto"/>
      </w:divBdr>
    </w:div>
    <w:div w:id="1827895034">
      <w:bodyDiv w:val="1"/>
      <w:marLeft w:val="0"/>
      <w:marRight w:val="0"/>
      <w:marTop w:val="0"/>
      <w:marBottom w:val="0"/>
      <w:divBdr>
        <w:top w:val="none" w:sz="0" w:space="0" w:color="auto"/>
        <w:left w:val="none" w:sz="0" w:space="0" w:color="auto"/>
        <w:bottom w:val="none" w:sz="0" w:space="0" w:color="auto"/>
        <w:right w:val="none" w:sz="0" w:space="0" w:color="auto"/>
      </w:divBdr>
    </w:div>
    <w:div w:id="1860897829">
      <w:bodyDiv w:val="1"/>
      <w:marLeft w:val="0"/>
      <w:marRight w:val="0"/>
      <w:marTop w:val="0"/>
      <w:marBottom w:val="0"/>
      <w:divBdr>
        <w:top w:val="none" w:sz="0" w:space="0" w:color="auto"/>
        <w:left w:val="none" w:sz="0" w:space="0" w:color="auto"/>
        <w:bottom w:val="none" w:sz="0" w:space="0" w:color="auto"/>
        <w:right w:val="none" w:sz="0" w:space="0" w:color="auto"/>
      </w:divBdr>
    </w:div>
    <w:div w:id="20413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sites/default/files/2018-11/_%D0%9F%D1%80%D0%B5%D0%B4%D0%B2%D0%B0%D1%80%D0%B8%D1%82%D0%B5%D0%BB%D0%BD%D0%B8_%D1%83%D1%81%D0%BB%D0%BE%D0%B2%D0%B8%D1%8F_%D0%B7%D0%B0_%D0%B4%D0%BE%D0%BF%D1%83%D1%81%D1%82%D0%B8%D0%BC%D0%BE%D1%81%D1%82_%D0%BD%D0%B0_%D0%BF%D1%80%D0%BE%D0%B5%D0%BA%D1%82%D0%B8.pdf_.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funds.bg/sites/default/files/2018-11/_%D0%9F%D1%80%D0%B5%D0%B4%D0%B2%D0%B0%D1%80%D0%B8%D1%82%D0%B5%D0%BB%D0%BD%D0%B8_%D1%83%D1%81%D0%BB%D0%BE%D0%B2%D0%B8%D1%8F_%D0%B7%D0%B0_%D0%B4%D0%BE%D0%BF%D1%83%D1%81%D1%82%D0%B8%D0%BC%D0%BE%D1%81%D1%82_%D0%BD%D0%B0_%D0%BF%D1%80%D0%BE%D0%B5%D0%BA%D1%82%D0%B8.pdf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59C9-9682-42BD-80C8-ABECE57D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CoM</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Мариана Димитрова</dc:creator>
  <cp:keywords/>
  <dc:description/>
  <cp:lastModifiedBy>Виктория Ангелова</cp:lastModifiedBy>
  <cp:revision>19</cp:revision>
  <cp:lastPrinted>2015-11-11T15:38:00Z</cp:lastPrinted>
  <dcterms:created xsi:type="dcterms:W3CDTF">2020-01-31T08:37:00Z</dcterms:created>
  <dcterms:modified xsi:type="dcterms:W3CDTF">2020-02-19T14:03:00Z</dcterms:modified>
</cp:coreProperties>
</file>