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377B" w14:textId="27A52CAF" w:rsidR="00755AD8" w:rsidRPr="000125BF" w:rsidRDefault="00755AD8" w:rsidP="00B97654">
      <w:pPr>
        <w:spacing w:after="0" w:line="240" w:lineRule="auto"/>
        <w:jc w:val="center"/>
        <w:rPr>
          <w:rFonts w:ascii="Times New Roman" w:hAnsi="Times New Roman" w:cs="Times New Roman"/>
          <w:b/>
        </w:rPr>
      </w:pPr>
      <w:r w:rsidRPr="000125BF">
        <w:rPr>
          <w:rFonts w:ascii="Times New Roman" w:hAnsi="Times New Roman" w:cs="Times New Roman"/>
          <w:b/>
        </w:rPr>
        <w:t xml:space="preserve">СЪГЛАСУВАТЕЛНА ТАБЛИЦА ЗА </w:t>
      </w:r>
    </w:p>
    <w:p w14:paraId="685257C0" w14:textId="77777777" w:rsidR="00755AD8" w:rsidRPr="000125BF" w:rsidRDefault="00755AD8" w:rsidP="00B97654">
      <w:pPr>
        <w:spacing w:after="0" w:line="240" w:lineRule="auto"/>
        <w:jc w:val="center"/>
        <w:rPr>
          <w:rFonts w:ascii="Times New Roman" w:hAnsi="Times New Roman" w:cs="Times New Roman"/>
          <w:b/>
        </w:rPr>
      </w:pPr>
    </w:p>
    <w:p w14:paraId="52A407BA" w14:textId="3C64E2DE" w:rsidR="00F2294B" w:rsidRPr="000125BF" w:rsidRDefault="00C525B0" w:rsidP="00755AD8">
      <w:pPr>
        <w:spacing w:after="0" w:line="240" w:lineRule="auto"/>
        <w:jc w:val="center"/>
        <w:rPr>
          <w:rFonts w:ascii="Times New Roman" w:eastAsia="Times New Roman" w:hAnsi="Times New Roman" w:cs="Times New Roman"/>
          <w:b/>
          <w:bCs/>
          <w:lang w:eastAsia="bg-BG"/>
        </w:rPr>
      </w:pPr>
      <w:r w:rsidRPr="000125BF">
        <w:rPr>
          <w:rFonts w:ascii="Times New Roman" w:hAnsi="Times New Roman" w:cs="Times New Roman"/>
          <w:b/>
        </w:rPr>
        <w:t>ПОЛУЧЕНИ</w:t>
      </w:r>
      <w:r w:rsidR="00755AD8" w:rsidRPr="000125BF">
        <w:rPr>
          <w:rFonts w:ascii="Times New Roman" w:hAnsi="Times New Roman" w:cs="Times New Roman"/>
          <w:b/>
        </w:rPr>
        <w:t xml:space="preserve"> ПИСМЕНИ</w:t>
      </w:r>
      <w:r w:rsidRPr="000125BF">
        <w:rPr>
          <w:rFonts w:ascii="Times New Roman" w:hAnsi="Times New Roman" w:cs="Times New Roman"/>
          <w:b/>
        </w:rPr>
        <w:t xml:space="preserve"> </w:t>
      </w:r>
      <w:r w:rsidR="00755AD8" w:rsidRPr="000125BF">
        <w:rPr>
          <w:rFonts w:ascii="Times New Roman" w:hAnsi="Times New Roman" w:cs="Times New Roman"/>
          <w:b/>
        </w:rPr>
        <w:t>СТАНОВИЩА ОТ ЧЛЕНОВЕТЕ НА ТРГ ЗА ОПЕУТП В РАМКИТЕ НА ПЪРВА ПИСМЕНА ПРОЦЕДУРА ЗА ВЗЕМАНЕ НА РЕШЕНИЕ, ПРОВЕДЕНА В ПЕРИОДА 20-27 МАРТ 2020 Г.</w:t>
      </w:r>
    </w:p>
    <w:p w14:paraId="56A4B69F" w14:textId="77777777" w:rsidR="00B97654" w:rsidRPr="000125BF" w:rsidRDefault="00B97654" w:rsidP="00B97654">
      <w:pPr>
        <w:spacing w:after="0" w:line="240" w:lineRule="auto"/>
        <w:ind w:firstLine="284"/>
        <w:jc w:val="center"/>
        <w:rPr>
          <w:rFonts w:ascii="Times New Roman" w:eastAsia="Times New Roman" w:hAnsi="Times New Roman" w:cs="Times New Roman"/>
          <w:b/>
          <w:bCs/>
          <w:caps/>
          <w:lang w:eastAsia="bg-BG"/>
        </w:rPr>
      </w:pPr>
    </w:p>
    <w:tbl>
      <w:tblPr>
        <w:tblStyle w:val="TableGrid"/>
        <w:tblW w:w="15163" w:type="dxa"/>
        <w:tblLayout w:type="fixed"/>
        <w:tblLook w:val="04A0" w:firstRow="1" w:lastRow="0" w:firstColumn="1" w:lastColumn="0" w:noHBand="0" w:noVBand="1"/>
      </w:tblPr>
      <w:tblGrid>
        <w:gridCol w:w="1271"/>
        <w:gridCol w:w="1843"/>
        <w:gridCol w:w="7938"/>
        <w:gridCol w:w="4111"/>
      </w:tblGrid>
      <w:tr w:rsidR="005C7A19" w:rsidRPr="000125BF" w14:paraId="18E28F42" w14:textId="77777777" w:rsidTr="00A74CB5">
        <w:trPr>
          <w:trHeight w:val="597"/>
          <w:tblHeader/>
        </w:trPr>
        <w:tc>
          <w:tcPr>
            <w:tcW w:w="1271" w:type="dxa"/>
            <w:shd w:val="clear" w:color="auto" w:fill="DEEAF6" w:themeFill="accent1" w:themeFillTint="33"/>
            <w:vAlign w:val="center"/>
          </w:tcPr>
          <w:p w14:paraId="79C95E08" w14:textId="77777777" w:rsidR="005C7A19" w:rsidRPr="000125BF" w:rsidRDefault="005C7A19" w:rsidP="00B97654">
            <w:pPr>
              <w:jc w:val="center"/>
              <w:rPr>
                <w:rFonts w:ascii="Times New Roman" w:hAnsi="Times New Roman" w:cs="Times New Roman"/>
                <w:b/>
              </w:rPr>
            </w:pPr>
            <w:r w:rsidRPr="000125BF">
              <w:rPr>
                <w:rFonts w:ascii="Times New Roman" w:hAnsi="Times New Roman" w:cs="Times New Roman"/>
                <w:b/>
              </w:rPr>
              <w:t>Дата на получаване</w:t>
            </w:r>
          </w:p>
        </w:tc>
        <w:tc>
          <w:tcPr>
            <w:tcW w:w="1843" w:type="dxa"/>
            <w:shd w:val="clear" w:color="auto" w:fill="DEEAF6" w:themeFill="accent1" w:themeFillTint="33"/>
            <w:vAlign w:val="center"/>
          </w:tcPr>
          <w:p w14:paraId="3D295596" w14:textId="4862FE5E" w:rsidR="005C7A19" w:rsidRPr="000125BF" w:rsidRDefault="005C7A19" w:rsidP="00B97654">
            <w:pPr>
              <w:jc w:val="center"/>
              <w:rPr>
                <w:rFonts w:ascii="Times New Roman" w:hAnsi="Times New Roman" w:cs="Times New Roman"/>
                <w:b/>
              </w:rPr>
            </w:pPr>
            <w:r w:rsidRPr="000125BF">
              <w:rPr>
                <w:rFonts w:ascii="Times New Roman" w:hAnsi="Times New Roman" w:cs="Times New Roman"/>
                <w:b/>
              </w:rPr>
              <w:t>Подател</w:t>
            </w:r>
          </w:p>
        </w:tc>
        <w:tc>
          <w:tcPr>
            <w:tcW w:w="7938" w:type="dxa"/>
            <w:shd w:val="clear" w:color="auto" w:fill="DEEAF6" w:themeFill="accent1" w:themeFillTint="33"/>
            <w:vAlign w:val="center"/>
          </w:tcPr>
          <w:p w14:paraId="75C53EEB" w14:textId="7FEBD9FA" w:rsidR="005C7A19" w:rsidRPr="000125BF" w:rsidRDefault="00755AD8" w:rsidP="00755AD8">
            <w:pPr>
              <w:rPr>
                <w:rFonts w:ascii="Times New Roman" w:hAnsi="Times New Roman" w:cs="Times New Roman"/>
                <w:b/>
              </w:rPr>
            </w:pPr>
            <w:r w:rsidRPr="000125BF">
              <w:rPr>
                <w:rFonts w:ascii="Times New Roman" w:hAnsi="Times New Roman" w:cs="Times New Roman"/>
                <w:b/>
              </w:rPr>
              <w:t>Получено становище</w:t>
            </w:r>
          </w:p>
        </w:tc>
        <w:tc>
          <w:tcPr>
            <w:tcW w:w="4111" w:type="dxa"/>
            <w:shd w:val="clear" w:color="auto" w:fill="DEEAF6" w:themeFill="accent1" w:themeFillTint="33"/>
            <w:vAlign w:val="center"/>
          </w:tcPr>
          <w:p w14:paraId="08A21319" w14:textId="77777777" w:rsidR="005C7A19" w:rsidRPr="000125BF" w:rsidRDefault="00D2795C" w:rsidP="00B97654">
            <w:pPr>
              <w:jc w:val="center"/>
              <w:rPr>
                <w:rFonts w:ascii="Times New Roman" w:hAnsi="Times New Roman" w:cs="Times New Roman"/>
                <w:b/>
              </w:rPr>
            </w:pPr>
            <w:r w:rsidRPr="000125BF">
              <w:rPr>
                <w:rFonts w:ascii="Times New Roman" w:hAnsi="Times New Roman" w:cs="Times New Roman"/>
                <w:b/>
              </w:rPr>
              <w:t>Становище</w:t>
            </w:r>
          </w:p>
          <w:p w14:paraId="7CAB1FC3" w14:textId="1E9948A6" w:rsidR="00D2795C" w:rsidRPr="000125BF" w:rsidRDefault="00D2795C" w:rsidP="00B97654">
            <w:pPr>
              <w:jc w:val="center"/>
              <w:rPr>
                <w:rFonts w:ascii="Times New Roman" w:hAnsi="Times New Roman" w:cs="Times New Roman"/>
                <w:b/>
              </w:rPr>
            </w:pPr>
            <w:r w:rsidRPr="000125BF">
              <w:rPr>
                <w:rFonts w:ascii="Times New Roman" w:hAnsi="Times New Roman" w:cs="Times New Roman"/>
                <w:b/>
              </w:rPr>
              <w:t>(приема се</w:t>
            </w:r>
            <w:r w:rsidR="00354E49" w:rsidRPr="000125BF">
              <w:rPr>
                <w:rFonts w:ascii="Times New Roman" w:hAnsi="Times New Roman" w:cs="Times New Roman"/>
                <w:b/>
              </w:rPr>
              <w:t xml:space="preserve"> и е отразено в проекта на програмата/ приема се по принцип</w:t>
            </w:r>
            <w:r w:rsidRPr="000125BF">
              <w:rPr>
                <w:rFonts w:ascii="Times New Roman" w:hAnsi="Times New Roman" w:cs="Times New Roman"/>
                <w:b/>
              </w:rPr>
              <w:t>/не се приема)</w:t>
            </w:r>
          </w:p>
        </w:tc>
      </w:tr>
      <w:tr w:rsidR="005C7A19" w:rsidRPr="000125BF" w14:paraId="6F2399AC" w14:textId="77777777" w:rsidTr="00A74CB5">
        <w:trPr>
          <w:trHeight w:val="983"/>
        </w:trPr>
        <w:tc>
          <w:tcPr>
            <w:tcW w:w="1271" w:type="dxa"/>
          </w:tcPr>
          <w:p w14:paraId="6FA9C041" w14:textId="1B66F2F9" w:rsidR="005C7A19" w:rsidRPr="000125BF" w:rsidRDefault="00755AD8" w:rsidP="00B97654">
            <w:pPr>
              <w:jc w:val="both"/>
              <w:rPr>
                <w:rFonts w:ascii="Times New Roman" w:hAnsi="Times New Roman" w:cs="Times New Roman"/>
              </w:rPr>
            </w:pPr>
            <w:r w:rsidRPr="000125BF">
              <w:rPr>
                <w:rFonts w:ascii="Times New Roman" w:hAnsi="Times New Roman" w:cs="Times New Roman"/>
              </w:rPr>
              <w:t>25.03.2020</w:t>
            </w:r>
            <w:r w:rsidR="00861760" w:rsidRPr="000125BF">
              <w:rPr>
                <w:rFonts w:ascii="Times New Roman" w:hAnsi="Times New Roman" w:cs="Times New Roman"/>
              </w:rPr>
              <w:t xml:space="preserve"> г, </w:t>
            </w:r>
            <w:r w:rsidR="00157C43" w:rsidRPr="000125BF">
              <w:rPr>
                <w:rFonts w:ascii="Times New Roman" w:hAnsi="Times New Roman" w:cs="Times New Roman"/>
              </w:rPr>
              <w:t>Е</w:t>
            </w:r>
            <w:r w:rsidR="00435AB0" w:rsidRPr="000125BF">
              <w:rPr>
                <w:rFonts w:ascii="Times New Roman" w:hAnsi="Times New Roman" w:cs="Times New Roman"/>
              </w:rPr>
              <w:t>л</w:t>
            </w:r>
            <w:r w:rsidR="00861760" w:rsidRPr="000125BF">
              <w:rPr>
                <w:rFonts w:ascii="Times New Roman" w:hAnsi="Times New Roman" w:cs="Times New Roman"/>
                <w:lang w:val="en-US"/>
              </w:rPr>
              <w:t xml:space="preserve">. </w:t>
            </w:r>
            <w:r w:rsidR="00435AB0" w:rsidRPr="000125BF">
              <w:rPr>
                <w:rFonts w:ascii="Times New Roman" w:hAnsi="Times New Roman" w:cs="Times New Roman"/>
              </w:rPr>
              <w:t>поща</w:t>
            </w:r>
          </w:p>
          <w:p w14:paraId="469E94DE" w14:textId="5780C6DE" w:rsidR="005C7A19" w:rsidRPr="000125BF" w:rsidRDefault="005C7A19" w:rsidP="00F2294B">
            <w:pPr>
              <w:rPr>
                <w:rFonts w:ascii="Times New Roman" w:hAnsi="Times New Roman" w:cs="Times New Roman"/>
              </w:rPr>
            </w:pPr>
          </w:p>
        </w:tc>
        <w:tc>
          <w:tcPr>
            <w:tcW w:w="1843" w:type="dxa"/>
          </w:tcPr>
          <w:p w14:paraId="4CC1E3D6" w14:textId="537C33FC" w:rsidR="00435AB0" w:rsidRPr="000125BF" w:rsidRDefault="00435AB0" w:rsidP="0058481F">
            <w:pPr>
              <w:jc w:val="both"/>
              <w:rPr>
                <w:rFonts w:ascii="Times New Roman" w:hAnsi="Times New Roman" w:cs="Times New Roman"/>
              </w:rPr>
            </w:pPr>
            <w:r w:rsidRPr="000125BF">
              <w:rPr>
                <w:rFonts w:ascii="Times New Roman" w:hAnsi="Times New Roman" w:cs="Times New Roman"/>
              </w:rPr>
              <w:t>М</w:t>
            </w:r>
            <w:r w:rsidR="0058481F" w:rsidRPr="000125BF">
              <w:rPr>
                <w:rFonts w:ascii="Times New Roman" w:hAnsi="Times New Roman" w:cs="Times New Roman"/>
              </w:rPr>
              <w:t xml:space="preserve">РРБ, </w:t>
            </w:r>
            <w:r w:rsidR="003A18D1" w:rsidRPr="000125BF">
              <w:rPr>
                <w:rFonts w:ascii="Times New Roman" w:hAnsi="Times New Roman" w:cs="Times New Roman"/>
              </w:rPr>
              <w:t>ГД</w:t>
            </w:r>
            <w:r w:rsidR="0058481F" w:rsidRPr="000125BF">
              <w:rPr>
                <w:rFonts w:ascii="Times New Roman" w:hAnsi="Times New Roman" w:cs="Times New Roman"/>
              </w:rPr>
              <w:t xml:space="preserve"> </w:t>
            </w:r>
            <w:r w:rsidR="003A18D1" w:rsidRPr="000125BF">
              <w:rPr>
                <w:rFonts w:ascii="Times New Roman" w:hAnsi="Times New Roman" w:cs="Times New Roman"/>
              </w:rPr>
              <w:t>“</w:t>
            </w:r>
            <w:r w:rsidR="00755AD8" w:rsidRPr="000125BF">
              <w:rPr>
                <w:rFonts w:ascii="Times New Roman" w:hAnsi="Times New Roman" w:cs="Times New Roman"/>
              </w:rPr>
              <w:t>Стратегическо планиране и програми за регионално развитие”</w:t>
            </w:r>
          </w:p>
        </w:tc>
        <w:tc>
          <w:tcPr>
            <w:tcW w:w="7938" w:type="dxa"/>
          </w:tcPr>
          <w:p w14:paraId="03F0DD92" w14:textId="77777777" w:rsidR="00755AD8" w:rsidRPr="000125BF" w:rsidRDefault="00755AD8" w:rsidP="00934CFA">
            <w:pPr>
              <w:spacing w:after="120"/>
              <w:jc w:val="both"/>
              <w:rPr>
                <w:rFonts w:ascii="Times New Roman" w:hAnsi="Times New Roman" w:cs="Times New Roman"/>
              </w:rPr>
            </w:pPr>
            <w:r w:rsidRPr="000125BF">
              <w:rPr>
                <w:rFonts w:ascii="Times New Roman" w:hAnsi="Times New Roman" w:cs="Times New Roman"/>
              </w:rPr>
              <w:t>Министерството на регионалното развитие и благоустройството (УО на ОПРР) съгласува по принцип предложения проект на Решение, със следните коментари:</w:t>
            </w:r>
          </w:p>
          <w:p w14:paraId="66DAC387" w14:textId="77777777" w:rsidR="00755AD8" w:rsidRPr="000125BF" w:rsidRDefault="00755AD8" w:rsidP="00934CFA">
            <w:pPr>
              <w:spacing w:after="120"/>
              <w:jc w:val="both"/>
              <w:rPr>
                <w:rFonts w:ascii="Times New Roman" w:hAnsi="Times New Roman" w:cs="Times New Roman"/>
              </w:rPr>
            </w:pPr>
            <w:r w:rsidRPr="000125BF">
              <w:rPr>
                <w:rFonts w:ascii="Times New Roman" w:hAnsi="Times New Roman" w:cs="Times New Roman"/>
              </w:rPr>
              <w:t>Подкрепяме предложението по Приоритет 1 „Цифрова трансформация на публичния сектор в полза на обществото“ да бъдат идентифицирани конкретни дейности за изпълнение чрез териториалния инструмент Интегрирани териториални инвестиции (ИТИ). Считаме, че предложените дейности, свързани с осигуряване на мрежова и информационна сигурност на общините, могат да бъдат реализирани като част от концепции за ИТИ, които ще бъдат изготвяни и изпълнявани в партньорство между различни местни заинтересовани страни.</w:t>
            </w:r>
          </w:p>
          <w:p w14:paraId="24267DC3" w14:textId="77777777" w:rsidR="00755AD8" w:rsidRPr="000125BF" w:rsidRDefault="00755AD8" w:rsidP="00934CFA">
            <w:pPr>
              <w:spacing w:after="120"/>
              <w:jc w:val="both"/>
              <w:rPr>
                <w:rFonts w:ascii="Times New Roman" w:hAnsi="Times New Roman" w:cs="Times New Roman"/>
              </w:rPr>
            </w:pPr>
            <w:r w:rsidRPr="000125BF">
              <w:rPr>
                <w:rFonts w:ascii="Times New Roman" w:hAnsi="Times New Roman" w:cs="Times New Roman"/>
              </w:rPr>
              <w:t>В Приоритет 3 „ХОРИЗОНТАЛНА ТЕХНИЧЕСКА ПОМОЩ“, направление „ПУБЛИЧНОСТ И КОМУНИКАЦИЯ“ (с.29), като примерна допустима дейност за финансиране е посочено „Подпомагане въвеждането на интегриран подход за териториално развитие“, но от текста не става ясно какви са конкретните дейности, които се предполага да бъдат финансирани.</w:t>
            </w:r>
          </w:p>
          <w:p w14:paraId="73B35FF4" w14:textId="77777777" w:rsidR="00755AD8" w:rsidRPr="000125BF" w:rsidRDefault="00755AD8" w:rsidP="00934CFA">
            <w:pPr>
              <w:spacing w:after="120"/>
              <w:jc w:val="both"/>
              <w:rPr>
                <w:rFonts w:ascii="Times New Roman" w:hAnsi="Times New Roman" w:cs="Times New Roman"/>
              </w:rPr>
            </w:pPr>
            <w:r w:rsidRPr="000125BF">
              <w:rPr>
                <w:rFonts w:ascii="Times New Roman" w:hAnsi="Times New Roman" w:cs="Times New Roman"/>
              </w:rPr>
              <w:t xml:space="preserve">Обръщаме внимание, че на 13.03.2020 г. в 21-ви брой на Държавен вестник беше обнародван Закон за изменение и допълнение на Закона за регионалното развитие (ЗИД на ЗРР). Съгласно чл.18, ал.12 от изменения ЗРР, експертният състав на регионалния съвет за развитие (РСР) се състои от три отделни звена със специфични функции: звено за медиации, звено за публични консултации и звено за предварителен подбор. Според чл. 18, ал. 16 средствата, необходими за дейността на регионалния съвет за развитие и за укрепване на административния му капацитет, могат да се предвиждат като ресурси по линия на оперативните програми, съфинансирани от Европейските структурни и инвестиционни фондове, както и със средства от държавния бюджет. </w:t>
            </w:r>
          </w:p>
          <w:p w14:paraId="437503BC" w14:textId="77777777" w:rsidR="00755AD8" w:rsidRPr="000125BF" w:rsidRDefault="00755AD8" w:rsidP="00934CFA">
            <w:pPr>
              <w:spacing w:after="120"/>
              <w:jc w:val="both"/>
              <w:rPr>
                <w:rFonts w:ascii="Times New Roman" w:hAnsi="Times New Roman" w:cs="Times New Roman"/>
              </w:rPr>
            </w:pPr>
            <w:r w:rsidRPr="000125BF">
              <w:rPr>
                <w:rFonts w:ascii="Times New Roman" w:hAnsi="Times New Roman" w:cs="Times New Roman"/>
              </w:rPr>
              <w:t xml:space="preserve">В тази връзка предлагаме да се обмисли възможността за подкрепа при осигуряването на средства за осъществяването на дейността на експертните звена към РСР чрез новата „Оперативна програма за електронно управление и техническа помощ“, предвид, че в експертните звена към РСР се очаква да бъдат </w:t>
            </w:r>
            <w:r w:rsidRPr="000125BF">
              <w:rPr>
                <w:rFonts w:ascii="Times New Roman" w:hAnsi="Times New Roman" w:cs="Times New Roman"/>
              </w:rPr>
              <w:lastRenderedPageBreak/>
              <w:t>включени служители на ОИЦ. Такава възможност виждаме в Приоритет 3 „ХОРИЗОНТАЛНА ТЕХНИЧЕСКА ПОМОЩ“, направление „ПУБЛИЧНОСТ И КОМУНИКАЦИЯ“ (с.29), тъй като там е посочена за примерна допустима дейност за финансиране „Осигуряване на публичност на финансираните от ЕС инвестиции и на равен достъп до информация и възможности за финансиране чрез по-нататъшно развитие на национален уеб-портала за фондове на ЕС, организиране на информационни и рекламни кампании и сътрудничество с медиите, в т.ч. подкрепа за функционирането на мрежата от областни информационни центрове“.</w:t>
            </w:r>
          </w:p>
          <w:p w14:paraId="256CAAFA" w14:textId="378E53C7" w:rsidR="00755AD8" w:rsidRPr="000125BF" w:rsidRDefault="00755AD8" w:rsidP="00934CFA">
            <w:pPr>
              <w:spacing w:after="120"/>
              <w:jc w:val="both"/>
              <w:rPr>
                <w:rFonts w:ascii="Times New Roman" w:hAnsi="Times New Roman" w:cs="Times New Roman"/>
              </w:rPr>
            </w:pPr>
            <w:r w:rsidRPr="000125BF">
              <w:rPr>
                <w:rFonts w:ascii="Times New Roman" w:hAnsi="Times New Roman" w:cs="Times New Roman"/>
              </w:rPr>
              <w:t>В допълнение, като част от изпълнението на инструмента ИТИ, се планира въвеждането на интернет платформа за публични консултации, като е идентифицирана възможността тя да бъде изградена като модул към системата ИСУН. Интернет платформата се планира да бъде инструмент за ангажиране на гражданите в процеса по разработване на политики, като целите, които ще изпълнява, включват информиране на обществото относно предвидените за реализиране на територията на районите от ниво NUTS 2 концепции и проекти за ИТИ, степента на изпълнение и постигнатите резултати от проектите в рамките на концепциите, както и получаване на обратна връзка от гражданите по представената информация. В тази връзка, считаме за необходимо по</w:t>
            </w:r>
            <w:r w:rsidR="004D16B5" w:rsidRPr="000125BF">
              <w:rPr>
                <w:rFonts w:ascii="Times New Roman" w:hAnsi="Times New Roman" w:cs="Times New Roman"/>
              </w:rPr>
              <w:t xml:space="preserve"> ОПЕУТП (в рамките на Приоритет </w:t>
            </w:r>
            <w:r w:rsidRPr="000125BF">
              <w:rPr>
                <w:rFonts w:ascii="Times New Roman" w:hAnsi="Times New Roman" w:cs="Times New Roman"/>
              </w:rPr>
              <w:t>3) да бъде планиран необходимият за обезпечаването на интернет платформата финансов ресурс.</w:t>
            </w:r>
          </w:p>
          <w:p w14:paraId="0A2DA68B" w14:textId="11C0F575" w:rsidR="005C7A19" w:rsidRPr="000125BF" w:rsidRDefault="00755AD8" w:rsidP="00934CFA">
            <w:pPr>
              <w:spacing w:after="120"/>
              <w:jc w:val="both"/>
              <w:rPr>
                <w:rFonts w:ascii="Times New Roman" w:hAnsi="Times New Roman" w:cs="Times New Roman"/>
              </w:rPr>
            </w:pPr>
            <w:r w:rsidRPr="000125BF">
              <w:rPr>
                <w:rFonts w:ascii="Times New Roman" w:hAnsi="Times New Roman" w:cs="Times New Roman"/>
              </w:rPr>
              <w:t xml:space="preserve">Поддържаме становището си за необходимост и целесъобразност всички дефинирани дейности, планирани за реализация на регионално ниво чрез използване на подхода на ИТИ, вкл. и подкрепата за ОИЦ, да бъдат оформени в отделен приоритет на програмата с изключително териториална насоченост, със собствена логика на интервенции, бюджет, целеви групи, индикатори и т.н. Считаме, че по този начин ще се осигури гъвкавост на програмния документ и възможност за добро проследяване изпълнението на интегрирания териториален подход. </w:t>
            </w:r>
          </w:p>
        </w:tc>
        <w:tc>
          <w:tcPr>
            <w:tcW w:w="4111" w:type="dxa"/>
          </w:tcPr>
          <w:p w14:paraId="0E5A59A3" w14:textId="45AA2A62" w:rsidR="00D554C6" w:rsidRPr="000125BF" w:rsidRDefault="00720660" w:rsidP="00AE2C70">
            <w:pPr>
              <w:pStyle w:val="NormalWeb"/>
              <w:spacing w:before="0" w:beforeAutospacing="0" w:after="120" w:afterAutospacing="0"/>
              <w:jc w:val="both"/>
              <w:rPr>
                <w:color w:val="000000"/>
                <w:sz w:val="22"/>
                <w:szCs w:val="22"/>
              </w:rPr>
            </w:pPr>
            <w:r w:rsidRPr="000125BF">
              <w:rPr>
                <w:color w:val="000000"/>
                <w:sz w:val="22"/>
                <w:szCs w:val="22"/>
              </w:rPr>
              <w:lastRenderedPageBreak/>
              <w:t xml:space="preserve">Становището </w:t>
            </w:r>
            <w:r w:rsidR="00981039" w:rsidRPr="000125BF">
              <w:rPr>
                <w:color w:val="000000"/>
                <w:sz w:val="22"/>
                <w:szCs w:val="22"/>
              </w:rPr>
              <w:t xml:space="preserve">се приема по принцип, с изключение на предложението </w:t>
            </w:r>
            <w:r w:rsidR="00F52BBA" w:rsidRPr="000125BF">
              <w:rPr>
                <w:color w:val="000000"/>
                <w:sz w:val="22"/>
                <w:szCs w:val="22"/>
              </w:rPr>
              <w:t>„</w:t>
            </w:r>
            <w:r w:rsidR="00D554C6" w:rsidRPr="000125BF">
              <w:rPr>
                <w:sz w:val="22"/>
                <w:szCs w:val="22"/>
              </w:rPr>
              <w:t>дейности, планирани за реализация на регионално ниво чрез използване на подхода на ИТИ, вкл. и подкрепата за ОИЦ, да бъдат оформени в отделен приоритет на програмата</w:t>
            </w:r>
            <w:r w:rsidR="00201F0C" w:rsidRPr="000125BF">
              <w:rPr>
                <w:sz w:val="22"/>
                <w:szCs w:val="22"/>
              </w:rPr>
              <w:t>“.</w:t>
            </w:r>
          </w:p>
          <w:p w14:paraId="69EEDF46" w14:textId="2BB894BB" w:rsidR="000D3F8A" w:rsidRPr="000125BF" w:rsidRDefault="00D02454" w:rsidP="00AE2C70">
            <w:pPr>
              <w:pStyle w:val="NormalWeb"/>
              <w:spacing w:before="0" w:beforeAutospacing="0" w:after="120" w:afterAutospacing="0"/>
              <w:jc w:val="both"/>
              <w:rPr>
                <w:color w:val="000000"/>
                <w:sz w:val="22"/>
                <w:szCs w:val="22"/>
              </w:rPr>
            </w:pPr>
            <w:r w:rsidRPr="000125BF">
              <w:rPr>
                <w:color w:val="000000"/>
                <w:sz w:val="22"/>
                <w:szCs w:val="22"/>
              </w:rPr>
              <w:t>Проект</w:t>
            </w:r>
            <w:r w:rsidR="004469CC">
              <w:rPr>
                <w:color w:val="000000"/>
                <w:sz w:val="22"/>
                <w:szCs w:val="22"/>
              </w:rPr>
              <w:t>ът</w:t>
            </w:r>
            <w:r w:rsidRPr="000125BF">
              <w:rPr>
                <w:color w:val="000000"/>
                <w:sz w:val="22"/>
                <w:szCs w:val="22"/>
              </w:rPr>
              <w:t xml:space="preserve"> на програма</w:t>
            </w:r>
            <w:r w:rsidR="00CC4CF0" w:rsidRPr="000125BF">
              <w:rPr>
                <w:color w:val="000000"/>
                <w:sz w:val="22"/>
                <w:szCs w:val="22"/>
              </w:rPr>
              <w:t xml:space="preserve">та отразява </w:t>
            </w:r>
            <w:r w:rsidR="0045711D" w:rsidRPr="000125BF">
              <w:rPr>
                <w:color w:val="000000"/>
                <w:sz w:val="22"/>
                <w:szCs w:val="22"/>
              </w:rPr>
              <w:t xml:space="preserve">ангажимента </w:t>
            </w:r>
            <w:r w:rsidR="00CC4CF0" w:rsidRPr="000125BF">
              <w:rPr>
                <w:color w:val="000000"/>
                <w:sz w:val="22"/>
                <w:szCs w:val="22"/>
              </w:rPr>
              <w:t xml:space="preserve">на УО </w:t>
            </w:r>
            <w:r w:rsidR="0045711D" w:rsidRPr="000125BF">
              <w:rPr>
                <w:color w:val="000000"/>
                <w:sz w:val="22"/>
                <w:szCs w:val="22"/>
              </w:rPr>
              <w:t xml:space="preserve">за подкрепа на дейности, които да бъдат изпълнявани чрез Интегрирани териториални инвестиции (ИТИ), както </w:t>
            </w:r>
            <w:r w:rsidR="00535E0C" w:rsidRPr="000125BF">
              <w:rPr>
                <w:color w:val="000000"/>
                <w:sz w:val="22"/>
                <w:szCs w:val="22"/>
              </w:rPr>
              <w:t xml:space="preserve">в рамките на </w:t>
            </w:r>
            <w:r w:rsidR="0045711D" w:rsidRPr="000125BF">
              <w:rPr>
                <w:color w:val="000000"/>
                <w:sz w:val="22"/>
                <w:szCs w:val="22"/>
              </w:rPr>
              <w:t xml:space="preserve">приоритет 1, така и </w:t>
            </w:r>
            <w:r w:rsidR="00535E0C" w:rsidRPr="000125BF">
              <w:rPr>
                <w:color w:val="000000"/>
                <w:sz w:val="22"/>
                <w:szCs w:val="22"/>
              </w:rPr>
              <w:t xml:space="preserve">в </w:t>
            </w:r>
            <w:r w:rsidR="0045711D" w:rsidRPr="000125BF">
              <w:rPr>
                <w:color w:val="000000"/>
                <w:sz w:val="22"/>
                <w:szCs w:val="22"/>
              </w:rPr>
              <w:t>приоритет 3 на програмата.</w:t>
            </w:r>
            <w:r w:rsidR="002559F5" w:rsidRPr="000125BF">
              <w:rPr>
                <w:color w:val="000000"/>
                <w:sz w:val="22"/>
                <w:szCs w:val="22"/>
              </w:rPr>
              <w:t xml:space="preserve"> Средствата</w:t>
            </w:r>
            <w:r w:rsidR="00D5762F" w:rsidRPr="000125BF">
              <w:rPr>
                <w:color w:val="000000"/>
                <w:sz w:val="22"/>
                <w:szCs w:val="22"/>
              </w:rPr>
              <w:t xml:space="preserve"> за изпълнение на дейности чрез инструмента ИТИ са </w:t>
            </w:r>
            <w:r w:rsidR="002559F5" w:rsidRPr="000125BF">
              <w:rPr>
                <w:color w:val="000000"/>
                <w:sz w:val="22"/>
                <w:szCs w:val="22"/>
              </w:rPr>
              <w:t xml:space="preserve">планирани </w:t>
            </w:r>
            <w:r w:rsidR="00BA355F" w:rsidRPr="000125BF">
              <w:rPr>
                <w:color w:val="000000"/>
                <w:sz w:val="22"/>
                <w:szCs w:val="22"/>
              </w:rPr>
              <w:t xml:space="preserve">в рамките на </w:t>
            </w:r>
            <w:r w:rsidR="00535E0C" w:rsidRPr="000125BF">
              <w:rPr>
                <w:color w:val="000000"/>
                <w:sz w:val="22"/>
                <w:szCs w:val="22"/>
              </w:rPr>
              <w:t>приоритет</w:t>
            </w:r>
            <w:r w:rsidR="00BA355F" w:rsidRPr="000125BF">
              <w:rPr>
                <w:color w:val="000000"/>
                <w:sz w:val="22"/>
                <w:szCs w:val="22"/>
              </w:rPr>
              <w:t> </w:t>
            </w:r>
            <w:r w:rsidR="007372DC" w:rsidRPr="000125BF">
              <w:rPr>
                <w:color w:val="000000"/>
                <w:sz w:val="22"/>
                <w:szCs w:val="22"/>
              </w:rPr>
              <w:t xml:space="preserve">1 </w:t>
            </w:r>
            <w:r w:rsidR="00AB1A58" w:rsidRPr="000125BF">
              <w:rPr>
                <w:color w:val="000000"/>
                <w:sz w:val="22"/>
                <w:szCs w:val="22"/>
              </w:rPr>
              <w:t xml:space="preserve">и </w:t>
            </w:r>
            <w:r w:rsidR="00535E0C" w:rsidRPr="000125BF">
              <w:rPr>
                <w:color w:val="000000"/>
                <w:sz w:val="22"/>
                <w:szCs w:val="22"/>
              </w:rPr>
              <w:t>са</w:t>
            </w:r>
            <w:r w:rsidR="007372DC" w:rsidRPr="000125BF">
              <w:rPr>
                <w:color w:val="000000"/>
                <w:sz w:val="22"/>
                <w:szCs w:val="22"/>
              </w:rPr>
              <w:t xml:space="preserve"> конкрет</w:t>
            </w:r>
            <w:r w:rsidR="00535E0C" w:rsidRPr="000125BF">
              <w:rPr>
                <w:color w:val="000000"/>
                <w:sz w:val="22"/>
                <w:szCs w:val="22"/>
              </w:rPr>
              <w:t>изирани</w:t>
            </w:r>
            <w:r w:rsidR="007372DC" w:rsidRPr="000125BF">
              <w:rPr>
                <w:color w:val="000000"/>
                <w:sz w:val="22"/>
                <w:szCs w:val="22"/>
              </w:rPr>
              <w:t xml:space="preserve"> </w:t>
            </w:r>
            <w:r w:rsidR="00785E0D" w:rsidRPr="000125BF">
              <w:rPr>
                <w:color w:val="000000"/>
                <w:sz w:val="22"/>
                <w:szCs w:val="22"/>
              </w:rPr>
              <w:t>чрез избирането на код 17 в</w:t>
            </w:r>
            <w:r w:rsidR="008B12F8" w:rsidRPr="000125BF">
              <w:rPr>
                <w:color w:val="000000"/>
                <w:sz w:val="22"/>
                <w:szCs w:val="22"/>
              </w:rPr>
              <w:t xml:space="preserve"> </w:t>
            </w:r>
            <w:r w:rsidR="008B12F8" w:rsidRPr="000125BF">
              <w:rPr>
                <w:i/>
                <w:color w:val="000000"/>
                <w:sz w:val="22"/>
                <w:szCs w:val="22"/>
              </w:rPr>
              <w:t>т</w:t>
            </w:r>
            <w:r w:rsidR="007372DC" w:rsidRPr="000125BF">
              <w:rPr>
                <w:i/>
                <w:color w:val="000000"/>
                <w:sz w:val="22"/>
                <w:szCs w:val="22"/>
              </w:rPr>
              <w:t>аблица 6</w:t>
            </w:r>
            <w:r w:rsidR="008B12F8" w:rsidRPr="000125BF">
              <w:rPr>
                <w:i/>
                <w:color w:val="000000"/>
                <w:sz w:val="22"/>
                <w:szCs w:val="22"/>
              </w:rPr>
              <w:t xml:space="preserve">: Териториален </w:t>
            </w:r>
            <w:r w:rsidR="007372DC" w:rsidRPr="000125BF">
              <w:rPr>
                <w:i/>
                <w:color w:val="000000"/>
                <w:sz w:val="22"/>
                <w:szCs w:val="22"/>
              </w:rPr>
              <w:t>механизъм за изпълнение</w:t>
            </w:r>
            <w:r w:rsidR="008B12F8" w:rsidRPr="000125BF">
              <w:rPr>
                <w:i/>
                <w:color w:val="000000"/>
                <w:sz w:val="22"/>
                <w:szCs w:val="22"/>
              </w:rPr>
              <w:t xml:space="preserve"> на</w:t>
            </w:r>
            <w:r w:rsidR="007372DC" w:rsidRPr="000125BF">
              <w:rPr>
                <w:i/>
                <w:color w:val="000000"/>
                <w:sz w:val="22"/>
                <w:szCs w:val="22"/>
              </w:rPr>
              <w:t xml:space="preserve"> териториална насоченост</w:t>
            </w:r>
            <w:r w:rsidR="00785E0D" w:rsidRPr="000125BF">
              <w:rPr>
                <w:color w:val="000000"/>
                <w:sz w:val="22"/>
                <w:szCs w:val="22"/>
              </w:rPr>
              <w:t xml:space="preserve"> (стр. 24)</w:t>
            </w:r>
            <w:r w:rsidR="00AB1A58" w:rsidRPr="000125BF">
              <w:rPr>
                <w:color w:val="000000"/>
                <w:sz w:val="22"/>
                <w:szCs w:val="22"/>
              </w:rPr>
              <w:t xml:space="preserve">, което гарантира </w:t>
            </w:r>
            <w:r w:rsidR="000D3F8A" w:rsidRPr="000125BF">
              <w:rPr>
                <w:color w:val="000000"/>
                <w:sz w:val="22"/>
                <w:szCs w:val="22"/>
              </w:rPr>
              <w:t>добро проследяване изпълнението на и</w:t>
            </w:r>
            <w:r w:rsidR="007A1F5F" w:rsidRPr="000125BF">
              <w:rPr>
                <w:color w:val="000000"/>
                <w:sz w:val="22"/>
                <w:szCs w:val="22"/>
              </w:rPr>
              <w:t>нтегрирания териториален подход по програмата.</w:t>
            </w:r>
          </w:p>
          <w:p w14:paraId="251AD2D1" w14:textId="7FC02E49" w:rsidR="007D2ECA" w:rsidRPr="000125BF" w:rsidRDefault="000D57F4" w:rsidP="00B92FD6">
            <w:pPr>
              <w:pStyle w:val="NormalWeb"/>
              <w:spacing w:before="0" w:beforeAutospacing="0" w:after="120" w:afterAutospacing="0"/>
              <w:jc w:val="both"/>
              <w:rPr>
                <w:color w:val="000000"/>
                <w:sz w:val="22"/>
                <w:szCs w:val="22"/>
              </w:rPr>
            </w:pPr>
            <w:r w:rsidRPr="000125BF">
              <w:rPr>
                <w:color w:val="000000"/>
                <w:sz w:val="22"/>
                <w:szCs w:val="22"/>
              </w:rPr>
              <w:t xml:space="preserve">Приоритет 3 </w:t>
            </w:r>
            <w:r w:rsidR="0055760A" w:rsidRPr="000125BF">
              <w:rPr>
                <w:color w:val="000000"/>
                <w:sz w:val="22"/>
                <w:szCs w:val="22"/>
              </w:rPr>
              <w:t xml:space="preserve">на програмата ще подпомага ефективното и ефикасно изпълнение на политиката на сближаване на ЕС чрез целенасочена подкрепа за процесите по подготовка, управление, мониторинг, контрол, одит, оценка и  комуникация, </w:t>
            </w:r>
            <w:r w:rsidR="0055760A" w:rsidRPr="000125BF">
              <w:rPr>
                <w:color w:val="000000"/>
                <w:sz w:val="22"/>
                <w:szCs w:val="22"/>
              </w:rPr>
              <w:lastRenderedPageBreak/>
              <w:t>включително провеждането на държавната политика в областта на управлението на средствата от ЕСИФ. Идентифицирани са четири основни направления</w:t>
            </w:r>
            <w:r w:rsidR="00841130" w:rsidRPr="000125BF">
              <w:rPr>
                <w:color w:val="000000"/>
                <w:sz w:val="22"/>
                <w:szCs w:val="22"/>
              </w:rPr>
              <w:t xml:space="preserve"> на </w:t>
            </w:r>
            <w:r w:rsidR="0055760A" w:rsidRPr="000125BF">
              <w:rPr>
                <w:color w:val="000000"/>
                <w:sz w:val="22"/>
                <w:szCs w:val="22"/>
              </w:rPr>
              <w:t xml:space="preserve">действия, които ще бъдат подкрепени по </w:t>
            </w:r>
            <w:r w:rsidR="00841130" w:rsidRPr="000125BF">
              <w:rPr>
                <w:color w:val="000000"/>
                <w:sz w:val="22"/>
                <w:szCs w:val="22"/>
              </w:rPr>
              <w:t>приоритета, които маркират основната  рамка на хоризонталната техническа помощ</w:t>
            </w:r>
            <w:r w:rsidR="004A0F22" w:rsidRPr="000125BF">
              <w:rPr>
                <w:color w:val="000000"/>
                <w:sz w:val="22"/>
                <w:szCs w:val="22"/>
              </w:rPr>
              <w:t xml:space="preserve">. </w:t>
            </w:r>
            <w:r w:rsidR="003734D8" w:rsidRPr="000125BF">
              <w:rPr>
                <w:color w:val="000000"/>
                <w:sz w:val="22"/>
                <w:szCs w:val="22"/>
              </w:rPr>
              <w:t>УО счита, че т</w:t>
            </w:r>
            <w:r w:rsidR="00342231" w:rsidRPr="000125BF">
              <w:rPr>
                <w:color w:val="000000"/>
                <w:sz w:val="22"/>
                <w:szCs w:val="22"/>
              </w:rPr>
              <w:t>екст</w:t>
            </w:r>
            <w:r w:rsidR="0075459C" w:rsidRPr="000125BF">
              <w:rPr>
                <w:color w:val="000000"/>
                <w:sz w:val="22"/>
                <w:szCs w:val="22"/>
              </w:rPr>
              <w:t>ът</w:t>
            </w:r>
            <w:r w:rsidR="00342231" w:rsidRPr="000125BF">
              <w:rPr>
                <w:color w:val="000000"/>
                <w:sz w:val="22"/>
                <w:szCs w:val="22"/>
              </w:rPr>
              <w:t xml:space="preserve"> на приоритет 3</w:t>
            </w:r>
            <w:r w:rsidR="003734D8" w:rsidRPr="000125BF">
              <w:rPr>
                <w:color w:val="000000"/>
                <w:sz w:val="22"/>
                <w:szCs w:val="22"/>
              </w:rPr>
              <w:t xml:space="preserve"> </w:t>
            </w:r>
            <w:r w:rsidR="00B07573" w:rsidRPr="000125BF">
              <w:rPr>
                <w:color w:val="000000"/>
                <w:sz w:val="22"/>
                <w:szCs w:val="22"/>
              </w:rPr>
              <w:t>позволява максимална</w:t>
            </w:r>
            <w:r w:rsidR="00577444" w:rsidRPr="000125BF">
              <w:rPr>
                <w:color w:val="000000"/>
                <w:sz w:val="22"/>
                <w:szCs w:val="22"/>
              </w:rPr>
              <w:t xml:space="preserve"> гъвкавост при изпъл</w:t>
            </w:r>
            <w:r w:rsidR="001F7452" w:rsidRPr="000125BF">
              <w:rPr>
                <w:color w:val="000000"/>
                <w:sz w:val="22"/>
                <w:szCs w:val="22"/>
              </w:rPr>
              <w:t>н</w:t>
            </w:r>
            <w:r w:rsidR="00A85E92" w:rsidRPr="000125BF">
              <w:rPr>
                <w:color w:val="000000"/>
                <w:sz w:val="22"/>
                <w:szCs w:val="22"/>
              </w:rPr>
              <w:t xml:space="preserve">ение на планираните инвестиции, вкл. </w:t>
            </w:r>
            <w:r w:rsidR="009E1958">
              <w:rPr>
                <w:color w:val="000000"/>
                <w:sz w:val="22"/>
                <w:szCs w:val="22"/>
              </w:rPr>
              <w:t>разширяване</w:t>
            </w:r>
            <w:r w:rsidR="00A85E92" w:rsidRPr="000125BF">
              <w:rPr>
                <w:color w:val="000000"/>
                <w:sz w:val="22"/>
                <w:szCs w:val="22"/>
              </w:rPr>
              <w:t xml:space="preserve"> функциите на ОИЦ във връзка с </w:t>
            </w:r>
            <w:r w:rsidR="001A4066" w:rsidRPr="000125BF">
              <w:rPr>
                <w:color w:val="000000"/>
                <w:sz w:val="22"/>
                <w:szCs w:val="22"/>
              </w:rPr>
              <w:t>„</w:t>
            </w:r>
            <w:r w:rsidR="00A85E92" w:rsidRPr="000125BF">
              <w:rPr>
                <w:color w:val="000000"/>
                <w:sz w:val="22"/>
                <w:szCs w:val="22"/>
              </w:rPr>
              <w:t>осигуряване на експертен състав на РСР</w:t>
            </w:r>
            <w:r w:rsidR="001A4066" w:rsidRPr="000125BF">
              <w:rPr>
                <w:color w:val="000000"/>
                <w:sz w:val="22"/>
                <w:szCs w:val="22"/>
              </w:rPr>
              <w:t xml:space="preserve">“ и </w:t>
            </w:r>
            <w:r w:rsidR="00DF6F7F">
              <w:rPr>
                <w:color w:val="000000"/>
                <w:sz w:val="22"/>
                <w:szCs w:val="22"/>
              </w:rPr>
              <w:t xml:space="preserve">разработване на </w:t>
            </w:r>
            <w:r w:rsidR="00E02C67" w:rsidRPr="000125BF">
              <w:rPr>
                <w:color w:val="000000"/>
                <w:sz w:val="22"/>
                <w:szCs w:val="22"/>
              </w:rPr>
              <w:t>интернет платформа</w:t>
            </w:r>
            <w:r w:rsidR="00F26608" w:rsidRPr="000125BF">
              <w:rPr>
                <w:color w:val="000000"/>
                <w:sz w:val="22"/>
                <w:szCs w:val="22"/>
              </w:rPr>
              <w:t xml:space="preserve"> за публични консултации на ИТИ</w:t>
            </w:r>
            <w:r w:rsidR="00E02C67" w:rsidRPr="000125BF">
              <w:rPr>
                <w:color w:val="000000"/>
                <w:sz w:val="22"/>
                <w:szCs w:val="22"/>
              </w:rPr>
              <w:t xml:space="preserve"> като бъдещ модул в ИСУН</w:t>
            </w:r>
            <w:r w:rsidR="00A85E92" w:rsidRPr="000125BF">
              <w:rPr>
                <w:color w:val="000000"/>
                <w:sz w:val="22"/>
                <w:szCs w:val="22"/>
              </w:rPr>
              <w:t>.</w:t>
            </w:r>
          </w:p>
          <w:p w14:paraId="6F528422" w14:textId="00A7EB9C" w:rsidR="006B48E1" w:rsidRPr="000125BF" w:rsidRDefault="003B0C88" w:rsidP="00A64FC2">
            <w:pPr>
              <w:pStyle w:val="NormalWeb"/>
              <w:spacing w:before="0" w:beforeAutospacing="0" w:after="120" w:afterAutospacing="0"/>
              <w:jc w:val="both"/>
              <w:rPr>
                <w:color w:val="000000"/>
                <w:sz w:val="22"/>
                <w:szCs w:val="22"/>
              </w:rPr>
            </w:pPr>
            <w:r w:rsidRPr="00A64FC2">
              <w:rPr>
                <w:color w:val="000000"/>
                <w:sz w:val="22"/>
                <w:szCs w:val="22"/>
                <w:lang w:val="ru-RU"/>
              </w:rPr>
              <w:t>К</w:t>
            </w:r>
            <w:proofErr w:type="spellStart"/>
            <w:r w:rsidR="008830F2" w:rsidRPr="000125BF">
              <w:rPr>
                <w:color w:val="000000"/>
                <w:sz w:val="22"/>
                <w:szCs w:val="22"/>
              </w:rPr>
              <w:t>ъм</w:t>
            </w:r>
            <w:proofErr w:type="spellEnd"/>
            <w:r w:rsidR="008830F2" w:rsidRPr="000125BF">
              <w:rPr>
                <w:color w:val="000000"/>
                <w:sz w:val="22"/>
                <w:szCs w:val="22"/>
              </w:rPr>
              <w:t xml:space="preserve"> момента </w:t>
            </w:r>
            <w:r w:rsidR="00B94F2E" w:rsidRPr="000125BF">
              <w:rPr>
                <w:color w:val="000000"/>
                <w:sz w:val="22"/>
                <w:szCs w:val="22"/>
              </w:rPr>
              <w:t xml:space="preserve">липсва </w:t>
            </w:r>
            <w:r w:rsidR="008830F2" w:rsidRPr="000125BF">
              <w:rPr>
                <w:color w:val="000000"/>
                <w:sz w:val="22"/>
                <w:szCs w:val="22"/>
              </w:rPr>
              <w:t>решение на национално</w:t>
            </w:r>
            <w:r w:rsidR="00A36ED9" w:rsidRPr="000125BF">
              <w:rPr>
                <w:color w:val="000000"/>
                <w:sz w:val="22"/>
                <w:szCs w:val="22"/>
              </w:rPr>
              <w:t xml:space="preserve"> </w:t>
            </w:r>
            <w:r w:rsidR="008830F2" w:rsidRPr="000125BF">
              <w:rPr>
                <w:color w:val="000000"/>
                <w:sz w:val="22"/>
                <w:szCs w:val="22"/>
              </w:rPr>
              <w:t>ниво</w:t>
            </w:r>
            <w:r w:rsidR="00D25A17" w:rsidRPr="000125BF">
              <w:rPr>
                <w:color w:val="000000"/>
                <w:sz w:val="22"/>
                <w:szCs w:val="22"/>
              </w:rPr>
              <w:t xml:space="preserve"> </w:t>
            </w:r>
            <w:r w:rsidR="006D38EC">
              <w:rPr>
                <w:color w:val="000000"/>
                <w:sz w:val="22"/>
                <w:szCs w:val="22"/>
              </w:rPr>
              <w:t xml:space="preserve">по какъв начин ще </w:t>
            </w:r>
            <w:r w:rsidR="00DF6F7F">
              <w:rPr>
                <w:color w:val="000000"/>
                <w:sz w:val="22"/>
                <w:szCs w:val="22"/>
              </w:rPr>
              <w:t xml:space="preserve">се осигурят </w:t>
            </w:r>
            <w:r w:rsidR="00A64FC2">
              <w:rPr>
                <w:color w:val="000000"/>
                <w:sz w:val="22"/>
                <w:szCs w:val="22"/>
              </w:rPr>
              <w:t xml:space="preserve">средствата, необходими </w:t>
            </w:r>
            <w:r w:rsidR="001B79A5">
              <w:rPr>
                <w:color w:val="000000"/>
                <w:sz w:val="22"/>
                <w:szCs w:val="22"/>
              </w:rPr>
              <w:t>з</w:t>
            </w:r>
            <w:r w:rsidR="001B79A5" w:rsidRPr="001B79A5">
              <w:rPr>
                <w:color w:val="000000"/>
                <w:sz w:val="22"/>
                <w:szCs w:val="22"/>
              </w:rPr>
              <w:t>а развитие и укрепване на административния капацитет на РСР</w:t>
            </w:r>
            <w:r w:rsidR="001B79A5">
              <w:rPr>
                <w:color w:val="000000"/>
                <w:sz w:val="22"/>
                <w:szCs w:val="22"/>
              </w:rPr>
              <w:t xml:space="preserve">, които съгласно </w:t>
            </w:r>
            <w:r w:rsidR="001B79A5" w:rsidRPr="006D38EC">
              <w:rPr>
                <w:color w:val="000000"/>
                <w:sz w:val="22"/>
                <w:szCs w:val="22"/>
              </w:rPr>
              <w:t>чл. 18, ал. 16</w:t>
            </w:r>
            <w:r w:rsidR="001B79A5">
              <w:t xml:space="preserve"> (</w:t>
            </w:r>
            <w:r w:rsidR="001B79A5" w:rsidRPr="001B79A5">
              <w:rPr>
                <w:color w:val="000000"/>
                <w:sz w:val="22"/>
                <w:szCs w:val="22"/>
              </w:rPr>
              <w:t>ЗИД на ЗРР</w:t>
            </w:r>
            <w:r w:rsidR="001B79A5">
              <w:rPr>
                <w:color w:val="000000"/>
                <w:sz w:val="22"/>
                <w:szCs w:val="22"/>
              </w:rPr>
              <w:t>)</w:t>
            </w:r>
            <w:r w:rsidR="001B79A5">
              <w:t xml:space="preserve"> </w:t>
            </w:r>
            <w:r w:rsidR="001B79A5" w:rsidRPr="00D237A6">
              <w:rPr>
                <w:b/>
                <w:i/>
                <w:color w:val="000000"/>
                <w:sz w:val="22"/>
                <w:szCs w:val="22"/>
              </w:rPr>
              <w:t xml:space="preserve">могат </w:t>
            </w:r>
            <w:r w:rsidR="001B79A5" w:rsidRPr="001B79A5">
              <w:rPr>
                <w:color w:val="000000"/>
                <w:sz w:val="22"/>
                <w:szCs w:val="22"/>
              </w:rPr>
              <w:t xml:space="preserve">да се предвиждат като ресурси по линия на </w:t>
            </w:r>
            <w:r w:rsidR="001B79A5" w:rsidRPr="00D237A6">
              <w:rPr>
                <w:b/>
                <w:i/>
                <w:color w:val="000000"/>
                <w:sz w:val="22"/>
                <w:szCs w:val="22"/>
              </w:rPr>
              <w:t>оперативните програми</w:t>
            </w:r>
            <w:r w:rsidR="001B79A5" w:rsidRPr="001B79A5">
              <w:rPr>
                <w:color w:val="000000"/>
                <w:sz w:val="22"/>
                <w:szCs w:val="22"/>
              </w:rPr>
              <w:t xml:space="preserve">, съфинансирани от </w:t>
            </w:r>
            <w:r w:rsidR="001B79A5">
              <w:rPr>
                <w:color w:val="000000"/>
                <w:sz w:val="22"/>
                <w:szCs w:val="22"/>
              </w:rPr>
              <w:t>ЕСИФ</w:t>
            </w:r>
            <w:r w:rsidR="001B79A5" w:rsidRPr="001B79A5">
              <w:rPr>
                <w:color w:val="000000"/>
                <w:sz w:val="22"/>
                <w:szCs w:val="22"/>
              </w:rPr>
              <w:t xml:space="preserve">, както и със </w:t>
            </w:r>
            <w:r w:rsidR="001B79A5" w:rsidRPr="00D237A6">
              <w:rPr>
                <w:b/>
                <w:i/>
                <w:color w:val="000000"/>
                <w:sz w:val="22"/>
                <w:szCs w:val="22"/>
              </w:rPr>
              <w:t>средства от държавния бюджет</w:t>
            </w:r>
            <w:r w:rsidR="001B79A5">
              <w:rPr>
                <w:color w:val="000000"/>
                <w:sz w:val="22"/>
                <w:szCs w:val="22"/>
              </w:rPr>
              <w:t>.</w:t>
            </w:r>
          </w:p>
        </w:tc>
      </w:tr>
      <w:tr w:rsidR="00374BA6" w:rsidRPr="000125BF" w14:paraId="024CF67A" w14:textId="77777777" w:rsidTr="00A74CB5">
        <w:trPr>
          <w:trHeight w:val="841"/>
        </w:trPr>
        <w:tc>
          <w:tcPr>
            <w:tcW w:w="1271" w:type="dxa"/>
          </w:tcPr>
          <w:p w14:paraId="65491E6A" w14:textId="43956AEA" w:rsidR="00374BA6" w:rsidRPr="000125BF" w:rsidRDefault="004C431B" w:rsidP="004C431B">
            <w:pPr>
              <w:rPr>
                <w:rFonts w:ascii="Times New Roman" w:hAnsi="Times New Roman" w:cs="Times New Roman"/>
              </w:rPr>
            </w:pPr>
            <w:r w:rsidRPr="000125BF">
              <w:rPr>
                <w:rFonts w:ascii="Times New Roman" w:hAnsi="Times New Roman" w:cs="Times New Roman"/>
              </w:rPr>
              <w:lastRenderedPageBreak/>
              <w:t>26</w:t>
            </w:r>
            <w:r w:rsidR="00E864B6" w:rsidRPr="000125BF">
              <w:rPr>
                <w:rFonts w:ascii="Times New Roman" w:hAnsi="Times New Roman" w:cs="Times New Roman"/>
              </w:rPr>
              <w:t>.03.2020 г</w:t>
            </w:r>
            <w:r w:rsidRPr="000125BF">
              <w:rPr>
                <w:rFonts w:ascii="Times New Roman" w:hAnsi="Times New Roman" w:cs="Times New Roman"/>
              </w:rPr>
              <w:t>,</w:t>
            </w:r>
          </w:p>
          <w:p w14:paraId="3985CF9A" w14:textId="4CA41AC4" w:rsidR="00374BA6" w:rsidRPr="000125BF" w:rsidRDefault="00E864B6" w:rsidP="00E864B6">
            <w:pPr>
              <w:jc w:val="both"/>
              <w:rPr>
                <w:rFonts w:ascii="Times New Roman" w:hAnsi="Times New Roman" w:cs="Times New Roman"/>
              </w:rPr>
            </w:pPr>
            <w:r w:rsidRPr="000125BF">
              <w:rPr>
                <w:rFonts w:ascii="Times New Roman" w:hAnsi="Times New Roman" w:cs="Times New Roman"/>
              </w:rPr>
              <w:t>Е</w:t>
            </w:r>
            <w:r w:rsidR="00374BA6" w:rsidRPr="000125BF">
              <w:rPr>
                <w:rFonts w:ascii="Times New Roman" w:hAnsi="Times New Roman" w:cs="Times New Roman"/>
              </w:rPr>
              <w:t>л</w:t>
            </w:r>
            <w:r w:rsidRPr="000125BF">
              <w:rPr>
                <w:rFonts w:ascii="Times New Roman" w:hAnsi="Times New Roman" w:cs="Times New Roman"/>
                <w:lang w:val="en-US"/>
              </w:rPr>
              <w:t xml:space="preserve">. </w:t>
            </w:r>
            <w:r w:rsidR="00374BA6" w:rsidRPr="000125BF">
              <w:rPr>
                <w:rFonts w:ascii="Times New Roman" w:hAnsi="Times New Roman" w:cs="Times New Roman"/>
              </w:rPr>
              <w:t>поща</w:t>
            </w:r>
          </w:p>
        </w:tc>
        <w:tc>
          <w:tcPr>
            <w:tcW w:w="1843" w:type="dxa"/>
          </w:tcPr>
          <w:p w14:paraId="1F05A5A1" w14:textId="4D9F549C" w:rsidR="00374BA6" w:rsidRPr="000125BF" w:rsidRDefault="00374BA6" w:rsidP="00755AD8">
            <w:pPr>
              <w:jc w:val="both"/>
              <w:rPr>
                <w:rFonts w:ascii="Times New Roman" w:hAnsi="Times New Roman" w:cs="Times New Roman"/>
              </w:rPr>
            </w:pPr>
            <w:r w:rsidRPr="000125BF">
              <w:rPr>
                <w:rFonts w:ascii="Times New Roman" w:hAnsi="Times New Roman" w:cs="Times New Roman"/>
              </w:rPr>
              <w:t xml:space="preserve">Асоциация на </w:t>
            </w:r>
            <w:r w:rsidR="00E864B6" w:rsidRPr="000125BF">
              <w:rPr>
                <w:rFonts w:ascii="Times New Roman" w:hAnsi="Times New Roman" w:cs="Times New Roman"/>
              </w:rPr>
              <w:t>индустриалния</w:t>
            </w:r>
            <w:r w:rsidRPr="000125BF">
              <w:rPr>
                <w:rFonts w:ascii="Times New Roman" w:hAnsi="Times New Roman" w:cs="Times New Roman"/>
              </w:rPr>
              <w:t xml:space="preserve"> капитал в България</w:t>
            </w:r>
          </w:p>
        </w:tc>
        <w:tc>
          <w:tcPr>
            <w:tcW w:w="7938" w:type="dxa"/>
          </w:tcPr>
          <w:p w14:paraId="0106093B" w14:textId="3FECB084" w:rsidR="00374BA6" w:rsidRPr="000125BF" w:rsidRDefault="00374BA6" w:rsidP="002D6CE2">
            <w:pPr>
              <w:spacing w:after="120"/>
              <w:jc w:val="both"/>
              <w:rPr>
                <w:rFonts w:ascii="Times New Roman" w:hAnsi="Times New Roman" w:cs="Times New Roman"/>
                <w:i/>
              </w:rPr>
            </w:pPr>
            <w:r w:rsidRPr="000125BF">
              <w:rPr>
                <w:rFonts w:ascii="Times New Roman" w:hAnsi="Times New Roman" w:cs="Times New Roman"/>
              </w:rPr>
              <w:t xml:space="preserve">Предложени са следните технически редакции по приоритет 1 ”Цифрова трансформация на публичния сектор в полза на обществото” на стр. 19: </w:t>
            </w:r>
            <w:r w:rsidRPr="000125BF">
              <w:rPr>
                <w:rFonts w:ascii="Times New Roman" w:hAnsi="Times New Roman" w:cs="Times New Roman"/>
                <w:i/>
              </w:rPr>
              <w:t>(предложенията са маркирани в жълт цвят):</w:t>
            </w:r>
          </w:p>
          <w:p w14:paraId="362F5FF9" w14:textId="3C243AF6" w:rsidR="00374BA6" w:rsidRPr="000125BF" w:rsidRDefault="00374BA6" w:rsidP="002D6CE2">
            <w:pPr>
              <w:pStyle w:val="ListParagraph"/>
              <w:numPr>
                <w:ilvl w:val="0"/>
                <w:numId w:val="17"/>
              </w:numPr>
              <w:spacing w:after="120"/>
              <w:contextualSpacing w:val="0"/>
              <w:jc w:val="both"/>
              <w:rPr>
                <w:rFonts w:ascii="Times New Roman" w:hAnsi="Times New Roman" w:cs="Times New Roman"/>
              </w:rPr>
            </w:pPr>
            <w:r w:rsidRPr="000125BF">
              <w:rPr>
                <w:rFonts w:ascii="Times New Roman" w:hAnsi="Times New Roman" w:cs="Times New Roman"/>
              </w:rPr>
              <w:t xml:space="preserve">Разработване на модели и </w:t>
            </w:r>
            <w:r w:rsidRPr="000125BF">
              <w:rPr>
                <w:rFonts w:ascii="Times New Roman" w:hAnsi="Times New Roman" w:cs="Times New Roman"/>
                <w:highlight w:val="yellow"/>
              </w:rPr>
              <w:t>стандарти</w:t>
            </w:r>
            <w:r w:rsidRPr="000125BF">
              <w:rPr>
                <w:rFonts w:ascii="Times New Roman" w:hAnsi="Times New Roman" w:cs="Times New Roman"/>
              </w:rPr>
              <w:t xml:space="preserve"> на данни и свързани данни - Повишаване на оперативната съвместимост и качеството на данните в </w:t>
            </w:r>
            <w:r w:rsidRPr="000125BF">
              <w:rPr>
                <w:rFonts w:ascii="Times New Roman" w:hAnsi="Times New Roman" w:cs="Times New Roman"/>
              </w:rPr>
              <w:lastRenderedPageBreak/>
              <w:t xml:space="preserve">публичния сектор и </w:t>
            </w:r>
            <w:r w:rsidRPr="000125BF">
              <w:rPr>
                <w:rFonts w:ascii="Times New Roman" w:hAnsi="Times New Roman" w:cs="Times New Roman"/>
                <w:highlight w:val="yellow"/>
              </w:rPr>
              <w:t>бизнеса</w:t>
            </w:r>
            <w:r w:rsidRPr="000125BF">
              <w:rPr>
                <w:rFonts w:ascii="Times New Roman" w:hAnsi="Times New Roman" w:cs="Times New Roman"/>
              </w:rPr>
              <w:t xml:space="preserve">, чрез поетапно разработване на модели на данни и модели на свързани данни, които са от ключово значение за развитието на обществото в цифрова среда; </w:t>
            </w:r>
          </w:p>
          <w:p w14:paraId="36AFD7B2" w14:textId="02A62D4B" w:rsidR="00374BA6" w:rsidRPr="000125BF" w:rsidRDefault="00374BA6" w:rsidP="00D330B3">
            <w:pPr>
              <w:pStyle w:val="ListParagraph"/>
              <w:numPr>
                <w:ilvl w:val="0"/>
                <w:numId w:val="17"/>
              </w:numPr>
              <w:spacing w:after="120"/>
              <w:contextualSpacing w:val="0"/>
              <w:jc w:val="both"/>
              <w:rPr>
                <w:rFonts w:ascii="Times New Roman" w:hAnsi="Times New Roman" w:cs="Times New Roman"/>
              </w:rPr>
            </w:pPr>
            <w:r w:rsidRPr="000125BF">
              <w:rPr>
                <w:rFonts w:ascii="Times New Roman" w:hAnsi="Times New Roman" w:cs="Times New Roman"/>
              </w:rPr>
              <w:t xml:space="preserve">Изграждане на нови модели на взаимодействие </w:t>
            </w:r>
            <w:r w:rsidRPr="000125BF">
              <w:rPr>
                <w:rFonts w:ascii="Times New Roman" w:hAnsi="Times New Roman" w:cs="Times New Roman"/>
                <w:highlight w:val="yellow"/>
              </w:rPr>
              <w:t>и</w:t>
            </w:r>
            <w:r w:rsidRPr="000125BF">
              <w:rPr>
                <w:rFonts w:ascii="Times New Roman" w:hAnsi="Times New Roman" w:cs="Times New Roman"/>
              </w:rPr>
              <w:t xml:space="preserve"> </w:t>
            </w:r>
            <w:r w:rsidRPr="000125BF">
              <w:rPr>
                <w:rFonts w:ascii="Times New Roman" w:hAnsi="Times New Roman" w:cs="Times New Roman"/>
                <w:highlight w:val="yellow"/>
              </w:rPr>
              <w:t>споделяне на данни</w:t>
            </w:r>
            <w:r w:rsidRPr="000125BF">
              <w:rPr>
                <w:rFonts w:ascii="Times New Roman" w:hAnsi="Times New Roman" w:cs="Times New Roman"/>
              </w:rPr>
              <w:t xml:space="preserve"> между гражданите,  бизнеса и администрацията в дигитална среда </w:t>
            </w:r>
            <w:r w:rsidR="00D330B3" w:rsidRPr="000125BF">
              <w:rPr>
                <w:rFonts w:ascii="Times New Roman" w:hAnsi="Times New Roman" w:cs="Times New Roman"/>
              </w:rPr>
              <w:t>….</w:t>
            </w:r>
            <w:r w:rsidRPr="000125BF">
              <w:rPr>
                <w:rFonts w:ascii="Times New Roman" w:hAnsi="Times New Roman" w:cs="Times New Roman"/>
              </w:rPr>
              <w:t>.</w:t>
            </w:r>
          </w:p>
        </w:tc>
        <w:tc>
          <w:tcPr>
            <w:tcW w:w="4111" w:type="dxa"/>
          </w:tcPr>
          <w:p w14:paraId="2EDF00C4" w14:textId="77777777" w:rsidR="00374BA6" w:rsidRPr="000125BF" w:rsidRDefault="00D330B3" w:rsidP="00D2795C">
            <w:pPr>
              <w:pStyle w:val="NormalWeb"/>
              <w:spacing w:before="0" w:beforeAutospacing="0" w:after="120" w:afterAutospacing="0"/>
              <w:jc w:val="both"/>
              <w:rPr>
                <w:color w:val="000000"/>
                <w:sz w:val="22"/>
                <w:szCs w:val="22"/>
              </w:rPr>
            </w:pPr>
            <w:r w:rsidRPr="000125BF">
              <w:rPr>
                <w:color w:val="000000"/>
                <w:sz w:val="22"/>
                <w:szCs w:val="22"/>
              </w:rPr>
              <w:lastRenderedPageBreak/>
              <w:t>Приема се.</w:t>
            </w:r>
          </w:p>
          <w:p w14:paraId="1E2B02D0" w14:textId="47F71948" w:rsidR="00D330B3" w:rsidRPr="000125BF" w:rsidRDefault="00D330B3" w:rsidP="00D2795C">
            <w:pPr>
              <w:pStyle w:val="NormalWeb"/>
              <w:spacing w:before="0" w:beforeAutospacing="0" w:after="120" w:afterAutospacing="0"/>
              <w:jc w:val="both"/>
              <w:rPr>
                <w:color w:val="000000"/>
                <w:sz w:val="22"/>
                <w:szCs w:val="22"/>
              </w:rPr>
            </w:pPr>
            <w:r w:rsidRPr="000125BF">
              <w:rPr>
                <w:color w:val="000000"/>
                <w:sz w:val="22"/>
                <w:szCs w:val="22"/>
              </w:rPr>
              <w:t>Текстът на Програмата е променен по следния начин</w:t>
            </w:r>
            <w:r w:rsidR="00AE63E8" w:rsidRPr="000125BF">
              <w:rPr>
                <w:color w:val="000000"/>
                <w:sz w:val="22"/>
                <w:szCs w:val="22"/>
              </w:rPr>
              <w:t xml:space="preserve">, като </w:t>
            </w:r>
            <w:r w:rsidR="00EB70F7" w:rsidRPr="000125BF">
              <w:rPr>
                <w:color w:val="000000"/>
                <w:sz w:val="22"/>
                <w:szCs w:val="22"/>
              </w:rPr>
              <w:t>„</w:t>
            </w:r>
            <w:r w:rsidR="00153F37">
              <w:rPr>
                <w:color w:val="000000"/>
                <w:sz w:val="22"/>
                <w:szCs w:val="22"/>
              </w:rPr>
              <w:t xml:space="preserve">Разработване </w:t>
            </w:r>
            <w:r w:rsidR="00EB70F7" w:rsidRPr="000125BF">
              <w:rPr>
                <w:color w:val="000000"/>
                <w:sz w:val="22"/>
                <w:szCs w:val="22"/>
              </w:rPr>
              <w:t xml:space="preserve">оперативно съвместими модели на </w:t>
            </w:r>
            <w:r w:rsidR="00EB70F7" w:rsidRPr="000125BF">
              <w:rPr>
                <w:color w:val="000000"/>
                <w:sz w:val="22"/>
                <w:szCs w:val="22"/>
              </w:rPr>
              <w:lastRenderedPageBreak/>
              <w:t>данни“ включва</w:t>
            </w:r>
            <w:r w:rsidR="00153F37">
              <w:rPr>
                <w:color w:val="000000"/>
                <w:sz w:val="22"/>
                <w:szCs w:val="22"/>
              </w:rPr>
              <w:t xml:space="preserve"> и тяхното стандартизиране</w:t>
            </w:r>
            <w:r w:rsidRPr="000125BF">
              <w:rPr>
                <w:color w:val="000000"/>
                <w:sz w:val="22"/>
                <w:szCs w:val="22"/>
              </w:rPr>
              <w:t>:</w:t>
            </w:r>
          </w:p>
          <w:p w14:paraId="17986DBD" w14:textId="29C95133" w:rsidR="00D330B3" w:rsidRPr="000125BF" w:rsidRDefault="00D330B3" w:rsidP="00D62D6A">
            <w:pPr>
              <w:pStyle w:val="ListParagraph"/>
              <w:numPr>
                <w:ilvl w:val="0"/>
                <w:numId w:val="17"/>
              </w:numPr>
              <w:spacing w:after="120"/>
              <w:ind w:left="176" w:hanging="142"/>
              <w:contextualSpacing w:val="0"/>
              <w:jc w:val="both"/>
              <w:rPr>
                <w:rFonts w:ascii="Times New Roman" w:hAnsi="Times New Roman" w:cs="Times New Roman"/>
              </w:rPr>
            </w:pPr>
            <w:r w:rsidRPr="000125BF">
              <w:rPr>
                <w:rFonts w:ascii="Times New Roman" w:hAnsi="Times New Roman" w:cs="Times New Roman"/>
              </w:rPr>
              <w:t xml:space="preserve">Разработване </w:t>
            </w:r>
            <w:r w:rsidRPr="000125BF">
              <w:rPr>
                <w:rFonts w:ascii="Times New Roman" w:hAnsi="Times New Roman" w:cs="Times New Roman"/>
                <w:highlight w:val="yellow"/>
              </w:rPr>
              <w:t>на оперативно съвместими модели на данни</w:t>
            </w:r>
            <w:r w:rsidRPr="000125BF">
              <w:rPr>
                <w:rFonts w:ascii="Times New Roman" w:hAnsi="Times New Roman" w:cs="Times New Roman"/>
              </w:rPr>
              <w:t xml:space="preserve"> и свързани  данни - Повишаване на оперативната съвместимост и качеството на данните в публичния сектор </w:t>
            </w:r>
            <w:r w:rsidRPr="003F32EB">
              <w:rPr>
                <w:rFonts w:ascii="Times New Roman" w:hAnsi="Times New Roman" w:cs="Times New Roman"/>
                <w:highlight w:val="yellow"/>
              </w:rPr>
              <w:t>и бизнеса</w:t>
            </w:r>
            <w:r w:rsidRPr="000125BF">
              <w:rPr>
                <w:rFonts w:ascii="Times New Roman" w:hAnsi="Times New Roman" w:cs="Times New Roman"/>
              </w:rPr>
              <w:t xml:space="preserve">, чрез </w:t>
            </w:r>
            <w:r w:rsidR="00D237A6">
              <w:rPr>
                <w:rFonts w:ascii="Times New Roman" w:hAnsi="Times New Roman" w:cs="Times New Roman"/>
              </w:rPr>
              <w:t>……..</w:t>
            </w:r>
            <w:r w:rsidRPr="000125BF">
              <w:rPr>
                <w:rFonts w:ascii="Times New Roman" w:hAnsi="Times New Roman" w:cs="Times New Roman"/>
              </w:rPr>
              <w:t xml:space="preserve">; </w:t>
            </w:r>
          </w:p>
          <w:p w14:paraId="12F2A913" w14:textId="4BBAF001" w:rsidR="00D330B3" w:rsidRPr="000125BF" w:rsidRDefault="00D330B3" w:rsidP="00D62D6A">
            <w:pPr>
              <w:pStyle w:val="ListParagraph"/>
              <w:numPr>
                <w:ilvl w:val="0"/>
                <w:numId w:val="17"/>
              </w:numPr>
              <w:spacing w:after="120"/>
              <w:ind w:left="176" w:hanging="142"/>
              <w:contextualSpacing w:val="0"/>
              <w:jc w:val="both"/>
              <w:rPr>
                <w:color w:val="000000"/>
              </w:rPr>
            </w:pPr>
            <w:r w:rsidRPr="000125BF">
              <w:rPr>
                <w:rFonts w:ascii="Times New Roman" w:hAnsi="Times New Roman" w:cs="Times New Roman"/>
              </w:rPr>
              <w:t xml:space="preserve">Изграждане на нови модели на взаимодействие </w:t>
            </w:r>
            <w:r w:rsidRPr="000125BF">
              <w:rPr>
                <w:rFonts w:ascii="Times New Roman" w:hAnsi="Times New Roman" w:cs="Times New Roman"/>
                <w:highlight w:val="yellow"/>
              </w:rPr>
              <w:t>и споделяне на данни</w:t>
            </w:r>
            <w:r w:rsidRPr="000125BF">
              <w:rPr>
                <w:rFonts w:ascii="Times New Roman" w:hAnsi="Times New Roman" w:cs="Times New Roman"/>
              </w:rPr>
              <w:t xml:space="preserve"> между гражданите,  бизнеса и администрацията в дигитална среда</w:t>
            </w:r>
            <w:r w:rsidR="00D62D6A">
              <w:rPr>
                <w:rFonts w:ascii="Times New Roman" w:hAnsi="Times New Roman" w:cs="Times New Roman"/>
              </w:rPr>
              <w:t xml:space="preserve"> ….</w:t>
            </w:r>
          </w:p>
        </w:tc>
      </w:tr>
      <w:tr w:rsidR="006D64A0" w:rsidRPr="000125BF" w14:paraId="48C6E40A" w14:textId="77777777" w:rsidTr="00A74CB5">
        <w:trPr>
          <w:trHeight w:val="841"/>
        </w:trPr>
        <w:tc>
          <w:tcPr>
            <w:tcW w:w="1271" w:type="dxa"/>
          </w:tcPr>
          <w:p w14:paraId="56A6C150" w14:textId="3C2D30A7" w:rsidR="006D64A0" w:rsidRPr="000125BF" w:rsidRDefault="005519CB" w:rsidP="006D64A0">
            <w:pPr>
              <w:rPr>
                <w:rFonts w:ascii="Times New Roman" w:hAnsi="Times New Roman" w:cs="Times New Roman"/>
              </w:rPr>
            </w:pPr>
            <w:r w:rsidRPr="000125BF">
              <w:rPr>
                <w:rFonts w:ascii="Times New Roman" w:hAnsi="Times New Roman" w:cs="Times New Roman"/>
              </w:rPr>
              <w:lastRenderedPageBreak/>
              <w:t>26.03.2020 г</w:t>
            </w:r>
            <w:r w:rsidR="006D64A0" w:rsidRPr="000125BF">
              <w:rPr>
                <w:rFonts w:ascii="Times New Roman" w:hAnsi="Times New Roman" w:cs="Times New Roman"/>
              </w:rPr>
              <w:t>,</w:t>
            </w:r>
          </w:p>
          <w:p w14:paraId="201AED58" w14:textId="4B3FAE64" w:rsidR="006D64A0" w:rsidRPr="000125BF" w:rsidRDefault="005519CB" w:rsidP="00E951CC">
            <w:pPr>
              <w:rPr>
                <w:rFonts w:ascii="Times New Roman" w:hAnsi="Times New Roman" w:cs="Times New Roman"/>
              </w:rPr>
            </w:pPr>
            <w:r w:rsidRPr="000125BF">
              <w:rPr>
                <w:rFonts w:ascii="Times New Roman" w:hAnsi="Times New Roman" w:cs="Times New Roman"/>
              </w:rPr>
              <w:t>Е</w:t>
            </w:r>
            <w:r w:rsidR="006D64A0" w:rsidRPr="000125BF">
              <w:rPr>
                <w:rFonts w:ascii="Times New Roman" w:hAnsi="Times New Roman" w:cs="Times New Roman"/>
              </w:rPr>
              <w:t>л</w:t>
            </w:r>
            <w:r w:rsidRPr="000125BF">
              <w:rPr>
                <w:rFonts w:ascii="Times New Roman" w:hAnsi="Times New Roman" w:cs="Times New Roman"/>
                <w:lang w:val="en-US"/>
              </w:rPr>
              <w:t>.</w:t>
            </w:r>
            <w:r w:rsidR="00E951CC" w:rsidRPr="000125BF">
              <w:rPr>
                <w:rFonts w:ascii="Times New Roman" w:hAnsi="Times New Roman" w:cs="Times New Roman"/>
                <w:lang w:val="en-US"/>
              </w:rPr>
              <w:t xml:space="preserve"> </w:t>
            </w:r>
            <w:r w:rsidR="006D64A0" w:rsidRPr="000125BF">
              <w:rPr>
                <w:rFonts w:ascii="Times New Roman" w:hAnsi="Times New Roman" w:cs="Times New Roman"/>
              </w:rPr>
              <w:t>поща</w:t>
            </w:r>
          </w:p>
        </w:tc>
        <w:tc>
          <w:tcPr>
            <w:tcW w:w="1843" w:type="dxa"/>
          </w:tcPr>
          <w:p w14:paraId="441017DE" w14:textId="50D98F65" w:rsidR="006D64A0" w:rsidRPr="000125BF" w:rsidRDefault="006D64A0" w:rsidP="00755AD8">
            <w:pPr>
              <w:jc w:val="both"/>
              <w:rPr>
                <w:rFonts w:ascii="Times New Roman" w:hAnsi="Times New Roman" w:cs="Times New Roman"/>
              </w:rPr>
            </w:pPr>
            <w:r w:rsidRPr="000125BF">
              <w:rPr>
                <w:rFonts w:ascii="Times New Roman" w:hAnsi="Times New Roman" w:cs="Times New Roman"/>
              </w:rPr>
              <w:t xml:space="preserve">Министерство на транспорта, информационните технологии и </w:t>
            </w:r>
            <w:r w:rsidR="006B3C09" w:rsidRPr="000125BF">
              <w:rPr>
                <w:rFonts w:ascii="Times New Roman" w:hAnsi="Times New Roman" w:cs="Times New Roman"/>
              </w:rPr>
              <w:t>съобщенията в качеството му на ведомство, отговорно за политиките, мерки по които ще се финансират от „Оперативна програма за електронно управление и техническа помощ“</w:t>
            </w:r>
          </w:p>
        </w:tc>
        <w:tc>
          <w:tcPr>
            <w:tcW w:w="7938" w:type="dxa"/>
          </w:tcPr>
          <w:p w14:paraId="4A3ADEA6" w14:textId="77777777" w:rsidR="006D64A0" w:rsidRPr="000125BF" w:rsidRDefault="006D64A0" w:rsidP="002D6CE2">
            <w:pPr>
              <w:spacing w:after="120"/>
              <w:jc w:val="both"/>
              <w:rPr>
                <w:rFonts w:ascii="Times New Roman" w:hAnsi="Times New Roman" w:cs="Times New Roman"/>
              </w:rPr>
            </w:pPr>
            <w:r w:rsidRPr="000125BF">
              <w:rPr>
                <w:rFonts w:ascii="Times New Roman" w:hAnsi="Times New Roman" w:cs="Times New Roman"/>
              </w:rPr>
              <w:t>Направени са следните предложения:</w:t>
            </w:r>
          </w:p>
          <w:p w14:paraId="25C17BD0" w14:textId="5A652726" w:rsidR="006D64A0" w:rsidRDefault="006D64A0" w:rsidP="00260F74">
            <w:pPr>
              <w:pStyle w:val="ListParagraph"/>
              <w:numPr>
                <w:ilvl w:val="0"/>
                <w:numId w:val="12"/>
              </w:numPr>
              <w:spacing w:after="120"/>
              <w:ind w:left="317" w:hanging="283"/>
              <w:contextualSpacing w:val="0"/>
              <w:jc w:val="both"/>
              <w:rPr>
                <w:rFonts w:ascii="Times New Roman" w:hAnsi="Times New Roman" w:cs="Times New Roman"/>
              </w:rPr>
            </w:pPr>
            <w:r w:rsidRPr="000125BF">
              <w:rPr>
                <w:rFonts w:ascii="Times New Roman" w:hAnsi="Times New Roman" w:cs="Times New Roman"/>
              </w:rPr>
              <w:t xml:space="preserve">Навсякъде в текста вместо термина „дигитализация“ да се използва „цифровизация“ с мотив, че това </w:t>
            </w:r>
            <w:r w:rsidR="00A74CB5">
              <w:rPr>
                <w:rFonts w:ascii="Times New Roman" w:hAnsi="Times New Roman" w:cs="Times New Roman"/>
                <w:lang w:val="en-US"/>
              </w:rPr>
              <w:t xml:space="preserve">е </w:t>
            </w:r>
            <w:r w:rsidRPr="000125BF">
              <w:rPr>
                <w:rFonts w:ascii="Times New Roman" w:hAnsi="Times New Roman" w:cs="Times New Roman"/>
              </w:rPr>
              <w:t>българският термин и използването му ще бъде в съответствие и с новия политически документ за цифровата трансформация.</w:t>
            </w:r>
          </w:p>
          <w:p w14:paraId="3B274E19" w14:textId="502CA7E7" w:rsidR="000125BF" w:rsidRPr="000125BF" w:rsidRDefault="000125BF" w:rsidP="00260F74">
            <w:pPr>
              <w:pStyle w:val="ListParagraph"/>
              <w:numPr>
                <w:ilvl w:val="0"/>
                <w:numId w:val="12"/>
              </w:numPr>
              <w:spacing w:after="120"/>
              <w:ind w:left="317" w:hanging="283"/>
              <w:contextualSpacing w:val="0"/>
              <w:jc w:val="both"/>
              <w:rPr>
                <w:rFonts w:ascii="Times New Roman" w:hAnsi="Times New Roman" w:cs="Times New Roman"/>
              </w:rPr>
            </w:pPr>
            <w:r>
              <w:rPr>
                <w:rFonts w:ascii="Times New Roman" w:hAnsi="Times New Roman" w:cs="Times New Roman"/>
              </w:rPr>
              <w:t>Да отпадне абзацът на стр. 4: „</w:t>
            </w:r>
            <w:r w:rsidRPr="000125BF">
              <w:rPr>
                <w:rFonts w:ascii="Times New Roman" w:hAnsi="Times New Roman" w:cs="Times New Roman"/>
              </w:rPr>
              <w:t>В Индекса на ЕК на навлизането на цифровите технологии в икономиката и обществото (DESI) за 2019 е отбелязано, че повече съсредоточаване върху разгръщането на широколентовия достъп до интернет в селските райони, съчетано с повече обучение за придобиване</w:t>
            </w:r>
            <w:r>
              <w:rPr>
                <w:rFonts w:ascii="Times New Roman" w:hAnsi="Times New Roman" w:cs="Times New Roman"/>
              </w:rPr>
              <w:t>…“, тъй като се получава повторение с предходния текст.</w:t>
            </w:r>
          </w:p>
          <w:p w14:paraId="55D80D18" w14:textId="4B372F25" w:rsidR="006D64A0" w:rsidRPr="000125BF" w:rsidRDefault="006D64A0" w:rsidP="00260F74">
            <w:pPr>
              <w:pStyle w:val="ListParagraph"/>
              <w:numPr>
                <w:ilvl w:val="0"/>
                <w:numId w:val="12"/>
              </w:numPr>
              <w:spacing w:after="120"/>
              <w:ind w:left="317" w:hanging="283"/>
              <w:contextualSpacing w:val="0"/>
              <w:jc w:val="both"/>
              <w:rPr>
                <w:rFonts w:ascii="Times New Roman" w:hAnsi="Times New Roman" w:cs="Times New Roman"/>
              </w:rPr>
            </w:pPr>
            <w:r w:rsidRPr="000125BF">
              <w:rPr>
                <w:rFonts w:ascii="Times New Roman" w:hAnsi="Times New Roman" w:cs="Times New Roman"/>
              </w:rPr>
              <w:t xml:space="preserve">В текста на стр. 13, маркираният в жълт цвят текст е добавен към параграфа, както следва: „Определени са компетентните органи и е установена цялостна система на координация и взаимодействие между администрациите, както и правила за докладване на инциденти в </w:t>
            </w:r>
            <w:proofErr w:type="spellStart"/>
            <w:r w:rsidRPr="000125BF">
              <w:rPr>
                <w:rFonts w:ascii="Times New Roman" w:hAnsi="Times New Roman" w:cs="Times New Roman"/>
              </w:rPr>
              <w:t>киберсигурността</w:t>
            </w:r>
            <w:proofErr w:type="spellEnd"/>
            <w:r w:rsidRPr="000125BF">
              <w:rPr>
                <w:rFonts w:ascii="Times New Roman" w:hAnsi="Times New Roman" w:cs="Times New Roman"/>
              </w:rPr>
              <w:t xml:space="preserve">, засягащи административните органи, </w:t>
            </w:r>
            <w:r w:rsidRPr="000125BF">
              <w:rPr>
                <w:rFonts w:ascii="Times New Roman" w:hAnsi="Times New Roman" w:cs="Times New Roman"/>
                <w:highlight w:val="yellow"/>
              </w:rPr>
              <w:t>операторите на съществени услуги</w:t>
            </w:r>
            <w:r w:rsidRPr="000125BF">
              <w:rPr>
                <w:rFonts w:ascii="Times New Roman" w:hAnsi="Times New Roman" w:cs="Times New Roman"/>
              </w:rPr>
              <w:t xml:space="preserve"> и доставчиците на цифрови услуги на национално и европейско ниво.“.</w:t>
            </w:r>
          </w:p>
          <w:p w14:paraId="19D0474F" w14:textId="09002084" w:rsidR="00ED773E" w:rsidRPr="000125BF" w:rsidRDefault="00ED773E" w:rsidP="00260F74">
            <w:pPr>
              <w:pStyle w:val="ListParagraph"/>
              <w:numPr>
                <w:ilvl w:val="0"/>
                <w:numId w:val="12"/>
              </w:numPr>
              <w:spacing w:after="120"/>
              <w:ind w:left="317" w:hanging="283"/>
              <w:contextualSpacing w:val="0"/>
              <w:jc w:val="both"/>
              <w:rPr>
                <w:rFonts w:ascii="Times New Roman" w:hAnsi="Times New Roman" w:cs="Times New Roman"/>
              </w:rPr>
            </w:pPr>
            <w:r w:rsidRPr="000125BF">
              <w:rPr>
                <w:rFonts w:ascii="Times New Roman" w:hAnsi="Times New Roman" w:cs="Times New Roman"/>
              </w:rPr>
              <w:t xml:space="preserve">В стратегическата част на програмата да бъде разместена и частта </w:t>
            </w:r>
            <w:r w:rsidR="00F0017C" w:rsidRPr="000125BF">
              <w:rPr>
                <w:rFonts w:ascii="Times New Roman" w:hAnsi="Times New Roman" w:cs="Times New Roman"/>
              </w:rPr>
              <w:t>за</w:t>
            </w:r>
            <w:r w:rsidRPr="000125BF">
              <w:rPr>
                <w:rFonts w:ascii="Times New Roman" w:hAnsi="Times New Roman" w:cs="Times New Roman"/>
              </w:rPr>
              <w:t xml:space="preserve"> свързаността да бъде първа, тъй като свързаността е в основата на другите приоритети, включени в ОПЕУТП</w:t>
            </w:r>
            <w:r w:rsidR="00953C06" w:rsidRPr="000125BF">
              <w:rPr>
                <w:rFonts w:ascii="Times New Roman" w:hAnsi="Times New Roman" w:cs="Times New Roman"/>
              </w:rPr>
              <w:t>.</w:t>
            </w:r>
          </w:p>
          <w:p w14:paraId="32E6C1C1" w14:textId="15C3B140" w:rsidR="00953C06" w:rsidRPr="000125BF" w:rsidRDefault="00953C06" w:rsidP="00260F74">
            <w:pPr>
              <w:pStyle w:val="ListParagraph"/>
              <w:numPr>
                <w:ilvl w:val="0"/>
                <w:numId w:val="12"/>
              </w:numPr>
              <w:spacing w:after="120"/>
              <w:ind w:left="317" w:hanging="283"/>
              <w:contextualSpacing w:val="0"/>
              <w:jc w:val="both"/>
              <w:rPr>
                <w:iCs/>
                <w:color w:val="000000"/>
              </w:rPr>
            </w:pPr>
            <w:r w:rsidRPr="000125BF">
              <w:rPr>
                <w:rFonts w:ascii="Times New Roman" w:hAnsi="Times New Roman" w:cs="Times New Roman"/>
              </w:rPr>
              <w:lastRenderedPageBreak/>
              <w:t xml:space="preserve">На стр. 14 е предложено в изречението „Целенасочените усилия за разпространението  на широколентов достъп до интернет във всички райони в страната, </w:t>
            </w:r>
            <w:r w:rsidR="00FB3897" w:rsidRPr="000125BF">
              <w:rPr>
                <w:rFonts w:ascii="Times New Roman" w:hAnsi="Times New Roman" w:cs="Times New Roman"/>
              </w:rPr>
              <w:t>….</w:t>
            </w:r>
            <w:r w:rsidRPr="000125BF">
              <w:rPr>
                <w:rFonts w:ascii="Times New Roman" w:hAnsi="Times New Roman" w:cs="Times New Roman"/>
              </w:rPr>
              <w:t>“ думата „разпространението“ да бъде заменена с „</w:t>
            </w:r>
            <w:r w:rsidR="00FB3897" w:rsidRPr="000125BF">
              <w:rPr>
                <w:rFonts w:ascii="Times New Roman" w:hAnsi="Times New Roman" w:cs="Times New Roman"/>
              </w:rPr>
              <w:t>о</w:t>
            </w:r>
            <w:r w:rsidRPr="000125BF">
              <w:rPr>
                <w:rFonts w:ascii="Times New Roman" w:hAnsi="Times New Roman" w:cs="Times New Roman"/>
              </w:rPr>
              <w:t>сигуряването“</w:t>
            </w:r>
            <w:r w:rsidR="00260F74">
              <w:rPr>
                <w:rFonts w:ascii="Times New Roman" w:hAnsi="Times New Roman" w:cs="Times New Roman"/>
              </w:rPr>
              <w:t>.</w:t>
            </w:r>
          </w:p>
          <w:p w14:paraId="48479FB2" w14:textId="77777777" w:rsidR="0088503E" w:rsidRPr="000125BF" w:rsidRDefault="0088503E" w:rsidP="00260F74">
            <w:pPr>
              <w:pStyle w:val="ListParagraph"/>
              <w:numPr>
                <w:ilvl w:val="0"/>
                <w:numId w:val="12"/>
              </w:numPr>
              <w:spacing w:after="120"/>
              <w:ind w:left="317" w:hanging="283"/>
              <w:contextualSpacing w:val="0"/>
              <w:jc w:val="both"/>
              <w:rPr>
                <w:iCs/>
                <w:color w:val="000000"/>
              </w:rPr>
            </w:pPr>
            <w:r w:rsidRPr="000125BF">
              <w:rPr>
                <w:rFonts w:ascii="Times New Roman" w:hAnsi="Times New Roman" w:cs="Times New Roman"/>
              </w:rPr>
              <w:t>На стр. 16, в рамките на приоритет 1 на ОПЕУТП е направено предложение секторните екипи за реагиране при инциденти да бъдат споменати и в стратегическата част на програмата, тъй като се говори само за НКО.</w:t>
            </w:r>
          </w:p>
          <w:p w14:paraId="2134DF83" w14:textId="22558594" w:rsidR="008255EE" w:rsidRPr="000125BF" w:rsidRDefault="008255EE" w:rsidP="00260F74">
            <w:pPr>
              <w:pStyle w:val="ListParagraph"/>
              <w:numPr>
                <w:ilvl w:val="0"/>
                <w:numId w:val="12"/>
              </w:numPr>
              <w:spacing w:after="120"/>
              <w:ind w:left="317" w:hanging="283"/>
              <w:contextualSpacing w:val="0"/>
              <w:jc w:val="both"/>
              <w:rPr>
                <w:rFonts w:ascii="Times New Roman" w:hAnsi="Times New Roman" w:cs="Times New Roman"/>
              </w:rPr>
            </w:pPr>
            <w:r w:rsidRPr="000125BF">
              <w:rPr>
                <w:rFonts w:ascii="Times New Roman" w:hAnsi="Times New Roman" w:cs="Times New Roman"/>
              </w:rPr>
              <w:t xml:space="preserve">На стр. 20 по отношение на „Реализиране на мерки за мрежова и информационна сигурност като част от националната система за </w:t>
            </w:r>
            <w:proofErr w:type="spellStart"/>
            <w:r w:rsidRPr="000125BF">
              <w:rPr>
                <w:rFonts w:ascii="Times New Roman" w:hAnsi="Times New Roman" w:cs="Times New Roman"/>
              </w:rPr>
              <w:t>киберсигурност</w:t>
            </w:r>
            <w:proofErr w:type="spellEnd"/>
            <w:r w:rsidRPr="000125BF">
              <w:rPr>
                <w:rFonts w:ascii="Times New Roman" w:hAnsi="Times New Roman" w:cs="Times New Roman"/>
              </w:rPr>
              <w:t>“ е направен</w:t>
            </w:r>
            <w:r w:rsidR="000125BF">
              <w:rPr>
                <w:rFonts w:ascii="Times New Roman" w:hAnsi="Times New Roman" w:cs="Times New Roman"/>
              </w:rPr>
              <w:t>о предложение за разместване -</w:t>
            </w:r>
            <w:r w:rsidRPr="000125BF">
              <w:rPr>
                <w:rFonts w:ascii="Times New Roman" w:hAnsi="Times New Roman" w:cs="Times New Roman"/>
              </w:rPr>
              <w:t xml:space="preserve"> тези мерки да са след тези за ДХЧО с</w:t>
            </w:r>
            <w:r w:rsidR="00E1158E" w:rsidRPr="000125BF">
              <w:rPr>
                <w:rFonts w:ascii="Times New Roman" w:hAnsi="Times New Roman" w:cs="Times New Roman"/>
              </w:rPr>
              <w:t xml:space="preserve"> цел постигане на по-добра логик</w:t>
            </w:r>
            <w:r w:rsidRPr="000125BF">
              <w:rPr>
                <w:rFonts w:ascii="Times New Roman" w:hAnsi="Times New Roman" w:cs="Times New Roman"/>
              </w:rPr>
              <w:t>а на текста.</w:t>
            </w:r>
          </w:p>
          <w:p w14:paraId="2CA8560C" w14:textId="77777777" w:rsidR="00E1158E" w:rsidRPr="000125BF" w:rsidRDefault="00E1158E" w:rsidP="00260F74">
            <w:pPr>
              <w:pStyle w:val="ListParagraph"/>
              <w:numPr>
                <w:ilvl w:val="0"/>
                <w:numId w:val="12"/>
              </w:numPr>
              <w:spacing w:after="120"/>
              <w:ind w:left="317" w:hanging="283"/>
              <w:contextualSpacing w:val="0"/>
              <w:jc w:val="both"/>
              <w:rPr>
                <w:rFonts w:ascii="Times New Roman" w:hAnsi="Times New Roman" w:cs="Times New Roman"/>
              </w:rPr>
            </w:pPr>
            <w:r w:rsidRPr="000125BF">
              <w:rPr>
                <w:rFonts w:ascii="Times New Roman" w:hAnsi="Times New Roman" w:cs="Times New Roman"/>
              </w:rPr>
              <w:t>На стр. 20 по отношение на „Укрепване на капацитета на националния и секторните екипи за реагиране при инциденти с компютърната сигурност…“ е направена препоръка при възможност  да се предвидят и мерки за укрепване капацитета и на НКО в отделните сектори</w:t>
            </w:r>
            <w:r w:rsidR="00783894" w:rsidRPr="000125BF">
              <w:rPr>
                <w:rFonts w:ascii="Times New Roman" w:hAnsi="Times New Roman" w:cs="Times New Roman"/>
              </w:rPr>
              <w:t>.</w:t>
            </w:r>
          </w:p>
          <w:p w14:paraId="387083C1" w14:textId="285C61BD" w:rsidR="00783894" w:rsidRPr="000125BF" w:rsidRDefault="00783894" w:rsidP="00260F74">
            <w:pPr>
              <w:pStyle w:val="ListParagraph"/>
              <w:numPr>
                <w:ilvl w:val="0"/>
                <w:numId w:val="12"/>
              </w:numPr>
              <w:spacing w:after="120"/>
              <w:ind w:left="317" w:hanging="283"/>
              <w:contextualSpacing w:val="0"/>
              <w:jc w:val="both"/>
              <w:rPr>
                <w:rFonts w:ascii="Times New Roman" w:hAnsi="Times New Roman" w:cs="Times New Roman"/>
              </w:rPr>
            </w:pPr>
            <w:r w:rsidRPr="000125BF">
              <w:rPr>
                <w:rFonts w:ascii="Times New Roman" w:hAnsi="Times New Roman" w:cs="Times New Roman"/>
              </w:rPr>
              <w:t xml:space="preserve">На </w:t>
            </w:r>
            <w:proofErr w:type="spellStart"/>
            <w:r w:rsidRPr="000125BF">
              <w:rPr>
                <w:rFonts w:ascii="Times New Roman" w:hAnsi="Times New Roman" w:cs="Times New Roman"/>
              </w:rPr>
              <w:t>стр</w:t>
            </w:r>
            <w:proofErr w:type="spellEnd"/>
            <w:r w:rsidR="00707D64" w:rsidRPr="000125BF">
              <w:rPr>
                <w:rFonts w:ascii="Times New Roman" w:hAnsi="Times New Roman" w:cs="Times New Roman"/>
                <w:lang w:val="ru-RU"/>
              </w:rPr>
              <w:t>.</w:t>
            </w:r>
            <w:r w:rsidRPr="000125BF">
              <w:rPr>
                <w:rFonts w:ascii="Times New Roman" w:hAnsi="Times New Roman" w:cs="Times New Roman"/>
              </w:rPr>
              <w:t xml:space="preserve"> 25 се </w:t>
            </w:r>
            <w:r w:rsidR="00707D64" w:rsidRPr="000125BF">
              <w:rPr>
                <w:rFonts w:ascii="Times New Roman" w:hAnsi="Times New Roman" w:cs="Times New Roman"/>
              </w:rPr>
              <w:t>направено</w:t>
            </w:r>
            <w:r w:rsidRPr="000125BF">
              <w:rPr>
                <w:rFonts w:ascii="Times New Roman" w:hAnsi="Times New Roman" w:cs="Times New Roman"/>
              </w:rPr>
              <w:t xml:space="preserve"> предложение да се използва едно и също съкращение – или ДСП или NGA.</w:t>
            </w:r>
          </w:p>
        </w:tc>
        <w:tc>
          <w:tcPr>
            <w:tcW w:w="4111" w:type="dxa"/>
          </w:tcPr>
          <w:p w14:paraId="66AB492D" w14:textId="5EF06E96" w:rsidR="006D64A0" w:rsidRDefault="006D64A0" w:rsidP="0023588F">
            <w:pPr>
              <w:pStyle w:val="NormalWeb"/>
              <w:numPr>
                <w:ilvl w:val="0"/>
                <w:numId w:val="13"/>
              </w:numPr>
              <w:spacing w:before="0" w:beforeAutospacing="0" w:after="120" w:afterAutospacing="0"/>
              <w:ind w:left="317" w:hanging="317"/>
              <w:jc w:val="both"/>
              <w:rPr>
                <w:color w:val="000000"/>
                <w:sz w:val="22"/>
                <w:szCs w:val="22"/>
              </w:rPr>
            </w:pPr>
            <w:r w:rsidRPr="000125BF">
              <w:rPr>
                <w:color w:val="000000"/>
                <w:sz w:val="22"/>
                <w:szCs w:val="22"/>
              </w:rPr>
              <w:lastRenderedPageBreak/>
              <w:t>Приема се</w:t>
            </w:r>
            <w:r w:rsidR="000125BF" w:rsidRPr="000125BF">
              <w:rPr>
                <w:color w:val="000000"/>
                <w:sz w:val="22"/>
                <w:szCs w:val="22"/>
              </w:rPr>
              <w:t xml:space="preserve"> по принцип. На </w:t>
            </w:r>
            <w:r w:rsidR="00C67DC7">
              <w:rPr>
                <w:color w:val="000000"/>
                <w:sz w:val="22"/>
                <w:szCs w:val="22"/>
              </w:rPr>
              <w:t>повечето</w:t>
            </w:r>
            <w:r w:rsidR="000125BF" w:rsidRPr="000125BF">
              <w:rPr>
                <w:color w:val="000000"/>
                <w:sz w:val="22"/>
                <w:szCs w:val="22"/>
              </w:rPr>
              <w:t xml:space="preserve"> места текстът е променен, но тъй като терминът „дигитализация“ е утвърден и широко се използва</w:t>
            </w:r>
            <w:r w:rsidR="00C67DC7">
              <w:rPr>
                <w:color w:val="000000"/>
                <w:sz w:val="22"/>
                <w:szCs w:val="22"/>
              </w:rPr>
              <w:t xml:space="preserve">, </w:t>
            </w:r>
            <w:r w:rsidR="000125BF" w:rsidRPr="000125BF">
              <w:rPr>
                <w:color w:val="000000"/>
                <w:sz w:val="22"/>
                <w:szCs w:val="22"/>
              </w:rPr>
              <w:t xml:space="preserve">„дигитализация“ и „цифровизация“, както и </w:t>
            </w:r>
            <w:r w:rsidR="005066CC">
              <w:rPr>
                <w:color w:val="000000"/>
                <w:sz w:val="22"/>
                <w:szCs w:val="22"/>
              </w:rPr>
              <w:t>техните производни</w:t>
            </w:r>
            <w:r w:rsidR="000125BF" w:rsidRPr="000125BF">
              <w:rPr>
                <w:color w:val="000000"/>
                <w:sz w:val="22"/>
                <w:szCs w:val="22"/>
              </w:rPr>
              <w:t>, с</w:t>
            </w:r>
            <w:r w:rsidR="00C67DC7">
              <w:rPr>
                <w:color w:val="000000"/>
                <w:sz w:val="22"/>
                <w:szCs w:val="22"/>
              </w:rPr>
              <w:t>а</w:t>
            </w:r>
            <w:r w:rsidR="000125BF" w:rsidRPr="000125BF">
              <w:rPr>
                <w:color w:val="000000"/>
                <w:sz w:val="22"/>
                <w:szCs w:val="22"/>
              </w:rPr>
              <w:t xml:space="preserve"> използва</w:t>
            </w:r>
            <w:r w:rsidR="00C67DC7">
              <w:rPr>
                <w:color w:val="000000"/>
                <w:sz w:val="22"/>
                <w:szCs w:val="22"/>
              </w:rPr>
              <w:t>ни в текста на Програмата</w:t>
            </w:r>
            <w:r w:rsidR="000125BF" w:rsidRPr="000125BF">
              <w:rPr>
                <w:color w:val="000000"/>
                <w:sz w:val="22"/>
                <w:szCs w:val="22"/>
              </w:rPr>
              <w:t xml:space="preserve"> като синоними. </w:t>
            </w:r>
          </w:p>
          <w:p w14:paraId="6DEBD67E" w14:textId="5C322D2C" w:rsidR="000125BF" w:rsidRPr="000125BF" w:rsidRDefault="000125BF" w:rsidP="0023588F">
            <w:pPr>
              <w:pStyle w:val="NormalWeb"/>
              <w:numPr>
                <w:ilvl w:val="0"/>
                <w:numId w:val="13"/>
              </w:numPr>
              <w:spacing w:before="0" w:beforeAutospacing="0" w:after="120" w:afterAutospacing="0"/>
              <w:ind w:left="317" w:hanging="317"/>
              <w:jc w:val="both"/>
              <w:rPr>
                <w:color w:val="000000"/>
                <w:sz w:val="22"/>
                <w:szCs w:val="22"/>
              </w:rPr>
            </w:pPr>
            <w:r>
              <w:rPr>
                <w:color w:val="000000"/>
                <w:sz w:val="22"/>
                <w:szCs w:val="22"/>
              </w:rPr>
              <w:t>Приема се. Текстът е изтрит.</w:t>
            </w:r>
          </w:p>
          <w:p w14:paraId="7E87F4A8" w14:textId="6DBC640D" w:rsidR="006D64A0" w:rsidRPr="000125BF" w:rsidRDefault="006D64A0" w:rsidP="0023588F">
            <w:pPr>
              <w:pStyle w:val="NormalWeb"/>
              <w:numPr>
                <w:ilvl w:val="0"/>
                <w:numId w:val="13"/>
              </w:numPr>
              <w:spacing w:before="0" w:beforeAutospacing="0" w:after="120" w:afterAutospacing="0"/>
              <w:ind w:left="317" w:hanging="317"/>
              <w:jc w:val="both"/>
              <w:rPr>
                <w:color w:val="000000"/>
                <w:sz w:val="22"/>
                <w:szCs w:val="22"/>
              </w:rPr>
            </w:pPr>
            <w:r w:rsidRPr="000125BF">
              <w:rPr>
                <w:color w:val="000000"/>
                <w:sz w:val="22"/>
                <w:szCs w:val="22"/>
              </w:rPr>
              <w:t>Приема се.</w:t>
            </w:r>
            <w:r w:rsidR="00FB3897" w:rsidRPr="000125BF">
              <w:rPr>
                <w:color w:val="000000"/>
                <w:sz w:val="22"/>
                <w:szCs w:val="22"/>
              </w:rPr>
              <w:t xml:space="preserve"> Отразено е.</w:t>
            </w:r>
          </w:p>
          <w:p w14:paraId="4DABC6B6" w14:textId="76E12553" w:rsidR="00ED773E" w:rsidRPr="000125BF" w:rsidRDefault="00ED773E" w:rsidP="0023588F">
            <w:pPr>
              <w:pStyle w:val="NormalWeb"/>
              <w:numPr>
                <w:ilvl w:val="0"/>
                <w:numId w:val="13"/>
              </w:numPr>
              <w:spacing w:before="0" w:beforeAutospacing="0" w:after="120" w:afterAutospacing="0"/>
              <w:ind w:left="317" w:hanging="317"/>
              <w:jc w:val="both"/>
              <w:rPr>
                <w:color w:val="000000"/>
                <w:sz w:val="22"/>
                <w:szCs w:val="22"/>
              </w:rPr>
            </w:pPr>
            <w:r w:rsidRPr="000125BF">
              <w:rPr>
                <w:color w:val="000000"/>
                <w:sz w:val="22"/>
                <w:szCs w:val="22"/>
              </w:rPr>
              <w:t>Не се приема.</w:t>
            </w:r>
            <w:r w:rsidR="00F0017C" w:rsidRPr="000125BF">
              <w:rPr>
                <w:color w:val="000000"/>
                <w:sz w:val="22"/>
                <w:szCs w:val="22"/>
              </w:rPr>
              <w:t xml:space="preserve"> Структурата на програмата не предполага разместване. Дигиталната свързаност ще се финансира по Цел на политика 3 и е </w:t>
            </w:r>
            <w:r w:rsidR="00FB3897" w:rsidRPr="000125BF">
              <w:rPr>
                <w:color w:val="000000"/>
                <w:sz w:val="22"/>
                <w:szCs w:val="22"/>
              </w:rPr>
              <w:t>обособена в отделен Приоритет 2.</w:t>
            </w:r>
          </w:p>
          <w:p w14:paraId="6D714832" w14:textId="77777777" w:rsidR="00953C06" w:rsidRDefault="00953C06" w:rsidP="0023588F">
            <w:pPr>
              <w:pStyle w:val="NormalWeb"/>
              <w:numPr>
                <w:ilvl w:val="0"/>
                <w:numId w:val="13"/>
              </w:numPr>
              <w:spacing w:before="0" w:beforeAutospacing="0" w:after="120" w:afterAutospacing="0"/>
              <w:ind w:left="317" w:hanging="317"/>
              <w:jc w:val="both"/>
              <w:rPr>
                <w:color w:val="000000"/>
                <w:sz w:val="22"/>
                <w:szCs w:val="22"/>
              </w:rPr>
            </w:pPr>
            <w:r w:rsidRPr="000125BF">
              <w:rPr>
                <w:color w:val="000000"/>
                <w:sz w:val="22"/>
                <w:szCs w:val="22"/>
              </w:rPr>
              <w:t>Приема се.</w:t>
            </w:r>
            <w:r w:rsidR="00FB3897" w:rsidRPr="000125BF">
              <w:rPr>
                <w:color w:val="000000"/>
                <w:sz w:val="22"/>
                <w:szCs w:val="22"/>
              </w:rPr>
              <w:t xml:space="preserve"> Отразено е.</w:t>
            </w:r>
          </w:p>
          <w:p w14:paraId="45F25323" w14:textId="77777777" w:rsidR="000125BF" w:rsidRDefault="000125BF" w:rsidP="0023588F">
            <w:pPr>
              <w:pStyle w:val="NormalWeb"/>
              <w:numPr>
                <w:ilvl w:val="0"/>
                <w:numId w:val="13"/>
              </w:numPr>
              <w:spacing w:before="0" w:beforeAutospacing="0" w:after="120" w:afterAutospacing="0"/>
              <w:ind w:left="317" w:hanging="317"/>
              <w:jc w:val="both"/>
              <w:rPr>
                <w:color w:val="000000"/>
                <w:sz w:val="22"/>
                <w:szCs w:val="22"/>
              </w:rPr>
            </w:pPr>
            <w:r>
              <w:rPr>
                <w:color w:val="000000"/>
                <w:sz w:val="22"/>
                <w:szCs w:val="22"/>
              </w:rPr>
              <w:t>Приема се. Отразено е.</w:t>
            </w:r>
          </w:p>
          <w:p w14:paraId="5D175B8E" w14:textId="77777777" w:rsidR="000125BF" w:rsidRDefault="000125BF" w:rsidP="0023588F">
            <w:pPr>
              <w:pStyle w:val="NormalWeb"/>
              <w:numPr>
                <w:ilvl w:val="0"/>
                <w:numId w:val="13"/>
              </w:numPr>
              <w:spacing w:before="0" w:beforeAutospacing="0" w:after="120" w:afterAutospacing="0"/>
              <w:ind w:left="317" w:hanging="317"/>
              <w:jc w:val="both"/>
              <w:rPr>
                <w:color w:val="000000"/>
                <w:sz w:val="22"/>
                <w:szCs w:val="22"/>
              </w:rPr>
            </w:pPr>
            <w:r>
              <w:rPr>
                <w:color w:val="000000"/>
                <w:sz w:val="22"/>
                <w:szCs w:val="22"/>
              </w:rPr>
              <w:lastRenderedPageBreak/>
              <w:t>Не се приема. Не считаме, че логиката е нарушена с последователността в момента.</w:t>
            </w:r>
          </w:p>
          <w:p w14:paraId="64202FD3" w14:textId="2DCE5BE7" w:rsidR="000125BF" w:rsidRDefault="00F05891" w:rsidP="0023588F">
            <w:pPr>
              <w:pStyle w:val="NormalWeb"/>
              <w:numPr>
                <w:ilvl w:val="0"/>
                <w:numId w:val="13"/>
              </w:numPr>
              <w:spacing w:before="0" w:beforeAutospacing="0" w:after="120" w:afterAutospacing="0"/>
              <w:ind w:left="317" w:hanging="317"/>
              <w:jc w:val="both"/>
              <w:rPr>
                <w:color w:val="000000"/>
                <w:sz w:val="22"/>
                <w:szCs w:val="22"/>
              </w:rPr>
            </w:pPr>
            <w:r>
              <w:rPr>
                <w:color w:val="000000"/>
                <w:sz w:val="22"/>
                <w:szCs w:val="22"/>
              </w:rPr>
              <w:t>Приема се по принцип</w:t>
            </w:r>
            <w:r w:rsidR="005D2420">
              <w:rPr>
                <w:color w:val="000000"/>
                <w:sz w:val="22"/>
                <w:szCs w:val="22"/>
              </w:rPr>
              <w:t>.</w:t>
            </w:r>
            <w:r w:rsidR="00C13218">
              <w:rPr>
                <w:color w:val="000000"/>
                <w:sz w:val="22"/>
                <w:szCs w:val="22"/>
              </w:rPr>
              <w:t xml:space="preserve">  Основните функции на Националните компетентни органи </w:t>
            </w:r>
            <w:r w:rsidR="00E62A5B">
              <w:rPr>
                <w:color w:val="000000"/>
                <w:sz w:val="22"/>
                <w:szCs w:val="22"/>
              </w:rPr>
              <w:t xml:space="preserve">(НКО) </w:t>
            </w:r>
            <w:r w:rsidR="00C13218">
              <w:rPr>
                <w:color w:val="000000"/>
                <w:sz w:val="22"/>
                <w:szCs w:val="22"/>
              </w:rPr>
              <w:t>са координация и контрол на изпълнението на задачите свързани с мрежовата и информационна сигурност</w:t>
            </w:r>
            <w:r w:rsidR="00E62A5B">
              <w:rPr>
                <w:color w:val="000000"/>
                <w:sz w:val="22"/>
                <w:szCs w:val="22"/>
              </w:rPr>
              <w:t xml:space="preserve"> (МИС)</w:t>
            </w:r>
            <w:r w:rsidR="00C13218">
              <w:rPr>
                <w:color w:val="000000"/>
                <w:sz w:val="22"/>
                <w:szCs w:val="22"/>
              </w:rPr>
              <w:t xml:space="preserve">. </w:t>
            </w:r>
            <w:r w:rsidR="00E62A5B">
              <w:rPr>
                <w:color w:val="000000"/>
                <w:sz w:val="22"/>
                <w:szCs w:val="22"/>
              </w:rPr>
              <w:t>В Програмата е предвидена мярка за о</w:t>
            </w:r>
            <w:r w:rsidR="00E62A5B" w:rsidRPr="00E62A5B">
              <w:rPr>
                <w:color w:val="000000"/>
                <w:sz w:val="22"/>
                <w:szCs w:val="22"/>
              </w:rPr>
              <w:t>рганизиране и провеждане на специализирани обучения, семинари и конференции за органите и лицата, изпълняващи функции, свързани с</w:t>
            </w:r>
            <w:r w:rsidR="006F764C">
              <w:rPr>
                <w:color w:val="000000"/>
                <w:sz w:val="22"/>
                <w:szCs w:val="22"/>
              </w:rPr>
              <w:t xml:space="preserve"> МИС</w:t>
            </w:r>
            <w:r w:rsidR="00E62A5B">
              <w:rPr>
                <w:color w:val="000000"/>
                <w:sz w:val="22"/>
                <w:szCs w:val="22"/>
              </w:rPr>
              <w:t>, чрез която може да бъде укрепен и капацитетът на НКО в отделните сектори.</w:t>
            </w:r>
          </w:p>
          <w:p w14:paraId="4F7B505D" w14:textId="6AA53F9A" w:rsidR="000125BF" w:rsidRPr="000125BF" w:rsidRDefault="000125BF" w:rsidP="0023588F">
            <w:pPr>
              <w:pStyle w:val="NormalWeb"/>
              <w:numPr>
                <w:ilvl w:val="0"/>
                <w:numId w:val="13"/>
              </w:numPr>
              <w:spacing w:before="0" w:beforeAutospacing="0" w:after="120" w:afterAutospacing="0"/>
              <w:ind w:left="317" w:hanging="317"/>
              <w:jc w:val="both"/>
              <w:rPr>
                <w:color w:val="000000"/>
                <w:sz w:val="22"/>
                <w:szCs w:val="22"/>
              </w:rPr>
            </w:pPr>
            <w:r>
              <w:rPr>
                <w:color w:val="000000"/>
                <w:sz w:val="22"/>
                <w:szCs w:val="22"/>
              </w:rPr>
              <w:t>Приема се. Коригирано е.</w:t>
            </w:r>
          </w:p>
        </w:tc>
      </w:tr>
      <w:tr w:rsidR="00C21C17" w:rsidRPr="000125BF" w14:paraId="008FD32C" w14:textId="77777777" w:rsidTr="00A74CB5">
        <w:trPr>
          <w:trHeight w:val="841"/>
        </w:trPr>
        <w:tc>
          <w:tcPr>
            <w:tcW w:w="1271" w:type="dxa"/>
          </w:tcPr>
          <w:p w14:paraId="003CA296" w14:textId="06FABC56" w:rsidR="00C21C17" w:rsidRPr="000125BF" w:rsidRDefault="002E50E8" w:rsidP="00C21C17">
            <w:pPr>
              <w:rPr>
                <w:rFonts w:ascii="Times New Roman" w:hAnsi="Times New Roman" w:cs="Times New Roman"/>
              </w:rPr>
            </w:pPr>
            <w:r w:rsidRPr="000125BF">
              <w:rPr>
                <w:rFonts w:ascii="Times New Roman" w:hAnsi="Times New Roman" w:cs="Times New Roman"/>
              </w:rPr>
              <w:lastRenderedPageBreak/>
              <w:t>26.03.2020 г</w:t>
            </w:r>
            <w:r w:rsidR="00C21C17" w:rsidRPr="000125BF">
              <w:rPr>
                <w:rFonts w:ascii="Times New Roman" w:hAnsi="Times New Roman" w:cs="Times New Roman"/>
              </w:rPr>
              <w:t>,</w:t>
            </w:r>
          </w:p>
          <w:p w14:paraId="65218EF7" w14:textId="16D439E7" w:rsidR="00C21C17" w:rsidRPr="000125BF" w:rsidRDefault="00C82A39" w:rsidP="00C82A39">
            <w:pPr>
              <w:rPr>
                <w:rFonts w:ascii="Times New Roman" w:hAnsi="Times New Roman" w:cs="Times New Roman"/>
              </w:rPr>
            </w:pPr>
            <w:r w:rsidRPr="000125BF">
              <w:rPr>
                <w:rFonts w:ascii="Times New Roman" w:hAnsi="Times New Roman" w:cs="Times New Roman"/>
              </w:rPr>
              <w:t>Е</w:t>
            </w:r>
            <w:r w:rsidR="00C21C17" w:rsidRPr="000125BF">
              <w:rPr>
                <w:rFonts w:ascii="Times New Roman" w:hAnsi="Times New Roman" w:cs="Times New Roman"/>
              </w:rPr>
              <w:t>л</w:t>
            </w:r>
            <w:r w:rsidRPr="000125BF">
              <w:rPr>
                <w:rFonts w:ascii="Times New Roman" w:hAnsi="Times New Roman" w:cs="Times New Roman"/>
                <w:lang w:val="ru-RU"/>
              </w:rPr>
              <w:t xml:space="preserve">. </w:t>
            </w:r>
            <w:r w:rsidR="00C21C17" w:rsidRPr="000125BF">
              <w:rPr>
                <w:rFonts w:ascii="Times New Roman" w:hAnsi="Times New Roman" w:cs="Times New Roman"/>
              </w:rPr>
              <w:t>поща</w:t>
            </w:r>
          </w:p>
        </w:tc>
        <w:tc>
          <w:tcPr>
            <w:tcW w:w="1843" w:type="dxa"/>
          </w:tcPr>
          <w:p w14:paraId="53768181" w14:textId="481A0634" w:rsidR="00C21C17" w:rsidRPr="000125BF" w:rsidRDefault="00C21C17" w:rsidP="00755AD8">
            <w:pPr>
              <w:jc w:val="both"/>
              <w:rPr>
                <w:rFonts w:ascii="Times New Roman" w:hAnsi="Times New Roman" w:cs="Times New Roman"/>
              </w:rPr>
            </w:pPr>
            <w:r w:rsidRPr="000125BF">
              <w:rPr>
                <w:rFonts w:ascii="Times New Roman" w:hAnsi="Times New Roman" w:cs="Times New Roman"/>
              </w:rPr>
              <w:t>Държавна агенция „Безопасност на движението по пътищата</w:t>
            </w:r>
          </w:p>
        </w:tc>
        <w:tc>
          <w:tcPr>
            <w:tcW w:w="7938" w:type="dxa"/>
          </w:tcPr>
          <w:p w14:paraId="35FFAFC5" w14:textId="0227AD67"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 xml:space="preserve">ДАБДП представя на Вашето внимание настоящите коментари и предложения за допълване на допустимите проекти, които ще се финансират чрез програмата. Предложенията ни са в контекста на подобряване организацията и безопасността на движение по пътищата. Становището ни произтича и е съобразено с националните приоритети на политиката по безопасност на движението по пътищата, която има подчертан хоризонтален характер и засяга множество сфери от обществения живот, включително и предоставянето на удобни публични услуги посредством електронното държавно управление. </w:t>
            </w:r>
          </w:p>
          <w:p w14:paraId="2D06E020" w14:textId="754E95F9"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Предлагаме по същество следното разширяване обхвата на финансиране по оперативна програма „Електронно управление и техническа помощ 2021 - 2027 г.“:</w:t>
            </w:r>
          </w:p>
          <w:p w14:paraId="2BACC63C" w14:textId="3122701D" w:rsidR="00C21C17" w:rsidRPr="000125BF" w:rsidRDefault="00A43D5A" w:rsidP="00A43D5A">
            <w:pPr>
              <w:spacing w:after="120"/>
              <w:jc w:val="both"/>
              <w:rPr>
                <w:rFonts w:ascii="Times New Roman" w:hAnsi="Times New Roman" w:cs="Times New Roman"/>
              </w:rPr>
            </w:pPr>
            <w:r w:rsidRPr="000125BF">
              <w:rPr>
                <w:rFonts w:ascii="Times New Roman" w:hAnsi="Times New Roman" w:cs="Times New Roman"/>
              </w:rPr>
              <w:t>1.</w:t>
            </w:r>
            <w:r w:rsidR="002640F5" w:rsidRPr="000125BF">
              <w:rPr>
                <w:rFonts w:ascii="Times New Roman" w:hAnsi="Times New Roman" w:cs="Times New Roman"/>
              </w:rPr>
              <w:t xml:space="preserve"> </w:t>
            </w:r>
            <w:r w:rsidR="00C21C17" w:rsidRPr="000125BF">
              <w:rPr>
                <w:rFonts w:ascii="Times New Roman" w:hAnsi="Times New Roman" w:cs="Times New Roman"/>
              </w:rPr>
              <w:t xml:space="preserve">Идентифициране на мерки, посредством които да се въведе единна електронна </w:t>
            </w:r>
            <w:proofErr w:type="spellStart"/>
            <w:r w:rsidR="00C21C17" w:rsidRPr="000125BF">
              <w:rPr>
                <w:rFonts w:ascii="Times New Roman" w:hAnsi="Times New Roman" w:cs="Times New Roman"/>
              </w:rPr>
              <w:t>административнонаказателна</w:t>
            </w:r>
            <w:proofErr w:type="spellEnd"/>
            <w:r w:rsidR="00C21C17" w:rsidRPr="000125BF">
              <w:rPr>
                <w:rFonts w:ascii="Times New Roman" w:hAnsi="Times New Roman" w:cs="Times New Roman"/>
              </w:rPr>
              <w:t xml:space="preserve"> система. Това ще допринесе всички глоби, административни актове, наказателни постановления, ЗППАМ да се издават чрез единната електронна система. Така ще се осигури възможност за по-ефективен </w:t>
            </w:r>
            <w:r w:rsidR="00C21C17" w:rsidRPr="000125BF">
              <w:rPr>
                <w:rFonts w:ascii="Times New Roman" w:hAnsi="Times New Roman" w:cs="Times New Roman"/>
              </w:rPr>
              <w:lastRenderedPageBreak/>
              <w:t>контрол върху налагането и заплащането на наложените санкции. Като бенефициент на финансовите средства предлагаме да бъде определена Национална агенция на приходите.</w:t>
            </w:r>
          </w:p>
          <w:p w14:paraId="3E4D6401" w14:textId="4C6774CD" w:rsidR="00C21C17" w:rsidRPr="000125BF" w:rsidRDefault="00A43D5A" w:rsidP="00A43D5A">
            <w:pPr>
              <w:spacing w:after="120"/>
              <w:jc w:val="both"/>
              <w:rPr>
                <w:rFonts w:ascii="Times New Roman" w:hAnsi="Times New Roman" w:cs="Times New Roman"/>
              </w:rPr>
            </w:pPr>
            <w:r w:rsidRPr="000125BF">
              <w:rPr>
                <w:rFonts w:ascii="Times New Roman" w:hAnsi="Times New Roman" w:cs="Times New Roman"/>
              </w:rPr>
              <w:t>2.</w:t>
            </w:r>
            <w:r w:rsidR="00E21BFF">
              <w:rPr>
                <w:rFonts w:ascii="Times New Roman" w:hAnsi="Times New Roman" w:cs="Times New Roman"/>
              </w:rPr>
              <w:t xml:space="preserve"> </w:t>
            </w:r>
            <w:r w:rsidR="00C21C17" w:rsidRPr="000125BF">
              <w:rPr>
                <w:rFonts w:ascii="Times New Roman" w:hAnsi="Times New Roman" w:cs="Times New Roman"/>
              </w:rPr>
              <w:t xml:space="preserve">Въвеждане на единна електронна система, посредством която при извършването на административни услуги за гражданите и юридическите лица държавните и общински администрации да връчват всички не връчени наказателни постановления за налагане на глоби. Посочените действия на администрацията следва да бъдат отразявани незабавно в електронната система (като извършено действие). Това ще допринесе за преодоляване случаите на дублиране и несъответствие в действията и </w:t>
            </w:r>
            <w:proofErr w:type="spellStart"/>
            <w:r w:rsidR="00C21C17" w:rsidRPr="000125BF">
              <w:rPr>
                <w:rFonts w:ascii="Times New Roman" w:hAnsi="Times New Roman" w:cs="Times New Roman"/>
              </w:rPr>
              <w:t>преклузивните</w:t>
            </w:r>
            <w:proofErr w:type="spellEnd"/>
            <w:r w:rsidR="00C21C17" w:rsidRPr="000125BF">
              <w:rPr>
                <w:rFonts w:ascii="Times New Roman" w:hAnsi="Times New Roman" w:cs="Times New Roman"/>
              </w:rPr>
              <w:t xml:space="preserve"> срокове.</w:t>
            </w:r>
            <w:r w:rsidR="00E21BFF">
              <w:rPr>
                <w:rFonts w:ascii="Times New Roman" w:hAnsi="Times New Roman" w:cs="Times New Roman"/>
              </w:rPr>
              <w:t xml:space="preserve"> </w:t>
            </w:r>
            <w:r w:rsidR="00C21C17" w:rsidRPr="000125BF">
              <w:rPr>
                <w:rFonts w:ascii="Times New Roman" w:hAnsi="Times New Roman" w:cs="Times New Roman"/>
              </w:rPr>
              <w:t xml:space="preserve">В допълнение, чрез въвеждане на посочената единна електронна система, на Граничните контролно пропускателни пунктове ще се осигури свързаност в реално време на електронните системи, чрез които при разпознаване на табелата с регистрационен номер на МПС, вече издаденият електронният фиш ще може да бъде връчен на чуждестранни граждани, извършили нарушения на територията на страната, преди да напуснат държавната граница. Чрез финансиране със средства от програмата ще се </w:t>
            </w:r>
            <w:r w:rsidR="00707D64" w:rsidRPr="000125BF">
              <w:rPr>
                <w:rFonts w:ascii="Times New Roman" w:hAnsi="Times New Roman" w:cs="Times New Roman"/>
              </w:rPr>
              <w:t>допринесе</w:t>
            </w:r>
            <w:r w:rsidR="00C21C17" w:rsidRPr="000125BF">
              <w:rPr>
                <w:rFonts w:ascii="Times New Roman" w:hAnsi="Times New Roman" w:cs="Times New Roman"/>
              </w:rPr>
              <w:t xml:space="preserve"> за изпълнение разпоредбите на Директива 2015/413/ЕС за трансграничния обмен на информация, още повече, че при ефективно изпълнение няма да се наложи изпращане на придружителни писма до съответните държави. Тук следва да се вземе предвид и времето и начините за обмен с европейската информационна система EUCARIS, чрез който се обменят данни за собствениците на МПС.</w:t>
            </w:r>
          </w:p>
          <w:p w14:paraId="08002E13" w14:textId="1E2D2B7F" w:rsidR="00C21C17" w:rsidRPr="000125BF" w:rsidRDefault="00707D64" w:rsidP="00A43D5A">
            <w:pPr>
              <w:spacing w:after="120"/>
              <w:jc w:val="both"/>
              <w:rPr>
                <w:rFonts w:ascii="Times New Roman" w:hAnsi="Times New Roman" w:cs="Times New Roman"/>
              </w:rPr>
            </w:pPr>
            <w:r w:rsidRPr="000125BF">
              <w:rPr>
                <w:rFonts w:ascii="Times New Roman" w:hAnsi="Times New Roman" w:cs="Times New Roman"/>
              </w:rPr>
              <w:t>3.</w:t>
            </w:r>
            <w:r w:rsidR="00C21C17" w:rsidRPr="000125BF">
              <w:rPr>
                <w:rFonts w:ascii="Times New Roman" w:hAnsi="Times New Roman" w:cs="Times New Roman"/>
              </w:rPr>
              <w:t xml:space="preserve">Предоставяне на възможност по електронен път физическите и юридическите лица в реално време да извършват справки за наложени санкции с възможност за визуализиране на заснетото с автоматизирано техническо средство и системи (АТСС) нарушение, като това да се отрази в ситуация: веднага за „доказано връчване“ (на дата, час). Също така, при желание от страна на санкционираните субекти, да се предостави техническа възможност санкцията да бъде заплатена през подходящо приложение. </w:t>
            </w:r>
          </w:p>
          <w:p w14:paraId="207446EB" w14:textId="5E7E54A1"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 xml:space="preserve">4.Изграждане на децентрализирана организационно-информационна система, която чрез платформата за </w:t>
            </w:r>
            <w:proofErr w:type="spellStart"/>
            <w:r w:rsidRPr="000125BF">
              <w:rPr>
                <w:rFonts w:ascii="Times New Roman" w:hAnsi="Times New Roman" w:cs="Times New Roman"/>
              </w:rPr>
              <w:t>междурегистров</w:t>
            </w:r>
            <w:proofErr w:type="spellEnd"/>
            <w:r w:rsidRPr="000125BF">
              <w:rPr>
                <w:rFonts w:ascii="Times New Roman" w:hAnsi="Times New Roman" w:cs="Times New Roman"/>
              </w:rPr>
              <w:t xml:space="preserve"> обмен </w:t>
            </w:r>
            <w:proofErr w:type="spellStart"/>
            <w:r w:rsidRPr="000125BF">
              <w:rPr>
                <w:rFonts w:ascii="Times New Roman" w:hAnsi="Times New Roman" w:cs="Times New Roman"/>
              </w:rPr>
              <w:t>Regix</w:t>
            </w:r>
            <w:proofErr w:type="spellEnd"/>
            <w:r w:rsidRPr="000125BF">
              <w:rPr>
                <w:rFonts w:ascii="Times New Roman" w:hAnsi="Times New Roman" w:cs="Times New Roman"/>
              </w:rPr>
              <w:t xml:space="preserve"> да извлича информация от първичните регистри за: Регистрираните в страната моторни превозни средства; Преминатите периодични прегледи за проверка на техническата изправност на </w:t>
            </w:r>
            <w:r w:rsidRPr="000125BF">
              <w:rPr>
                <w:rFonts w:ascii="Times New Roman" w:hAnsi="Times New Roman" w:cs="Times New Roman"/>
              </w:rPr>
              <w:lastRenderedPageBreak/>
              <w:t>пътните превозни средства и констатираните технически неизправности; Регистрираните пътнотранспортни произшествия, документирани с констативен протокол за ПТП с пострадали лица, протокол за ПТП с материални щети и двустранен констативен протокол за ПТП; За история на извършените ремонти и техническо обслужване на превозното средство, обектите/търговските дружества, осъществяващи сервизна дейност.</w:t>
            </w:r>
          </w:p>
          <w:p w14:paraId="27D178EB" w14:textId="6942A80E" w:rsidR="00C21C17" w:rsidRPr="000125BF" w:rsidRDefault="00707D64" w:rsidP="00A43D5A">
            <w:pPr>
              <w:spacing w:after="120"/>
              <w:jc w:val="both"/>
              <w:rPr>
                <w:rFonts w:ascii="Times New Roman" w:hAnsi="Times New Roman" w:cs="Times New Roman"/>
              </w:rPr>
            </w:pPr>
            <w:r w:rsidRPr="000125BF">
              <w:rPr>
                <w:rFonts w:ascii="Times New Roman" w:hAnsi="Times New Roman" w:cs="Times New Roman"/>
              </w:rPr>
              <w:t>5.</w:t>
            </w:r>
            <w:r w:rsidR="00C21C17" w:rsidRPr="000125BF">
              <w:rPr>
                <w:rFonts w:ascii="Times New Roman" w:hAnsi="Times New Roman" w:cs="Times New Roman"/>
              </w:rPr>
              <w:t xml:space="preserve">С цел осигуряване на удобни публични услуги, предлагаме чрез средства от програмата да бъде създадена Национална електронна система, която да обработва сигнали във връзка с установен риск за безопасността по отношение на пътната инфраструктура. Сигналите да постъпват по стандартен образец, като до системата в реално време да имат достъп заинтересованите институции, компетентни по постъпилите сигнали. Администратор на електронната система да е звено, отговорно за разпределянето по компетентност и поддържането й.  </w:t>
            </w:r>
          </w:p>
          <w:p w14:paraId="2A189727" w14:textId="77777777"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 xml:space="preserve">В конкретика: Подадената към електронната система информация автоматично да се отразява в облак, като действие и движение по всеки отделен сигнал. След постъпването да идва автоматичен отговор към подалия сигнала, за предприетите действия по отстраняване на нередностите. Да бъде осигурена възможност заинтересованите страни да имат право да проследят на какъв етап е движението по регистрирания сигнал. С възможна снимка „преди“ и „след“  или история на конкретния случай. Опция за последващ отговор от администрациите и лицата, управляващи пътя или отговорните за състоянието на съответната инфраструктура за решението на проблема. </w:t>
            </w:r>
          </w:p>
          <w:p w14:paraId="0C6B8D76" w14:textId="77777777"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Официалната статистика за приноса към БДП да е достъпна чрез публикации, посредством платформа към Държавната агенция „Безопасност на движението по пътищата“.</w:t>
            </w:r>
          </w:p>
          <w:p w14:paraId="518538CA" w14:textId="0B36F5DB" w:rsidR="00C21C17" w:rsidRPr="000125BF" w:rsidRDefault="00707D64" w:rsidP="00A43D5A">
            <w:pPr>
              <w:spacing w:after="120"/>
              <w:jc w:val="both"/>
              <w:rPr>
                <w:rFonts w:ascii="Times New Roman" w:hAnsi="Times New Roman" w:cs="Times New Roman"/>
              </w:rPr>
            </w:pPr>
            <w:r w:rsidRPr="000125BF">
              <w:rPr>
                <w:rFonts w:ascii="Times New Roman" w:hAnsi="Times New Roman" w:cs="Times New Roman"/>
              </w:rPr>
              <w:t>6.</w:t>
            </w:r>
            <w:r w:rsidR="002D677E">
              <w:rPr>
                <w:rFonts w:ascii="Times New Roman" w:hAnsi="Times New Roman" w:cs="Times New Roman"/>
              </w:rPr>
              <w:t xml:space="preserve"> </w:t>
            </w:r>
            <w:r w:rsidR="00C21C17" w:rsidRPr="000125BF">
              <w:rPr>
                <w:rFonts w:ascii="Times New Roman" w:hAnsi="Times New Roman" w:cs="Times New Roman"/>
              </w:rPr>
              <w:t xml:space="preserve">Изграждане на единна електронна система за организация и контрол на трафика както по републиканската пътна мрежа, така и в населените места посредством платформа за информиране на населението за възникнали проблеми по пътищата (пътнотранспортни произшествия, ремонти, влошени метрологични условия и др.) и показване на алтернативни (обходни) пътища за придвижване. </w:t>
            </w:r>
          </w:p>
          <w:p w14:paraId="7EE06DDA" w14:textId="4506788B"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Техническите решения за изграждане на платформата може да се реализират чрез   използване на:</w:t>
            </w:r>
          </w:p>
          <w:p w14:paraId="67CF9BD4" w14:textId="77777777" w:rsidR="00707D64" w:rsidRPr="000125BF" w:rsidRDefault="00C21C17" w:rsidP="00A43D5A">
            <w:pPr>
              <w:pStyle w:val="ListParagraph"/>
              <w:numPr>
                <w:ilvl w:val="0"/>
                <w:numId w:val="16"/>
              </w:numPr>
              <w:spacing w:after="120"/>
              <w:jc w:val="both"/>
              <w:rPr>
                <w:rFonts w:ascii="Times New Roman" w:hAnsi="Times New Roman" w:cs="Times New Roman"/>
              </w:rPr>
            </w:pPr>
            <w:r w:rsidRPr="000125BF">
              <w:rPr>
                <w:rFonts w:ascii="Times New Roman" w:hAnsi="Times New Roman" w:cs="Times New Roman"/>
              </w:rPr>
              <w:lastRenderedPageBreak/>
              <w:t xml:space="preserve">технологията </w:t>
            </w:r>
            <w:proofErr w:type="spellStart"/>
            <w:r w:rsidRPr="000125BF">
              <w:rPr>
                <w:rFonts w:ascii="Times New Roman" w:hAnsi="Times New Roman" w:cs="Times New Roman"/>
              </w:rPr>
              <w:t>cell</w:t>
            </w:r>
            <w:proofErr w:type="spellEnd"/>
            <w:r w:rsidRPr="000125BF">
              <w:rPr>
                <w:rFonts w:ascii="Times New Roman" w:hAnsi="Times New Roman" w:cs="Times New Roman"/>
              </w:rPr>
              <w:t xml:space="preserve"> </w:t>
            </w:r>
            <w:proofErr w:type="spellStart"/>
            <w:r w:rsidRPr="000125BF">
              <w:rPr>
                <w:rFonts w:ascii="Times New Roman" w:hAnsi="Times New Roman" w:cs="Times New Roman"/>
              </w:rPr>
              <w:t>broadcast</w:t>
            </w:r>
            <w:proofErr w:type="spellEnd"/>
            <w:r w:rsidRPr="000125BF">
              <w:rPr>
                <w:rFonts w:ascii="Times New Roman" w:hAnsi="Times New Roman" w:cs="Times New Roman"/>
              </w:rPr>
              <w:t xml:space="preserve"> – предаване на информация към всички мобилни телефони, намиращи се в определена зона според клетките, към която са свързани;</w:t>
            </w:r>
          </w:p>
          <w:p w14:paraId="4DC0C4D4" w14:textId="77777777" w:rsidR="00707D64" w:rsidRPr="000125BF" w:rsidRDefault="00C21C17" w:rsidP="00A43D5A">
            <w:pPr>
              <w:pStyle w:val="ListParagraph"/>
              <w:numPr>
                <w:ilvl w:val="0"/>
                <w:numId w:val="16"/>
              </w:numPr>
              <w:spacing w:after="120"/>
              <w:jc w:val="both"/>
              <w:rPr>
                <w:rFonts w:ascii="Times New Roman" w:hAnsi="Times New Roman" w:cs="Times New Roman"/>
              </w:rPr>
            </w:pPr>
            <w:r w:rsidRPr="000125BF">
              <w:rPr>
                <w:rFonts w:ascii="Times New Roman" w:hAnsi="Times New Roman" w:cs="Times New Roman"/>
              </w:rPr>
              <w:t>официални приложения за мобилни устройства с регистрирани потребители;</w:t>
            </w:r>
          </w:p>
          <w:p w14:paraId="016ECE3F" w14:textId="15B14C17" w:rsidR="00C21C17" w:rsidRPr="000125BF" w:rsidRDefault="00C21C17" w:rsidP="00A43D5A">
            <w:pPr>
              <w:pStyle w:val="ListParagraph"/>
              <w:numPr>
                <w:ilvl w:val="0"/>
                <w:numId w:val="16"/>
              </w:numPr>
              <w:spacing w:after="120"/>
              <w:jc w:val="both"/>
              <w:rPr>
                <w:rFonts w:ascii="Times New Roman" w:hAnsi="Times New Roman" w:cs="Times New Roman"/>
              </w:rPr>
            </w:pPr>
            <w:r w:rsidRPr="000125BF">
              <w:rPr>
                <w:rFonts w:ascii="Times New Roman" w:hAnsi="Times New Roman" w:cs="Times New Roman"/>
              </w:rPr>
              <w:t xml:space="preserve">социалните мрежи за известяване на населението, намиращо се на определена засегната зона, като всички абонирани потребители да могат да се възползват от официално публикуваната информация. </w:t>
            </w:r>
          </w:p>
          <w:p w14:paraId="12EAEB01" w14:textId="77777777"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Предложението отчита и разпоредбите на Европейския кодекс за електронни съобщения в областта на телекомуникациите, както и приетото от Европейския парламент създаване на задължителна система за предупреждаване на обществеността във всяка от държавите членки на ЕС.</w:t>
            </w:r>
          </w:p>
          <w:p w14:paraId="792A08CE" w14:textId="77777777"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7. В допълнение към предложенията по т. 6 предлагаме чрез програмата да се осигурят средства за изграждане на „Център за обслужване на движението по пътищата“, който да бъде разположен извън територията на столицата (например в Северозападна България). Задачата на центъра да бъде обработване и структуриране на масивите от данни, селектирани от областните пътни управления в страната, провеждане на обучения по безопасност на движението по пътищата, инспекции по пътна безопасност и други, свързани с темата за пътна безопасност.</w:t>
            </w:r>
          </w:p>
          <w:p w14:paraId="5CA0C9F6" w14:textId="77777777"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Едновременно с посоченото, при осигуряване на техническа възможност, центърът ще управлява интелигентните транспортни системи (ИТС), разположени на територията на цялата републиканска пътна мрежа. За функционирането на центъра да бъдат насочени средства от програмата с цел осигуряването на софтуерна система – база данни и система за управление както на ИТС, така и по-общо на активи на Агенция „Пътна инфраструктура“.</w:t>
            </w:r>
          </w:p>
          <w:p w14:paraId="42391734" w14:textId="77777777"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8. Въвеждане на технически решения, които от една страна да позволяват информацията от електронните здравни досиета да допринася за проследяване на последиците от пътнотранспортни произшествия (ПТП), а от друга осъществяване на промяна в системата за медицинска годност на водачите.</w:t>
            </w:r>
          </w:p>
          <w:p w14:paraId="233BFA7D" w14:textId="77777777"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 xml:space="preserve">Също така, чрез въвеждане на посочените технически решения ще се осигури възможността електронното здравно досие да бъде в помощ на екипите на Спешна </w:t>
            </w:r>
            <w:r w:rsidRPr="000125BF">
              <w:rPr>
                <w:rFonts w:ascii="Times New Roman" w:hAnsi="Times New Roman" w:cs="Times New Roman"/>
              </w:rPr>
              <w:lastRenderedPageBreak/>
              <w:t>медицинска помощ и Пътна полиция, които първи пристигат на мястото на ПТП. Въвеждането на тези решения ще позволи на спасителните екипи своевременен достъп до електронното здравно досие на участниците в ПТП и възможността за ползване на животоспасяваща информация, като  кръвна група, алергии към медикаменти, други заболявания, които да осигуряват възможност за адекватна медицинска помощ на пострадалите при необходимост.</w:t>
            </w:r>
          </w:p>
          <w:p w14:paraId="045321A9" w14:textId="55410E55" w:rsidR="00C21C17" w:rsidRPr="000125BF" w:rsidRDefault="00C21C17" w:rsidP="00A43D5A">
            <w:pPr>
              <w:spacing w:after="120"/>
              <w:jc w:val="both"/>
              <w:rPr>
                <w:rFonts w:ascii="Times New Roman" w:hAnsi="Times New Roman" w:cs="Times New Roman"/>
              </w:rPr>
            </w:pPr>
            <w:r w:rsidRPr="000125BF">
              <w:rPr>
                <w:rFonts w:ascii="Times New Roman" w:hAnsi="Times New Roman" w:cs="Times New Roman"/>
              </w:rPr>
              <w:t xml:space="preserve">В заключение бихме искали да изразим готовността на Държавна агенция „Безопасност на движението по пътищата“ за оказване на съдействие в процеса на разработване на оперативна програма „Електронно управление и техническа помощ 2021 - 2027 г.“ чрез активно включване в работата на тематичната работна група за разработване на програмата. </w:t>
            </w:r>
          </w:p>
        </w:tc>
        <w:tc>
          <w:tcPr>
            <w:tcW w:w="4111" w:type="dxa"/>
          </w:tcPr>
          <w:p w14:paraId="66843E78" w14:textId="77777777" w:rsidR="00C21C17" w:rsidRDefault="002D677E" w:rsidP="00C21C17">
            <w:pPr>
              <w:pStyle w:val="NormalWeb"/>
              <w:spacing w:before="0" w:beforeAutospacing="0" w:after="120" w:afterAutospacing="0"/>
              <w:jc w:val="both"/>
              <w:rPr>
                <w:color w:val="000000"/>
                <w:sz w:val="22"/>
                <w:szCs w:val="22"/>
              </w:rPr>
            </w:pPr>
            <w:r w:rsidRPr="002D677E">
              <w:rPr>
                <w:color w:val="000000"/>
                <w:sz w:val="22"/>
                <w:szCs w:val="22"/>
              </w:rPr>
              <w:lastRenderedPageBreak/>
              <w:t>Не се приема.</w:t>
            </w:r>
            <w:r>
              <w:rPr>
                <w:color w:val="000000"/>
                <w:sz w:val="22"/>
                <w:szCs w:val="22"/>
              </w:rPr>
              <w:t xml:space="preserve"> </w:t>
            </w:r>
          </w:p>
          <w:p w14:paraId="5AFBC50A" w14:textId="77777777" w:rsidR="002D677E" w:rsidRDefault="002D677E" w:rsidP="00C21C17">
            <w:pPr>
              <w:pStyle w:val="NormalWeb"/>
              <w:spacing w:before="0" w:beforeAutospacing="0" w:after="120" w:afterAutospacing="0"/>
              <w:jc w:val="both"/>
              <w:rPr>
                <w:color w:val="000000"/>
                <w:sz w:val="22"/>
                <w:szCs w:val="22"/>
              </w:rPr>
            </w:pPr>
            <w:r>
              <w:rPr>
                <w:color w:val="000000"/>
                <w:sz w:val="22"/>
                <w:szCs w:val="22"/>
              </w:rPr>
              <w:t xml:space="preserve">В Програмата не са посочени конкретни допустими проекти/дейности, а само типове дейности. Предвижда се актуализиране на Стратегията за развитие на електронното управление в Република България и Пътната карта за нейното изпълнение, в която ще бъдат </w:t>
            </w:r>
            <w:proofErr w:type="spellStart"/>
            <w:r>
              <w:rPr>
                <w:color w:val="000000"/>
                <w:sz w:val="22"/>
                <w:szCs w:val="22"/>
              </w:rPr>
              <w:t>приоритизирани</w:t>
            </w:r>
            <w:proofErr w:type="spellEnd"/>
            <w:r>
              <w:rPr>
                <w:color w:val="000000"/>
                <w:sz w:val="22"/>
                <w:szCs w:val="22"/>
              </w:rPr>
              <w:t xml:space="preserve"> конкретните проекти/мерки, които ще се финансират по Програмата.</w:t>
            </w:r>
          </w:p>
          <w:p w14:paraId="043F042D" w14:textId="67C9BD12" w:rsidR="002D677E" w:rsidRPr="000125BF" w:rsidRDefault="002D677E" w:rsidP="00622634">
            <w:pPr>
              <w:pStyle w:val="NormalWeb"/>
              <w:spacing w:before="0" w:beforeAutospacing="0" w:after="120" w:afterAutospacing="0"/>
              <w:jc w:val="both"/>
              <w:rPr>
                <w:color w:val="000000"/>
                <w:sz w:val="22"/>
                <w:szCs w:val="22"/>
                <w:highlight w:val="yellow"/>
              </w:rPr>
            </w:pPr>
            <w:r>
              <w:rPr>
                <w:color w:val="000000"/>
                <w:sz w:val="22"/>
                <w:szCs w:val="22"/>
              </w:rPr>
              <w:t xml:space="preserve">Обръщаме внимание, че част от предложените от ДАБДП мерки и дейности могат да бъдат реализирани  и в </w:t>
            </w:r>
            <w:proofErr w:type="spellStart"/>
            <w:r w:rsidR="00622634">
              <w:rPr>
                <w:color w:val="000000"/>
                <w:sz w:val="22"/>
                <w:szCs w:val="22"/>
                <w:lang w:val="en-US"/>
              </w:rPr>
              <w:lastRenderedPageBreak/>
              <w:t>настоящия</w:t>
            </w:r>
            <w:proofErr w:type="spellEnd"/>
            <w:r w:rsidR="00622634">
              <w:rPr>
                <w:color w:val="000000"/>
                <w:sz w:val="22"/>
                <w:szCs w:val="22"/>
                <w:lang w:val="en-US"/>
              </w:rPr>
              <w:t xml:space="preserve"> </w:t>
            </w:r>
            <w:proofErr w:type="spellStart"/>
            <w:r w:rsidR="00622634">
              <w:rPr>
                <w:color w:val="000000"/>
                <w:sz w:val="22"/>
                <w:szCs w:val="22"/>
                <w:lang w:val="en-US"/>
              </w:rPr>
              <w:t>програмен</w:t>
            </w:r>
            <w:proofErr w:type="spellEnd"/>
            <w:r w:rsidR="00622634">
              <w:rPr>
                <w:color w:val="000000"/>
                <w:sz w:val="22"/>
                <w:szCs w:val="22"/>
                <w:lang w:val="en-US"/>
              </w:rPr>
              <w:t xml:space="preserve"> </w:t>
            </w:r>
            <w:proofErr w:type="spellStart"/>
            <w:r w:rsidR="00622634">
              <w:rPr>
                <w:color w:val="000000"/>
                <w:sz w:val="22"/>
                <w:szCs w:val="22"/>
                <w:lang w:val="en-US"/>
              </w:rPr>
              <w:t>период</w:t>
            </w:r>
            <w:proofErr w:type="spellEnd"/>
            <w:r>
              <w:rPr>
                <w:color w:val="000000"/>
                <w:sz w:val="22"/>
                <w:szCs w:val="22"/>
              </w:rPr>
              <w:t xml:space="preserve">, чрез интеграция с хоризонталните системи на електронното управление. </w:t>
            </w:r>
            <w:r w:rsidR="003272E2">
              <w:rPr>
                <w:color w:val="000000"/>
                <w:sz w:val="22"/>
                <w:szCs w:val="22"/>
              </w:rPr>
              <w:t>Оставаме на разположение за допълнителни дискусии и уточняване на наличните възможности, включително за организиране на среща с представители на Държавна агенция „Електронно управление“.</w:t>
            </w:r>
          </w:p>
        </w:tc>
      </w:tr>
      <w:tr w:rsidR="00667BDA" w:rsidRPr="000125BF" w14:paraId="2D0D2604" w14:textId="77777777" w:rsidTr="00A74CB5">
        <w:trPr>
          <w:trHeight w:val="841"/>
        </w:trPr>
        <w:tc>
          <w:tcPr>
            <w:tcW w:w="1271" w:type="dxa"/>
          </w:tcPr>
          <w:p w14:paraId="315860D0" w14:textId="7A5D7727" w:rsidR="00667BDA" w:rsidRPr="000125BF" w:rsidRDefault="00667BDA" w:rsidP="00667BDA">
            <w:pPr>
              <w:rPr>
                <w:rFonts w:ascii="Times New Roman" w:hAnsi="Times New Roman" w:cs="Times New Roman"/>
              </w:rPr>
            </w:pPr>
            <w:r w:rsidRPr="000125BF">
              <w:rPr>
                <w:rFonts w:ascii="Times New Roman" w:hAnsi="Times New Roman" w:cs="Times New Roman"/>
              </w:rPr>
              <w:lastRenderedPageBreak/>
              <w:t>26.03.2020 г,</w:t>
            </w:r>
          </w:p>
          <w:p w14:paraId="5C9F62D2" w14:textId="2686E3FB" w:rsidR="00667BDA" w:rsidRPr="000125BF" w:rsidRDefault="00667BDA" w:rsidP="00667BDA">
            <w:pPr>
              <w:rPr>
                <w:rFonts w:ascii="Times New Roman" w:hAnsi="Times New Roman" w:cs="Times New Roman"/>
              </w:rPr>
            </w:pPr>
            <w:r w:rsidRPr="000125BF">
              <w:rPr>
                <w:rFonts w:ascii="Times New Roman" w:hAnsi="Times New Roman" w:cs="Times New Roman"/>
              </w:rPr>
              <w:t>Ел. поща</w:t>
            </w:r>
          </w:p>
        </w:tc>
        <w:tc>
          <w:tcPr>
            <w:tcW w:w="1843" w:type="dxa"/>
          </w:tcPr>
          <w:p w14:paraId="699F0BD2" w14:textId="1FE4D48D" w:rsidR="00667BDA" w:rsidRPr="000125BF" w:rsidRDefault="00667BDA" w:rsidP="00755AD8">
            <w:pPr>
              <w:jc w:val="both"/>
              <w:rPr>
                <w:rFonts w:ascii="Times New Roman" w:hAnsi="Times New Roman" w:cs="Times New Roman"/>
              </w:rPr>
            </w:pPr>
            <w:proofErr w:type="spellStart"/>
            <w:r w:rsidRPr="000125BF">
              <w:rPr>
                <w:rFonts w:ascii="Times New Roman" w:hAnsi="Times New Roman" w:cs="Times New Roman"/>
              </w:rPr>
              <w:t>Селсктостопанска</w:t>
            </w:r>
            <w:proofErr w:type="spellEnd"/>
            <w:r w:rsidRPr="000125BF">
              <w:rPr>
                <w:rFonts w:ascii="Times New Roman" w:hAnsi="Times New Roman" w:cs="Times New Roman"/>
              </w:rPr>
              <w:t xml:space="preserve"> академия</w:t>
            </w:r>
          </w:p>
        </w:tc>
        <w:tc>
          <w:tcPr>
            <w:tcW w:w="7938" w:type="dxa"/>
          </w:tcPr>
          <w:p w14:paraId="5E430642" w14:textId="77777777" w:rsidR="002640F5" w:rsidRDefault="00AE6403" w:rsidP="000125BF">
            <w:pPr>
              <w:spacing w:after="120"/>
              <w:jc w:val="both"/>
              <w:rPr>
                <w:rFonts w:ascii="Times New Roman" w:hAnsi="Times New Roman" w:cs="Times New Roman"/>
              </w:rPr>
            </w:pPr>
            <w:r>
              <w:rPr>
                <w:rFonts w:ascii="Times New Roman" w:hAnsi="Times New Roman" w:cs="Times New Roman"/>
              </w:rPr>
              <w:t xml:space="preserve">1. </w:t>
            </w:r>
            <w:r w:rsidR="00667BDA" w:rsidRPr="000125BF">
              <w:rPr>
                <w:rFonts w:ascii="Times New Roman" w:hAnsi="Times New Roman" w:cs="Times New Roman"/>
              </w:rPr>
              <w:t xml:space="preserve">Направени са предложения в стратегическата част на ОПЕУТП да се уеднаквят използваните съкращения, </w:t>
            </w:r>
            <w:r w:rsidR="000125BF">
              <w:rPr>
                <w:rFonts w:ascii="Times New Roman" w:hAnsi="Times New Roman" w:cs="Times New Roman"/>
              </w:rPr>
              <w:t>както и да се коригират няколко технически грешки.</w:t>
            </w:r>
          </w:p>
          <w:p w14:paraId="159568F5" w14:textId="051BEBE5" w:rsidR="00AE6403" w:rsidRPr="000125BF" w:rsidRDefault="00AE6403" w:rsidP="00AE6403">
            <w:pPr>
              <w:spacing w:after="120"/>
              <w:jc w:val="both"/>
              <w:rPr>
                <w:rFonts w:ascii="Times New Roman" w:hAnsi="Times New Roman" w:cs="Times New Roman"/>
              </w:rPr>
            </w:pPr>
            <w:r>
              <w:rPr>
                <w:rFonts w:ascii="Times New Roman" w:hAnsi="Times New Roman" w:cs="Times New Roman"/>
              </w:rPr>
              <w:t xml:space="preserve">2. </w:t>
            </w:r>
            <w:r w:rsidRPr="00AE6403">
              <w:rPr>
                <w:rFonts w:ascii="Times New Roman" w:hAnsi="Times New Roman" w:cs="Times New Roman"/>
              </w:rPr>
              <w:t>Да отпадне абзац на стр. 4: „В Индекса на ЕК на навлизането на цифровите технологии в икономиката и обществото (DESI) за 2019 е отбелязано, че повече съсредоточаване върху разгръщането на широколентовия достъп до интернет в селските райони, съчетано с повече обучение за придобиване…“, тъй като се получава повторение с предходния текст.</w:t>
            </w:r>
          </w:p>
        </w:tc>
        <w:tc>
          <w:tcPr>
            <w:tcW w:w="4111" w:type="dxa"/>
          </w:tcPr>
          <w:p w14:paraId="124902E2" w14:textId="77777777" w:rsidR="00667BDA" w:rsidRDefault="00AE6403" w:rsidP="00C21C17">
            <w:pPr>
              <w:pStyle w:val="NormalWeb"/>
              <w:spacing w:before="0" w:beforeAutospacing="0" w:after="120" w:afterAutospacing="0"/>
              <w:jc w:val="both"/>
              <w:rPr>
                <w:color w:val="000000"/>
                <w:sz w:val="22"/>
                <w:szCs w:val="22"/>
              </w:rPr>
            </w:pPr>
            <w:r>
              <w:rPr>
                <w:color w:val="000000"/>
                <w:sz w:val="22"/>
                <w:szCs w:val="22"/>
              </w:rPr>
              <w:t xml:space="preserve">1. </w:t>
            </w:r>
            <w:r w:rsidR="00667BDA" w:rsidRPr="000125BF">
              <w:rPr>
                <w:color w:val="000000"/>
                <w:sz w:val="22"/>
                <w:szCs w:val="22"/>
              </w:rPr>
              <w:t>Приема се.</w:t>
            </w:r>
            <w:r w:rsidR="002640F5" w:rsidRPr="000125BF">
              <w:rPr>
                <w:color w:val="000000"/>
                <w:sz w:val="22"/>
                <w:szCs w:val="22"/>
              </w:rPr>
              <w:t xml:space="preserve"> Отразено е </w:t>
            </w:r>
          </w:p>
          <w:p w14:paraId="1FE84789" w14:textId="16004A88" w:rsidR="00C3685A" w:rsidRPr="000125BF" w:rsidRDefault="00C3685A" w:rsidP="00C21C17">
            <w:pPr>
              <w:pStyle w:val="NormalWeb"/>
              <w:spacing w:before="0" w:beforeAutospacing="0" w:after="120" w:afterAutospacing="0"/>
              <w:jc w:val="both"/>
              <w:rPr>
                <w:color w:val="000000"/>
                <w:sz w:val="22"/>
                <w:szCs w:val="22"/>
                <w:highlight w:val="yellow"/>
              </w:rPr>
            </w:pPr>
            <w:r>
              <w:rPr>
                <w:color w:val="000000"/>
                <w:sz w:val="22"/>
                <w:szCs w:val="22"/>
              </w:rPr>
              <w:t>2. Приема се. Текстът е изтрит.</w:t>
            </w:r>
          </w:p>
        </w:tc>
      </w:tr>
      <w:tr w:rsidR="00AD38B3" w:rsidRPr="000125BF" w14:paraId="0975A2C9" w14:textId="77777777" w:rsidTr="00A74CB5">
        <w:trPr>
          <w:trHeight w:val="841"/>
        </w:trPr>
        <w:tc>
          <w:tcPr>
            <w:tcW w:w="1271" w:type="dxa"/>
          </w:tcPr>
          <w:p w14:paraId="2D3F1394" w14:textId="67DED700" w:rsidR="00AD38B3" w:rsidRPr="003B7D4D" w:rsidRDefault="00AD38B3" w:rsidP="00667BDA">
            <w:pPr>
              <w:rPr>
                <w:rFonts w:ascii="Times New Roman" w:hAnsi="Times New Roman" w:cs="Times New Roman"/>
              </w:rPr>
            </w:pPr>
            <w:r w:rsidRPr="003B7D4D">
              <w:rPr>
                <w:rFonts w:ascii="Times New Roman" w:hAnsi="Times New Roman" w:cs="Times New Roman"/>
              </w:rPr>
              <w:t>27.03.2020 г.</w:t>
            </w:r>
          </w:p>
          <w:p w14:paraId="6641F7DB" w14:textId="6AEB191A" w:rsidR="00AD38B3" w:rsidRPr="003B7D4D" w:rsidRDefault="00AD38B3" w:rsidP="00667BDA">
            <w:pPr>
              <w:rPr>
                <w:rFonts w:ascii="Times New Roman" w:hAnsi="Times New Roman" w:cs="Times New Roman"/>
              </w:rPr>
            </w:pPr>
            <w:r w:rsidRPr="003B7D4D">
              <w:rPr>
                <w:rFonts w:ascii="Times New Roman" w:hAnsi="Times New Roman" w:cs="Times New Roman"/>
              </w:rPr>
              <w:t>Електронна поща</w:t>
            </w:r>
          </w:p>
        </w:tc>
        <w:tc>
          <w:tcPr>
            <w:tcW w:w="1843" w:type="dxa"/>
          </w:tcPr>
          <w:p w14:paraId="0BCE869F" w14:textId="7F381E43" w:rsidR="00AD38B3" w:rsidRPr="00A74CB5" w:rsidRDefault="00A74CB5" w:rsidP="00755AD8">
            <w:pPr>
              <w:jc w:val="both"/>
              <w:rPr>
                <w:rFonts w:ascii="Times New Roman" w:hAnsi="Times New Roman" w:cs="Times New Roman"/>
                <w:lang w:val="en-US"/>
              </w:rPr>
            </w:pPr>
            <w:proofErr w:type="spellStart"/>
            <w:r w:rsidRPr="00A74CB5">
              <w:rPr>
                <w:rFonts w:ascii="Times New Roman" w:hAnsi="Times New Roman" w:cs="Times New Roman"/>
                <w:lang w:val="en-US"/>
              </w:rPr>
              <w:t>Организациите</w:t>
            </w:r>
            <w:proofErr w:type="spellEnd"/>
            <w:r w:rsidRPr="00A74CB5">
              <w:rPr>
                <w:rFonts w:ascii="Times New Roman" w:hAnsi="Times New Roman" w:cs="Times New Roman"/>
                <w:lang w:val="en-US"/>
              </w:rPr>
              <w:t xml:space="preserve">, </w:t>
            </w:r>
            <w:proofErr w:type="spellStart"/>
            <w:r w:rsidRPr="00A74CB5">
              <w:rPr>
                <w:rFonts w:ascii="Times New Roman" w:hAnsi="Times New Roman" w:cs="Times New Roman"/>
                <w:lang w:val="en-US"/>
              </w:rPr>
              <w:t>работещи</w:t>
            </w:r>
            <w:proofErr w:type="spellEnd"/>
            <w:r w:rsidRPr="00A74CB5">
              <w:rPr>
                <w:rFonts w:ascii="Times New Roman" w:hAnsi="Times New Roman" w:cs="Times New Roman"/>
                <w:lang w:val="en-US"/>
              </w:rPr>
              <w:t xml:space="preserve"> в </w:t>
            </w:r>
            <w:proofErr w:type="spellStart"/>
            <w:r w:rsidRPr="00A74CB5">
              <w:rPr>
                <w:rFonts w:ascii="Times New Roman" w:hAnsi="Times New Roman" w:cs="Times New Roman"/>
                <w:lang w:val="en-US"/>
              </w:rPr>
              <w:t>сферата</w:t>
            </w:r>
            <w:proofErr w:type="spellEnd"/>
            <w:r w:rsidRPr="00A74CB5">
              <w:rPr>
                <w:rFonts w:ascii="Times New Roman" w:hAnsi="Times New Roman" w:cs="Times New Roman"/>
                <w:lang w:val="en-US"/>
              </w:rPr>
              <w:t xml:space="preserve"> на </w:t>
            </w:r>
            <w:proofErr w:type="spellStart"/>
            <w:r w:rsidRPr="00A74CB5">
              <w:rPr>
                <w:rFonts w:ascii="Times New Roman" w:hAnsi="Times New Roman" w:cs="Times New Roman"/>
                <w:lang w:val="en-US"/>
              </w:rPr>
              <w:t>подобряване</w:t>
            </w:r>
            <w:proofErr w:type="spellEnd"/>
            <w:r w:rsidRPr="00A74CB5">
              <w:rPr>
                <w:rFonts w:ascii="Times New Roman" w:hAnsi="Times New Roman" w:cs="Times New Roman"/>
                <w:lang w:val="en-US"/>
              </w:rPr>
              <w:t xml:space="preserve"> на </w:t>
            </w:r>
            <w:proofErr w:type="spellStart"/>
            <w:r w:rsidRPr="00A74CB5">
              <w:rPr>
                <w:rFonts w:ascii="Times New Roman" w:hAnsi="Times New Roman" w:cs="Times New Roman"/>
                <w:lang w:val="en-US"/>
              </w:rPr>
              <w:t>административното</w:t>
            </w:r>
            <w:proofErr w:type="spellEnd"/>
            <w:r w:rsidRPr="00A74CB5">
              <w:rPr>
                <w:rFonts w:ascii="Times New Roman" w:hAnsi="Times New Roman" w:cs="Times New Roman"/>
                <w:lang w:val="en-US"/>
              </w:rPr>
              <w:t xml:space="preserve"> обслужване и/</w:t>
            </w:r>
            <w:proofErr w:type="spellStart"/>
            <w:r w:rsidRPr="00A74CB5">
              <w:rPr>
                <w:rFonts w:ascii="Times New Roman" w:hAnsi="Times New Roman" w:cs="Times New Roman"/>
                <w:lang w:val="en-US"/>
              </w:rPr>
              <w:t>или</w:t>
            </w:r>
            <w:proofErr w:type="spellEnd"/>
            <w:r w:rsidRPr="00A74CB5">
              <w:rPr>
                <w:rFonts w:ascii="Times New Roman" w:hAnsi="Times New Roman" w:cs="Times New Roman"/>
                <w:lang w:val="en-US"/>
              </w:rPr>
              <w:t xml:space="preserve"> </w:t>
            </w:r>
            <w:proofErr w:type="spellStart"/>
            <w:r w:rsidRPr="00A74CB5">
              <w:rPr>
                <w:rFonts w:ascii="Times New Roman" w:hAnsi="Times New Roman" w:cs="Times New Roman"/>
                <w:lang w:val="en-US"/>
              </w:rPr>
              <w:t>насърчаване</w:t>
            </w:r>
            <w:proofErr w:type="spellEnd"/>
            <w:r w:rsidRPr="00A74CB5">
              <w:rPr>
                <w:rFonts w:ascii="Times New Roman" w:hAnsi="Times New Roman" w:cs="Times New Roman"/>
                <w:lang w:val="en-US"/>
              </w:rPr>
              <w:t xml:space="preserve"> на </w:t>
            </w:r>
            <w:proofErr w:type="spellStart"/>
            <w:r w:rsidRPr="00A74CB5">
              <w:rPr>
                <w:rFonts w:ascii="Times New Roman" w:hAnsi="Times New Roman" w:cs="Times New Roman"/>
                <w:lang w:val="en-US"/>
              </w:rPr>
              <w:t>икономическото</w:t>
            </w:r>
            <w:proofErr w:type="spellEnd"/>
            <w:r w:rsidRPr="00A74CB5">
              <w:rPr>
                <w:rFonts w:ascii="Times New Roman" w:hAnsi="Times New Roman" w:cs="Times New Roman"/>
                <w:lang w:val="en-US"/>
              </w:rPr>
              <w:t xml:space="preserve"> </w:t>
            </w:r>
            <w:proofErr w:type="spellStart"/>
            <w:r w:rsidRPr="00A74CB5">
              <w:rPr>
                <w:rFonts w:ascii="Times New Roman" w:hAnsi="Times New Roman" w:cs="Times New Roman"/>
                <w:lang w:val="en-US"/>
              </w:rPr>
              <w:t>развитие</w:t>
            </w:r>
            <w:proofErr w:type="spellEnd"/>
            <w:r>
              <w:rPr>
                <w:rFonts w:ascii="Times New Roman" w:hAnsi="Times New Roman" w:cs="Times New Roman"/>
                <w:lang w:val="en-US"/>
              </w:rPr>
              <w:t xml:space="preserve"> (</w:t>
            </w:r>
            <w:r w:rsidR="00AD38B3" w:rsidRPr="003B7D4D">
              <w:rPr>
                <w:rFonts w:ascii="Times New Roman" w:hAnsi="Times New Roman" w:cs="Times New Roman"/>
              </w:rPr>
              <w:t>Форум Гражданско Участие</w:t>
            </w:r>
            <w:r>
              <w:rPr>
                <w:rFonts w:ascii="Times New Roman" w:hAnsi="Times New Roman" w:cs="Times New Roman"/>
                <w:lang w:val="en-US"/>
              </w:rPr>
              <w:t>)</w:t>
            </w:r>
          </w:p>
        </w:tc>
        <w:tc>
          <w:tcPr>
            <w:tcW w:w="7938" w:type="dxa"/>
          </w:tcPr>
          <w:p w14:paraId="309720CB" w14:textId="71CDA212" w:rsidR="00AD38B3" w:rsidRPr="003B7D4D" w:rsidRDefault="000A2350" w:rsidP="00AD38B3">
            <w:pPr>
              <w:spacing w:after="120"/>
              <w:jc w:val="both"/>
              <w:rPr>
                <w:rFonts w:ascii="Times New Roman" w:hAnsi="Times New Roman" w:cs="Times New Roman"/>
              </w:rPr>
            </w:pPr>
            <w:r w:rsidRPr="000A2350">
              <w:rPr>
                <w:rFonts w:ascii="Times New Roman" w:hAnsi="Times New Roman" w:cs="Times New Roman"/>
              </w:rPr>
              <w:t xml:space="preserve">Организациите, работещи в сферата на подобряване на административното обслужване и/или насърчаване на икономическото развитие </w:t>
            </w:r>
            <w:r>
              <w:rPr>
                <w:rFonts w:ascii="Times New Roman" w:hAnsi="Times New Roman" w:cs="Times New Roman"/>
                <w:lang w:val="en-US"/>
              </w:rPr>
              <w:t>(</w:t>
            </w:r>
            <w:r w:rsidR="00AD38B3" w:rsidRPr="003B7D4D">
              <w:rPr>
                <w:rFonts w:ascii="Times New Roman" w:hAnsi="Times New Roman" w:cs="Times New Roman"/>
              </w:rPr>
              <w:t>Форум Гражданско Участие</w:t>
            </w:r>
            <w:r>
              <w:rPr>
                <w:rFonts w:ascii="Times New Roman" w:hAnsi="Times New Roman" w:cs="Times New Roman"/>
                <w:lang w:val="en-US"/>
              </w:rPr>
              <w:t>)</w:t>
            </w:r>
            <w:r w:rsidR="00AD38B3" w:rsidRPr="003B7D4D">
              <w:rPr>
                <w:rFonts w:ascii="Times New Roman" w:hAnsi="Times New Roman" w:cs="Times New Roman"/>
              </w:rPr>
              <w:t xml:space="preserve"> има следните коментари по първия </w:t>
            </w:r>
            <w:proofErr w:type="spellStart"/>
            <w:r w:rsidR="00AD38B3" w:rsidRPr="003B7D4D">
              <w:rPr>
                <w:rFonts w:ascii="Times New Roman" w:hAnsi="Times New Roman" w:cs="Times New Roman"/>
              </w:rPr>
              <w:t>драфт</w:t>
            </w:r>
            <w:proofErr w:type="spellEnd"/>
            <w:r w:rsidR="00AD38B3" w:rsidRPr="003B7D4D">
              <w:rPr>
                <w:rFonts w:ascii="Times New Roman" w:hAnsi="Times New Roman" w:cs="Times New Roman"/>
              </w:rPr>
              <w:t xml:space="preserve"> на ОПЕУТП:</w:t>
            </w:r>
          </w:p>
          <w:p w14:paraId="7EF721F2" w14:textId="0B11EF24" w:rsidR="00AD38B3" w:rsidRPr="003B7D4D" w:rsidRDefault="00AD38B3" w:rsidP="00AD38B3">
            <w:pPr>
              <w:spacing w:after="120"/>
              <w:jc w:val="both"/>
              <w:rPr>
                <w:rFonts w:ascii="Times New Roman" w:hAnsi="Times New Roman" w:cs="Times New Roman"/>
              </w:rPr>
            </w:pPr>
            <w:r w:rsidRPr="003B7D4D">
              <w:rPr>
                <w:rFonts w:ascii="Times New Roman" w:hAnsi="Times New Roman" w:cs="Times New Roman"/>
              </w:rPr>
              <w:t>Съгласно българското законодателство, както и редица европейски и международни регламенти, с които България е обвързана, гражданите трябва да  бъдат  поставени  в центъра  на работа на институциите и на правенето на политики. Силното гражданско общество е важна предпоставка за изграждането на отворени общини и стабилна България, а гражданското участие е основен елемент на демокрацията и доброто управление.</w:t>
            </w:r>
          </w:p>
          <w:p w14:paraId="0E3E5008" w14:textId="77777777" w:rsidR="00AD38B3" w:rsidRPr="003B7D4D" w:rsidRDefault="00AD38B3" w:rsidP="00AD38B3">
            <w:pPr>
              <w:spacing w:after="120"/>
              <w:jc w:val="both"/>
              <w:rPr>
                <w:rFonts w:ascii="Times New Roman" w:hAnsi="Times New Roman" w:cs="Times New Roman"/>
              </w:rPr>
            </w:pPr>
            <w:r w:rsidRPr="003B7D4D">
              <w:rPr>
                <w:rFonts w:ascii="Times New Roman" w:hAnsi="Times New Roman" w:cs="Times New Roman"/>
              </w:rPr>
              <w:t xml:space="preserve">Особено в контекста на извънредното положение и кризата, застрашаваща не само здравето, а и социалния и икономически живот на страната, темата за демократичните ценности и ролята на гражданското общество в мобилизирането </w:t>
            </w:r>
            <w:r w:rsidRPr="003B7D4D">
              <w:rPr>
                <w:rFonts w:ascii="Times New Roman" w:hAnsi="Times New Roman" w:cs="Times New Roman"/>
              </w:rPr>
              <w:lastRenderedPageBreak/>
              <w:t xml:space="preserve">на хора и ресурси и в решаването на проблеми на местно и на национално ниво е изключително актуална. </w:t>
            </w:r>
          </w:p>
          <w:p w14:paraId="5F73FD55" w14:textId="77777777" w:rsidR="00AD38B3" w:rsidRPr="00071382" w:rsidRDefault="00AD38B3" w:rsidP="00AD38B3">
            <w:pPr>
              <w:spacing w:after="120"/>
              <w:jc w:val="both"/>
              <w:rPr>
                <w:rFonts w:ascii="Times New Roman" w:hAnsi="Times New Roman" w:cs="Times New Roman"/>
              </w:rPr>
            </w:pPr>
            <w:r w:rsidRPr="00071382">
              <w:rPr>
                <w:rFonts w:ascii="Times New Roman" w:hAnsi="Times New Roman" w:cs="Times New Roman"/>
              </w:rPr>
              <w:t>1.</w:t>
            </w:r>
            <w:r w:rsidRPr="00071382">
              <w:rPr>
                <w:rFonts w:ascii="Times New Roman" w:hAnsi="Times New Roman" w:cs="Times New Roman"/>
              </w:rPr>
              <w:tab/>
              <w:t xml:space="preserve">Имайки предвид, че електронното управление е един от механизмите за осъществяване на доброто управление, считаме, че ОПЕУТП е продължение и надграждане на ОПДУ. Затова, с цел последователност в програмирането и устойчивост на резултатите от ОПДУ, предлагаме в програмата да бъде обособен </w:t>
            </w:r>
            <w:proofErr w:type="spellStart"/>
            <w:r w:rsidRPr="00071382">
              <w:rPr>
                <w:rFonts w:ascii="Times New Roman" w:hAnsi="Times New Roman" w:cs="Times New Roman"/>
              </w:rPr>
              <w:t>подприоритет</w:t>
            </w:r>
            <w:proofErr w:type="spellEnd"/>
            <w:r w:rsidRPr="00071382">
              <w:rPr>
                <w:rFonts w:ascii="Times New Roman" w:hAnsi="Times New Roman" w:cs="Times New Roman"/>
              </w:rPr>
              <w:t xml:space="preserve">, насочен към демократично управление и подобряване на качеството на гражданското участие на местно и национално ниво.   </w:t>
            </w:r>
          </w:p>
          <w:p w14:paraId="18BD4E8F" w14:textId="77777777" w:rsidR="00AD38B3" w:rsidRPr="00BA3406" w:rsidRDefault="00AD38B3" w:rsidP="00AD38B3">
            <w:pPr>
              <w:spacing w:after="120"/>
              <w:jc w:val="both"/>
              <w:rPr>
                <w:rFonts w:ascii="Times New Roman" w:hAnsi="Times New Roman" w:cs="Times New Roman"/>
              </w:rPr>
            </w:pPr>
            <w:r w:rsidRPr="00BA3406">
              <w:rPr>
                <w:rFonts w:ascii="Times New Roman" w:hAnsi="Times New Roman" w:cs="Times New Roman"/>
              </w:rPr>
              <w:t>2.</w:t>
            </w:r>
            <w:r w:rsidRPr="00BA3406">
              <w:rPr>
                <w:rFonts w:ascii="Times New Roman" w:hAnsi="Times New Roman" w:cs="Times New Roman"/>
              </w:rPr>
              <w:tab/>
              <w:t>В настоящия си вариант програмата е насочена изцяло към подкрепа на дейността на администрациите, въпреки че е посочено (стр. 8), че: "Повишаването на информираността и доверието на гражданите и бизнеса ще бъде приоритет." Също така е разписано (стр. 12), че са необходими целенасочени действия за повишаване на дигиталната грамотност, информираността и доверието на населението за ползване на ресурсите на електронното управление, но не намираме разписани конкретни дейности в тази насока. Гражданските организации се ползват от високо обществено доверие и имат богат опит и умения за работа с различни общностни групи, затова предлагаме те бъдат ангажирани в инициирането и изпълнението на такъв вид дейности и така този опит и доверие да бъдат оползотворени.</w:t>
            </w:r>
          </w:p>
          <w:p w14:paraId="0D0F311F" w14:textId="6A1CD132" w:rsidR="00AD38B3" w:rsidRPr="00B0240F" w:rsidRDefault="00AD38B3" w:rsidP="00AD38B3">
            <w:pPr>
              <w:spacing w:after="120"/>
              <w:jc w:val="both"/>
              <w:rPr>
                <w:rFonts w:ascii="Times New Roman" w:hAnsi="Times New Roman" w:cs="Times New Roman"/>
                <w:highlight w:val="yellow"/>
              </w:rPr>
            </w:pPr>
            <w:r w:rsidRPr="00BA3406">
              <w:rPr>
                <w:rFonts w:ascii="Times New Roman" w:hAnsi="Times New Roman" w:cs="Times New Roman"/>
              </w:rPr>
              <w:t>3.</w:t>
            </w:r>
            <w:r w:rsidRPr="00BA3406">
              <w:rPr>
                <w:rFonts w:ascii="Times New Roman" w:hAnsi="Times New Roman" w:cs="Times New Roman"/>
              </w:rPr>
              <w:tab/>
              <w:t>Поради  факта,  че  местното  управление  е най-близо  до  гражданите, предоставя им основни за техния живот услуги и решенията на местно ниво най-пряко влияят на начина им на живот, е от особена важност на това ниво да бъдат създадени условия, улесняващи включването на гражданите при провеждане на обществени консултации. Платформи за онлайн консултации има на европейско и на национално ниво, планира се и въвеждането им на ниво NUTS 2, но в България, за разлика от други страни има малко примери на ниво община. Следвайки основната цел на ОПЕУТП, предлагаме да се заложат в програмата дейности и проекти за разработване и внедряване на модерни инструменти и онлайн платформи, които да обогатят и разширят качеството и обхвата на обществените консултации на местно ниво.</w:t>
            </w:r>
          </w:p>
        </w:tc>
        <w:tc>
          <w:tcPr>
            <w:tcW w:w="4111" w:type="dxa"/>
          </w:tcPr>
          <w:p w14:paraId="70CE21AB" w14:textId="2099EFA3" w:rsidR="0094176A" w:rsidRDefault="00622634" w:rsidP="00C21C17">
            <w:pPr>
              <w:pStyle w:val="NormalWeb"/>
              <w:spacing w:before="0" w:beforeAutospacing="0" w:after="120" w:afterAutospacing="0"/>
              <w:jc w:val="both"/>
              <w:rPr>
                <w:color w:val="000000"/>
                <w:sz w:val="22"/>
                <w:szCs w:val="22"/>
              </w:rPr>
            </w:pPr>
            <w:r>
              <w:rPr>
                <w:color w:val="000000"/>
                <w:sz w:val="22"/>
                <w:szCs w:val="22"/>
              </w:rPr>
              <w:lastRenderedPageBreak/>
              <w:t>Гражданите и бизнесът</w:t>
            </w:r>
            <w:r w:rsidR="003B7D4D">
              <w:rPr>
                <w:color w:val="000000"/>
                <w:sz w:val="22"/>
                <w:szCs w:val="22"/>
              </w:rPr>
              <w:t xml:space="preserve"> са основните целеви групи на Програмата, като фокусът е поставен върху </w:t>
            </w:r>
            <w:r w:rsidR="003B7D4D" w:rsidRPr="003B7D4D">
              <w:rPr>
                <w:color w:val="000000"/>
                <w:sz w:val="22"/>
                <w:szCs w:val="22"/>
              </w:rPr>
              <w:t xml:space="preserve">изграждането на взаимовръзки между отделните елементи от екосистемата на електронното управление, </w:t>
            </w:r>
            <w:r w:rsidR="003B7D4D">
              <w:rPr>
                <w:color w:val="000000"/>
                <w:sz w:val="22"/>
                <w:szCs w:val="22"/>
              </w:rPr>
              <w:t>за</w:t>
            </w:r>
            <w:r w:rsidR="003B7D4D" w:rsidRPr="003B7D4D">
              <w:rPr>
                <w:color w:val="000000"/>
                <w:sz w:val="22"/>
                <w:szCs w:val="22"/>
              </w:rPr>
              <w:t xml:space="preserve"> да бъдат извлечени всички ползи за обществото от цифровизацията</w:t>
            </w:r>
            <w:r w:rsidR="003B7D4D">
              <w:rPr>
                <w:color w:val="000000"/>
                <w:sz w:val="22"/>
                <w:szCs w:val="22"/>
              </w:rPr>
              <w:t>.  В тази връзка са предвидени конкретни типове дейности за и</w:t>
            </w:r>
            <w:r w:rsidR="003B7D4D" w:rsidRPr="003B7D4D">
              <w:rPr>
                <w:color w:val="000000"/>
                <w:sz w:val="22"/>
                <w:szCs w:val="22"/>
              </w:rPr>
              <w:t>зграждане на нови модели на взаимодействие и споделяне на данни между гражданите,  бизнеса и администрацията в дигитална среда</w:t>
            </w:r>
            <w:r w:rsidR="003B7D4D">
              <w:rPr>
                <w:color w:val="000000"/>
                <w:sz w:val="22"/>
                <w:szCs w:val="22"/>
              </w:rPr>
              <w:t>, р</w:t>
            </w:r>
            <w:r w:rsidR="003B7D4D" w:rsidRPr="003B7D4D">
              <w:rPr>
                <w:color w:val="000000"/>
                <w:sz w:val="22"/>
                <w:szCs w:val="22"/>
              </w:rPr>
              <w:t xml:space="preserve">азвитие на модели за предоставяне на проактивни услуги и реализация на </w:t>
            </w:r>
            <w:r w:rsidR="003B7D4D" w:rsidRPr="003B7D4D">
              <w:rPr>
                <w:color w:val="000000"/>
                <w:sz w:val="22"/>
                <w:szCs w:val="22"/>
              </w:rPr>
              <w:lastRenderedPageBreak/>
              <w:t>ключови услуги от типа „епизоди от живота/бизнеса“</w:t>
            </w:r>
            <w:r w:rsidR="003B7D4D">
              <w:rPr>
                <w:color w:val="000000"/>
                <w:sz w:val="22"/>
                <w:szCs w:val="22"/>
              </w:rPr>
              <w:t xml:space="preserve"> и др., в които именно гражданите и бизнеса и техните нужди са поставени в центъра. </w:t>
            </w:r>
          </w:p>
          <w:p w14:paraId="546F9027" w14:textId="32331F7A" w:rsidR="00BA3406" w:rsidRPr="00BA3406" w:rsidRDefault="00BA3406" w:rsidP="00C21C17">
            <w:pPr>
              <w:pStyle w:val="NormalWeb"/>
              <w:spacing w:before="0" w:beforeAutospacing="0" w:after="120" w:afterAutospacing="0"/>
              <w:jc w:val="both"/>
              <w:rPr>
                <w:color w:val="000000"/>
                <w:sz w:val="22"/>
                <w:szCs w:val="22"/>
              </w:rPr>
            </w:pPr>
            <w:r>
              <w:rPr>
                <w:color w:val="000000"/>
                <w:sz w:val="22"/>
                <w:szCs w:val="22"/>
              </w:rPr>
              <w:t>1. Не се приема</w:t>
            </w:r>
            <w:r w:rsidR="00226053">
              <w:rPr>
                <w:color w:val="000000"/>
                <w:sz w:val="22"/>
                <w:szCs w:val="22"/>
              </w:rPr>
              <w:t xml:space="preserve">. </w:t>
            </w:r>
            <w:r w:rsidR="00EF7EE8">
              <w:rPr>
                <w:color w:val="000000"/>
                <w:sz w:val="22"/>
                <w:szCs w:val="22"/>
              </w:rPr>
              <w:t>Следва да се има предвид, че ОПЕУТП ще продължи и надгради ОПДУ единствено във връзка с Приоритетна ос 1 на ОПДУ, насочена към електронното управление. Новата програма ще се финансира по Е</w:t>
            </w:r>
            <w:r w:rsidR="00622634">
              <w:rPr>
                <w:color w:val="000000"/>
                <w:sz w:val="22"/>
                <w:szCs w:val="22"/>
              </w:rPr>
              <w:t>ФРР за разлика от ОПДУ, която е</w:t>
            </w:r>
            <w:r w:rsidR="00EF7EE8">
              <w:rPr>
                <w:color w:val="000000"/>
                <w:sz w:val="22"/>
                <w:szCs w:val="22"/>
              </w:rPr>
              <w:t xml:space="preserve"> финансирана от ЕСФ. Обръщаме внимание, че Тематична цел 11 от настоящия програмен период „</w:t>
            </w:r>
            <w:r w:rsidR="00EF7EE8" w:rsidRPr="00EF7EE8">
              <w:rPr>
                <w:color w:val="000000"/>
                <w:sz w:val="22"/>
                <w:szCs w:val="22"/>
              </w:rPr>
              <w:t>Повишаване на институционалния капацитет на публичните органи и заинтересованите страни и ефективна публична администрация</w:t>
            </w:r>
            <w:r w:rsidR="00EF7EE8">
              <w:rPr>
                <w:color w:val="000000"/>
                <w:sz w:val="22"/>
                <w:szCs w:val="22"/>
              </w:rPr>
              <w:t>“ в рамките на която по ОПДУ бе обособен конкретен финансов ресурс за подобряване на гражданското участие в процеса на формулиране и мониторинг на политики не е част от петте цели на политиката за програмен период 2021-2027 г.</w:t>
            </w:r>
            <w:r w:rsidR="00071382">
              <w:rPr>
                <w:color w:val="000000"/>
                <w:sz w:val="22"/>
                <w:szCs w:val="22"/>
              </w:rPr>
              <w:t xml:space="preserve"> </w:t>
            </w:r>
          </w:p>
          <w:p w14:paraId="7DAF210E" w14:textId="05F76340" w:rsidR="0023070D" w:rsidRDefault="0023070D" w:rsidP="0023070D">
            <w:pPr>
              <w:pStyle w:val="NormalWeb"/>
              <w:spacing w:before="0" w:beforeAutospacing="0" w:after="120" w:afterAutospacing="0"/>
              <w:jc w:val="both"/>
              <w:rPr>
                <w:color w:val="000000"/>
                <w:sz w:val="22"/>
                <w:szCs w:val="22"/>
              </w:rPr>
            </w:pPr>
            <w:r>
              <w:rPr>
                <w:color w:val="000000"/>
                <w:sz w:val="22"/>
                <w:szCs w:val="22"/>
              </w:rPr>
              <w:t xml:space="preserve">2. </w:t>
            </w:r>
            <w:r w:rsidR="00BA3406">
              <w:rPr>
                <w:color w:val="000000"/>
                <w:sz w:val="22"/>
                <w:szCs w:val="22"/>
              </w:rPr>
              <w:t xml:space="preserve">Приема се по принцип. </w:t>
            </w:r>
            <w:r w:rsidR="00BA3406" w:rsidRPr="00BA3406">
              <w:rPr>
                <w:color w:val="000000"/>
                <w:sz w:val="22"/>
                <w:szCs w:val="22"/>
              </w:rPr>
              <w:t>В Програмата не са посочени конкретни допустими проекти/дейности</w:t>
            </w:r>
            <w:r w:rsidR="00BA3406">
              <w:rPr>
                <w:color w:val="000000"/>
                <w:sz w:val="22"/>
                <w:szCs w:val="22"/>
              </w:rPr>
              <w:t xml:space="preserve"> и бенефициенти</w:t>
            </w:r>
            <w:r w:rsidR="00BA3406" w:rsidRPr="00BA3406">
              <w:rPr>
                <w:color w:val="000000"/>
                <w:sz w:val="22"/>
                <w:szCs w:val="22"/>
              </w:rPr>
              <w:t>, а само типове дейности</w:t>
            </w:r>
            <w:r w:rsidR="00B458C7">
              <w:rPr>
                <w:color w:val="000000"/>
                <w:sz w:val="22"/>
                <w:szCs w:val="22"/>
              </w:rPr>
              <w:t xml:space="preserve"> (стр. 20)</w:t>
            </w:r>
            <w:r w:rsidR="00BA3406" w:rsidRPr="00BA3406">
              <w:rPr>
                <w:color w:val="000000"/>
                <w:sz w:val="22"/>
                <w:szCs w:val="22"/>
              </w:rPr>
              <w:t>.</w:t>
            </w:r>
            <w:r w:rsidR="00BA3406">
              <w:rPr>
                <w:color w:val="000000"/>
                <w:sz w:val="22"/>
                <w:szCs w:val="22"/>
              </w:rPr>
              <w:t xml:space="preserve"> </w:t>
            </w:r>
            <w:r w:rsidR="00B458C7">
              <w:rPr>
                <w:color w:val="000000"/>
                <w:sz w:val="22"/>
                <w:szCs w:val="22"/>
              </w:rPr>
              <w:t>На етап изпълнение на Програмата и формулиране на конкретни процедури е възможно</w:t>
            </w:r>
            <w:r w:rsidR="00BA3406">
              <w:rPr>
                <w:color w:val="000000"/>
                <w:sz w:val="22"/>
                <w:szCs w:val="22"/>
              </w:rPr>
              <w:t xml:space="preserve"> гражданските организации </w:t>
            </w:r>
            <w:r w:rsidR="00CA3B9F">
              <w:rPr>
                <w:color w:val="000000"/>
                <w:sz w:val="22"/>
                <w:szCs w:val="22"/>
              </w:rPr>
              <w:t xml:space="preserve">да участват </w:t>
            </w:r>
            <w:r w:rsidR="00BA3406">
              <w:rPr>
                <w:color w:val="000000"/>
                <w:sz w:val="22"/>
                <w:szCs w:val="22"/>
              </w:rPr>
              <w:t xml:space="preserve">с опит и експертиза в предвидените в Приоритетна ос 1 на Програмата типове дейности, свързани с </w:t>
            </w:r>
            <w:r w:rsidR="00BA3406">
              <w:rPr>
                <w:color w:val="000000"/>
                <w:sz w:val="22"/>
                <w:szCs w:val="22"/>
              </w:rPr>
              <w:lastRenderedPageBreak/>
              <w:t>п</w:t>
            </w:r>
            <w:r w:rsidR="00BA3406" w:rsidRPr="00BA3406">
              <w:rPr>
                <w:color w:val="000000"/>
                <w:sz w:val="22"/>
                <w:szCs w:val="22"/>
              </w:rPr>
              <w:t>ровеждане на широкомащабни информационни и образователни кампании за насърчаване на културата за споделяне на данни и повишаване ползването на електронните публични услуги</w:t>
            </w:r>
            <w:r w:rsidR="00BA3406">
              <w:rPr>
                <w:color w:val="000000"/>
                <w:sz w:val="22"/>
                <w:szCs w:val="22"/>
              </w:rPr>
              <w:t xml:space="preserve">. </w:t>
            </w:r>
          </w:p>
          <w:p w14:paraId="1ADC1DF3" w14:textId="229F249D" w:rsidR="0023070D" w:rsidRPr="0023070D" w:rsidRDefault="0023070D" w:rsidP="002408D7">
            <w:pPr>
              <w:pStyle w:val="NormalWeb"/>
              <w:spacing w:before="0" w:beforeAutospacing="0" w:after="120" w:afterAutospacing="0"/>
              <w:jc w:val="both"/>
              <w:rPr>
                <w:color w:val="000000"/>
                <w:sz w:val="22"/>
                <w:szCs w:val="22"/>
              </w:rPr>
            </w:pPr>
            <w:r>
              <w:rPr>
                <w:color w:val="000000"/>
                <w:sz w:val="22"/>
                <w:szCs w:val="22"/>
              </w:rPr>
              <w:t>3. Приема се. Допълнен</w:t>
            </w:r>
            <w:r w:rsidR="002408D7">
              <w:rPr>
                <w:color w:val="000000"/>
                <w:sz w:val="22"/>
                <w:szCs w:val="22"/>
              </w:rPr>
              <w:t xml:space="preserve"> е текст</w:t>
            </w:r>
            <w:r>
              <w:rPr>
                <w:color w:val="000000"/>
                <w:sz w:val="22"/>
                <w:szCs w:val="22"/>
              </w:rPr>
              <w:t xml:space="preserve"> в Програмата на стр. 21 в „П</w:t>
            </w:r>
            <w:r w:rsidRPr="0023070D">
              <w:rPr>
                <w:color w:val="000000"/>
                <w:sz w:val="22"/>
                <w:szCs w:val="22"/>
              </w:rPr>
              <w:t>ланирано използване на териториални инструменти</w:t>
            </w:r>
            <w:r>
              <w:rPr>
                <w:color w:val="000000"/>
                <w:sz w:val="22"/>
                <w:szCs w:val="22"/>
              </w:rPr>
              <w:t>“.</w:t>
            </w:r>
          </w:p>
        </w:tc>
      </w:tr>
      <w:tr w:rsidR="00AD38B3" w:rsidRPr="000125BF" w14:paraId="45078637" w14:textId="77777777" w:rsidTr="00A74CB5">
        <w:trPr>
          <w:trHeight w:val="841"/>
        </w:trPr>
        <w:tc>
          <w:tcPr>
            <w:tcW w:w="1271" w:type="dxa"/>
          </w:tcPr>
          <w:p w14:paraId="180FC0C0" w14:textId="77777777" w:rsidR="00B0240F" w:rsidRDefault="00B0240F" w:rsidP="00B0240F">
            <w:pPr>
              <w:rPr>
                <w:rFonts w:ascii="Times New Roman" w:hAnsi="Times New Roman" w:cs="Times New Roman"/>
              </w:rPr>
            </w:pPr>
            <w:r>
              <w:rPr>
                <w:rFonts w:ascii="Times New Roman" w:hAnsi="Times New Roman" w:cs="Times New Roman"/>
              </w:rPr>
              <w:lastRenderedPageBreak/>
              <w:t>27.03.2020 г.</w:t>
            </w:r>
          </w:p>
          <w:p w14:paraId="627CC397" w14:textId="2F623FAC" w:rsidR="00AD38B3" w:rsidRPr="000125BF" w:rsidRDefault="00B0240F" w:rsidP="00B0240F">
            <w:pPr>
              <w:rPr>
                <w:rFonts w:ascii="Times New Roman" w:hAnsi="Times New Roman" w:cs="Times New Roman"/>
              </w:rPr>
            </w:pPr>
            <w:r>
              <w:rPr>
                <w:rFonts w:ascii="Times New Roman" w:hAnsi="Times New Roman" w:cs="Times New Roman"/>
              </w:rPr>
              <w:t>Електронна поща</w:t>
            </w:r>
          </w:p>
        </w:tc>
        <w:tc>
          <w:tcPr>
            <w:tcW w:w="1843" w:type="dxa"/>
          </w:tcPr>
          <w:p w14:paraId="676875F5" w14:textId="6326CE27" w:rsidR="00AD38B3" w:rsidRPr="000125BF" w:rsidRDefault="008E05AC" w:rsidP="00755AD8">
            <w:pPr>
              <w:jc w:val="both"/>
              <w:rPr>
                <w:rFonts w:ascii="Times New Roman" w:hAnsi="Times New Roman" w:cs="Times New Roman"/>
              </w:rPr>
            </w:pPr>
            <w:r>
              <w:rPr>
                <w:rFonts w:ascii="Times New Roman" w:hAnsi="Times New Roman" w:cs="Times New Roman"/>
              </w:rPr>
              <w:t xml:space="preserve">МВР, дирекция </w:t>
            </w:r>
            <w:r w:rsidRPr="008E05AC">
              <w:rPr>
                <w:rFonts w:ascii="Times New Roman" w:hAnsi="Times New Roman" w:cs="Times New Roman"/>
              </w:rPr>
              <w:t>„Комуникационни и информационни системи“</w:t>
            </w:r>
          </w:p>
        </w:tc>
        <w:tc>
          <w:tcPr>
            <w:tcW w:w="7938" w:type="dxa"/>
          </w:tcPr>
          <w:p w14:paraId="0AFCC024" w14:textId="58975FC5" w:rsidR="008E05AC" w:rsidRPr="008E05AC" w:rsidRDefault="008E05AC" w:rsidP="008E05AC">
            <w:pPr>
              <w:spacing w:after="120"/>
              <w:jc w:val="both"/>
              <w:rPr>
                <w:rFonts w:ascii="Times New Roman" w:hAnsi="Times New Roman" w:cs="Times New Roman"/>
              </w:rPr>
            </w:pPr>
            <w:r w:rsidRPr="008E05AC">
              <w:rPr>
                <w:rFonts w:ascii="Times New Roman" w:hAnsi="Times New Roman" w:cs="Times New Roman"/>
              </w:rPr>
              <w:t>В част 1 „Програмна стратегия: Основни предизвикателства пред развитието и отговори на политиката” са разписани новите реалности и проблемите за оптимизиране на работните процеси и ефективното използване на ограничените ресурси за предоставяне на качествени услуги в съответствие с потребностите на обществото. Направена е оценка на нормативната рамка като необходима предпоставка за преход към цифрова администрация, ориентирана към потребителите. Посочени са причините за затрудненото масовото използване на електронните услуги като напр. липсата на единна схема за електронна идентификация, ниски цифрови умения на обществото, липса на оперативна съвместимост на данни и услуги с цел преминаване към автоматизиран обмен на данни и не на последно място недостатъчния кадрови ресурс от качествени специалисти  в областта на ИКТ.</w:t>
            </w:r>
          </w:p>
          <w:p w14:paraId="1D63CF0A" w14:textId="77777777" w:rsidR="008E05AC" w:rsidRPr="008E05AC" w:rsidRDefault="008E05AC" w:rsidP="008E05AC">
            <w:pPr>
              <w:spacing w:after="120"/>
              <w:jc w:val="both"/>
              <w:rPr>
                <w:rFonts w:ascii="Times New Roman" w:hAnsi="Times New Roman" w:cs="Times New Roman"/>
              </w:rPr>
            </w:pPr>
            <w:r w:rsidRPr="008E05AC">
              <w:rPr>
                <w:rFonts w:ascii="Times New Roman" w:hAnsi="Times New Roman" w:cs="Times New Roman"/>
              </w:rPr>
              <w:t>Дадени са основните насоки  за изграждане на необходимата инфраструктура на електронно управление с крайна цел трансформация на администрацията в цифрова, като водеща роля ще имат електронният документ, служебният обмен на информация и високото ниво на взаимодействие система – система. Отбелязано е, че с ПЕУТП се цели постигане на напълно интегрирани индивидуални и лесни за достъп мобилни електронни услуги за потребителите чрез различни мобилни устройства по всяко време и от всяко място, както и преминаване към проактивни услуги, основани на аналитични и интелигентни технологични решения чрез разработване на модели на свързани данни.</w:t>
            </w:r>
          </w:p>
          <w:p w14:paraId="190A81AF" w14:textId="30CA3671" w:rsidR="008E05AC" w:rsidRPr="008E05AC" w:rsidRDefault="008E05AC" w:rsidP="008E05AC">
            <w:pPr>
              <w:spacing w:after="120"/>
              <w:jc w:val="both"/>
              <w:rPr>
                <w:rFonts w:ascii="Times New Roman" w:hAnsi="Times New Roman" w:cs="Times New Roman"/>
              </w:rPr>
            </w:pPr>
            <w:r w:rsidRPr="008E05AC">
              <w:rPr>
                <w:rFonts w:ascii="Times New Roman" w:hAnsi="Times New Roman" w:cs="Times New Roman"/>
              </w:rPr>
              <w:t xml:space="preserve">Имайки предвид всички по-горе описани констатации в предложения проект и други изнесени подробности в него </w:t>
            </w:r>
            <w:r w:rsidRPr="001E1724">
              <w:rPr>
                <w:rFonts w:ascii="Times New Roman" w:hAnsi="Times New Roman" w:cs="Times New Roman"/>
                <w:b/>
              </w:rPr>
              <w:t xml:space="preserve">е необходимо в следващите версии на </w:t>
            </w:r>
            <w:r w:rsidRPr="001E1724">
              <w:rPr>
                <w:rFonts w:ascii="Times New Roman" w:hAnsi="Times New Roman" w:cs="Times New Roman"/>
                <w:b/>
              </w:rPr>
              <w:lastRenderedPageBreak/>
              <w:t>проект на оперативната програма да се разпишат подробно всички мерки, които ще бъдат финансирани, свързани с дефинираните приоритети</w:t>
            </w:r>
            <w:r w:rsidRPr="008E05AC">
              <w:rPr>
                <w:rFonts w:ascii="Times New Roman" w:hAnsi="Times New Roman" w:cs="Times New Roman"/>
              </w:rPr>
              <w:t xml:space="preserve"> както следва: „Цифрова трансформация на публичния сектор в полза на обществото” и „Дигитална свързаност”. Целта е да реализираме  една от специфичните цели на програмата, а именно „Извличане на ползите от цифровизацията за гражданите, предприятията и органите на управление”, да отстраним  голяма част отчетените слабости и  да се отблъснем от последното място съгласно Индекса на ЕК на навлизането на цифровите технологии в икономикат</w:t>
            </w:r>
            <w:r w:rsidR="00756CA6">
              <w:rPr>
                <w:rFonts w:ascii="Times New Roman" w:hAnsi="Times New Roman" w:cs="Times New Roman"/>
              </w:rPr>
              <w:t>а и обществото (DESI) за 2019.</w:t>
            </w:r>
          </w:p>
          <w:p w14:paraId="2D822CBE" w14:textId="431DE240" w:rsidR="00AD38B3" w:rsidRDefault="008E05AC" w:rsidP="008E05AC">
            <w:pPr>
              <w:spacing w:after="120"/>
              <w:jc w:val="both"/>
              <w:rPr>
                <w:rFonts w:ascii="Times New Roman" w:hAnsi="Times New Roman" w:cs="Times New Roman"/>
              </w:rPr>
            </w:pPr>
            <w:r w:rsidRPr="008E05AC">
              <w:rPr>
                <w:rFonts w:ascii="Times New Roman" w:hAnsi="Times New Roman" w:cs="Times New Roman"/>
              </w:rPr>
              <w:t>В тази връзка Ви информирам, че съгласуваме по принцип проекта на ОПЕУТП и съответно проекта на Решение за одобряването му, с горепосочените коментари на дирекция „Комуникационни и информационни системи“-МВР.</w:t>
            </w:r>
          </w:p>
        </w:tc>
        <w:tc>
          <w:tcPr>
            <w:tcW w:w="4111" w:type="dxa"/>
          </w:tcPr>
          <w:p w14:paraId="061DB1D8" w14:textId="77777777" w:rsidR="00AD38B3" w:rsidRDefault="001E1724" w:rsidP="00C21C17">
            <w:pPr>
              <w:pStyle w:val="NormalWeb"/>
              <w:spacing w:before="0" w:beforeAutospacing="0" w:after="120" w:afterAutospacing="0"/>
              <w:jc w:val="both"/>
              <w:rPr>
                <w:color w:val="000000"/>
                <w:sz w:val="22"/>
                <w:szCs w:val="22"/>
              </w:rPr>
            </w:pPr>
            <w:r>
              <w:rPr>
                <w:color w:val="000000"/>
                <w:sz w:val="22"/>
                <w:szCs w:val="22"/>
              </w:rPr>
              <w:lastRenderedPageBreak/>
              <w:t xml:space="preserve">Приема се по принцип. </w:t>
            </w:r>
          </w:p>
          <w:p w14:paraId="75FB4EB6" w14:textId="3BF9F196" w:rsidR="001E1724" w:rsidRDefault="001E1724" w:rsidP="001E1724">
            <w:pPr>
              <w:pStyle w:val="NormalWeb"/>
              <w:spacing w:before="0" w:beforeAutospacing="0" w:after="120" w:afterAutospacing="0"/>
              <w:jc w:val="both"/>
              <w:rPr>
                <w:color w:val="000000"/>
                <w:sz w:val="22"/>
                <w:szCs w:val="22"/>
              </w:rPr>
            </w:pPr>
            <w:r>
              <w:rPr>
                <w:color w:val="000000"/>
                <w:sz w:val="22"/>
                <w:szCs w:val="22"/>
              </w:rPr>
              <w:t>Следва да се има предвид, че в</w:t>
            </w:r>
            <w:r w:rsidRPr="001E1724">
              <w:rPr>
                <w:color w:val="000000"/>
                <w:sz w:val="22"/>
                <w:szCs w:val="22"/>
              </w:rPr>
              <w:t xml:space="preserve"> Програмата не са </w:t>
            </w:r>
            <w:r>
              <w:rPr>
                <w:color w:val="000000"/>
                <w:sz w:val="22"/>
                <w:szCs w:val="22"/>
              </w:rPr>
              <w:t xml:space="preserve">и няма да бъдат </w:t>
            </w:r>
            <w:r w:rsidRPr="001E1724">
              <w:rPr>
                <w:color w:val="000000"/>
                <w:sz w:val="22"/>
                <w:szCs w:val="22"/>
              </w:rPr>
              <w:t xml:space="preserve">посочени конкретни допустими проекти/дейности, а само типове дейности. Предвижда се актуализиране на Стратегията за развитие на електронното управление в Република България и Пътната карта за нейното изпълнение, в която ще бъдат </w:t>
            </w:r>
            <w:proofErr w:type="spellStart"/>
            <w:r w:rsidRPr="001E1724">
              <w:rPr>
                <w:color w:val="000000"/>
                <w:sz w:val="22"/>
                <w:szCs w:val="22"/>
              </w:rPr>
              <w:t>приоритизирани</w:t>
            </w:r>
            <w:proofErr w:type="spellEnd"/>
            <w:r>
              <w:rPr>
                <w:color w:val="000000"/>
                <w:sz w:val="22"/>
                <w:szCs w:val="22"/>
              </w:rPr>
              <w:t xml:space="preserve"> </w:t>
            </w:r>
            <w:r w:rsidRPr="001E1724">
              <w:rPr>
                <w:color w:val="000000"/>
                <w:sz w:val="22"/>
                <w:szCs w:val="22"/>
              </w:rPr>
              <w:t>конкретните проекти/мерки, които ще се финансират по Програмата.</w:t>
            </w:r>
          </w:p>
        </w:tc>
      </w:tr>
      <w:tr w:rsidR="00B0240F" w:rsidRPr="000125BF" w14:paraId="1150C411" w14:textId="77777777" w:rsidTr="00A74CB5">
        <w:trPr>
          <w:trHeight w:val="841"/>
        </w:trPr>
        <w:tc>
          <w:tcPr>
            <w:tcW w:w="1271" w:type="dxa"/>
          </w:tcPr>
          <w:p w14:paraId="7D7F2785" w14:textId="77777777" w:rsidR="006E7CF8" w:rsidRPr="006E7CF8" w:rsidRDefault="006E7CF8" w:rsidP="006E7CF8">
            <w:pPr>
              <w:rPr>
                <w:rFonts w:ascii="Times New Roman" w:hAnsi="Times New Roman" w:cs="Times New Roman"/>
              </w:rPr>
            </w:pPr>
            <w:r w:rsidRPr="006E7CF8">
              <w:rPr>
                <w:rFonts w:ascii="Times New Roman" w:hAnsi="Times New Roman" w:cs="Times New Roman"/>
              </w:rPr>
              <w:t>27.03.2020 г.</w:t>
            </w:r>
          </w:p>
          <w:p w14:paraId="4F1DC178" w14:textId="121C1494" w:rsidR="00B0240F" w:rsidRDefault="006E7CF8" w:rsidP="006E7CF8">
            <w:pPr>
              <w:rPr>
                <w:rFonts w:ascii="Times New Roman" w:hAnsi="Times New Roman" w:cs="Times New Roman"/>
              </w:rPr>
            </w:pPr>
            <w:r w:rsidRPr="006E7CF8">
              <w:rPr>
                <w:rFonts w:ascii="Times New Roman" w:hAnsi="Times New Roman" w:cs="Times New Roman"/>
              </w:rPr>
              <w:t>Електронна поща</w:t>
            </w:r>
          </w:p>
        </w:tc>
        <w:tc>
          <w:tcPr>
            <w:tcW w:w="1843" w:type="dxa"/>
          </w:tcPr>
          <w:p w14:paraId="4393FFD8" w14:textId="2DEB29A3" w:rsidR="00B0240F" w:rsidRDefault="006E7CF8" w:rsidP="00755AD8">
            <w:pPr>
              <w:jc w:val="both"/>
              <w:rPr>
                <w:rFonts w:ascii="Times New Roman" w:hAnsi="Times New Roman" w:cs="Times New Roman"/>
              </w:rPr>
            </w:pPr>
            <w:r>
              <w:rPr>
                <w:rFonts w:ascii="Times New Roman" w:hAnsi="Times New Roman" w:cs="Times New Roman"/>
              </w:rPr>
              <w:t>Национален фонд, Министерство на финансите</w:t>
            </w:r>
          </w:p>
        </w:tc>
        <w:tc>
          <w:tcPr>
            <w:tcW w:w="7938" w:type="dxa"/>
          </w:tcPr>
          <w:p w14:paraId="27BD8904" w14:textId="77777777" w:rsidR="006E7CF8" w:rsidRPr="006E7CF8" w:rsidRDefault="006E7CF8" w:rsidP="006E7CF8">
            <w:pPr>
              <w:spacing w:after="120"/>
              <w:jc w:val="both"/>
              <w:rPr>
                <w:rFonts w:ascii="Times New Roman" w:hAnsi="Times New Roman" w:cs="Times New Roman"/>
              </w:rPr>
            </w:pPr>
            <w:r w:rsidRPr="006E7CF8">
              <w:rPr>
                <w:rFonts w:ascii="Times New Roman" w:hAnsi="Times New Roman" w:cs="Times New Roman"/>
              </w:rPr>
              <w:t>Във връзка с представените материали по „</w:t>
            </w:r>
            <w:proofErr w:type="spellStart"/>
            <w:r w:rsidRPr="006E7CF8">
              <w:rPr>
                <w:rFonts w:ascii="Times New Roman" w:hAnsi="Times New Roman" w:cs="Times New Roman"/>
              </w:rPr>
              <w:t>Oперативна</w:t>
            </w:r>
            <w:proofErr w:type="spellEnd"/>
            <w:r w:rsidRPr="006E7CF8">
              <w:rPr>
                <w:rFonts w:ascii="Times New Roman" w:hAnsi="Times New Roman" w:cs="Times New Roman"/>
              </w:rPr>
              <w:t xml:space="preserve"> програма за електронно управление и техническа помощ“ (ОПЕУТП) изпращаме следните коментари/предложения:</w:t>
            </w:r>
          </w:p>
          <w:p w14:paraId="42062057" w14:textId="6AAF5FAD" w:rsidR="006E7CF8" w:rsidRPr="006E7CF8" w:rsidRDefault="006E7CF8" w:rsidP="006E7CF8">
            <w:pPr>
              <w:spacing w:after="120"/>
              <w:jc w:val="both"/>
              <w:rPr>
                <w:rFonts w:ascii="Times New Roman" w:hAnsi="Times New Roman" w:cs="Times New Roman"/>
              </w:rPr>
            </w:pPr>
            <w:r>
              <w:rPr>
                <w:rFonts w:ascii="Times New Roman" w:hAnsi="Times New Roman" w:cs="Times New Roman"/>
              </w:rPr>
              <w:t xml:space="preserve">1. </w:t>
            </w:r>
            <w:r w:rsidRPr="006E7CF8">
              <w:rPr>
                <w:rFonts w:ascii="Times New Roman" w:hAnsi="Times New Roman" w:cs="Times New Roman"/>
              </w:rPr>
              <w:t xml:space="preserve">В рамките на проекта на програма при описанието на ПО 3 "Хоризонтална ТП" предлагаме при изброяването на примерни допустими дейности терминологията да кореспондира с проекта на общ Регламент, например: "... изпълнение на функции, свързани с програмирането, управлението, наблюдението, отчетността, контрола, одита, координацията и оценката". </w:t>
            </w:r>
          </w:p>
          <w:p w14:paraId="0013774F" w14:textId="41C2671F" w:rsidR="006E7CF8" w:rsidRPr="006E7CF8" w:rsidRDefault="006E7CF8" w:rsidP="006E7CF8">
            <w:pPr>
              <w:spacing w:after="120"/>
              <w:jc w:val="both"/>
              <w:rPr>
                <w:rFonts w:ascii="Times New Roman" w:hAnsi="Times New Roman" w:cs="Times New Roman"/>
              </w:rPr>
            </w:pPr>
            <w:r>
              <w:rPr>
                <w:rFonts w:ascii="Times New Roman" w:hAnsi="Times New Roman" w:cs="Times New Roman"/>
              </w:rPr>
              <w:t xml:space="preserve">2. </w:t>
            </w:r>
            <w:r w:rsidRPr="006E7CF8">
              <w:rPr>
                <w:rFonts w:ascii="Times New Roman" w:hAnsi="Times New Roman" w:cs="Times New Roman"/>
              </w:rPr>
              <w:t>В проекта на програма е посочено, че същата ще бъде съфинансирана само от ЕФРР, а в проекта на Споразумение за партньорство и РМС №  335/ 07.06.2019 г. е посочена и помощ от ЕСФ.</w:t>
            </w:r>
          </w:p>
          <w:p w14:paraId="1FCAE6D9" w14:textId="02276378" w:rsidR="00B0240F" w:rsidRPr="008E05AC" w:rsidRDefault="006E7CF8" w:rsidP="006E7CF8">
            <w:pPr>
              <w:spacing w:after="120"/>
              <w:jc w:val="both"/>
              <w:rPr>
                <w:rFonts w:ascii="Times New Roman" w:hAnsi="Times New Roman" w:cs="Times New Roman"/>
              </w:rPr>
            </w:pPr>
            <w:r>
              <w:rPr>
                <w:rFonts w:ascii="Times New Roman" w:hAnsi="Times New Roman" w:cs="Times New Roman"/>
              </w:rPr>
              <w:t xml:space="preserve">3. </w:t>
            </w:r>
            <w:r w:rsidRPr="006E7CF8">
              <w:rPr>
                <w:rFonts w:ascii="Times New Roman" w:hAnsi="Times New Roman" w:cs="Times New Roman"/>
              </w:rPr>
              <w:t>По наше мнение проектът би могъл да бъде допълнен с информация относно благоприятстващи условия, показатели за резултатите, опростени разходи и др. елементи, за които УО има концепция на този етап.</w:t>
            </w:r>
          </w:p>
        </w:tc>
        <w:tc>
          <w:tcPr>
            <w:tcW w:w="4111" w:type="dxa"/>
          </w:tcPr>
          <w:p w14:paraId="452C6D20" w14:textId="77777777" w:rsidR="00B0240F" w:rsidRDefault="00AC7BFD" w:rsidP="00C21C17">
            <w:pPr>
              <w:pStyle w:val="NormalWeb"/>
              <w:spacing w:before="0" w:beforeAutospacing="0" w:after="120" w:afterAutospacing="0"/>
              <w:jc w:val="both"/>
              <w:rPr>
                <w:color w:val="000000"/>
                <w:sz w:val="22"/>
                <w:szCs w:val="22"/>
              </w:rPr>
            </w:pPr>
            <w:r w:rsidRPr="00955495">
              <w:rPr>
                <w:color w:val="000000"/>
                <w:sz w:val="22"/>
                <w:szCs w:val="22"/>
              </w:rPr>
              <w:t>1. Приема се. Коригирано е.</w:t>
            </w:r>
          </w:p>
          <w:p w14:paraId="66A21937" w14:textId="3B685C63" w:rsidR="00AC7BFD" w:rsidRDefault="00AC7BFD" w:rsidP="000835E9">
            <w:pPr>
              <w:pStyle w:val="NormalWeb"/>
              <w:spacing w:before="0" w:beforeAutospacing="0" w:after="120" w:afterAutospacing="0"/>
              <w:jc w:val="both"/>
              <w:rPr>
                <w:color w:val="000000"/>
                <w:sz w:val="22"/>
                <w:szCs w:val="22"/>
              </w:rPr>
            </w:pPr>
            <w:r>
              <w:rPr>
                <w:color w:val="000000"/>
                <w:sz w:val="22"/>
                <w:szCs w:val="22"/>
              </w:rPr>
              <w:t xml:space="preserve">2. </w:t>
            </w:r>
            <w:proofErr w:type="spellStart"/>
            <w:r w:rsidR="004F0B51">
              <w:rPr>
                <w:color w:val="000000"/>
                <w:sz w:val="22"/>
                <w:szCs w:val="22"/>
                <w:lang w:val="en-US"/>
              </w:rPr>
              <w:t>Предвижда</w:t>
            </w:r>
            <w:proofErr w:type="spellEnd"/>
            <w:r w:rsidR="004F0B51">
              <w:rPr>
                <w:color w:val="000000"/>
                <w:sz w:val="22"/>
                <w:szCs w:val="22"/>
                <w:lang w:val="en-US"/>
              </w:rPr>
              <w:t xml:space="preserve"> </w:t>
            </w:r>
            <w:proofErr w:type="spellStart"/>
            <w:r w:rsidR="004F0B51">
              <w:rPr>
                <w:color w:val="000000"/>
                <w:sz w:val="22"/>
                <w:szCs w:val="22"/>
                <w:lang w:val="en-US"/>
              </w:rPr>
              <w:t>се</w:t>
            </w:r>
            <w:proofErr w:type="spellEnd"/>
            <w:r w:rsidR="004F0B51">
              <w:rPr>
                <w:color w:val="000000"/>
                <w:sz w:val="22"/>
                <w:szCs w:val="22"/>
                <w:lang w:val="en-US"/>
              </w:rPr>
              <w:t xml:space="preserve"> </w:t>
            </w:r>
            <w:r w:rsidR="004F0B51">
              <w:rPr>
                <w:color w:val="000000"/>
                <w:sz w:val="22"/>
                <w:szCs w:val="22"/>
              </w:rPr>
              <w:t xml:space="preserve">програмата </w:t>
            </w:r>
            <w:proofErr w:type="spellStart"/>
            <w:r w:rsidR="004F0B51">
              <w:rPr>
                <w:color w:val="000000"/>
                <w:sz w:val="22"/>
                <w:szCs w:val="22"/>
                <w:lang w:val="en-US"/>
              </w:rPr>
              <w:t>да</w:t>
            </w:r>
            <w:proofErr w:type="spellEnd"/>
            <w:r w:rsidR="004F0B51">
              <w:rPr>
                <w:color w:val="000000"/>
                <w:sz w:val="22"/>
                <w:szCs w:val="22"/>
                <w:lang w:val="en-US"/>
              </w:rPr>
              <w:t xml:space="preserve"> </w:t>
            </w:r>
            <w:r>
              <w:rPr>
                <w:color w:val="000000"/>
                <w:sz w:val="22"/>
                <w:szCs w:val="22"/>
              </w:rPr>
              <w:t xml:space="preserve">бъде </w:t>
            </w:r>
            <w:proofErr w:type="spellStart"/>
            <w:r>
              <w:rPr>
                <w:color w:val="000000"/>
                <w:sz w:val="22"/>
                <w:szCs w:val="22"/>
              </w:rPr>
              <w:t>еднофондова</w:t>
            </w:r>
            <w:proofErr w:type="spellEnd"/>
            <w:r>
              <w:rPr>
                <w:color w:val="000000"/>
                <w:sz w:val="22"/>
                <w:szCs w:val="22"/>
              </w:rPr>
              <w:t xml:space="preserve"> и ще се финансира само от ЕФРР. </w:t>
            </w:r>
            <w:proofErr w:type="spellStart"/>
            <w:r w:rsidR="004F0B51">
              <w:rPr>
                <w:color w:val="000000"/>
                <w:sz w:val="22"/>
                <w:szCs w:val="22"/>
                <w:lang w:val="en-US"/>
              </w:rPr>
              <w:t>Поради</w:t>
            </w:r>
            <w:proofErr w:type="spellEnd"/>
            <w:r w:rsidR="004F0B51">
              <w:rPr>
                <w:color w:val="000000"/>
                <w:sz w:val="22"/>
                <w:szCs w:val="22"/>
                <w:lang w:val="en-US"/>
              </w:rPr>
              <w:t xml:space="preserve"> </w:t>
            </w:r>
            <w:r w:rsidR="000835E9">
              <w:rPr>
                <w:color w:val="000000"/>
                <w:sz w:val="22"/>
                <w:szCs w:val="22"/>
              </w:rPr>
              <w:t>предстоя</w:t>
            </w:r>
            <w:proofErr w:type="spellStart"/>
            <w:r w:rsidR="004F0B51">
              <w:rPr>
                <w:color w:val="000000"/>
                <w:sz w:val="22"/>
                <w:szCs w:val="22"/>
                <w:lang w:val="en-US"/>
              </w:rPr>
              <w:t>щи</w:t>
            </w:r>
            <w:proofErr w:type="spellEnd"/>
            <w:r w:rsidR="004F0B51">
              <w:rPr>
                <w:color w:val="000000"/>
                <w:sz w:val="22"/>
                <w:szCs w:val="22"/>
                <w:lang w:val="en-US"/>
              </w:rPr>
              <w:t xml:space="preserve"> </w:t>
            </w:r>
            <w:r w:rsidR="000835E9">
              <w:rPr>
                <w:color w:val="000000"/>
                <w:sz w:val="22"/>
                <w:szCs w:val="22"/>
              </w:rPr>
              <w:t>уточнения на национално ниво във връзка с необходимостта от финансов рес</w:t>
            </w:r>
            <w:r>
              <w:rPr>
                <w:color w:val="000000"/>
                <w:sz w:val="22"/>
                <w:szCs w:val="22"/>
              </w:rPr>
              <w:t xml:space="preserve">урс по ЦП </w:t>
            </w:r>
            <w:proofErr w:type="gramStart"/>
            <w:r>
              <w:rPr>
                <w:color w:val="000000"/>
                <w:sz w:val="22"/>
                <w:szCs w:val="22"/>
              </w:rPr>
              <w:t>3 за</w:t>
            </w:r>
            <w:proofErr w:type="gramEnd"/>
            <w:r>
              <w:rPr>
                <w:color w:val="000000"/>
                <w:sz w:val="22"/>
                <w:szCs w:val="22"/>
              </w:rPr>
              <w:t xml:space="preserve"> Програмата, както и на начина на формиране на средствата за ТП, към момента не е представен финансов план. След уточняване на финансовите параметри и източници на финансиран</w:t>
            </w:r>
            <w:r w:rsidR="000835E9">
              <w:rPr>
                <w:color w:val="000000"/>
                <w:sz w:val="22"/>
                <w:szCs w:val="22"/>
              </w:rPr>
              <w:t>е, Програмата ще бъде допълнена</w:t>
            </w:r>
            <w:r>
              <w:rPr>
                <w:color w:val="000000"/>
                <w:sz w:val="22"/>
                <w:szCs w:val="22"/>
              </w:rPr>
              <w:t xml:space="preserve"> на следващ етап и </w:t>
            </w:r>
            <w:r w:rsidR="000835E9">
              <w:rPr>
                <w:color w:val="000000"/>
                <w:sz w:val="22"/>
                <w:szCs w:val="22"/>
              </w:rPr>
              <w:t>представена на</w:t>
            </w:r>
            <w:r>
              <w:rPr>
                <w:color w:val="000000"/>
                <w:sz w:val="22"/>
                <w:szCs w:val="22"/>
              </w:rPr>
              <w:t xml:space="preserve"> ТРГ.</w:t>
            </w:r>
          </w:p>
          <w:p w14:paraId="4606E374" w14:textId="54326B67" w:rsidR="000835E9" w:rsidRDefault="000835E9" w:rsidP="004F0B51">
            <w:pPr>
              <w:pStyle w:val="NormalWeb"/>
              <w:spacing w:before="0" w:beforeAutospacing="0" w:after="120" w:afterAutospacing="0"/>
              <w:jc w:val="both"/>
              <w:rPr>
                <w:color w:val="000000"/>
                <w:sz w:val="22"/>
                <w:szCs w:val="22"/>
              </w:rPr>
            </w:pPr>
            <w:r>
              <w:rPr>
                <w:color w:val="000000"/>
                <w:sz w:val="22"/>
                <w:szCs w:val="22"/>
              </w:rPr>
              <w:t>3. Всички елементи, за които дирекция „Добро управление“ в АМС има</w:t>
            </w:r>
            <w:r w:rsidR="004F0B51">
              <w:rPr>
                <w:color w:val="000000"/>
                <w:sz w:val="22"/>
                <w:szCs w:val="22"/>
                <w:lang w:val="en-US"/>
              </w:rPr>
              <w:t xml:space="preserve"> </w:t>
            </w:r>
            <w:proofErr w:type="spellStart"/>
            <w:r w:rsidR="004F0B51">
              <w:rPr>
                <w:color w:val="000000"/>
                <w:sz w:val="22"/>
                <w:szCs w:val="22"/>
                <w:lang w:val="en-US"/>
              </w:rPr>
              <w:t>получена</w:t>
            </w:r>
            <w:proofErr w:type="spellEnd"/>
            <w:r w:rsidR="004F0B51">
              <w:rPr>
                <w:color w:val="000000"/>
                <w:sz w:val="22"/>
                <w:szCs w:val="22"/>
                <w:lang w:val="en-US"/>
              </w:rPr>
              <w:t xml:space="preserve"> </w:t>
            </w:r>
            <w:proofErr w:type="spellStart"/>
            <w:r w:rsidR="004F0B51">
              <w:rPr>
                <w:color w:val="000000"/>
                <w:sz w:val="22"/>
                <w:szCs w:val="22"/>
                <w:lang w:val="en-US"/>
              </w:rPr>
              <w:t>информация</w:t>
            </w:r>
            <w:proofErr w:type="spellEnd"/>
            <w:r w:rsidR="004F0B51">
              <w:rPr>
                <w:color w:val="000000"/>
                <w:sz w:val="22"/>
                <w:szCs w:val="22"/>
                <w:lang w:val="en-US"/>
              </w:rPr>
              <w:t xml:space="preserve"> и </w:t>
            </w:r>
            <w:proofErr w:type="spellStart"/>
            <w:r w:rsidR="004F0B51">
              <w:rPr>
                <w:color w:val="000000"/>
                <w:sz w:val="22"/>
                <w:szCs w:val="22"/>
                <w:lang w:val="en-US"/>
              </w:rPr>
              <w:t>изградена</w:t>
            </w:r>
            <w:proofErr w:type="spellEnd"/>
            <w:r w:rsidR="004F0B51">
              <w:rPr>
                <w:color w:val="000000"/>
                <w:sz w:val="22"/>
                <w:szCs w:val="22"/>
                <w:lang w:val="en-US"/>
              </w:rPr>
              <w:t xml:space="preserve"> </w:t>
            </w:r>
            <w:r>
              <w:rPr>
                <w:color w:val="000000"/>
                <w:sz w:val="22"/>
                <w:szCs w:val="22"/>
              </w:rPr>
              <w:t xml:space="preserve"> концепция на този етап са включени в първия </w:t>
            </w:r>
            <w:proofErr w:type="spellStart"/>
            <w:r w:rsidR="004F0B51">
              <w:rPr>
                <w:color w:val="000000"/>
                <w:sz w:val="22"/>
                <w:szCs w:val="22"/>
                <w:lang w:val="en-US"/>
              </w:rPr>
              <w:t>работен</w:t>
            </w:r>
            <w:proofErr w:type="spellEnd"/>
            <w:r w:rsidR="004F0B51">
              <w:rPr>
                <w:color w:val="000000"/>
                <w:sz w:val="22"/>
                <w:szCs w:val="22"/>
                <w:lang w:val="en-US"/>
              </w:rPr>
              <w:t xml:space="preserve"> </w:t>
            </w:r>
            <w:r>
              <w:rPr>
                <w:color w:val="000000"/>
                <w:sz w:val="22"/>
                <w:szCs w:val="22"/>
              </w:rPr>
              <w:t>вариант на Програмата</w:t>
            </w:r>
            <w:r w:rsidR="004F0B51">
              <w:rPr>
                <w:color w:val="000000"/>
                <w:sz w:val="22"/>
                <w:szCs w:val="22"/>
                <w:lang w:val="en-US"/>
              </w:rPr>
              <w:t xml:space="preserve">, </w:t>
            </w:r>
            <w:proofErr w:type="spellStart"/>
            <w:r w:rsidR="004F0B51">
              <w:rPr>
                <w:color w:val="000000"/>
                <w:sz w:val="22"/>
                <w:szCs w:val="22"/>
                <w:lang w:val="en-US"/>
              </w:rPr>
              <w:t>чието</w:t>
            </w:r>
            <w:proofErr w:type="spellEnd"/>
            <w:r w:rsidR="004F0B51">
              <w:rPr>
                <w:color w:val="000000"/>
                <w:sz w:val="22"/>
                <w:szCs w:val="22"/>
                <w:lang w:val="en-US"/>
              </w:rPr>
              <w:t xml:space="preserve"> </w:t>
            </w:r>
            <w:proofErr w:type="spellStart"/>
            <w:r w:rsidR="004F0B51">
              <w:rPr>
                <w:color w:val="000000"/>
                <w:sz w:val="22"/>
                <w:szCs w:val="22"/>
                <w:lang w:val="en-US"/>
              </w:rPr>
              <w:t>развитие</w:t>
            </w:r>
            <w:proofErr w:type="spellEnd"/>
            <w:r w:rsidR="004F0B51">
              <w:rPr>
                <w:color w:val="000000"/>
                <w:sz w:val="22"/>
                <w:szCs w:val="22"/>
                <w:lang w:val="en-US"/>
              </w:rPr>
              <w:t xml:space="preserve"> и </w:t>
            </w:r>
            <w:proofErr w:type="spellStart"/>
            <w:r w:rsidR="004F0B51">
              <w:rPr>
                <w:color w:val="000000"/>
                <w:sz w:val="22"/>
                <w:szCs w:val="22"/>
                <w:lang w:val="en-US"/>
              </w:rPr>
              <w:t>допълване</w:t>
            </w:r>
            <w:proofErr w:type="spellEnd"/>
            <w:r w:rsidR="004F0B51">
              <w:rPr>
                <w:color w:val="000000"/>
                <w:sz w:val="22"/>
                <w:szCs w:val="22"/>
                <w:lang w:val="en-US"/>
              </w:rPr>
              <w:t xml:space="preserve"> </w:t>
            </w:r>
            <w:proofErr w:type="spellStart"/>
            <w:r w:rsidR="004F0B51">
              <w:rPr>
                <w:color w:val="000000"/>
                <w:sz w:val="22"/>
                <w:szCs w:val="22"/>
                <w:lang w:val="en-US"/>
              </w:rPr>
              <w:t>предстои</w:t>
            </w:r>
            <w:proofErr w:type="spellEnd"/>
            <w:r>
              <w:rPr>
                <w:color w:val="000000"/>
                <w:sz w:val="22"/>
                <w:szCs w:val="22"/>
              </w:rPr>
              <w:t>.</w:t>
            </w:r>
          </w:p>
        </w:tc>
      </w:tr>
      <w:tr w:rsidR="00B0240F" w:rsidRPr="000125BF" w14:paraId="5336B4FF" w14:textId="77777777" w:rsidTr="00A74CB5">
        <w:trPr>
          <w:trHeight w:val="841"/>
        </w:trPr>
        <w:tc>
          <w:tcPr>
            <w:tcW w:w="1271" w:type="dxa"/>
          </w:tcPr>
          <w:p w14:paraId="707E7121" w14:textId="5463347F" w:rsidR="006E7CF8" w:rsidRPr="008D5207" w:rsidRDefault="006E7CF8" w:rsidP="006E7CF8">
            <w:pPr>
              <w:rPr>
                <w:rFonts w:ascii="Times New Roman" w:hAnsi="Times New Roman" w:cs="Times New Roman"/>
              </w:rPr>
            </w:pPr>
            <w:r w:rsidRPr="008D5207">
              <w:rPr>
                <w:rFonts w:ascii="Times New Roman" w:hAnsi="Times New Roman" w:cs="Times New Roman"/>
              </w:rPr>
              <w:lastRenderedPageBreak/>
              <w:t>27.03.2020 г.</w:t>
            </w:r>
          </w:p>
          <w:p w14:paraId="052F9220" w14:textId="3DC6EFC1" w:rsidR="00B0240F" w:rsidRPr="008D5207" w:rsidRDefault="006E7CF8" w:rsidP="006E7CF8">
            <w:pPr>
              <w:rPr>
                <w:rFonts w:ascii="Times New Roman" w:hAnsi="Times New Roman" w:cs="Times New Roman"/>
              </w:rPr>
            </w:pPr>
            <w:r w:rsidRPr="008D5207">
              <w:rPr>
                <w:rFonts w:ascii="Times New Roman" w:hAnsi="Times New Roman" w:cs="Times New Roman"/>
              </w:rPr>
              <w:t>Електронна поща</w:t>
            </w:r>
          </w:p>
        </w:tc>
        <w:tc>
          <w:tcPr>
            <w:tcW w:w="1843" w:type="dxa"/>
          </w:tcPr>
          <w:p w14:paraId="0D0575D9" w14:textId="6873ED63" w:rsidR="00B0240F" w:rsidRPr="008D5207" w:rsidRDefault="006E7CF8" w:rsidP="00755AD8">
            <w:pPr>
              <w:jc w:val="both"/>
              <w:rPr>
                <w:rFonts w:ascii="Times New Roman" w:hAnsi="Times New Roman" w:cs="Times New Roman"/>
              </w:rPr>
            </w:pPr>
            <w:r w:rsidRPr="008D5207">
              <w:rPr>
                <w:rFonts w:ascii="Times New Roman" w:hAnsi="Times New Roman" w:cs="Times New Roman"/>
              </w:rPr>
              <w:t>Конфедерация на независимите синдикати в България</w:t>
            </w:r>
          </w:p>
        </w:tc>
        <w:tc>
          <w:tcPr>
            <w:tcW w:w="7938" w:type="dxa"/>
          </w:tcPr>
          <w:p w14:paraId="3C44768D" w14:textId="77777777" w:rsidR="00B0240F" w:rsidRPr="008D5207" w:rsidRDefault="006E7CF8" w:rsidP="008E05AC">
            <w:pPr>
              <w:spacing w:after="120"/>
              <w:jc w:val="both"/>
              <w:rPr>
                <w:rFonts w:ascii="Times New Roman" w:hAnsi="Times New Roman" w:cs="Times New Roman"/>
              </w:rPr>
            </w:pPr>
            <w:r w:rsidRPr="008D5207">
              <w:rPr>
                <w:rFonts w:ascii="Times New Roman" w:hAnsi="Times New Roman" w:cs="Times New Roman"/>
              </w:rPr>
              <w:t>Във връзка с обявената неприсъствената писмена процедура за съгласуване на проекта на Оперативна програма за електронно управление и техническа помощ (ОПЕУТП) за програмния период 2021-2027 г., Конфедерацията на независимите синдикати в България прави следните коментари и предложения за промени и допълнения в текстовете на проект на програмата:</w:t>
            </w:r>
          </w:p>
          <w:p w14:paraId="62F8B7B7" w14:textId="4B22D562" w:rsidR="009E6DEB" w:rsidRPr="008D5207" w:rsidRDefault="006E7CF8" w:rsidP="006E7CF8">
            <w:pPr>
              <w:spacing w:after="120"/>
              <w:jc w:val="both"/>
              <w:rPr>
                <w:rFonts w:ascii="Times New Roman" w:hAnsi="Times New Roman" w:cs="Times New Roman"/>
              </w:rPr>
            </w:pPr>
            <w:r w:rsidRPr="008D5207">
              <w:rPr>
                <w:rFonts w:ascii="Times New Roman" w:hAnsi="Times New Roman" w:cs="Times New Roman"/>
              </w:rPr>
              <w:t xml:space="preserve">1. В предложеният проект на ОПЕУТП 2021-2027 не е видна ролята и мястото на социалните партньори, което е в противоречие на основни европейски принципи и призивът на Европейските институции за партньорство, залегнал в проекта на Регламент за ЕСФ+ и по-конкретно: „Осъществяването по ефикасен и ефективен начин на действията, подкрепяни от ЕСФ+, зависи от доброто управление и партньорството между всички участници на съответните териториални равнища и социално-икономическите участници, по-специално социалните партньори и гражданското общество. Ето защо е от съществено значение държавите членки да насърчават участието на социалните партньори и гражданското общество в изпълнението на ЕСФ+ при споделено управление.“ Освен това в чл.8 на същия проект на Регламент е записано: </w:t>
            </w:r>
          </w:p>
          <w:p w14:paraId="59782B88" w14:textId="7AACDC84" w:rsidR="006E7CF8" w:rsidRPr="007B5192" w:rsidRDefault="006E7CF8" w:rsidP="006E7CF8">
            <w:pPr>
              <w:spacing w:after="120"/>
              <w:jc w:val="both"/>
              <w:rPr>
                <w:rFonts w:ascii="Times New Roman" w:hAnsi="Times New Roman" w:cs="Times New Roman"/>
                <w:i/>
              </w:rPr>
            </w:pPr>
            <w:r w:rsidRPr="007B5192">
              <w:rPr>
                <w:rFonts w:ascii="Times New Roman" w:hAnsi="Times New Roman" w:cs="Times New Roman"/>
                <w:i/>
              </w:rPr>
              <w:t>„Член 8 Партньорство</w:t>
            </w:r>
          </w:p>
          <w:p w14:paraId="71738F83" w14:textId="663806A4" w:rsidR="006E7CF8" w:rsidRPr="007B5192" w:rsidRDefault="006E7CF8" w:rsidP="006E7CF8">
            <w:pPr>
              <w:spacing w:after="120"/>
              <w:jc w:val="both"/>
              <w:rPr>
                <w:rFonts w:ascii="Times New Roman" w:hAnsi="Times New Roman" w:cs="Times New Roman"/>
                <w:i/>
              </w:rPr>
            </w:pPr>
            <w:r w:rsidRPr="007B5192">
              <w:rPr>
                <w:rFonts w:ascii="Times New Roman" w:hAnsi="Times New Roman" w:cs="Times New Roman"/>
                <w:i/>
              </w:rPr>
              <w:t>1. Всяка държава членка гарантира съответно участие на социалните партньори и организациите на гражданското общество в изпълнението на политиките в областта на заетостта, образованието и социалното приобщаване, подкрепяни от направлението на ЕСФ+ при</w:t>
            </w:r>
            <w:r w:rsidR="009E6DEB" w:rsidRPr="007B5192">
              <w:rPr>
                <w:rFonts w:ascii="Times New Roman" w:hAnsi="Times New Roman" w:cs="Times New Roman"/>
                <w:i/>
              </w:rPr>
              <w:t xml:space="preserve"> </w:t>
            </w:r>
            <w:r w:rsidRPr="007B5192">
              <w:rPr>
                <w:rFonts w:ascii="Times New Roman" w:hAnsi="Times New Roman" w:cs="Times New Roman"/>
                <w:i/>
              </w:rPr>
              <w:t>споделено управление.</w:t>
            </w:r>
          </w:p>
          <w:p w14:paraId="79558D25" w14:textId="77777777" w:rsidR="006E7CF8" w:rsidRPr="007B5192" w:rsidRDefault="006E7CF8" w:rsidP="006E7CF8">
            <w:pPr>
              <w:spacing w:after="120"/>
              <w:jc w:val="both"/>
              <w:rPr>
                <w:rFonts w:ascii="Times New Roman" w:hAnsi="Times New Roman" w:cs="Times New Roman"/>
                <w:i/>
              </w:rPr>
            </w:pPr>
            <w:r w:rsidRPr="007B5192">
              <w:rPr>
                <w:rFonts w:ascii="Times New Roman" w:hAnsi="Times New Roman" w:cs="Times New Roman"/>
                <w:i/>
              </w:rPr>
              <w:t>2. Държавите членки разпределят адекватен дял от средствата на ЕСФ+ при споделено управление за всяка програма за изграждане на капацитет на социалните партньори и организациите на гражданското общество.“</w:t>
            </w:r>
          </w:p>
          <w:p w14:paraId="6214CEAF" w14:textId="77777777" w:rsidR="006E7CF8" w:rsidRPr="007B5192" w:rsidRDefault="006E7CF8" w:rsidP="006E7CF8">
            <w:pPr>
              <w:spacing w:after="120"/>
              <w:jc w:val="both"/>
              <w:rPr>
                <w:rFonts w:ascii="Times New Roman" w:hAnsi="Times New Roman" w:cs="Times New Roman"/>
              </w:rPr>
            </w:pPr>
            <w:r w:rsidRPr="007B5192">
              <w:rPr>
                <w:rFonts w:ascii="Times New Roman" w:hAnsi="Times New Roman" w:cs="Times New Roman"/>
              </w:rPr>
              <w:t>В допълнение, припомням, че Европейският кодекс на поведение за партньорство утвърждава мястото на социалните партньори в процеса на планирането, изпълнението, мониторинга и оценката на проектите, подпомагани от фондовете на ЕС.</w:t>
            </w:r>
          </w:p>
          <w:p w14:paraId="5349EE5C" w14:textId="77777777" w:rsidR="006E7CF8" w:rsidRPr="002631C2" w:rsidRDefault="006E7CF8" w:rsidP="006E7CF8">
            <w:pPr>
              <w:spacing w:after="120"/>
              <w:jc w:val="both"/>
              <w:rPr>
                <w:rFonts w:ascii="Times New Roman" w:hAnsi="Times New Roman" w:cs="Times New Roman"/>
              </w:rPr>
            </w:pPr>
            <w:r w:rsidRPr="002631C2">
              <w:rPr>
                <w:rFonts w:ascii="Times New Roman" w:hAnsi="Times New Roman" w:cs="Times New Roman"/>
              </w:rPr>
              <w:t xml:space="preserve">В тази връзка, предлагаме още в част 1. Програмна стратегия, например на стр.9 като нов трети абзац да бъде добавен следния текст: „В изпълнение на Европейската харта за социални права, както и на принципа за партньорство, залегнал в европейската нормативна рамка за ЕСФ+, в ОПЕУТП е предвидено </w:t>
            </w:r>
            <w:r w:rsidRPr="002631C2">
              <w:rPr>
                <w:rFonts w:ascii="Times New Roman" w:hAnsi="Times New Roman" w:cs="Times New Roman"/>
              </w:rPr>
              <w:lastRenderedPageBreak/>
              <w:t>участието на социалните партньори в изпълнението на дейности, насочени към цифрова трансформация в полза на гражданите, бизнеса и обществото.“</w:t>
            </w:r>
          </w:p>
          <w:p w14:paraId="207ED43B" w14:textId="7A795782" w:rsidR="006E7CF8" w:rsidRPr="002631C2" w:rsidRDefault="009E6DEB" w:rsidP="006E7CF8">
            <w:pPr>
              <w:spacing w:after="120"/>
              <w:jc w:val="both"/>
              <w:rPr>
                <w:rFonts w:ascii="Times New Roman" w:hAnsi="Times New Roman" w:cs="Times New Roman"/>
              </w:rPr>
            </w:pPr>
            <w:r w:rsidRPr="002631C2">
              <w:rPr>
                <w:rFonts w:ascii="Times New Roman" w:hAnsi="Times New Roman" w:cs="Times New Roman"/>
              </w:rPr>
              <w:t>2. Стр. 6 - Дори и към момента чрез Единният портал за достъп до електронни административни услуги могат да бъдат реализирани над 380 е-услуги за граждани и бизнеса. За съжаление към момента използването им от гражданите и бизнеса не е голяма поради различни причини, като една от тях е липсата на активна и ефективна информационна кампания. Тук виждаме ролята на национално представителните организации на работодателите и на работниците и служителите чрез техните структури по браншове и региони да достигнат до по-широка целева група и да проведат необходимите разяснителни кампании за да могат повече граждани и фирми да се възползват от предлаганите електронни услуги.</w:t>
            </w:r>
          </w:p>
          <w:p w14:paraId="1C1EFDEE" w14:textId="61DCB0DD" w:rsidR="009E6DEB" w:rsidRPr="002631C2" w:rsidRDefault="009E6DEB" w:rsidP="006E7CF8">
            <w:pPr>
              <w:spacing w:after="120"/>
              <w:jc w:val="both"/>
              <w:rPr>
                <w:rFonts w:ascii="Times New Roman" w:hAnsi="Times New Roman" w:cs="Times New Roman"/>
              </w:rPr>
            </w:pPr>
            <w:r w:rsidRPr="002631C2">
              <w:rPr>
                <w:rFonts w:ascii="Times New Roman" w:hAnsi="Times New Roman" w:cs="Times New Roman"/>
              </w:rPr>
              <w:t xml:space="preserve">3. Стр. 8 - Текстът във втори абзац да се допълни по следния начин: „Повишаване на информираността и доверието на гражданите и бизнеса ще бъде приоритет, </w:t>
            </w:r>
            <w:r w:rsidRPr="002631C2">
              <w:rPr>
                <w:rFonts w:ascii="Times New Roman" w:hAnsi="Times New Roman" w:cs="Times New Roman"/>
                <w:u w:val="single"/>
              </w:rPr>
              <w:t>включително посредством реализирането на конкретни дейности на социалните партньори.</w:t>
            </w:r>
            <w:r w:rsidRPr="002631C2">
              <w:rPr>
                <w:rFonts w:ascii="Times New Roman" w:hAnsi="Times New Roman" w:cs="Times New Roman"/>
              </w:rPr>
              <w:t>“</w:t>
            </w:r>
          </w:p>
          <w:p w14:paraId="50259277" w14:textId="3B98D685" w:rsidR="009E6DEB" w:rsidRPr="008B39F8" w:rsidRDefault="009E6DEB" w:rsidP="009E6DEB">
            <w:pPr>
              <w:spacing w:after="120"/>
              <w:jc w:val="both"/>
              <w:rPr>
                <w:rFonts w:ascii="Times New Roman" w:hAnsi="Times New Roman" w:cs="Times New Roman"/>
              </w:rPr>
            </w:pPr>
            <w:r w:rsidRPr="00C92746">
              <w:rPr>
                <w:rFonts w:ascii="Times New Roman" w:hAnsi="Times New Roman" w:cs="Times New Roman"/>
              </w:rPr>
              <w:t xml:space="preserve">4. Стр. 12 Текстът в първи абзац на „Информационни кампании“ да се допълни по следния начин: „Необходими са целенасочени действия, </w:t>
            </w:r>
            <w:r w:rsidRPr="00C92746">
              <w:rPr>
                <w:rFonts w:ascii="Times New Roman" w:hAnsi="Times New Roman" w:cs="Times New Roman"/>
                <w:u w:val="single"/>
              </w:rPr>
              <w:t>включително в партньорство със социалните партньори,</w:t>
            </w:r>
            <w:r w:rsidRPr="00C92746">
              <w:rPr>
                <w:rFonts w:ascii="Times New Roman" w:hAnsi="Times New Roman" w:cs="Times New Roman"/>
              </w:rPr>
              <w:t xml:space="preserve"> за повишаване на дигиталната грамотност, информираността и доверието на населението за ползване на </w:t>
            </w:r>
            <w:r w:rsidRPr="008B39F8">
              <w:rPr>
                <w:rFonts w:ascii="Times New Roman" w:hAnsi="Times New Roman" w:cs="Times New Roman"/>
              </w:rPr>
              <w:t>ресурсите на електронното управление.“</w:t>
            </w:r>
          </w:p>
          <w:p w14:paraId="16902CED" w14:textId="3946AD26" w:rsidR="009E6DEB" w:rsidRPr="008B39F8" w:rsidRDefault="009E6DEB" w:rsidP="009E6DEB">
            <w:pPr>
              <w:spacing w:after="120"/>
              <w:jc w:val="both"/>
              <w:rPr>
                <w:rFonts w:ascii="Times New Roman" w:hAnsi="Times New Roman" w:cs="Times New Roman"/>
              </w:rPr>
            </w:pPr>
            <w:r w:rsidRPr="008B39F8">
              <w:rPr>
                <w:rFonts w:ascii="Times New Roman" w:hAnsi="Times New Roman" w:cs="Times New Roman"/>
              </w:rPr>
              <w:t>5. Стр.19 - Предлагаме наименованието на Приоритет 1 да бъде променен по следния начин: „Цифрова трансформация в полза на обществото“</w:t>
            </w:r>
          </w:p>
          <w:p w14:paraId="1B1D6417" w14:textId="5D592048" w:rsidR="009E6DEB" w:rsidRPr="00C92746" w:rsidRDefault="009E6DEB" w:rsidP="009E6DEB">
            <w:pPr>
              <w:spacing w:after="120"/>
              <w:jc w:val="both"/>
              <w:rPr>
                <w:rFonts w:ascii="Times New Roman" w:hAnsi="Times New Roman" w:cs="Times New Roman"/>
                <w:u w:val="single"/>
              </w:rPr>
            </w:pPr>
            <w:r w:rsidRPr="00C92746">
              <w:rPr>
                <w:rFonts w:ascii="Times New Roman" w:hAnsi="Times New Roman" w:cs="Times New Roman"/>
              </w:rPr>
              <w:t xml:space="preserve">6. Стр.20 и стр.21 - Към Приоритет 1: Тестът във втори абзац да се допълни по следния начин : „Провеждане на </w:t>
            </w:r>
            <w:proofErr w:type="spellStart"/>
            <w:r w:rsidRPr="00C92746">
              <w:rPr>
                <w:rFonts w:ascii="Times New Roman" w:hAnsi="Times New Roman" w:cs="Times New Roman"/>
              </w:rPr>
              <w:t>шикоромащабни</w:t>
            </w:r>
            <w:proofErr w:type="spellEnd"/>
            <w:r w:rsidRPr="00C92746">
              <w:rPr>
                <w:rFonts w:ascii="Times New Roman" w:hAnsi="Times New Roman" w:cs="Times New Roman"/>
              </w:rPr>
              <w:t xml:space="preserve"> информационни и образователни кампании за насърчаване на културата за споделяне на данни и повишаване ползването на електронните публични услуги, </w:t>
            </w:r>
            <w:r w:rsidRPr="00C92746">
              <w:rPr>
                <w:rFonts w:ascii="Times New Roman" w:hAnsi="Times New Roman" w:cs="Times New Roman"/>
                <w:u w:val="single"/>
              </w:rPr>
              <w:t>включително чрез дейности на социалните партньори“</w:t>
            </w:r>
          </w:p>
          <w:p w14:paraId="5195976E" w14:textId="77777777" w:rsidR="009E6DEB" w:rsidRPr="008B39F8" w:rsidRDefault="009E6DEB" w:rsidP="009E6DEB">
            <w:pPr>
              <w:spacing w:after="120"/>
              <w:jc w:val="both"/>
              <w:rPr>
                <w:rFonts w:ascii="Times New Roman" w:hAnsi="Times New Roman" w:cs="Times New Roman"/>
              </w:rPr>
            </w:pPr>
            <w:r w:rsidRPr="008B39F8">
              <w:rPr>
                <w:rFonts w:ascii="Times New Roman" w:hAnsi="Times New Roman" w:cs="Times New Roman"/>
              </w:rPr>
              <w:t>Да се добави като нова примерна дейност на стр.20 следното: „Развитие на системи на електронно управление и ефективни електронни услуги в полза на гражданите и бизнеса, посредством дейности, реализирани от социалните партньори“</w:t>
            </w:r>
          </w:p>
          <w:p w14:paraId="72DF2D5A" w14:textId="77777777" w:rsidR="009E6DEB" w:rsidRPr="008B39F8" w:rsidRDefault="009E6DEB" w:rsidP="009E6DEB">
            <w:pPr>
              <w:spacing w:after="120"/>
              <w:jc w:val="both"/>
              <w:rPr>
                <w:rFonts w:ascii="Times New Roman" w:hAnsi="Times New Roman" w:cs="Times New Roman"/>
              </w:rPr>
            </w:pPr>
            <w:r w:rsidRPr="008B39F8">
              <w:rPr>
                <w:rFonts w:ascii="Times New Roman" w:hAnsi="Times New Roman" w:cs="Times New Roman"/>
              </w:rPr>
              <w:lastRenderedPageBreak/>
              <w:t>Към описаните целеви групи на стр.21 да се допълнят и социално-икономическите партньори.</w:t>
            </w:r>
          </w:p>
          <w:p w14:paraId="2FE9EE5A" w14:textId="224A62BC" w:rsidR="009E6DEB" w:rsidRPr="008B39F8" w:rsidRDefault="009E6DEB" w:rsidP="009E6DEB">
            <w:pPr>
              <w:spacing w:after="120"/>
              <w:jc w:val="both"/>
              <w:rPr>
                <w:rFonts w:ascii="Times New Roman" w:hAnsi="Times New Roman" w:cs="Times New Roman"/>
              </w:rPr>
            </w:pPr>
            <w:r w:rsidRPr="008B39F8">
              <w:rPr>
                <w:rFonts w:ascii="Times New Roman" w:hAnsi="Times New Roman" w:cs="Times New Roman"/>
              </w:rPr>
              <w:t>7. Стр.34-36 - Поради липса на представен финансов план се въздържаме от коментар на този етап.</w:t>
            </w:r>
          </w:p>
          <w:p w14:paraId="2586BD5B" w14:textId="0A728F46" w:rsidR="009E6DEB" w:rsidRPr="00AC7BFD" w:rsidRDefault="009E6DEB" w:rsidP="0005452C">
            <w:pPr>
              <w:spacing w:after="120"/>
              <w:jc w:val="both"/>
              <w:rPr>
                <w:rFonts w:ascii="Times New Roman" w:hAnsi="Times New Roman" w:cs="Times New Roman"/>
                <w:highlight w:val="yellow"/>
              </w:rPr>
            </w:pPr>
            <w:r w:rsidRPr="00C12F16">
              <w:rPr>
                <w:rFonts w:ascii="Times New Roman" w:hAnsi="Times New Roman" w:cs="Times New Roman"/>
              </w:rPr>
              <w:t>Оценявайки положените усилия по разработването на проекта на ОПЕУТП за следващия програмен период, апелирам за спазване на принципа на партньорство като утвърден принцип в работата на ЕСИ фондове и залегнал и в проекта на Регламент за ЕСФ+, така че в проекта на оперативна програма да бъде ясно видяно мястото и ролята на социалните партньори, както и да бъдат заложени конкретни дейности с оглед цифровата трансформация в полза на обществото, които предвиждат активното участие на социалните партньори. В допълнение и предвид ситуацията, в която се намираме в момента с разпространението на COVID-19, апелирам за готовност през следващите няколко месеца да допълним някои от приоритетите и специфични цели на проекта на програмата, отчитайки и прогнозирайки в дългосрочен план отражението на кризата, породена от епидемията, върху начина ни на живот и работа, както и върху функционирането на ключови системи, сектори и обществото като цяло.</w:t>
            </w:r>
          </w:p>
        </w:tc>
        <w:tc>
          <w:tcPr>
            <w:tcW w:w="4111" w:type="dxa"/>
          </w:tcPr>
          <w:p w14:paraId="74FAF385" w14:textId="49DBFC7D" w:rsidR="001D2F1D" w:rsidRPr="001D2F1D" w:rsidRDefault="007B5192" w:rsidP="007B5192">
            <w:pPr>
              <w:pStyle w:val="NormalWeb"/>
              <w:spacing w:before="0" w:beforeAutospacing="0" w:after="120" w:afterAutospacing="0"/>
              <w:jc w:val="both"/>
              <w:rPr>
                <w:color w:val="000000"/>
                <w:sz w:val="22"/>
                <w:szCs w:val="22"/>
                <w:lang w:val="en-US"/>
              </w:rPr>
            </w:pPr>
            <w:r>
              <w:rPr>
                <w:color w:val="000000"/>
                <w:sz w:val="22"/>
                <w:szCs w:val="22"/>
              </w:rPr>
              <w:lastRenderedPageBreak/>
              <w:t xml:space="preserve">1. </w:t>
            </w:r>
            <w:r w:rsidR="008D5207" w:rsidRPr="008D5207">
              <w:rPr>
                <w:color w:val="000000"/>
                <w:sz w:val="22"/>
                <w:szCs w:val="22"/>
              </w:rPr>
              <w:t>ОПЕУТП ще се финансира от ЕФРР, а не от ЕСФ</w:t>
            </w:r>
            <w:r w:rsidR="000A2350">
              <w:rPr>
                <w:color w:val="000000"/>
                <w:sz w:val="22"/>
                <w:szCs w:val="22"/>
                <w:lang w:val="en-US"/>
              </w:rPr>
              <w:t>+</w:t>
            </w:r>
            <w:r w:rsidR="008D5207" w:rsidRPr="008D5207">
              <w:rPr>
                <w:color w:val="000000"/>
                <w:sz w:val="22"/>
                <w:szCs w:val="22"/>
              </w:rPr>
              <w:t xml:space="preserve"> и в този смисъл разпоредбите на чл. 8 от Проекта на Регламент за ЕСФ+ във връзка с участието на СИП в изпълнението на политиките в областта на заетостта, образованието и социалното приобщаване и изграждането на капацитет на СИП не са приложими. За СИП ще има конкретни мерки и дейности в ОПРЧР за 2021-2027, която се финансира от ЕСФ. </w:t>
            </w:r>
            <w:r w:rsidR="001D2F1D">
              <w:rPr>
                <w:color w:val="000000"/>
                <w:sz w:val="22"/>
                <w:szCs w:val="22"/>
                <w:lang w:val="en-US"/>
              </w:rPr>
              <w:t xml:space="preserve"> </w:t>
            </w:r>
            <w:proofErr w:type="spellStart"/>
            <w:proofErr w:type="gramStart"/>
            <w:r w:rsidR="001D2F1D" w:rsidRPr="001D2F1D">
              <w:rPr>
                <w:color w:val="000000"/>
                <w:sz w:val="22"/>
                <w:szCs w:val="22"/>
                <w:lang w:val="en-US"/>
              </w:rPr>
              <w:t>Обръщаме</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внимание</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че</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Тематична</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цел</w:t>
            </w:r>
            <w:proofErr w:type="spellEnd"/>
            <w:r w:rsidR="001D2F1D" w:rsidRPr="001D2F1D">
              <w:rPr>
                <w:color w:val="000000"/>
                <w:sz w:val="22"/>
                <w:szCs w:val="22"/>
                <w:lang w:val="en-US"/>
              </w:rPr>
              <w:t xml:space="preserve"> 11 </w:t>
            </w:r>
            <w:proofErr w:type="spellStart"/>
            <w:r w:rsidR="001D2F1D" w:rsidRPr="001D2F1D">
              <w:rPr>
                <w:color w:val="000000"/>
                <w:sz w:val="22"/>
                <w:szCs w:val="22"/>
                <w:lang w:val="en-US"/>
              </w:rPr>
              <w:t>от</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настоящия</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програмен</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период</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Повишаване</w:t>
            </w:r>
            <w:proofErr w:type="spellEnd"/>
            <w:r w:rsidR="001D2F1D" w:rsidRPr="001D2F1D">
              <w:rPr>
                <w:color w:val="000000"/>
                <w:sz w:val="22"/>
                <w:szCs w:val="22"/>
                <w:lang w:val="en-US"/>
              </w:rPr>
              <w:t xml:space="preserve"> на </w:t>
            </w:r>
            <w:proofErr w:type="spellStart"/>
            <w:r w:rsidR="001D2F1D" w:rsidRPr="001D2F1D">
              <w:rPr>
                <w:color w:val="000000"/>
                <w:sz w:val="22"/>
                <w:szCs w:val="22"/>
                <w:lang w:val="en-US"/>
              </w:rPr>
              <w:t>институционалния</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капацитет</w:t>
            </w:r>
            <w:proofErr w:type="spellEnd"/>
            <w:r w:rsidR="001D2F1D" w:rsidRPr="001D2F1D">
              <w:rPr>
                <w:color w:val="000000"/>
                <w:sz w:val="22"/>
                <w:szCs w:val="22"/>
                <w:lang w:val="en-US"/>
              </w:rPr>
              <w:t xml:space="preserve"> на </w:t>
            </w:r>
            <w:proofErr w:type="spellStart"/>
            <w:r w:rsidR="001D2F1D" w:rsidRPr="001D2F1D">
              <w:rPr>
                <w:color w:val="000000"/>
                <w:sz w:val="22"/>
                <w:szCs w:val="22"/>
                <w:lang w:val="en-US"/>
              </w:rPr>
              <w:t>публичните</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органи</w:t>
            </w:r>
            <w:proofErr w:type="spellEnd"/>
            <w:r w:rsidR="001D2F1D" w:rsidRPr="001D2F1D">
              <w:rPr>
                <w:color w:val="000000"/>
                <w:sz w:val="22"/>
                <w:szCs w:val="22"/>
                <w:lang w:val="en-US"/>
              </w:rPr>
              <w:t xml:space="preserve"> и </w:t>
            </w:r>
            <w:proofErr w:type="spellStart"/>
            <w:r w:rsidR="001D2F1D" w:rsidRPr="001D2F1D">
              <w:rPr>
                <w:color w:val="000000"/>
                <w:sz w:val="22"/>
                <w:szCs w:val="22"/>
                <w:lang w:val="en-US"/>
              </w:rPr>
              <w:t>заинтересованите</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страни</w:t>
            </w:r>
            <w:proofErr w:type="spellEnd"/>
            <w:r w:rsidR="001D2F1D" w:rsidRPr="001D2F1D">
              <w:rPr>
                <w:color w:val="000000"/>
                <w:sz w:val="22"/>
                <w:szCs w:val="22"/>
                <w:lang w:val="en-US"/>
              </w:rPr>
              <w:t xml:space="preserve"> и </w:t>
            </w:r>
            <w:proofErr w:type="spellStart"/>
            <w:r w:rsidR="001D2F1D" w:rsidRPr="001D2F1D">
              <w:rPr>
                <w:color w:val="000000"/>
                <w:sz w:val="22"/>
                <w:szCs w:val="22"/>
                <w:lang w:val="en-US"/>
              </w:rPr>
              <w:t>ефективна</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публична</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администрация</w:t>
            </w:r>
            <w:proofErr w:type="spellEnd"/>
            <w:r w:rsidR="001D2F1D" w:rsidRPr="001D2F1D">
              <w:rPr>
                <w:color w:val="000000"/>
                <w:sz w:val="22"/>
                <w:szCs w:val="22"/>
                <w:lang w:val="en-US"/>
              </w:rPr>
              <w:t xml:space="preserve">“ в </w:t>
            </w:r>
            <w:proofErr w:type="spellStart"/>
            <w:r w:rsidR="001D2F1D" w:rsidRPr="001D2F1D">
              <w:rPr>
                <w:color w:val="000000"/>
                <w:sz w:val="22"/>
                <w:szCs w:val="22"/>
                <w:lang w:val="en-US"/>
              </w:rPr>
              <w:t>рамките</w:t>
            </w:r>
            <w:proofErr w:type="spellEnd"/>
            <w:r w:rsidR="001D2F1D" w:rsidRPr="001D2F1D">
              <w:rPr>
                <w:color w:val="000000"/>
                <w:sz w:val="22"/>
                <w:szCs w:val="22"/>
                <w:lang w:val="en-US"/>
              </w:rPr>
              <w:t xml:space="preserve"> на </w:t>
            </w:r>
            <w:proofErr w:type="spellStart"/>
            <w:r w:rsidR="001D2F1D" w:rsidRPr="001D2F1D">
              <w:rPr>
                <w:color w:val="000000"/>
                <w:sz w:val="22"/>
                <w:szCs w:val="22"/>
                <w:lang w:val="en-US"/>
              </w:rPr>
              <w:t>която</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по</w:t>
            </w:r>
            <w:proofErr w:type="spellEnd"/>
            <w:r w:rsidR="001D2F1D" w:rsidRPr="001D2F1D">
              <w:rPr>
                <w:color w:val="000000"/>
                <w:sz w:val="22"/>
                <w:szCs w:val="22"/>
                <w:lang w:val="en-US"/>
              </w:rPr>
              <w:t xml:space="preserve"> ОПДУ </w:t>
            </w:r>
            <w:proofErr w:type="spellStart"/>
            <w:r w:rsidR="001D2F1D" w:rsidRPr="001D2F1D">
              <w:rPr>
                <w:color w:val="000000"/>
                <w:sz w:val="22"/>
                <w:szCs w:val="22"/>
                <w:lang w:val="en-US"/>
              </w:rPr>
              <w:t>бе</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обособен</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конкретен</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финансов</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ресурс</w:t>
            </w:r>
            <w:proofErr w:type="spellEnd"/>
            <w:r w:rsidR="001D2F1D" w:rsidRPr="001D2F1D">
              <w:rPr>
                <w:color w:val="000000"/>
                <w:sz w:val="22"/>
                <w:szCs w:val="22"/>
                <w:lang w:val="en-US"/>
              </w:rPr>
              <w:t xml:space="preserve"> за </w:t>
            </w:r>
            <w:proofErr w:type="spellStart"/>
            <w:r w:rsidR="001D2F1D" w:rsidRPr="001D2F1D">
              <w:rPr>
                <w:color w:val="000000"/>
                <w:sz w:val="22"/>
                <w:szCs w:val="22"/>
                <w:lang w:val="en-US"/>
              </w:rPr>
              <w:t>подобряване</w:t>
            </w:r>
            <w:proofErr w:type="spellEnd"/>
            <w:r w:rsidR="001D2F1D" w:rsidRPr="001D2F1D">
              <w:rPr>
                <w:color w:val="000000"/>
                <w:sz w:val="22"/>
                <w:szCs w:val="22"/>
                <w:lang w:val="en-US"/>
              </w:rPr>
              <w:t xml:space="preserve"> на </w:t>
            </w:r>
            <w:proofErr w:type="spellStart"/>
            <w:r w:rsidR="001D2F1D" w:rsidRPr="001D2F1D">
              <w:rPr>
                <w:color w:val="000000"/>
                <w:sz w:val="22"/>
                <w:szCs w:val="22"/>
                <w:lang w:val="en-US"/>
              </w:rPr>
              <w:t>гражданското</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участие</w:t>
            </w:r>
            <w:proofErr w:type="spellEnd"/>
            <w:r w:rsidR="001D2F1D" w:rsidRPr="001D2F1D">
              <w:rPr>
                <w:color w:val="000000"/>
                <w:sz w:val="22"/>
                <w:szCs w:val="22"/>
                <w:lang w:val="en-US"/>
              </w:rPr>
              <w:t xml:space="preserve"> в </w:t>
            </w:r>
            <w:proofErr w:type="spellStart"/>
            <w:r w:rsidR="001D2F1D" w:rsidRPr="001D2F1D">
              <w:rPr>
                <w:color w:val="000000"/>
                <w:sz w:val="22"/>
                <w:szCs w:val="22"/>
                <w:lang w:val="en-US"/>
              </w:rPr>
              <w:t>процеса</w:t>
            </w:r>
            <w:proofErr w:type="spellEnd"/>
            <w:r w:rsidR="001D2F1D" w:rsidRPr="001D2F1D">
              <w:rPr>
                <w:color w:val="000000"/>
                <w:sz w:val="22"/>
                <w:szCs w:val="22"/>
                <w:lang w:val="en-US"/>
              </w:rPr>
              <w:t xml:space="preserve"> на </w:t>
            </w:r>
            <w:proofErr w:type="spellStart"/>
            <w:r w:rsidR="001D2F1D" w:rsidRPr="001D2F1D">
              <w:rPr>
                <w:color w:val="000000"/>
                <w:sz w:val="22"/>
                <w:szCs w:val="22"/>
                <w:lang w:val="en-US"/>
              </w:rPr>
              <w:t>формулиране</w:t>
            </w:r>
            <w:proofErr w:type="spellEnd"/>
            <w:r w:rsidR="001D2F1D" w:rsidRPr="001D2F1D">
              <w:rPr>
                <w:color w:val="000000"/>
                <w:sz w:val="22"/>
                <w:szCs w:val="22"/>
                <w:lang w:val="en-US"/>
              </w:rPr>
              <w:t xml:space="preserve"> и </w:t>
            </w:r>
            <w:proofErr w:type="spellStart"/>
            <w:r w:rsidR="001D2F1D" w:rsidRPr="001D2F1D">
              <w:rPr>
                <w:color w:val="000000"/>
                <w:sz w:val="22"/>
                <w:szCs w:val="22"/>
                <w:lang w:val="en-US"/>
              </w:rPr>
              <w:t>мониторинг</w:t>
            </w:r>
            <w:proofErr w:type="spellEnd"/>
            <w:r w:rsidR="001D2F1D" w:rsidRPr="001D2F1D">
              <w:rPr>
                <w:color w:val="000000"/>
                <w:sz w:val="22"/>
                <w:szCs w:val="22"/>
                <w:lang w:val="en-US"/>
              </w:rPr>
              <w:t xml:space="preserve"> на </w:t>
            </w:r>
            <w:proofErr w:type="spellStart"/>
            <w:r w:rsidR="001D2F1D" w:rsidRPr="001D2F1D">
              <w:rPr>
                <w:color w:val="000000"/>
                <w:sz w:val="22"/>
                <w:szCs w:val="22"/>
                <w:lang w:val="en-US"/>
              </w:rPr>
              <w:t>политики</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не</w:t>
            </w:r>
            <w:proofErr w:type="spellEnd"/>
            <w:r w:rsidR="001D2F1D" w:rsidRPr="001D2F1D">
              <w:rPr>
                <w:color w:val="000000"/>
                <w:sz w:val="22"/>
                <w:szCs w:val="22"/>
                <w:lang w:val="en-US"/>
              </w:rPr>
              <w:t xml:space="preserve"> е </w:t>
            </w:r>
            <w:proofErr w:type="spellStart"/>
            <w:r w:rsidR="001D2F1D" w:rsidRPr="001D2F1D">
              <w:rPr>
                <w:color w:val="000000"/>
                <w:sz w:val="22"/>
                <w:szCs w:val="22"/>
                <w:lang w:val="en-US"/>
              </w:rPr>
              <w:t>част</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от</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петте</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цели</w:t>
            </w:r>
            <w:proofErr w:type="spellEnd"/>
            <w:r w:rsidR="001D2F1D" w:rsidRPr="001D2F1D">
              <w:rPr>
                <w:color w:val="000000"/>
                <w:sz w:val="22"/>
                <w:szCs w:val="22"/>
                <w:lang w:val="en-US"/>
              </w:rPr>
              <w:t xml:space="preserve"> на </w:t>
            </w:r>
            <w:proofErr w:type="spellStart"/>
            <w:r w:rsidR="001D2F1D" w:rsidRPr="001D2F1D">
              <w:rPr>
                <w:color w:val="000000"/>
                <w:sz w:val="22"/>
                <w:szCs w:val="22"/>
                <w:lang w:val="en-US"/>
              </w:rPr>
              <w:t>политиката</w:t>
            </w:r>
            <w:proofErr w:type="spellEnd"/>
            <w:r w:rsidR="001D2F1D" w:rsidRPr="001D2F1D">
              <w:rPr>
                <w:color w:val="000000"/>
                <w:sz w:val="22"/>
                <w:szCs w:val="22"/>
                <w:lang w:val="en-US"/>
              </w:rPr>
              <w:t xml:space="preserve"> за </w:t>
            </w:r>
            <w:proofErr w:type="spellStart"/>
            <w:r w:rsidR="001D2F1D" w:rsidRPr="001D2F1D">
              <w:rPr>
                <w:color w:val="000000"/>
                <w:sz w:val="22"/>
                <w:szCs w:val="22"/>
                <w:lang w:val="en-US"/>
              </w:rPr>
              <w:t>програмен</w:t>
            </w:r>
            <w:proofErr w:type="spellEnd"/>
            <w:r w:rsidR="001D2F1D" w:rsidRPr="001D2F1D">
              <w:rPr>
                <w:color w:val="000000"/>
                <w:sz w:val="22"/>
                <w:szCs w:val="22"/>
                <w:lang w:val="en-US"/>
              </w:rPr>
              <w:t xml:space="preserve"> </w:t>
            </w:r>
            <w:proofErr w:type="spellStart"/>
            <w:r w:rsidR="001D2F1D" w:rsidRPr="001D2F1D">
              <w:rPr>
                <w:color w:val="000000"/>
                <w:sz w:val="22"/>
                <w:szCs w:val="22"/>
                <w:lang w:val="en-US"/>
              </w:rPr>
              <w:t>период</w:t>
            </w:r>
            <w:proofErr w:type="spellEnd"/>
            <w:r w:rsidR="001D2F1D" w:rsidRPr="001D2F1D">
              <w:rPr>
                <w:color w:val="000000"/>
                <w:sz w:val="22"/>
                <w:szCs w:val="22"/>
                <w:lang w:val="en-US"/>
              </w:rPr>
              <w:t xml:space="preserve"> 2021-2027 г.</w:t>
            </w:r>
            <w:proofErr w:type="gramEnd"/>
          </w:p>
          <w:p w14:paraId="4A9BAFFC" w14:textId="1092EAFD" w:rsidR="00B0240F" w:rsidRDefault="008D5207" w:rsidP="007B5192">
            <w:pPr>
              <w:pStyle w:val="NormalWeb"/>
              <w:spacing w:before="0" w:beforeAutospacing="0" w:after="120" w:afterAutospacing="0"/>
              <w:jc w:val="both"/>
              <w:rPr>
                <w:color w:val="000000"/>
                <w:sz w:val="22"/>
                <w:szCs w:val="22"/>
              </w:rPr>
            </w:pPr>
            <w:r w:rsidRPr="008D5207">
              <w:rPr>
                <w:color w:val="000000"/>
                <w:sz w:val="22"/>
                <w:szCs w:val="22"/>
              </w:rPr>
              <w:t>Въпреки това мястото на СИП като ключов партньор в Програмата е изключите</w:t>
            </w:r>
            <w:r w:rsidR="000A2350">
              <w:rPr>
                <w:color w:val="000000"/>
                <w:sz w:val="22"/>
                <w:szCs w:val="22"/>
              </w:rPr>
              <w:t xml:space="preserve">лно важно </w:t>
            </w:r>
            <w:r w:rsidRPr="008D5207">
              <w:rPr>
                <w:color w:val="000000"/>
                <w:sz w:val="22"/>
                <w:szCs w:val="22"/>
              </w:rPr>
              <w:t xml:space="preserve">както в ТРГ при разработване на програмата, така и при изпълнението и наблюдението на програмата, чрез участието на СИП в КН в съответствие с чл. 6 и чл. 34 от проекта на Регламент за Общите разпоредби. </w:t>
            </w:r>
            <w:r w:rsidR="007B5192">
              <w:rPr>
                <w:color w:val="000000"/>
                <w:sz w:val="22"/>
                <w:szCs w:val="22"/>
              </w:rPr>
              <w:t>На базата на</w:t>
            </w:r>
            <w:r w:rsidRPr="008D5207">
              <w:rPr>
                <w:color w:val="000000"/>
                <w:sz w:val="22"/>
                <w:szCs w:val="22"/>
              </w:rPr>
              <w:t xml:space="preserve"> опита на СИП до момента както по ОПДУ, така и по другите програми (както като членове на КН, така и като </w:t>
            </w:r>
            <w:r w:rsidRPr="008D5207">
              <w:rPr>
                <w:color w:val="000000"/>
                <w:sz w:val="22"/>
                <w:szCs w:val="22"/>
              </w:rPr>
              <w:lastRenderedPageBreak/>
              <w:t>конкретни бенефициенти)</w:t>
            </w:r>
            <w:r w:rsidR="007B5192">
              <w:rPr>
                <w:color w:val="000000"/>
                <w:sz w:val="22"/>
                <w:szCs w:val="22"/>
              </w:rPr>
              <w:t>,</w:t>
            </w:r>
            <w:r w:rsidRPr="008D5207">
              <w:rPr>
                <w:color w:val="000000"/>
                <w:sz w:val="22"/>
                <w:szCs w:val="22"/>
              </w:rPr>
              <w:t xml:space="preserve"> разчитаме през новия програмен период да имат принос за извличане на максимална полза за гражданите и бизнеса от цифровата трансформация. В допълнение, следва да се има предвид, че в Програмата не са и няма да бъдат посочени конкретни допустими проекти/дейности</w:t>
            </w:r>
            <w:bookmarkStart w:id="0" w:name="_GoBack"/>
            <w:bookmarkEnd w:id="0"/>
            <w:r w:rsidRPr="008D5207">
              <w:rPr>
                <w:color w:val="000000"/>
                <w:sz w:val="22"/>
                <w:szCs w:val="22"/>
              </w:rPr>
              <w:t xml:space="preserve"> и бенефициенти, а само типове дейности. </w:t>
            </w:r>
            <w:r w:rsidR="00FF3C19">
              <w:rPr>
                <w:color w:val="000000"/>
                <w:sz w:val="22"/>
                <w:szCs w:val="22"/>
              </w:rPr>
              <w:t>В тази връзка се п</w:t>
            </w:r>
            <w:r w:rsidRPr="008D5207">
              <w:rPr>
                <w:color w:val="000000"/>
                <w:sz w:val="22"/>
                <w:szCs w:val="22"/>
              </w:rPr>
              <w:t xml:space="preserve">редвижда актуализиране на Стратегията за развитие на електронното управление в Република България и Пътната карта за нейното изпълнение, в която ще бъдат </w:t>
            </w:r>
            <w:proofErr w:type="spellStart"/>
            <w:r w:rsidRPr="008D5207">
              <w:rPr>
                <w:color w:val="000000"/>
                <w:sz w:val="22"/>
                <w:szCs w:val="22"/>
              </w:rPr>
              <w:t>приоритизирани</w:t>
            </w:r>
            <w:proofErr w:type="spellEnd"/>
            <w:r w:rsidRPr="008D5207">
              <w:rPr>
                <w:color w:val="000000"/>
                <w:sz w:val="22"/>
                <w:szCs w:val="22"/>
              </w:rPr>
              <w:t xml:space="preserve"> конкретните проекти/мерки, които ще се финансират по Програмата</w:t>
            </w:r>
            <w:r w:rsidR="00CA334B">
              <w:rPr>
                <w:color w:val="000000"/>
                <w:sz w:val="22"/>
                <w:szCs w:val="22"/>
              </w:rPr>
              <w:t xml:space="preserve">. </w:t>
            </w:r>
            <w:r w:rsidR="00CA334B" w:rsidRPr="00CA334B">
              <w:rPr>
                <w:color w:val="000000"/>
                <w:sz w:val="22"/>
                <w:szCs w:val="22"/>
              </w:rPr>
              <w:t>На етап изпълнение на Програмата и формулиране на конкретни процедури</w:t>
            </w:r>
            <w:r w:rsidR="00CA334B">
              <w:rPr>
                <w:color w:val="000000"/>
                <w:sz w:val="22"/>
                <w:szCs w:val="22"/>
              </w:rPr>
              <w:t xml:space="preserve"> СИП ще могат да се включат със своя опит и експертиза </w:t>
            </w:r>
            <w:r w:rsidR="00CA334B" w:rsidRPr="008D5207">
              <w:rPr>
                <w:color w:val="000000"/>
                <w:sz w:val="22"/>
                <w:szCs w:val="22"/>
              </w:rPr>
              <w:t xml:space="preserve">в планирането на максимално </w:t>
            </w:r>
            <w:r w:rsidR="00CA334B">
              <w:rPr>
                <w:color w:val="000000"/>
                <w:sz w:val="22"/>
                <w:szCs w:val="22"/>
              </w:rPr>
              <w:t xml:space="preserve">подходящи и </w:t>
            </w:r>
            <w:r w:rsidR="00CA334B" w:rsidRPr="008D5207">
              <w:rPr>
                <w:color w:val="000000"/>
                <w:sz w:val="22"/>
                <w:szCs w:val="22"/>
              </w:rPr>
              <w:t>ефективни операции от гледна точка на гражданите и бизнеса</w:t>
            </w:r>
            <w:r w:rsidR="00CA334B">
              <w:rPr>
                <w:color w:val="000000"/>
                <w:sz w:val="22"/>
                <w:szCs w:val="22"/>
              </w:rPr>
              <w:t>, чрез функциите им в КН на бъдещата програма.</w:t>
            </w:r>
          </w:p>
          <w:p w14:paraId="465447EA" w14:textId="411D8995" w:rsidR="004B65CF" w:rsidRDefault="002631C2" w:rsidP="00C92746">
            <w:pPr>
              <w:pStyle w:val="NormalWeb"/>
              <w:spacing w:before="0" w:beforeAutospacing="0" w:after="120" w:afterAutospacing="0"/>
              <w:jc w:val="both"/>
              <w:rPr>
                <w:color w:val="000000"/>
                <w:sz w:val="22"/>
                <w:szCs w:val="22"/>
              </w:rPr>
            </w:pPr>
            <w:r>
              <w:rPr>
                <w:color w:val="000000"/>
                <w:sz w:val="22"/>
                <w:szCs w:val="22"/>
              </w:rPr>
              <w:t xml:space="preserve">2., </w:t>
            </w:r>
            <w:r w:rsidR="007B5192">
              <w:rPr>
                <w:color w:val="000000"/>
                <w:sz w:val="22"/>
                <w:szCs w:val="22"/>
              </w:rPr>
              <w:t>3.</w:t>
            </w:r>
            <w:r w:rsidR="00C92746">
              <w:rPr>
                <w:color w:val="000000"/>
                <w:sz w:val="22"/>
                <w:szCs w:val="22"/>
              </w:rPr>
              <w:t>,</w:t>
            </w:r>
            <w:r>
              <w:rPr>
                <w:color w:val="000000"/>
                <w:sz w:val="22"/>
                <w:szCs w:val="22"/>
              </w:rPr>
              <w:t xml:space="preserve"> 4.</w:t>
            </w:r>
            <w:r w:rsidR="00C92746">
              <w:rPr>
                <w:color w:val="000000"/>
                <w:sz w:val="22"/>
                <w:szCs w:val="22"/>
              </w:rPr>
              <w:t xml:space="preserve"> </w:t>
            </w:r>
            <w:r w:rsidR="004B65CF" w:rsidRPr="004B65CF">
              <w:rPr>
                <w:color w:val="000000"/>
                <w:sz w:val="22"/>
                <w:szCs w:val="22"/>
              </w:rPr>
              <w:t xml:space="preserve">Приема се по принцип. В Програмата не са посочени конкретни допустими проекти/дейности и бенефициенти, а само типове дейности (стр. 20). На етап изпълнение на Програмата и формулиране на конкретни процедури е възможно </w:t>
            </w:r>
            <w:r w:rsidR="004B65CF">
              <w:rPr>
                <w:color w:val="000000"/>
                <w:sz w:val="22"/>
                <w:szCs w:val="22"/>
              </w:rPr>
              <w:t>СИП</w:t>
            </w:r>
            <w:r w:rsidR="004B65CF" w:rsidRPr="004B65CF">
              <w:rPr>
                <w:color w:val="000000"/>
                <w:sz w:val="22"/>
                <w:szCs w:val="22"/>
              </w:rPr>
              <w:t xml:space="preserve"> да участват с опит и експертиза в предвидените в Приоритетна ос 1 на Програмата типове дейности, свързани с провеждане на </w:t>
            </w:r>
            <w:r w:rsidR="004B65CF" w:rsidRPr="004B65CF">
              <w:rPr>
                <w:color w:val="000000"/>
                <w:sz w:val="22"/>
                <w:szCs w:val="22"/>
              </w:rPr>
              <w:lastRenderedPageBreak/>
              <w:t>широкомащабни информационни и образователни кампании за насърчаване на културата за споделяне на данни и повишаване ползването на електронните публични услуги.</w:t>
            </w:r>
          </w:p>
          <w:p w14:paraId="12EDFACD" w14:textId="0417230D" w:rsidR="008B39F8" w:rsidRDefault="008B39F8" w:rsidP="008B39F8">
            <w:pPr>
              <w:pStyle w:val="NormalWeb"/>
              <w:spacing w:before="0" w:beforeAutospacing="0" w:after="120" w:afterAutospacing="0"/>
              <w:jc w:val="both"/>
              <w:rPr>
                <w:color w:val="000000"/>
                <w:sz w:val="22"/>
                <w:szCs w:val="22"/>
              </w:rPr>
            </w:pPr>
            <w:r>
              <w:rPr>
                <w:color w:val="000000"/>
                <w:sz w:val="22"/>
                <w:szCs w:val="22"/>
              </w:rPr>
              <w:t>5. Не се приема, тъй като цифрова трансформация</w:t>
            </w:r>
            <w:r w:rsidR="004F0B51">
              <w:rPr>
                <w:color w:val="000000"/>
                <w:sz w:val="22"/>
                <w:szCs w:val="22"/>
                <w:lang w:val="en-US"/>
              </w:rPr>
              <w:t xml:space="preserve"> </w:t>
            </w:r>
            <w:proofErr w:type="spellStart"/>
            <w:r w:rsidR="004F0B51">
              <w:rPr>
                <w:color w:val="000000"/>
                <w:sz w:val="22"/>
                <w:szCs w:val="22"/>
                <w:lang w:val="en-US"/>
              </w:rPr>
              <w:t>освен</w:t>
            </w:r>
            <w:proofErr w:type="spellEnd"/>
            <w:r w:rsidR="004F0B51">
              <w:rPr>
                <w:color w:val="000000"/>
                <w:sz w:val="22"/>
                <w:szCs w:val="22"/>
                <w:lang w:val="en-US"/>
              </w:rPr>
              <w:t xml:space="preserve"> на </w:t>
            </w:r>
            <w:proofErr w:type="spellStart"/>
            <w:r w:rsidR="004F0B51">
              <w:rPr>
                <w:color w:val="000000"/>
                <w:sz w:val="22"/>
                <w:szCs w:val="22"/>
                <w:lang w:val="en-US"/>
              </w:rPr>
              <w:t>национално</w:t>
            </w:r>
            <w:proofErr w:type="spellEnd"/>
            <w:r w:rsidR="004F0B51">
              <w:rPr>
                <w:color w:val="000000"/>
                <w:sz w:val="22"/>
                <w:szCs w:val="22"/>
                <w:lang w:val="en-US"/>
              </w:rPr>
              <w:t xml:space="preserve"> и </w:t>
            </w:r>
            <w:proofErr w:type="spellStart"/>
            <w:r w:rsidR="004F0B51">
              <w:rPr>
                <w:color w:val="000000"/>
                <w:sz w:val="22"/>
                <w:szCs w:val="22"/>
                <w:lang w:val="en-US"/>
              </w:rPr>
              <w:t>хоризонтално</w:t>
            </w:r>
            <w:proofErr w:type="spellEnd"/>
            <w:r w:rsidR="004F0B51">
              <w:rPr>
                <w:color w:val="000000"/>
                <w:sz w:val="22"/>
                <w:szCs w:val="22"/>
                <w:lang w:val="en-US"/>
              </w:rPr>
              <w:t xml:space="preserve"> </w:t>
            </w:r>
            <w:proofErr w:type="spellStart"/>
            <w:r w:rsidR="004F0B51">
              <w:rPr>
                <w:color w:val="000000"/>
                <w:sz w:val="22"/>
                <w:szCs w:val="22"/>
                <w:lang w:val="en-US"/>
              </w:rPr>
              <w:t>ниво</w:t>
            </w:r>
            <w:proofErr w:type="spellEnd"/>
            <w:r w:rsidR="004F0B51">
              <w:rPr>
                <w:color w:val="000000"/>
                <w:sz w:val="22"/>
                <w:szCs w:val="22"/>
                <w:lang w:val="en-US"/>
              </w:rPr>
              <w:t xml:space="preserve">, </w:t>
            </w:r>
            <w:r>
              <w:rPr>
                <w:color w:val="000000"/>
                <w:sz w:val="22"/>
                <w:szCs w:val="22"/>
              </w:rPr>
              <w:t>ще се финансира и по други програми</w:t>
            </w:r>
            <w:r w:rsidR="004F0B51">
              <w:rPr>
                <w:color w:val="000000"/>
                <w:sz w:val="22"/>
                <w:szCs w:val="22"/>
                <w:lang w:val="en-US"/>
              </w:rPr>
              <w:t xml:space="preserve">, в </w:t>
            </w:r>
            <w:proofErr w:type="spellStart"/>
            <w:r w:rsidR="004F0B51">
              <w:rPr>
                <w:color w:val="000000"/>
                <w:sz w:val="22"/>
                <w:szCs w:val="22"/>
                <w:lang w:val="en-US"/>
              </w:rPr>
              <w:t>зависимост</w:t>
            </w:r>
            <w:proofErr w:type="spellEnd"/>
            <w:r w:rsidR="004F0B51">
              <w:rPr>
                <w:color w:val="000000"/>
                <w:sz w:val="22"/>
                <w:szCs w:val="22"/>
                <w:lang w:val="en-US"/>
              </w:rPr>
              <w:t xml:space="preserve"> </w:t>
            </w:r>
            <w:proofErr w:type="spellStart"/>
            <w:r w:rsidR="004F0B51">
              <w:rPr>
                <w:color w:val="000000"/>
                <w:sz w:val="22"/>
                <w:szCs w:val="22"/>
                <w:lang w:val="en-US"/>
              </w:rPr>
              <w:t>от</w:t>
            </w:r>
            <w:proofErr w:type="spellEnd"/>
            <w:r w:rsidR="004F0B51">
              <w:rPr>
                <w:color w:val="000000"/>
                <w:sz w:val="22"/>
                <w:szCs w:val="22"/>
                <w:lang w:val="en-US"/>
              </w:rPr>
              <w:t xml:space="preserve"> </w:t>
            </w:r>
            <w:proofErr w:type="spellStart"/>
            <w:r w:rsidR="004F0B51">
              <w:rPr>
                <w:color w:val="000000"/>
                <w:sz w:val="22"/>
                <w:szCs w:val="22"/>
                <w:lang w:val="en-US"/>
              </w:rPr>
              <w:t>сектора</w:t>
            </w:r>
            <w:proofErr w:type="spellEnd"/>
            <w:r>
              <w:rPr>
                <w:color w:val="000000"/>
                <w:sz w:val="22"/>
                <w:szCs w:val="22"/>
              </w:rPr>
              <w:t xml:space="preserve"> през следващия период, като ОПЕУТП ще бъде </w:t>
            </w:r>
            <w:r w:rsidR="009C6A46">
              <w:rPr>
                <w:color w:val="000000"/>
                <w:sz w:val="22"/>
                <w:szCs w:val="22"/>
              </w:rPr>
              <w:t>насочена</w:t>
            </w:r>
            <w:r>
              <w:rPr>
                <w:color w:val="000000"/>
                <w:sz w:val="22"/>
                <w:szCs w:val="22"/>
              </w:rPr>
              <w:t xml:space="preserve"> </w:t>
            </w:r>
            <w:r w:rsidR="009C6A46">
              <w:rPr>
                <w:color w:val="000000"/>
                <w:sz w:val="22"/>
                <w:szCs w:val="22"/>
              </w:rPr>
              <w:t xml:space="preserve">към подкрепа на дейности, свързани с цифровата трансформация на публичния сектор с оглед </w:t>
            </w:r>
            <w:r w:rsidRPr="008B39F8">
              <w:rPr>
                <w:color w:val="000000"/>
                <w:sz w:val="22"/>
                <w:szCs w:val="22"/>
              </w:rPr>
              <w:t>извличане на максимални ползи за обществото</w:t>
            </w:r>
            <w:r>
              <w:rPr>
                <w:color w:val="000000"/>
                <w:sz w:val="22"/>
                <w:szCs w:val="22"/>
              </w:rPr>
              <w:t>.</w:t>
            </w:r>
          </w:p>
          <w:p w14:paraId="6433D630" w14:textId="2D5DCC64" w:rsidR="008B39F8" w:rsidRDefault="008B39F8" w:rsidP="008B39F8">
            <w:pPr>
              <w:pStyle w:val="NormalWeb"/>
              <w:spacing w:before="0" w:beforeAutospacing="0" w:after="120" w:afterAutospacing="0"/>
              <w:jc w:val="both"/>
              <w:rPr>
                <w:color w:val="000000"/>
                <w:sz w:val="22"/>
                <w:szCs w:val="22"/>
              </w:rPr>
            </w:pPr>
            <w:r>
              <w:rPr>
                <w:color w:val="000000"/>
                <w:sz w:val="22"/>
                <w:szCs w:val="22"/>
              </w:rPr>
              <w:t xml:space="preserve">6. По отношение на информационните кампании се приема по принцип и е отразено в становището по т. 2, 3 и 4. Не се приема включването на нова примерна дейност на стр. 20. Конкретните дейности и мерки, както и отговорни институции, ще бъдат разписани в Пътната карта към Стратегията за електронно управление. В случай, че </w:t>
            </w:r>
            <w:r w:rsidR="00AF629F">
              <w:rPr>
                <w:color w:val="000000"/>
                <w:sz w:val="22"/>
                <w:szCs w:val="22"/>
              </w:rPr>
              <w:t>бъдат</w:t>
            </w:r>
            <w:r>
              <w:rPr>
                <w:color w:val="000000"/>
                <w:sz w:val="22"/>
                <w:szCs w:val="22"/>
              </w:rPr>
              <w:t xml:space="preserve"> идентифицирани нужди за разработване на конкретни </w:t>
            </w:r>
            <w:r w:rsidR="002531FF">
              <w:rPr>
                <w:color w:val="000000"/>
                <w:sz w:val="22"/>
                <w:szCs w:val="22"/>
              </w:rPr>
              <w:t>системи на електронното управление от СИП</w:t>
            </w:r>
            <w:r>
              <w:rPr>
                <w:color w:val="000000"/>
                <w:sz w:val="22"/>
                <w:szCs w:val="22"/>
              </w:rPr>
              <w:t xml:space="preserve">, </w:t>
            </w:r>
            <w:r w:rsidR="00AF629F">
              <w:rPr>
                <w:color w:val="000000"/>
                <w:sz w:val="22"/>
                <w:szCs w:val="22"/>
              </w:rPr>
              <w:t xml:space="preserve">в съответствие с тяхната специфична експертиза и функции, подобни мерки могат да бъдат включени в актуализираната Пътна карта. </w:t>
            </w:r>
            <w:r>
              <w:rPr>
                <w:color w:val="000000"/>
                <w:sz w:val="22"/>
                <w:szCs w:val="22"/>
              </w:rPr>
              <w:t>СИП не са специфична целева група на Програмата.</w:t>
            </w:r>
          </w:p>
          <w:p w14:paraId="3D1B1663" w14:textId="0D3D3887" w:rsidR="00C12F16" w:rsidRPr="00B72389" w:rsidRDefault="00C12F16" w:rsidP="00A91029">
            <w:pPr>
              <w:pStyle w:val="NormalWeb"/>
              <w:spacing w:before="0" w:beforeAutospacing="0" w:after="120" w:afterAutospacing="0"/>
              <w:jc w:val="both"/>
              <w:rPr>
                <w:color w:val="000000"/>
                <w:sz w:val="22"/>
                <w:szCs w:val="22"/>
              </w:rPr>
            </w:pPr>
          </w:p>
        </w:tc>
      </w:tr>
      <w:tr w:rsidR="005345BF" w:rsidRPr="000125BF" w14:paraId="07A8FC85" w14:textId="77777777" w:rsidTr="00A74CB5">
        <w:trPr>
          <w:trHeight w:val="841"/>
        </w:trPr>
        <w:tc>
          <w:tcPr>
            <w:tcW w:w="1271" w:type="dxa"/>
            <w:shd w:val="clear" w:color="auto" w:fill="auto"/>
          </w:tcPr>
          <w:p w14:paraId="78EC2A6B" w14:textId="4EBB46A4" w:rsidR="005345BF" w:rsidRPr="005345BF" w:rsidRDefault="005345BF" w:rsidP="006E7CF8">
            <w:pPr>
              <w:rPr>
                <w:rFonts w:ascii="Times New Roman" w:hAnsi="Times New Roman" w:cs="Times New Roman"/>
              </w:rPr>
            </w:pPr>
            <w:r w:rsidRPr="005345BF">
              <w:rPr>
                <w:rFonts w:ascii="Times New Roman" w:hAnsi="Times New Roman" w:cs="Times New Roman"/>
              </w:rPr>
              <w:lastRenderedPageBreak/>
              <w:t>30.03.2020 г.,</w:t>
            </w:r>
          </w:p>
          <w:p w14:paraId="42EE4E34" w14:textId="7506F453" w:rsidR="005345BF" w:rsidRPr="00AC7BFD" w:rsidRDefault="005345BF" w:rsidP="006E7CF8">
            <w:pPr>
              <w:rPr>
                <w:rFonts w:ascii="Times New Roman" w:hAnsi="Times New Roman" w:cs="Times New Roman"/>
                <w:highlight w:val="yellow"/>
              </w:rPr>
            </w:pPr>
            <w:proofErr w:type="spellStart"/>
            <w:r w:rsidRPr="005345BF">
              <w:rPr>
                <w:rFonts w:ascii="Times New Roman" w:hAnsi="Times New Roman" w:cs="Times New Roman"/>
              </w:rPr>
              <w:t>Ел.поща</w:t>
            </w:r>
            <w:proofErr w:type="spellEnd"/>
            <w:r>
              <w:rPr>
                <w:rStyle w:val="FootnoteReference"/>
                <w:rFonts w:ascii="Times New Roman" w:hAnsi="Times New Roman" w:cs="Times New Roman"/>
              </w:rPr>
              <w:footnoteReference w:id="1"/>
            </w:r>
          </w:p>
        </w:tc>
        <w:tc>
          <w:tcPr>
            <w:tcW w:w="1843" w:type="dxa"/>
          </w:tcPr>
          <w:p w14:paraId="4B3B01D9" w14:textId="647A7F4F" w:rsidR="005345BF" w:rsidRPr="00AC7BFD" w:rsidRDefault="005345BF" w:rsidP="00755AD8">
            <w:pPr>
              <w:jc w:val="both"/>
              <w:rPr>
                <w:rFonts w:ascii="Times New Roman" w:hAnsi="Times New Roman" w:cs="Times New Roman"/>
                <w:highlight w:val="yellow"/>
              </w:rPr>
            </w:pPr>
            <w:r w:rsidRPr="005345BF">
              <w:rPr>
                <w:rFonts w:ascii="Times New Roman" w:hAnsi="Times New Roman" w:cs="Times New Roman"/>
              </w:rPr>
              <w:t>Министерство на образованието и науката</w:t>
            </w:r>
          </w:p>
        </w:tc>
        <w:tc>
          <w:tcPr>
            <w:tcW w:w="7938" w:type="dxa"/>
          </w:tcPr>
          <w:p w14:paraId="31C2BD52" w14:textId="0F242465" w:rsidR="005345BF" w:rsidRPr="00AC7BFD" w:rsidRDefault="004776C9" w:rsidP="004776C9">
            <w:pPr>
              <w:spacing w:after="120"/>
              <w:jc w:val="both"/>
              <w:rPr>
                <w:rFonts w:ascii="Times New Roman" w:hAnsi="Times New Roman" w:cs="Times New Roman"/>
                <w:highlight w:val="yellow"/>
              </w:rPr>
            </w:pPr>
            <w:r w:rsidRPr="004776C9">
              <w:rPr>
                <w:rFonts w:ascii="Times New Roman" w:hAnsi="Times New Roman" w:cs="Times New Roman"/>
              </w:rPr>
              <w:t>Направени са техниче</w:t>
            </w:r>
            <w:r>
              <w:rPr>
                <w:rFonts w:ascii="Times New Roman" w:hAnsi="Times New Roman" w:cs="Times New Roman"/>
              </w:rPr>
              <w:t xml:space="preserve">ски предложения в стратегическа част на програмата </w:t>
            </w:r>
            <w:r w:rsidR="00733937">
              <w:rPr>
                <w:rFonts w:ascii="Times New Roman" w:hAnsi="Times New Roman" w:cs="Times New Roman"/>
              </w:rPr>
              <w:t xml:space="preserve">за </w:t>
            </w:r>
            <w:r>
              <w:rPr>
                <w:rFonts w:ascii="Times New Roman" w:hAnsi="Times New Roman" w:cs="Times New Roman"/>
              </w:rPr>
              <w:t xml:space="preserve">включване на „образованието“ като един от секторите, които </w:t>
            </w:r>
            <w:r w:rsidRPr="004776C9">
              <w:rPr>
                <w:rFonts w:ascii="Times New Roman" w:hAnsi="Times New Roman" w:cs="Times New Roman"/>
              </w:rPr>
              <w:t>все повече ще разчитат на цифровата инфраструктура и новите технологии</w:t>
            </w:r>
            <w:r>
              <w:rPr>
                <w:rFonts w:ascii="Times New Roman" w:hAnsi="Times New Roman" w:cs="Times New Roman"/>
              </w:rPr>
              <w:t xml:space="preserve">; допълнено е, че </w:t>
            </w:r>
            <w:r w:rsidRPr="004776C9">
              <w:rPr>
                <w:rFonts w:ascii="Times New Roman" w:hAnsi="Times New Roman" w:cs="Times New Roman"/>
              </w:rPr>
              <w:t xml:space="preserve"> </w:t>
            </w:r>
            <w:r>
              <w:rPr>
                <w:rFonts w:ascii="Times New Roman" w:hAnsi="Times New Roman" w:cs="Times New Roman"/>
              </w:rPr>
              <w:t xml:space="preserve">използването на </w:t>
            </w:r>
            <w:proofErr w:type="spellStart"/>
            <w:r>
              <w:rPr>
                <w:rFonts w:ascii="Times New Roman" w:hAnsi="Times New Roman" w:cs="Times New Roman"/>
                <w:lang w:val="en-US"/>
              </w:rPr>
              <w:t>RegiX</w:t>
            </w:r>
            <w:proofErr w:type="spellEnd"/>
            <w:r w:rsidRPr="008D5207">
              <w:rPr>
                <w:rFonts w:ascii="Times New Roman" w:hAnsi="Times New Roman" w:cs="Times New Roman"/>
                <w:lang w:val="ru-RU"/>
              </w:rPr>
              <w:t xml:space="preserve"> </w:t>
            </w:r>
            <w:r>
              <w:rPr>
                <w:rFonts w:ascii="Times New Roman" w:hAnsi="Times New Roman" w:cs="Times New Roman"/>
              </w:rPr>
              <w:t xml:space="preserve">води до икономия на </w:t>
            </w:r>
            <w:r w:rsidRPr="004776C9">
              <w:rPr>
                <w:rFonts w:ascii="Times New Roman" w:hAnsi="Times New Roman" w:cs="Times New Roman"/>
              </w:rPr>
              <w:t>времеви ресурс, което пра</w:t>
            </w:r>
            <w:r>
              <w:rPr>
                <w:rFonts w:ascii="Times New Roman" w:hAnsi="Times New Roman" w:cs="Times New Roman"/>
              </w:rPr>
              <w:t>ви администрацията</w:t>
            </w:r>
            <w:r w:rsidRPr="004776C9">
              <w:rPr>
                <w:rFonts w:ascii="Times New Roman" w:hAnsi="Times New Roman" w:cs="Times New Roman"/>
              </w:rPr>
              <w:t xml:space="preserve"> по-гъвкава</w:t>
            </w:r>
            <w:r w:rsidR="00733937">
              <w:rPr>
                <w:rFonts w:ascii="Times New Roman" w:hAnsi="Times New Roman" w:cs="Times New Roman"/>
              </w:rPr>
              <w:t>, както и</w:t>
            </w:r>
            <w:r w:rsidR="00724C20">
              <w:rPr>
                <w:rFonts w:ascii="Times New Roman" w:hAnsi="Times New Roman" w:cs="Times New Roman"/>
              </w:rPr>
              <w:t xml:space="preserve"> че цифровата свързаност е важен фактор, който влияе на начин, по който хората се образоват.</w:t>
            </w:r>
          </w:p>
        </w:tc>
        <w:tc>
          <w:tcPr>
            <w:tcW w:w="4111" w:type="dxa"/>
          </w:tcPr>
          <w:p w14:paraId="16E5C450" w14:textId="189BA824" w:rsidR="005345BF" w:rsidRPr="00B72389" w:rsidRDefault="00733937" w:rsidP="00C21C17">
            <w:pPr>
              <w:pStyle w:val="NormalWeb"/>
              <w:spacing w:before="0" w:beforeAutospacing="0" w:after="120" w:afterAutospacing="0"/>
              <w:jc w:val="both"/>
              <w:rPr>
                <w:color w:val="000000"/>
                <w:sz w:val="22"/>
                <w:szCs w:val="22"/>
              </w:rPr>
            </w:pPr>
            <w:r>
              <w:rPr>
                <w:color w:val="000000"/>
                <w:sz w:val="22"/>
                <w:szCs w:val="22"/>
              </w:rPr>
              <w:t>Приема се.</w:t>
            </w:r>
            <w:r w:rsidR="009C59C8">
              <w:rPr>
                <w:color w:val="000000"/>
                <w:sz w:val="22"/>
                <w:szCs w:val="22"/>
              </w:rPr>
              <w:t xml:space="preserve"> Отразено е.</w:t>
            </w:r>
          </w:p>
        </w:tc>
      </w:tr>
    </w:tbl>
    <w:p w14:paraId="4486E76D" w14:textId="3C3C6FBB" w:rsidR="00F2294B" w:rsidRPr="000125BF" w:rsidRDefault="00F2294B" w:rsidP="00F2294B"/>
    <w:sectPr w:rsidR="00F2294B" w:rsidRPr="000125BF" w:rsidSect="00AC5129">
      <w:footerReference w:type="default" r:id="rId8"/>
      <w:pgSz w:w="16838" w:h="11906" w:orient="landscape"/>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FAB65" w14:textId="77777777" w:rsidR="0066320C" w:rsidRDefault="0066320C" w:rsidP="0066320C">
      <w:pPr>
        <w:spacing w:after="0" w:line="240" w:lineRule="auto"/>
      </w:pPr>
      <w:r>
        <w:separator/>
      </w:r>
    </w:p>
  </w:endnote>
  <w:endnote w:type="continuationSeparator" w:id="0">
    <w:p w14:paraId="3C55BEC9" w14:textId="77777777" w:rsidR="0066320C" w:rsidRDefault="0066320C" w:rsidP="0066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72082"/>
      <w:docPartObj>
        <w:docPartGallery w:val="Page Numbers (Bottom of Page)"/>
        <w:docPartUnique/>
      </w:docPartObj>
    </w:sdtPr>
    <w:sdtEndPr>
      <w:rPr>
        <w:noProof/>
      </w:rPr>
    </w:sdtEndPr>
    <w:sdtContent>
      <w:p w14:paraId="5F923F6B" w14:textId="33DC0D2E" w:rsidR="0066320C" w:rsidRDefault="0066320C">
        <w:pPr>
          <w:pStyle w:val="Footer"/>
          <w:jc w:val="right"/>
        </w:pPr>
        <w:r>
          <w:fldChar w:fldCharType="begin"/>
        </w:r>
        <w:r>
          <w:instrText xml:space="preserve"> PAGE   \* MERGEFORMAT </w:instrText>
        </w:r>
        <w:r>
          <w:fldChar w:fldCharType="separate"/>
        </w:r>
        <w:r w:rsidR="001D2F1D">
          <w:rPr>
            <w:noProof/>
          </w:rPr>
          <w:t>15</w:t>
        </w:r>
        <w:r>
          <w:rPr>
            <w:noProof/>
          </w:rPr>
          <w:fldChar w:fldCharType="end"/>
        </w:r>
      </w:p>
    </w:sdtContent>
  </w:sdt>
  <w:p w14:paraId="0109C7A6" w14:textId="77777777" w:rsidR="0066320C" w:rsidRDefault="00663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CD64" w14:textId="77777777" w:rsidR="0066320C" w:rsidRDefault="0066320C" w:rsidP="0066320C">
      <w:pPr>
        <w:spacing w:after="0" w:line="240" w:lineRule="auto"/>
      </w:pPr>
      <w:r>
        <w:separator/>
      </w:r>
    </w:p>
  </w:footnote>
  <w:footnote w:type="continuationSeparator" w:id="0">
    <w:p w14:paraId="1B5C90DD" w14:textId="77777777" w:rsidR="0066320C" w:rsidRDefault="0066320C" w:rsidP="0066320C">
      <w:pPr>
        <w:spacing w:after="0" w:line="240" w:lineRule="auto"/>
      </w:pPr>
      <w:r>
        <w:continuationSeparator/>
      </w:r>
    </w:p>
  </w:footnote>
  <w:footnote w:id="1">
    <w:p w14:paraId="26D804C5" w14:textId="3392F918" w:rsidR="005345BF" w:rsidRDefault="005345BF">
      <w:pPr>
        <w:pStyle w:val="FootnoteText"/>
      </w:pPr>
      <w:r>
        <w:rPr>
          <w:rStyle w:val="FootnoteReference"/>
        </w:rPr>
        <w:footnoteRef/>
      </w:r>
      <w:r>
        <w:t xml:space="preserve"> Становището е получено след изтичането на крайния срок за представяне на становища от членовете на ТРГ за ОПЕУТП.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BA0"/>
    <w:multiLevelType w:val="hybridMultilevel"/>
    <w:tmpl w:val="9B4672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534201"/>
    <w:multiLevelType w:val="hybridMultilevel"/>
    <w:tmpl w:val="9F1805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8F13EB"/>
    <w:multiLevelType w:val="hybridMultilevel"/>
    <w:tmpl w:val="53347648"/>
    <w:lvl w:ilvl="0" w:tplc="38323352">
      <w:start w:val="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2F57867"/>
    <w:multiLevelType w:val="hybridMultilevel"/>
    <w:tmpl w:val="F2DEC2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88854BD"/>
    <w:multiLevelType w:val="hybridMultilevel"/>
    <w:tmpl w:val="0A5E217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28C36D7E"/>
    <w:multiLevelType w:val="hybridMultilevel"/>
    <w:tmpl w:val="53FC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32656"/>
    <w:multiLevelType w:val="multilevel"/>
    <w:tmpl w:val="C3E6F92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6B2966"/>
    <w:multiLevelType w:val="hybridMultilevel"/>
    <w:tmpl w:val="075230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4EB0A83"/>
    <w:multiLevelType w:val="hybridMultilevel"/>
    <w:tmpl w:val="EEEA2FD0"/>
    <w:lvl w:ilvl="0" w:tplc="3AA2BBE0">
      <w:start w:val="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AE720C1"/>
    <w:multiLevelType w:val="hybridMultilevel"/>
    <w:tmpl w:val="9C5863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B7E4A45"/>
    <w:multiLevelType w:val="hybridMultilevel"/>
    <w:tmpl w:val="64022144"/>
    <w:lvl w:ilvl="0" w:tplc="77CC46B2">
      <w:start w:val="1"/>
      <w:numFmt w:val="decimal"/>
      <w:lvlText w:val="%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39943AD"/>
    <w:multiLevelType w:val="hybridMultilevel"/>
    <w:tmpl w:val="2CF63A5E"/>
    <w:lvl w:ilvl="0" w:tplc="ACEAFEC8">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5372B79"/>
    <w:multiLevelType w:val="hybridMultilevel"/>
    <w:tmpl w:val="FA02A0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723D5CC3"/>
    <w:multiLevelType w:val="hybridMultilevel"/>
    <w:tmpl w:val="C9123AAE"/>
    <w:lvl w:ilvl="0" w:tplc="04020001">
      <w:start w:val="1"/>
      <w:numFmt w:val="bullet"/>
      <w:lvlText w:val=""/>
      <w:lvlJc w:val="left"/>
      <w:pPr>
        <w:ind w:left="1724" w:hanging="360"/>
      </w:pPr>
      <w:rPr>
        <w:rFonts w:ascii="Symbol" w:hAnsi="Symbol" w:hint="default"/>
      </w:rPr>
    </w:lvl>
    <w:lvl w:ilvl="1" w:tplc="04020003" w:tentative="1">
      <w:start w:val="1"/>
      <w:numFmt w:val="bullet"/>
      <w:lvlText w:val="o"/>
      <w:lvlJc w:val="left"/>
      <w:pPr>
        <w:ind w:left="2444" w:hanging="360"/>
      </w:pPr>
      <w:rPr>
        <w:rFonts w:ascii="Courier New" w:hAnsi="Courier New" w:cs="Courier New" w:hint="default"/>
      </w:rPr>
    </w:lvl>
    <w:lvl w:ilvl="2" w:tplc="04020005" w:tentative="1">
      <w:start w:val="1"/>
      <w:numFmt w:val="bullet"/>
      <w:lvlText w:val=""/>
      <w:lvlJc w:val="left"/>
      <w:pPr>
        <w:ind w:left="3164" w:hanging="360"/>
      </w:pPr>
      <w:rPr>
        <w:rFonts w:ascii="Wingdings" w:hAnsi="Wingdings" w:hint="default"/>
      </w:rPr>
    </w:lvl>
    <w:lvl w:ilvl="3" w:tplc="04020001" w:tentative="1">
      <w:start w:val="1"/>
      <w:numFmt w:val="bullet"/>
      <w:lvlText w:val=""/>
      <w:lvlJc w:val="left"/>
      <w:pPr>
        <w:ind w:left="3884" w:hanging="360"/>
      </w:pPr>
      <w:rPr>
        <w:rFonts w:ascii="Symbol" w:hAnsi="Symbol" w:hint="default"/>
      </w:rPr>
    </w:lvl>
    <w:lvl w:ilvl="4" w:tplc="04020003" w:tentative="1">
      <w:start w:val="1"/>
      <w:numFmt w:val="bullet"/>
      <w:lvlText w:val="o"/>
      <w:lvlJc w:val="left"/>
      <w:pPr>
        <w:ind w:left="4604" w:hanging="360"/>
      </w:pPr>
      <w:rPr>
        <w:rFonts w:ascii="Courier New" w:hAnsi="Courier New" w:cs="Courier New" w:hint="default"/>
      </w:rPr>
    </w:lvl>
    <w:lvl w:ilvl="5" w:tplc="04020005" w:tentative="1">
      <w:start w:val="1"/>
      <w:numFmt w:val="bullet"/>
      <w:lvlText w:val=""/>
      <w:lvlJc w:val="left"/>
      <w:pPr>
        <w:ind w:left="5324" w:hanging="360"/>
      </w:pPr>
      <w:rPr>
        <w:rFonts w:ascii="Wingdings" w:hAnsi="Wingdings" w:hint="default"/>
      </w:rPr>
    </w:lvl>
    <w:lvl w:ilvl="6" w:tplc="04020001" w:tentative="1">
      <w:start w:val="1"/>
      <w:numFmt w:val="bullet"/>
      <w:lvlText w:val=""/>
      <w:lvlJc w:val="left"/>
      <w:pPr>
        <w:ind w:left="6044" w:hanging="360"/>
      </w:pPr>
      <w:rPr>
        <w:rFonts w:ascii="Symbol" w:hAnsi="Symbol" w:hint="default"/>
      </w:rPr>
    </w:lvl>
    <w:lvl w:ilvl="7" w:tplc="04020003" w:tentative="1">
      <w:start w:val="1"/>
      <w:numFmt w:val="bullet"/>
      <w:lvlText w:val="o"/>
      <w:lvlJc w:val="left"/>
      <w:pPr>
        <w:ind w:left="6764" w:hanging="360"/>
      </w:pPr>
      <w:rPr>
        <w:rFonts w:ascii="Courier New" w:hAnsi="Courier New" w:cs="Courier New" w:hint="default"/>
      </w:rPr>
    </w:lvl>
    <w:lvl w:ilvl="8" w:tplc="04020005" w:tentative="1">
      <w:start w:val="1"/>
      <w:numFmt w:val="bullet"/>
      <w:lvlText w:val=""/>
      <w:lvlJc w:val="left"/>
      <w:pPr>
        <w:ind w:left="7484" w:hanging="360"/>
      </w:pPr>
      <w:rPr>
        <w:rFonts w:ascii="Wingdings" w:hAnsi="Wingdings" w:hint="default"/>
      </w:rPr>
    </w:lvl>
  </w:abstractNum>
  <w:abstractNum w:abstractNumId="15" w15:restartNumberingAfterBreak="0">
    <w:nsid w:val="75FB70D9"/>
    <w:multiLevelType w:val="hybridMultilevel"/>
    <w:tmpl w:val="45E27684"/>
    <w:lvl w:ilvl="0" w:tplc="DB723CEA">
      <w:start w:val="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FE25B68"/>
    <w:multiLevelType w:val="multilevel"/>
    <w:tmpl w:val="9D36C800"/>
    <w:lvl w:ilvl="0">
      <w:start w:val="1"/>
      <w:numFmt w:val="decimal"/>
      <w:lvlText w:val="%1."/>
      <w:lvlJc w:val="left"/>
      <w:pPr>
        <w:ind w:left="1636"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7"/>
  </w:num>
  <w:num w:numId="2">
    <w:abstractNumId w:val="8"/>
  </w:num>
  <w:num w:numId="3">
    <w:abstractNumId w:val="3"/>
  </w:num>
  <w:num w:numId="4">
    <w:abstractNumId w:val="1"/>
  </w:num>
  <w:num w:numId="5">
    <w:abstractNumId w:val="0"/>
  </w:num>
  <w:num w:numId="6">
    <w:abstractNumId w:val="14"/>
  </w:num>
  <w:num w:numId="7">
    <w:abstractNumId w:val="16"/>
  </w:num>
  <w:num w:numId="8">
    <w:abstractNumId w:val="11"/>
  </w:num>
  <w:num w:numId="9">
    <w:abstractNumId w:val="9"/>
  </w:num>
  <w:num w:numId="10">
    <w:abstractNumId w:val="5"/>
  </w:num>
  <w:num w:numId="11">
    <w:abstractNumId w:val="4"/>
  </w:num>
  <w:num w:numId="12">
    <w:abstractNumId w:val="10"/>
  </w:num>
  <w:num w:numId="13">
    <w:abstractNumId w:val="12"/>
  </w:num>
  <w:num w:numId="14">
    <w:abstractNumId w:val="13"/>
  </w:num>
  <w:num w:numId="15">
    <w:abstractNumId w:val="6"/>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4B"/>
    <w:rsid w:val="000125BF"/>
    <w:rsid w:val="000169DA"/>
    <w:rsid w:val="0002260F"/>
    <w:rsid w:val="00027D14"/>
    <w:rsid w:val="00040188"/>
    <w:rsid w:val="00050593"/>
    <w:rsid w:val="00052E85"/>
    <w:rsid w:val="0005452C"/>
    <w:rsid w:val="00055601"/>
    <w:rsid w:val="00071382"/>
    <w:rsid w:val="000835E9"/>
    <w:rsid w:val="00087297"/>
    <w:rsid w:val="00087E20"/>
    <w:rsid w:val="00094AFC"/>
    <w:rsid w:val="000974AD"/>
    <w:rsid w:val="000A2350"/>
    <w:rsid w:val="000B100A"/>
    <w:rsid w:val="000D3F8A"/>
    <w:rsid w:val="000D57F4"/>
    <w:rsid w:val="000E565A"/>
    <w:rsid w:val="000F593F"/>
    <w:rsid w:val="000F5E64"/>
    <w:rsid w:val="000F6D3B"/>
    <w:rsid w:val="00153F37"/>
    <w:rsid w:val="00154DE6"/>
    <w:rsid w:val="00157C43"/>
    <w:rsid w:val="00187869"/>
    <w:rsid w:val="001A4066"/>
    <w:rsid w:val="001A4FB7"/>
    <w:rsid w:val="001B79A5"/>
    <w:rsid w:val="001C7FDF"/>
    <w:rsid w:val="001D2F1D"/>
    <w:rsid w:val="001D4582"/>
    <w:rsid w:val="001E1724"/>
    <w:rsid w:val="001F7452"/>
    <w:rsid w:val="00201F0C"/>
    <w:rsid w:val="0020277C"/>
    <w:rsid w:val="0021195D"/>
    <w:rsid w:val="00213B1D"/>
    <w:rsid w:val="00220804"/>
    <w:rsid w:val="00226053"/>
    <w:rsid w:val="0023070D"/>
    <w:rsid w:val="0023540E"/>
    <w:rsid w:val="0023588F"/>
    <w:rsid w:val="002361FD"/>
    <w:rsid w:val="002408D7"/>
    <w:rsid w:val="00252189"/>
    <w:rsid w:val="002531FF"/>
    <w:rsid w:val="002559F5"/>
    <w:rsid w:val="00260F74"/>
    <w:rsid w:val="002631C2"/>
    <w:rsid w:val="002640F5"/>
    <w:rsid w:val="00282170"/>
    <w:rsid w:val="00290342"/>
    <w:rsid w:val="0029148A"/>
    <w:rsid w:val="002925B9"/>
    <w:rsid w:val="00297F07"/>
    <w:rsid w:val="002D677E"/>
    <w:rsid w:val="002D6CE2"/>
    <w:rsid w:val="002E50E8"/>
    <w:rsid w:val="003211C4"/>
    <w:rsid w:val="003272E2"/>
    <w:rsid w:val="003407EC"/>
    <w:rsid w:val="00342231"/>
    <w:rsid w:val="003431EF"/>
    <w:rsid w:val="00354E49"/>
    <w:rsid w:val="00360673"/>
    <w:rsid w:val="003734D8"/>
    <w:rsid w:val="00374BA6"/>
    <w:rsid w:val="003A18D1"/>
    <w:rsid w:val="003B0C88"/>
    <w:rsid w:val="003B7D4D"/>
    <w:rsid w:val="003F1EDB"/>
    <w:rsid w:val="003F32EB"/>
    <w:rsid w:val="0040286F"/>
    <w:rsid w:val="00414582"/>
    <w:rsid w:val="004267F1"/>
    <w:rsid w:val="00435AB0"/>
    <w:rsid w:val="00442F40"/>
    <w:rsid w:val="004469CC"/>
    <w:rsid w:val="00454F8D"/>
    <w:rsid w:val="0045711D"/>
    <w:rsid w:val="004718D4"/>
    <w:rsid w:val="004776C9"/>
    <w:rsid w:val="004A0F22"/>
    <w:rsid w:val="004B65CF"/>
    <w:rsid w:val="004C10D7"/>
    <w:rsid w:val="004C431B"/>
    <w:rsid w:val="004C4DD2"/>
    <w:rsid w:val="004C57FD"/>
    <w:rsid w:val="004D16B5"/>
    <w:rsid w:val="004D670C"/>
    <w:rsid w:val="004E1BBF"/>
    <w:rsid w:val="004E77CA"/>
    <w:rsid w:val="004F0128"/>
    <w:rsid w:val="004F0B51"/>
    <w:rsid w:val="004F33BE"/>
    <w:rsid w:val="005066CC"/>
    <w:rsid w:val="005345BF"/>
    <w:rsid w:val="00534C64"/>
    <w:rsid w:val="00535E0C"/>
    <w:rsid w:val="00541EF1"/>
    <w:rsid w:val="0054336C"/>
    <w:rsid w:val="005519CB"/>
    <w:rsid w:val="0055760A"/>
    <w:rsid w:val="005755D8"/>
    <w:rsid w:val="00577444"/>
    <w:rsid w:val="0058481F"/>
    <w:rsid w:val="005A2D82"/>
    <w:rsid w:val="005C7A19"/>
    <w:rsid w:val="005D2420"/>
    <w:rsid w:val="005D26D3"/>
    <w:rsid w:val="005F1728"/>
    <w:rsid w:val="00602781"/>
    <w:rsid w:val="00605F53"/>
    <w:rsid w:val="00615575"/>
    <w:rsid w:val="00622634"/>
    <w:rsid w:val="006236CA"/>
    <w:rsid w:val="0063364D"/>
    <w:rsid w:val="00656228"/>
    <w:rsid w:val="006576BB"/>
    <w:rsid w:val="0066320C"/>
    <w:rsid w:val="006662BE"/>
    <w:rsid w:val="00667BDA"/>
    <w:rsid w:val="006A0EC8"/>
    <w:rsid w:val="006A198F"/>
    <w:rsid w:val="006B2C5F"/>
    <w:rsid w:val="006B3C09"/>
    <w:rsid w:val="006B48E1"/>
    <w:rsid w:val="006C4AC2"/>
    <w:rsid w:val="006D2EB8"/>
    <w:rsid w:val="006D38EC"/>
    <w:rsid w:val="006D64A0"/>
    <w:rsid w:val="006E7CF8"/>
    <w:rsid w:val="006F764C"/>
    <w:rsid w:val="00707D64"/>
    <w:rsid w:val="00720660"/>
    <w:rsid w:val="00724C20"/>
    <w:rsid w:val="00733937"/>
    <w:rsid w:val="007372DC"/>
    <w:rsid w:val="0075459C"/>
    <w:rsid w:val="00755AD8"/>
    <w:rsid w:val="00756CA6"/>
    <w:rsid w:val="00766F8F"/>
    <w:rsid w:val="00773F52"/>
    <w:rsid w:val="00783894"/>
    <w:rsid w:val="00785E0D"/>
    <w:rsid w:val="007A1F5F"/>
    <w:rsid w:val="007B41B8"/>
    <w:rsid w:val="007B5192"/>
    <w:rsid w:val="007D2ECA"/>
    <w:rsid w:val="00804764"/>
    <w:rsid w:val="00804D7A"/>
    <w:rsid w:val="00823F94"/>
    <w:rsid w:val="008255EE"/>
    <w:rsid w:val="00827F9C"/>
    <w:rsid w:val="00841130"/>
    <w:rsid w:val="00861760"/>
    <w:rsid w:val="00875030"/>
    <w:rsid w:val="00882120"/>
    <w:rsid w:val="008830F2"/>
    <w:rsid w:val="0088503E"/>
    <w:rsid w:val="008B12F8"/>
    <w:rsid w:val="008B39F8"/>
    <w:rsid w:val="008D5207"/>
    <w:rsid w:val="008E05AC"/>
    <w:rsid w:val="008E292D"/>
    <w:rsid w:val="008E40C6"/>
    <w:rsid w:val="008E6695"/>
    <w:rsid w:val="0091028C"/>
    <w:rsid w:val="00910633"/>
    <w:rsid w:val="009203F6"/>
    <w:rsid w:val="00921575"/>
    <w:rsid w:val="00934CFA"/>
    <w:rsid w:val="0094176A"/>
    <w:rsid w:val="00943DEB"/>
    <w:rsid w:val="00953C06"/>
    <w:rsid w:val="00955495"/>
    <w:rsid w:val="00961597"/>
    <w:rsid w:val="00981039"/>
    <w:rsid w:val="009834DE"/>
    <w:rsid w:val="009A5E0E"/>
    <w:rsid w:val="009C59C8"/>
    <w:rsid w:val="009C6A46"/>
    <w:rsid w:val="009C7BC5"/>
    <w:rsid w:val="009E0899"/>
    <w:rsid w:val="009E1958"/>
    <w:rsid w:val="009E6DEB"/>
    <w:rsid w:val="009F66EB"/>
    <w:rsid w:val="00A213D1"/>
    <w:rsid w:val="00A33A32"/>
    <w:rsid w:val="00A36ED9"/>
    <w:rsid w:val="00A413D3"/>
    <w:rsid w:val="00A423C8"/>
    <w:rsid w:val="00A42EF1"/>
    <w:rsid w:val="00A43D5A"/>
    <w:rsid w:val="00A54505"/>
    <w:rsid w:val="00A56B43"/>
    <w:rsid w:val="00A64FC2"/>
    <w:rsid w:val="00A653E6"/>
    <w:rsid w:val="00A73014"/>
    <w:rsid w:val="00A74CB5"/>
    <w:rsid w:val="00A76891"/>
    <w:rsid w:val="00A85E92"/>
    <w:rsid w:val="00A87103"/>
    <w:rsid w:val="00A91029"/>
    <w:rsid w:val="00AA568D"/>
    <w:rsid w:val="00AB1A58"/>
    <w:rsid w:val="00AC5129"/>
    <w:rsid w:val="00AC7BFD"/>
    <w:rsid w:val="00AD38B3"/>
    <w:rsid w:val="00AD4CA7"/>
    <w:rsid w:val="00AD7532"/>
    <w:rsid w:val="00AE2C70"/>
    <w:rsid w:val="00AE63E8"/>
    <w:rsid w:val="00AE6403"/>
    <w:rsid w:val="00AF629F"/>
    <w:rsid w:val="00B01450"/>
    <w:rsid w:val="00B0145D"/>
    <w:rsid w:val="00B0240F"/>
    <w:rsid w:val="00B07573"/>
    <w:rsid w:val="00B102F9"/>
    <w:rsid w:val="00B11F89"/>
    <w:rsid w:val="00B144E1"/>
    <w:rsid w:val="00B20F32"/>
    <w:rsid w:val="00B320F2"/>
    <w:rsid w:val="00B458C7"/>
    <w:rsid w:val="00B50990"/>
    <w:rsid w:val="00B5760C"/>
    <w:rsid w:val="00B61C3C"/>
    <w:rsid w:val="00B71998"/>
    <w:rsid w:val="00B72389"/>
    <w:rsid w:val="00B75208"/>
    <w:rsid w:val="00B86360"/>
    <w:rsid w:val="00B92FD6"/>
    <w:rsid w:val="00B94F2E"/>
    <w:rsid w:val="00B97654"/>
    <w:rsid w:val="00BA1200"/>
    <w:rsid w:val="00BA3406"/>
    <w:rsid w:val="00BA355F"/>
    <w:rsid w:val="00BA7498"/>
    <w:rsid w:val="00BC536F"/>
    <w:rsid w:val="00BD0CE4"/>
    <w:rsid w:val="00BD2F5E"/>
    <w:rsid w:val="00BF1290"/>
    <w:rsid w:val="00BF4A9A"/>
    <w:rsid w:val="00C12F16"/>
    <w:rsid w:val="00C13218"/>
    <w:rsid w:val="00C21C17"/>
    <w:rsid w:val="00C234A6"/>
    <w:rsid w:val="00C3118C"/>
    <w:rsid w:val="00C3685A"/>
    <w:rsid w:val="00C525B0"/>
    <w:rsid w:val="00C64BAD"/>
    <w:rsid w:val="00C67DC7"/>
    <w:rsid w:val="00C76FE8"/>
    <w:rsid w:val="00C82A39"/>
    <w:rsid w:val="00C92746"/>
    <w:rsid w:val="00C96221"/>
    <w:rsid w:val="00C97AF0"/>
    <w:rsid w:val="00CA334B"/>
    <w:rsid w:val="00CA3B9F"/>
    <w:rsid w:val="00CA6962"/>
    <w:rsid w:val="00CB5E2B"/>
    <w:rsid w:val="00CC0849"/>
    <w:rsid w:val="00CC4CF0"/>
    <w:rsid w:val="00CD0B40"/>
    <w:rsid w:val="00CD73DD"/>
    <w:rsid w:val="00CE6376"/>
    <w:rsid w:val="00D00C11"/>
    <w:rsid w:val="00D02454"/>
    <w:rsid w:val="00D07854"/>
    <w:rsid w:val="00D237A6"/>
    <w:rsid w:val="00D24933"/>
    <w:rsid w:val="00D25A17"/>
    <w:rsid w:val="00D2795C"/>
    <w:rsid w:val="00D32AA2"/>
    <w:rsid w:val="00D330B3"/>
    <w:rsid w:val="00D36701"/>
    <w:rsid w:val="00D554C6"/>
    <w:rsid w:val="00D5762F"/>
    <w:rsid w:val="00D62D6A"/>
    <w:rsid w:val="00D67CAA"/>
    <w:rsid w:val="00D74076"/>
    <w:rsid w:val="00D81A98"/>
    <w:rsid w:val="00DC30E5"/>
    <w:rsid w:val="00DE5098"/>
    <w:rsid w:val="00DF1667"/>
    <w:rsid w:val="00DF6F7F"/>
    <w:rsid w:val="00E02C67"/>
    <w:rsid w:val="00E102BB"/>
    <w:rsid w:val="00E1158E"/>
    <w:rsid w:val="00E21BFF"/>
    <w:rsid w:val="00E2250D"/>
    <w:rsid w:val="00E231A5"/>
    <w:rsid w:val="00E322DD"/>
    <w:rsid w:val="00E537C3"/>
    <w:rsid w:val="00E562E2"/>
    <w:rsid w:val="00E62A5B"/>
    <w:rsid w:val="00E72C6E"/>
    <w:rsid w:val="00E864B6"/>
    <w:rsid w:val="00E951CC"/>
    <w:rsid w:val="00EB2B57"/>
    <w:rsid w:val="00EB70F7"/>
    <w:rsid w:val="00EC4279"/>
    <w:rsid w:val="00ED773E"/>
    <w:rsid w:val="00EF680A"/>
    <w:rsid w:val="00EF7EE8"/>
    <w:rsid w:val="00F0017C"/>
    <w:rsid w:val="00F05891"/>
    <w:rsid w:val="00F05FD1"/>
    <w:rsid w:val="00F10BC6"/>
    <w:rsid w:val="00F2294B"/>
    <w:rsid w:val="00F231B6"/>
    <w:rsid w:val="00F23268"/>
    <w:rsid w:val="00F26608"/>
    <w:rsid w:val="00F427DB"/>
    <w:rsid w:val="00F4333A"/>
    <w:rsid w:val="00F44CF1"/>
    <w:rsid w:val="00F52BBA"/>
    <w:rsid w:val="00F67047"/>
    <w:rsid w:val="00F95F9E"/>
    <w:rsid w:val="00FB3897"/>
    <w:rsid w:val="00FD506D"/>
    <w:rsid w:val="00FF1135"/>
    <w:rsid w:val="00FF3C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68DB"/>
  <w15:chartTrackingRefBased/>
  <w15:docId w15:val="{E045E53E-5379-4DAF-B9F7-AF978D87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A19"/>
  </w:style>
  <w:style w:type="paragraph" w:styleId="Heading1">
    <w:name w:val="heading 1"/>
    <w:basedOn w:val="Normal"/>
    <w:next w:val="Normal"/>
    <w:link w:val="Heading1Char"/>
    <w:uiPriority w:val="9"/>
    <w:qFormat/>
    <w:rsid w:val="00953C06"/>
    <w:pPr>
      <w:keepNext/>
      <w:numPr>
        <w:numId w:val="15"/>
      </w:numPr>
      <w:spacing w:before="240" w:after="240" w:line="240" w:lineRule="auto"/>
      <w:jc w:val="both"/>
      <w:outlineLvl w:val="0"/>
    </w:pPr>
    <w:rPr>
      <w:rFonts w:ascii="Times New Roman" w:eastAsia="Times New Roman" w:hAnsi="Times New Roman" w:cs="Times New Roman"/>
      <w:b/>
      <w:smallCaps/>
      <w:sz w:val="24"/>
      <w:szCs w:val="20"/>
      <w:lang w:eastAsia="bg-BG" w:bidi="bg-BG"/>
    </w:rPr>
  </w:style>
  <w:style w:type="paragraph" w:styleId="Heading2">
    <w:name w:val="heading 2"/>
    <w:basedOn w:val="Normal"/>
    <w:next w:val="Normal"/>
    <w:link w:val="Heading2Char"/>
    <w:uiPriority w:val="9"/>
    <w:qFormat/>
    <w:rsid w:val="00953C06"/>
    <w:pPr>
      <w:keepNext/>
      <w:numPr>
        <w:ilvl w:val="1"/>
        <w:numId w:val="15"/>
      </w:numPr>
      <w:spacing w:after="240" w:line="240" w:lineRule="auto"/>
      <w:jc w:val="both"/>
      <w:outlineLvl w:val="1"/>
    </w:pPr>
    <w:rPr>
      <w:rFonts w:ascii="Times New Roman" w:eastAsia="Times New Roman" w:hAnsi="Times New Roman" w:cs="Times New Roman"/>
      <w:b/>
      <w:sz w:val="24"/>
      <w:szCs w:val="20"/>
      <w:lang w:eastAsia="bg-BG" w:bidi="bg-BG"/>
    </w:rPr>
  </w:style>
  <w:style w:type="paragraph" w:styleId="Heading3">
    <w:name w:val="heading 3"/>
    <w:basedOn w:val="Normal"/>
    <w:next w:val="Normal"/>
    <w:link w:val="Heading3Char"/>
    <w:uiPriority w:val="9"/>
    <w:qFormat/>
    <w:rsid w:val="00953C06"/>
    <w:pPr>
      <w:keepNext/>
      <w:numPr>
        <w:ilvl w:val="2"/>
        <w:numId w:val="15"/>
      </w:numPr>
      <w:spacing w:after="240" w:line="240" w:lineRule="auto"/>
      <w:jc w:val="both"/>
      <w:outlineLvl w:val="2"/>
    </w:pPr>
    <w:rPr>
      <w:rFonts w:ascii="Times New Roman" w:eastAsia="Times New Roman" w:hAnsi="Times New Roman" w:cs="Times New Roman"/>
      <w:i/>
      <w:sz w:val="24"/>
      <w:szCs w:val="20"/>
      <w:lang w:eastAsia="bg-BG" w:bidi="bg-BG"/>
    </w:rPr>
  </w:style>
  <w:style w:type="paragraph" w:styleId="Heading4">
    <w:name w:val="heading 4"/>
    <w:basedOn w:val="Normal"/>
    <w:next w:val="Normal"/>
    <w:link w:val="Heading4Char"/>
    <w:uiPriority w:val="9"/>
    <w:qFormat/>
    <w:rsid w:val="00953C06"/>
    <w:pPr>
      <w:keepNext/>
      <w:numPr>
        <w:ilvl w:val="3"/>
        <w:numId w:val="15"/>
      </w:numPr>
      <w:spacing w:after="240" w:line="240" w:lineRule="auto"/>
      <w:jc w:val="both"/>
      <w:outlineLvl w:val="3"/>
    </w:pPr>
    <w:rPr>
      <w:rFonts w:ascii="Times New Roman" w:eastAsia="Times New Roman" w:hAnsi="Times New Roman" w:cs="Times New Roman"/>
      <w:sz w:val="24"/>
      <w:szCs w:val="20"/>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94B"/>
    <w:pPr>
      <w:ind w:left="720"/>
      <w:contextualSpacing/>
    </w:pPr>
  </w:style>
  <w:style w:type="paragraph" w:styleId="CommentText">
    <w:name w:val="annotation text"/>
    <w:basedOn w:val="Normal"/>
    <w:link w:val="CommentTextChar"/>
    <w:uiPriority w:val="99"/>
    <w:unhideWhenUsed/>
    <w:rsid w:val="00F2294B"/>
    <w:pPr>
      <w:spacing w:line="240" w:lineRule="auto"/>
    </w:pPr>
    <w:rPr>
      <w:sz w:val="20"/>
      <w:szCs w:val="20"/>
    </w:rPr>
  </w:style>
  <w:style w:type="character" w:customStyle="1" w:styleId="CommentTextChar">
    <w:name w:val="Comment Text Char"/>
    <w:basedOn w:val="DefaultParagraphFont"/>
    <w:link w:val="CommentText"/>
    <w:uiPriority w:val="99"/>
    <w:rsid w:val="00F2294B"/>
    <w:rPr>
      <w:sz w:val="20"/>
      <w:szCs w:val="20"/>
    </w:rPr>
  </w:style>
  <w:style w:type="character" w:styleId="CommentReference">
    <w:name w:val="annotation reference"/>
    <w:basedOn w:val="DefaultParagraphFont"/>
    <w:uiPriority w:val="99"/>
    <w:unhideWhenUsed/>
    <w:rsid w:val="00F2294B"/>
    <w:rPr>
      <w:sz w:val="16"/>
      <w:szCs w:val="16"/>
    </w:rPr>
  </w:style>
  <w:style w:type="paragraph" w:styleId="BalloonText">
    <w:name w:val="Balloon Text"/>
    <w:basedOn w:val="Normal"/>
    <w:link w:val="BalloonTextChar"/>
    <w:uiPriority w:val="99"/>
    <w:semiHidden/>
    <w:unhideWhenUsed/>
    <w:rsid w:val="00F22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9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67F1"/>
    <w:rPr>
      <w:b/>
      <w:bCs/>
    </w:rPr>
  </w:style>
  <w:style w:type="character" w:customStyle="1" w:styleId="CommentSubjectChar">
    <w:name w:val="Comment Subject Char"/>
    <w:basedOn w:val="CommentTextChar"/>
    <w:link w:val="CommentSubject"/>
    <w:uiPriority w:val="99"/>
    <w:semiHidden/>
    <w:rsid w:val="004267F1"/>
    <w:rPr>
      <w:b/>
      <w:bCs/>
      <w:sz w:val="20"/>
      <w:szCs w:val="20"/>
    </w:rPr>
  </w:style>
  <w:style w:type="paragraph" w:styleId="Header">
    <w:name w:val="header"/>
    <w:basedOn w:val="Normal"/>
    <w:link w:val="HeaderChar"/>
    <w:uiPriority w:val="99"/>
    <w:unhideWhenUsed/>
    <w:rsid w:val="00663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320C"/>
  </w:style>
  <w:style w:type="paragraph" w:styleId="Footer">
    <w:name w:val="footer"/>
    <w:basedOn w:val="Normal"/>
    <w:link w:val="FooterChar"/>
    <w:uiPriority w:val="99"/>
    <w:unhideWhenUsed/>
    <w:rsid w:val="00663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320C"/>
  </w:style>
  <w:style w:type="character" w:styleId="Hyperlink">
    <w:name w:val="Hyperlink"/>
    <w:basedOn w:val="DefaultParagraphFont"/>
    <w:uiPriority w:val="99"/>
    <w:unhideWhenUsed/>
    <w:rsid w:val="00052E85"/>
    <w:rPr>
      <w:color w:val="0000FF"/>
      <w:u w:val="single"/>
    </w:rPr>
  </w:style>
  <w:style w:type="character" w:styleId="FollowedHyperlink">
    <w:name w:val="FollowedHyperlink"/>
    <w:basedOn w:val="DefaultParagraphFont"/>
    <w:uiPriority w:val="99"/>
    <w:semiHidden/>
    <w:unhideWhenUsed/>
    <w:rsid w:val="00052E85"/>
    <w:rPr>
      <w:color w:val="954F72" w:themeColor="followedHyperlink"/>
      <w:u w:val="single"/>
    </w:rPr>
  </w:style>
  <w:style w:type="paragraph" w:styleId="FootnoteText">
    <w:name w:val="footnote text"/>
    <w:aliases w:val="Footnote Text Char1, Car Car Char, Car Car,stile 1,Footnote1,Footnote2,Footnote3,Footnote4,Footnote5,Footnote6,Footnote7,Footnote8,Footnote9,Footnote10,Footnote11,Footnote21,Footnote31,Footnote41,Footnote51,Footnote61,Footnote71,Footnote"/>
    <w:basedOn w:val="Normal"/>
    <w:link w:val="FootnoteTextChar"/>
    <w:rsid w:val="00C3118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ootnote Text Char1 Char, Car Car Char Char, Car Car Char1,stile 1 Char,Footnote1 Char,Footnote2 Char,Footnote3 Char,Footnote4 Char,Footnote5 Char,Footnote6 Char,Footnote7 Char,Footnote8 Char,Footnote9 Char,Footnote10 Char"/>
    <w:basedOn w:val="DefaultParagraphFont"/>
    <w:link w:val="FootnoteText"/>
    <w:rsid w:val="00C3118C"/>
    <w:rPr>
      <w:rFonts w:ascii="Times New Roman" w:eastAsia="Times New Roman" w:hAnsi="Times New Roman" w:cs="Times New Roman"/>
      <w:sz w:val="20"/>
      <w:szCs w:val="20"/>
      <w:lang w:eastAsia="bg-BG"/>
    </w:rPr>
  </w:style>
  <w:style w:type="character" w:styleId="FootnoteReference">
    <w:name w:val="footnote reference"/>
    <w:rsid w:val="00C3118C"/>
    <w:rPr>
      <w:vertAlign w:val="superscript"/>
    </w:rPr>
  </w:style>
  <w:style w:type="paragraph" w:styleId="NormalWeb">
    <w:name w:val="Normal (Web)"/>
    <w:aliases w:val="Normal (Web) Char"/>
    <w:basedOn w:val="Normal"/>
    <w:link w:val="NormalWebChar1"/>
    <w:rsid w:val="00C3118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rsid w:val="00C3118C"/>
  </w:style>
  <w:style w:type="character" w:customStyle="1" w:styleId="NormalWebChar1">
    <w:name w:val="Normal (Web) Char1"/>
    <w:aliases w:val="Normal (Web) Char Char"/>
    <w:link w:val="NormalWeb"/>
    <w:rsid w:val="00C3118C"/>
    <w:rPr>
      <w:rFonts w:ascii="Times New Roman" w:eastAsia="Times New Roman" w:hAnsi="Times New Roman" w:cs="Times New Roman"/>
      <w:sz w:val="24"/>
      <w:szCs w:val="24"/>
      <w:lang w:eastAsia="bg-BG"/>
    </w:rPr>
  </w:style>
  <w:style w:type="paragraph" w:styleId="Revision">
    <w:name w:val="Revision"/>
    <w:hidden/>
    <w:uiPriority w:val="99"/>
    <w:semiHidden/>
    <w:rsid w:val="00442F40"/>
    <w:pPr>
      <w:spacing w:after="0" w:line="240" w:lineRule="auto"/>
    </w:pPr>
  </w:style>
  <w:style w:type="character" w:customStyle="1" w:styleId="Heading1Char">
    <w:name w:val="Heading 1 Char"/>
    <w:basedOn w:val="DefaultParagraphFont"/>
    <w:link w:val="Heading1"/>
    <w:uiPriority w:val="9"/>
    <w:rsid w:val="00953C06"/>
    <w:rPr>
      <w:rFonts w:ascii="Times New Roman" w:eastAsia="Times New Roman" w:hAnsi="Times New Roman" w:cs="Times New Roman"/>
      <w:b/>
      <w:smallCaps/>
      <w:sz w:val="24"/>
      <w:szCs w:val="20"/>
      <w:lang w:eastAsia="bg-BG" w:bidi="bg-BG"/>
    </w:rPr>
  </w:style>
  <w:style w:type="character" w:customStyle="1" w:styleId="Heading2Char">
    <w:name w:val="Heading 2 Char"/>
    <w:basedOn w:val="DefaultParagraphFont"/>
    <w:link w:val="Heading2"/>
    <w:uiPriority w:val="9"/>
    <w:rsid w:val="00953C06"/>
    <w:rPr>
      <w:rFonts w:ascii="Times New Roman" w:eastAsia="Times New Roman" w:hAnsi="Times New Roman" w:cs="Times New Roman"/>
      <w:b/>
      <w:sz w:val="24"/>
      <w:szCs w:val="20"/>
      <w:lang w:eastAsia="bg-BG" w:bidi="bg-BG"/>
    </w:rPr>
  </w:style>
  <w:style w:type="character" w:customStyle="1" w:styleId="Heading3Char">
    <w:name w:val="Heading 3 Char"/>
    <w:basedOn w:val="DefaultParagraphFont"/>
    <w:link w:val="Heading3"/>
    <w:uiPriority w:val="9"/>
    <w:rsid w:val="00953C06"/>
    <w:rPr>
      <w:rFonts w:ascii="Times New Roman" w:eastAsia="Times New Roman" w:hAnsi="Times New Roman" w:cs="Times New Roman"/>
      <w:i/>
      <w:sz w:val="24"/>
      <w:szCs w:val="20"/>
      <w:lang w:eastAsia="bg-BG" w:bidi="bg-BG"/>
    </w:rPr>
  </w:style>
  <w:style w:type="character" w:customStyle="1" w:styleId="Heading4Char">
    <w:name w:val="Heading 4 Char"/>
    <w:basedOn w:val="DefaultParagraphFont"/>
    <w:link w:val="Heading4"/>
    <w:uiPriority w:val="9"/>
    <w:rsid w:val="00953C06"/>
    <w:rPr>
      <w:rFonts w:ascii="Times New Roman" w:eastAsia="Times New Roman" w:hAnsi="Times New Roman" w:cs="Times New Roman"/>
      <w:sz w:val="24"/>
      <w:szCs w:val="20"/>
      <w:lang w:eastAsia="bg-BG" w:bidi="bg-BG"/>
    </w:rPr>
  </w:style>
  <w:style w:type="paragraph" w:customStyle="1" w:styleId="ListDash1">
    <w:name w:val="List Dash 1"/>
    <w:basedOn w:val="Normal"/>
    <w:rsid w:val="00953C06"/>
    <w:pPr>
      <w:numPr>
        <w:numId w:val="14"/>
      </w:numPr>
      <w:spacing w:after="240" w:line="240" w:lineRule="auto"/>
      <w:jc w:val="both"/>
    </w:pPr>
    <w:rPr>
      <w:rFonts w:ascii="Times New Roman" w:eastAsia="Times New Roman" w:hAnsi="Times New Roman" w:cs="Times New Roman"/>
      <w:sz w:val="24"/>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79904">
      <w:bodyDiv w:val="1"/>
      <w:marLeft w:val="0"/>
      <w:marRight w:val="0"/>
      <w:marTop w:val="0"/>
      <w:marBottom w:val="0"/>
      <w:divBdr>
        <w:top w:val="none" w:sz="0" w:space="0" w:color="auto"/>
        <w:left w:val="none" w:sz="0" w:space="0" w:color="auto"/>
        <w:bottom w:val="none" w:sz="0" w:space="0" w:color="auto"/>
        <w:right w:val="none" w:sz="0" w:space="0" w:color="auto"/>
      </w:divBdr>
    </w:div>
    <w:div w:id="773476032">
      <w:bodyDiv w:val="1"/>
      <w:marLeft w:val="0"/>
      <w:marRight w:val="0"/>
      <w:marTop w:val="0"/>
      <w:marBottom w:val="0"/>
      <w:divBdr>
        <w:top w:val="none" w:sz="0" w:space="0" w:color="auto"/>
        <w:left w:val="none" w:sz="0" w:space="0" w:color="auto"/>
        <w:bottom w:val="none" w:sz="0" w:space="0" w:color="auto"/>
        <w:right w:val="none" w:sz="0" w:space="0" w:color="auto"/>
      </w:divBdr>
    </w:div>
    <w:div w:id="1522626465">
      <w:bodyDiv w:val="1"/>
      <w:marLeft w:val="0"/>
      <w:marRight w:val="0"/>
      <w:marTop w:val="0"/>
      <w:marBottom w:val="0"/>
      <w:divBdr>
        <w:top w:val="none" w:sz="0" w:space="0" w:color="auto"/>
        <w:left w:val="none" w:sz="0" w:space="0" w:color="auto"/>
        <w:bottom w:val="none" w:sz="0" w:space="0" w:color="auto"/>
        <w:right w:val="none" w:sz="0" w:space="0" w:color="auto"/>
      </w:divBdr>
    </w:div>
    <w:div w:id="1704090730">
      <w:bodyDiv w:val="1"/>
      <w:marLeft w:val="0"/>
      <w:marRight w:val="0"/>
      <w:marTop w:val="0"/>
      <w:marBottom w:val="0"/>
      <w:divBdr>
        <w:top w:val="none" w:sz="0" w:space="0" w:color="auto"/>
        <w:left w:val="none" w:sz="0" w:space="0" w:color="auto"/>
        <w:bottom w:val="none" w:sz="0" w:space="0" w:color="auto"/>
        <w:right w:val="none" w:sz="0" w:space="0" w:color="auto"/>
      </w:divBdr>
    </w:div>
    <w:div w:id="21252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0996-BCC7-4E14-A531-13E77F9A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15</Pages>
  <Words>5912</Words>
  <Characters>33703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CoM</Company>
  <LinksUpToDate>false</LinksUpToDate>
  <CharactersWithSpaces>39536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Милица Йорданова</dc:creator>
  <cp:keywords/>
  <dc:description/>
  <cp:lastModifiedBy>И. Първанова</cp:lastModifiedBy>
  <cp:revision>309</cp:revision>
  <dcterms:created xsi:type="dcterms:W3CDTF">2019-08-16T10:59:00Z</dcterms:created>
  <dcterms:modified xsi:type="dcterms:W3CDTF">2020-03-30T14:12:00Z</dcterms:modified>
</cp:coreProperties>
</file>