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4817D" w14:textId="77777777" w:rsidR="00E708DA" w:rsidRDefault="00E708DA"/>
    <w:p w14:paraId="02885F4C" w14:textId="77777777" w:rsidR="00E708DA" w:rsidRDefault="00AC4FE7">
      <w:pPr>
        <w:spacing w:after="160" w:line="256" w:lineRule="auto"/>
      </w:pPr>
      <w:bookmarkStart w:id="0" w:name="_Hlk35262161"/>
      <w:bookmarkEnd w:id="0"/>
      <w:r>
        <w:rPr>
          <w:rFonts w:ascii="Book Antiqua" w:hAnsi="Book Antiqua"/>
          <w:noProof/>
          <w:lang w:eastAsia="bg-BG"/>
        </w:rPr>
        <mc:AlternateContent>
          <mc:Choice Requires="wps">
            <w:drawing>
              <wp:anchor distT="0" distB="0" distL="114300" distR="114300" simplePos="0" relativeHeight="251663360" behindDoc="0" locked="0" layoutInCell="1" allowOverlap="1" wp14:anchorId="4F56E807" wp14:editId="5410429D">
                <wp:simplePos x="0" y="0"/>
                <wp:positionH relativeFrom="margin">
                  <wp:posOffset>-528322</wp:posOffset>
                </wp:positionH>
                <wp:positionV relativeFrom="page">
                  <wp:posOffset>1466853</wp:posOffset>
                </wp:positionV>
                <wp:extent cx="6879588" cy="7934321"/>
                <wp:effectExtent l="0" t="0" r="0" b="0"/>
                <wp:wrapTopAndBottom/>
                <wp:docPr id="5" name="Текстово поле 138"/>
                <wp:cNvGraphicFramePr/>
                <a:graphic xmlns:a="http://schemas.openxmlformats.org/drawingml/2006/main">
                  <a:graphicData uri="http://schemas.microsoft.com/office/word/2010/wordprocessingShape">
                    <wps:wsp>
                      <wps:cNvSpPr txBox="1"/>
                      <wps:spPr>
                        <a:xfrm>
                          <a:off x="0" y="0"/>
                          <a:ext cx="6879588" cy="7934321"/>
                        </a:xfrm>
                        <a:prstGeom prst="rect">
                          <a:avLst/>
                        </a:prstGeom>
                        <a:solidFill>
                          <a:srgbClr val="FFFFFF"/>
                        </a:solidFill>
                        <a:ln>
                          <a:noFill/>
                          <a:prstDash/>
                        </a:ln>
                      </wps:spPr>
                      <wps:txbx>
                        <w:txbxContent>
                          <w:tbl>
                            <w:tblPr>
                              <w:tblW w:w="4967" w:type="pct"/>
                              <w:jc w:val="center"/>
                              <w:tblLayout w:type="fixed"/>
                              <w:tblCellMar>
                                <w:left w:w="10" w:type="dxa"/>
                                <w:right w:w="10" w:type="dxa"/>
                              </w:tblCellMar>
                              <w:tblLook w:val="0000" w:firstRow="0" w:lastRow="0" w:firstColumn="0" w:lastColumn="0" w:noHBand="0" w:noVBand="0"/>
                            </w:tblPr>
                            <w:tblGrid>
                              <w:gridCol w:w="5498"/>
                              <w:gridCol w:w="5264"/>
                            </w:tblGrid>
                            <w:tr w:rsidR="00C72528" w14:paraId="71B28861" w14:textId="77777777">
                              <w:trPr>
                                <w:trHeight w:val="5613"/>
                                <w:jc w:val="center"/>
                              </w:trPr>
                              <w:tc>
                                <w:tcPr>
                                  <w:tcW w:w="5493" w:type="dxa"/>
                                  <w:tcBorders>
                                    <w:right w:val="single" w:sz="12" w:space="0" w:color="1F3864"/>
                                  </w:tcBorders>
                                  <w:shd w:val="clear" w:color="auto" w:fill="auto"/>
                                  <w:tcMar>
                                    <w:top w:w="1296" w:type="dxa"/>
                                    <w:left w:w="360" w:type="dxa"/>
                                    <w:bottom w:w="1296" w:type="dxa"/>
                                    <w:right w:w="360" w:type="dxa"/>
                                  </w:tcMar>
                                  <w:vAlign w:val="center"/>
                                </w:tcPr>
                                <w:p w14:paraId="299C415A" w14:textId="77777777" w:rsidR="00C72528" w:rsidRDefault="00C72528">
                                  <w:pPr>
                                    <w:jc w:val="right"/>
                                  </w:pPr>
                                  <w:r>
                                    <w:rPr>
                                      <w:noProof/>
                                      <w:lang w:eastAsia="bg-BG"/>
                                    </w:rPr>
                                    <w:drawing>
                                      <wp:inline distT="0" distB="0" distL="0" distR="0" wp14:anchorId="12ACA8EF" wp14:editId="04D98F3A">
                                        <wp:extent cx="3210933" cy="2233019"/>
                                        <wp:effectExtent l="0" t="0" r="8517" b="0"/>
                                        <wp:docPr id="3" name="Картина 2" descr="https://zol-2.schools.lviv.ua/wp-content/uploads/2018/01/datainter-678x3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10933" cy="2233019"/>
                                                </a:xfrm>
                                                <a:prstGeom prst="rect">
                                                  <a:avLst/>
                                                </a:prstGeom>
                                                <a:noFill/>
                                                <a:ln>
                                                  <a:noFill/>
                                                  <a:prstDash/>
                                                </a:ln>
                                              </pic:spPr>
                                            </pic:pic>
                                          </a:graphicData>
                                        </a:graphic>
                                      </wp:inline>
                                    </w:drawing>
                                  </w:r>
                                </w:p>
                                <w:p w14:paraId="6A83E479" w14:textId="77777777" w:rsidR="00C72528" w:rsidRDefault="00C72528">
                                  <w:pPr>
                                    <w:jc w:val="right"/>
                                    <w:rPr>
                                      <w:sz w:val="24"/>
                                      <w:szCs w:val="24"/>
                                    </w:rPr>
                                  </w:pPr>
                                </w:p>
                              </w:tc>
                              <w:tc>
                                <w:tcPr>
                                  <w:tcW w:w="5260" w:type="dxa"/>
                                  <w:tcBorders>
                                    <w:left w:val="single" w:sz="12" w:space="0" w:color="1F3864"/>
                                  </w:tcBorders>
                                  <w:shd w:val="clear" w:color="auto" w:fill="auto"/>
                                  <w:tcMar>
                                    <w:top w:w="1296" w:type="dxa"/>
                                    <w:left w:w="360" w:type="dxa"/>
                                    <w:bottom w:w="1296" w:type="dxa"/>
                                    <w:right w:w="360" w:type="dxa"/>
                                  </w:tcMar>
                                  <w:vAlign w:val="center"/>
                                </w:tcPr>
                                <w:p w14:paraId="60E0DA6F" w14:textId="77777777" w:rsidR="00C72528" w:rsidRDefault="00C72528">
                                  <w:pPr>
                                    <w:pStyle w:val="a3"/>
                                    <w:jc w:val="center"/>
                                    <w:rPr>
                                      <w:rFonts w:ascii="Book Antiqua" w:hAnsi="Book Antiqua"/>
                                      <w:b/>
                                      <w:caps/>
                                      <w:color w:val="1F4E79"/>
                                      <w:sz w:val="26"/>
                                      <w:szCs w:val="26"/>
                                      <w:lang w:val="bg-BG"/>
                                    </w:rPr>
                                  </w:pPr>
                                </w:p>
                                <w:p w14:paraId="2D28C46B" w14:textId="77777777" w:rsidR="00C72528" w:rsidRDefault="00C72528">
                                  <w:pPr>
                                    <w:pStyle w:val="a3"/>
                                    <w:jc w:val="center"/>
                                    <w:rPr>
                                      <w:rFonts w:ascii="Book Antiqua" w:hAnsi="Book Antiqua"/>
                                      <w:b/>
                                      <w:caps/>
                                      <w:color w:val="1F4E79"/>
                                      <w:sz w:val="26"/>
                                      <w:szCs w:val="26"/>
                                      <w:lang w:val="bg-BG"/>
                                    </w:rPr>
                                  </w:pPr>
                                  <w:r>
                                    <w:rPr>
                                      <w:rFonts w:ascii="Book Antiqua" w:hAnsi="Book Antiqua"/>
                                      <w:b/>
                                      <w:caps/>
                                      <w:color w:val="1F4E79"/>
                                      <w:sz w:val="26"/>
                                      <w:szCs w:val="26"/>
                                      <w:lang w:val="bg-BG"/>
                                    </w:rPr>
                                    <w:t>РЕЗЮМЕ</w:t>
                                  </w:r>
                                </w:p>
                                <w:p w14:paraId="10040C86" w14:textId="77777777" w:rsidR="00C72528" w:rsidRDefault="00C72528">
                                  <w:pPr>
                                    <w:pStyle w:val="a3"/>
                                    <w:jc w:val="center"/>
                                    <w:rPr>
                                      <w:rFonts w:ascii="Book Antiqua" w:hAnsi="Book Antiqua"/>
                                      <w:b/>
                                      <w:caps/>
                                      <w:color w:val="1F4E79"/>
                                      <w:sz w:val="26"/>
                                      <w:szCs w:val="26"/>
                                    </w:rPr>
                                  </w:pPr>
                                </w:p>
                                <w:p w14:paraId="06612762" w14:textId="77777777" w:rsidR="00C72528" w:rsidRDefault="00C72528">
                                  <w:pPr>
                                    <w:jc w:val="center"/>
                                    <w:rPr>
                                      <w:rFonts w:ascii="Book Antiqua" w:hAnsi="Book Antiqua"/>
                                      <w:color w:val="000000"/>
                                      <w:sz w:val="26"/>
                                      <w:szCs w:val="26"/>
                                    </w:rPr>
                                  </w:pPr>
                                  <w:r>
                                    <w:rPr>
                                      <w:rFonts w:ascii="Book Antiqua" w:hAnsi="Book Antiqua"/>
                                      <w:color w:val="000000"/>
                                      <w:sz w:val="26"/>
                                      <w:szCs w:val="26"/>
                                    </w:rPr>
                                    <w:t>На Доклад от извършена междинна оценка на напредъка по изпълнението на приоритетни оси 1, 2 и 3 на Оперативна програма „Добро управление“</w:t>
                                  </w:r>
                                </w:p>
                                <w:p w14:paraId="58307EA4" w14:textId="77777777" w:rsidR="00C72528" w:rsidRDefault="00C72528">
                                  <w:pPr>
                                    <w:jc w:val="center"/>
                                    <w:rPr>
                                      <w:rFonts w:ascii="Book Antiqua" w:hAnsi="Book Antiqua"/>
                                      <w:color w:val="000000"/>
                                      <w:sz w:val="26"/>
                                      <w:szCs w:val="26"/>
                                    </w:rPr>
                                  </w:pPr>
                                </w:p>
                                <w:p w14:paraId="57774194" w14:textId="77777777" w:rsidR="00C72528" w:rsidRDefault="00C72528">
                                  <w:pPr>
                                    <w:jc w:val="center"/>
                                  </w:pPr>
                                  <w:r>
                                    <w:rPr>
                                      <w:rFonts w:ascii="Book Antiqua" w:eastAsia="Times New Roman" w:hAnsi="Book Antiqua"/>
                                      <w:b/>
                                      <w:caps/>
                                      <w:color w:val="1F4E79"/>
                                      <w:sz w:val="26"/>
                                      <w:szCs w:val="26"/>
                                    </w:rPr>
                                    <w:t>ВЪЗЛОЖИТЕЛ:</w:t>
                                  </w:r>
                                  <w:r>
                                    <w:rPr>
                                      <w:rFonts w:ascii="Book Antiqua" w:hAnsi="Book Antiqua"/>
                                      <w:color w:val="000000"/>
                                      <w:sz w:val="26"/>
                                      <w:szCs w:val="26"/>
                                    </w:rPr>
                                    <w:t xml:space="preserve"> </w:t>
                                  </w:r>
                                  <w:r>
                                    <w:rPr>
                                      <w:rFonts w:ascii="Book Antiqua" w:hAnsi="Book Antiqua"/>
                                      <w:b/>
                                      <w:color w:val="000000"/>
                                      <w:sz w:val="26"/>
                                      <w:szCs w:val="26"/>
                                    </w:rPr>
                                    <w:t>Администрация на Министерския съвет</w:t>
                                  </w:r>
                                </w:p>
                                <w:p w14:paraId="151BA91A" w14:textId="77777777" w:rsidR="00C72528" w:rsidRDefault="00C72528">
                                  <w:pPr>
                                    <w:jc w:val="center"/>
                                    <w:rPr>
                                      <w:rFonts w:ascii="Book Antiqua" w:eastAsia="Times New Roman" w:hAnsi="Book Antiqua"/>
                                      <w:b/>
                                      <w:caps/>
                                      <w:color w:val="1F4E79"/>
                                      <w:sz w:val="26"/>
                                      <w:szCs w:val="26"/>
                                    </w:rPr>
                                  </w:pPr>
                                </w:p>
                                <w:p w14:paraId="61331838" w14:textId="77777777" w:rsidR="00C72528" w:rsidRDefault="00C72528">
                                  <w:pPr>
                                    <w:jc w:val="center"/>
                                  </w:pPr>
                                  <w:r>
                                    <w:rPr>
                                      <w:rFonts w:ascii="Book Antiqua" w:eastAsia="Times New Roman" w:hAnsi="Book Antiqua"/>
                                      <w:b/>
                                      <w:caps/>
                                      <w:color w:val="1F4E79"/>
                                      <w:sz w:val="26"/>
                                      <w:szCs w:val="26"/>
                                    </w:rPr>
                                    <w:t xml:space="preserve">ИЗПЪЛНИТЕЛ: </w:t>
                                  </w:r>
                                  <w:r>
                                    <w:rPr>
                                      <w:rFonts w:ascii="Book Antiqua" w:hAnsi="Book Antiqua"/>
                                      <w:b/>
                                      <w:color w:val="000000"/>
                                      <w:sz w:val="26"/>
                                      <w:szCs w:val="26"/>
                                    </w:rPr>
                                    <w:t xml:space="preserve">„Глобал </w:t>
                                  </w:r>
                                  <w:proofErr w:type="spellStart"/>
                                  <w:r>
                                    <w:rPr>
                                      <w:rFonts w:ascii="Book Antiqua" w:hAnsi="Book Antiqua"/>
                                      <w:b/>
                                      <w:color w:val="000000"/>
                                      <w:sz w:val="26"/>
                                      <w:szCs w:val="26"/>
                                    </w:rPr>
                                    <w:t>Адвайзърс</w:t>
                                  </w:r>
                                  <w:proofErr w:type="spellEnd"/>
                                  <w:r>
                                    <w:rPr>
                                      <w:rFonts w:ascii="Book Antiqua" w:hAnsi="Book Antiqua"/>
                                      <w:b/>
                                      <w:color w:val="000000"/>
                                      <w:sz w:val="26"/>
                                      <w:szCs w:val="26"/>
                                    </w:rPr>
                                    <w:t>“ АД</w:t>
                                  </w:r>
                                </w:p>
                                <w:p w14:paraId="00350B04" w14:textId="77777777" w:rsidR="00C72528" w:rsidRDefault="00C72528">
                                  <w:pPr>
                                    <w:jc w:val="center"/>
                                    <w:rPr>
                                      <w:rFonts w:ascii="Book Antiqua" w:hAnsi="Book Antiqua"/>
                                      <w:color w:val="000000"/>
                                      <w:sz w:val="24"/>
                                      <w:szCs w:val="24"/>
                                    </w:rPr>
                                  </w:pPr>
                                </w:p>
                                <w:p w14:paraId="0DF456CC" w14:textId="77777777" w:rsidR="00C72528" w:rsidRDefault="00C72528">
                                  <w:pPr>
                                    <w:pStyle w:val="a3"/>
                                    <w:jc w:val="center"/>
                                  </w:pPr>
                                  <w:r>
                                    <w:rPr>
                                      <w:noProof/>
                                      <w:lang w:val="bg-BG" w:eastAsia="bg-BG"/>
                                    </w:rPr>
                                    <w:drawing>
                                      <wp:inline distT="0" distB="0" distL="0" distR="0" wp14:anchorId="2958529A" wp14:editId="3C65B011">
                                        <wp:extent cx="1082036" cy="579116"/>
                                        <wp:effectExtent l="0" t="0" r="3814" b="0"/>
                                        <wp:docPr id="4" name="Картина 3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82036" cy="579116"/>
                                                </a:xfrm>
                                                <a:prstGeom prst="rect">
                                                  <a:avLst/>
                                                </a:prstGeom>
                                                <a:noFill/>
                                                <a:ln>
                                                  <a:noFill/>
                                                  <a:prstDash/>
                                                </a:ln>
                                              </pic:spPr>
                                            </pic:pic>
                                          </a:graphicData>
                                        </a:graphic>
                                      </wp:inline>
                                    </w:drawing>
                                  </w:r>
                                </w:p>
                              </w:tc>
                            </w:tr>
                          </w:tbl>
                          <w:p w14:paraId="6926E941" w14:textId="77777777" w:rsidR="00C72528" w:rsidRDefault="00C72528">
                            <w:pPr>
                              <w:jc w:val="center"/>
                            </w:pPr>
                          </w:p>
                          <w:p w14:paraId="14CF43F3" w14:textId="77777777" w:rsidR="00C72528" w:rsidRDefault="00C72528">
                            <w:pPr>
                              <w:jc w:val="center"/>
                            </w:pPr>
                          </w:p>
                          <w:p w14:paraId="6E6E72E1" w14:textId="77777777" w:rsidR="00C72528" w:rsidRDefault="00C72528">
                            <w:pPr>
                              <w:jc w:val="center"/>
                            </w:pPr>
                          </w:p>
                          <w:p w14:paraId="1E3A0505" w14:textId="07BF4C75" w:rsidR="00C72528" w:rsidRDefault="00C72528">
                            <w:pPr>
                              <w:jc w:val="center"/>
                            </w:pPr>
                            <w:r>
                              <w:rPr>
                                <w:rFonts w:ascii="Book Antiqua" w:hAnsi="Book Antiqua"/>
                                <w:sz w:val="24"/>
                              </w:rPr>
                              <w:t>София, май</w:t>
                            </w:r>
                            <w:r w:rsidRPr="00EF1A79">
                              <w:rPr>
                                <w:rFonts w:ascii="Book Antiqua" w:hAnsi="Book Antiqua"/>
                                <w:sz w:val="24"/>
                                <w:lang w:val="en-US"/>
                              </w:rPr>
                              <w:t xml:space="preserve"> </w:t>
                            </w:r>
                            <w:r>
                              <w:rPr>
                                <w:rFonts w:ascii="Book Antiqua" w:hAnsi="Book Antiqua"/>
                                <w:sz w:val="24"/>
                              </w:rPr>
                              <w:t>2020 г.</w:t>
                            </w:r>
                          </w:p>
                        </w:txbxContent>
                      </wps:txbx>
                      <wps:bodyPr vert="horz" wrap="square" lIns="0" tIns="0" rIns="0" bIns="0" anchor="ctr" anchorCtr="0" compatLnSpc="1">
                        <a:noAutofit/>
                      </wps:bodyPr>
                    </wps:wsp>
                  </a:graphicData>
                </a:graphic>
              </wp:anchor>
            </w:drawing>
          </mc:Choice>
          <mc:Fallback>
            <w:pict>
              <v:shapetype w14:anchorId="4F56E807" id="_x0000_t202" coordsize="21600,21600" o:spt="202" path="m,l,21600r21600,l21600,xe">
                <v:stroke joinstyle="miter"/>
                <v:path gradientshapeok="t" o:connecttype="rect"/>
              </v:shapetype>
              <v:shape id="Текстово поле 138" o:spid="_x0000_s1026" type="#_x0000_t202" style="position:absolute;margin-left:-41.6pt;margin-top:115.5pt;width:541.7pt;height:624.75pt;z-index:25166336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" stroked="f">
                <v:textbox inset="0,0,0,0">
                  <w:txbxContent>
                    <w:tbl>
                      <w:tblPr>
                        <w:tblW w:w="4967" w:type="pct"/>
                        <w:jc w:val="center"/>
                        <w:tblLayout w:type="fixed"/>
                        <w:tblCellMar>
                          <w:left w:w="10" w:type="dxa"/>
                          <w:right w:w="10" w:type="dxa"/>
                        </w:tblCellMar>
                        <w:tblLook w:val="0000" w:firstRow="0" w:lastRow="0" w:firstColumn="0" w:lastColumn="0" w:noHBand="0" w:noVBand="0"/>
                      </w:tblPr>
                      <w:tblGrid>
                        <w:gridCol w:w="5498"/>
                        <w:gridCol w:w="5264"/>
                      </w:tblGrid>
                      <w:tr w:rsidR="00C72528" w14:paraId="71B28861" w14:textId="77777777">
                        <w:trPr>
                          <w:trHeight w:val="5613"/>
                          <w:jc w:val="center"/>
                        </w:trPr>
                        <w:tc>
                          <w:tcPr>
                            <w:tcW w:w="5493" w:type="dxa"/>
                            <w:tcBorders>
                              <w:right w:val="single" w:sz="12" w:space="0" w:color="1F3864"/>
                            </w:tcBorders>
                            <w:shd w:val="clear" w:color="auto" w:fill="auto"/>
                            <w:tcMar>
                              <w:top w:w="1296" w:type="dxa"/>
                              <w:left w:w="360" w:type="dxa"/>
                              <w:bottom w:w="1296" w:type="dxa"/>
                              <w:right w:w="360" w:type="dxa"/>
                            </w:tcMar>
                            <w:vAlign w:val="center"/>
                          </w:tcPr>
                          <w:p w14:paraId="299C415A" w14:textId="77777777" w:rsidR="00C72528" w:rsidRDefault="00C72528">
                            <w:pPr>
                              <w:jc w:val="right"/>
                            </w:pPr>
                            <w:r>
                              <w:rPr>
                                <w:noProof/>
                                <w:lang w:eastAsia="bg-BG"/>
                              </w:rPr>
                              <w:drawing>
                                <wp:inline distT="0" distB="0" distL="0" distR="0" wp14:anchorId="12ACA8EF" wp14:editId="04D98F3A">
                                  <wp:extent cx="3210933" cy="2233019"/>
                                  <wp:effectExtent l="0" t="0" r="8517" b="0"/>
                                  <wp:docPr id="3" name="Картина 2" descr="https://zol-2.schools.lviv.ua/wp-content/uploads/2018/01/datainter-678x38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10933" cy="2233019"/>
                                          </a:xfrm>
                                          <a:prstGeom prst="rect">
                                            <a:avLst/>
                                          </a:prstGeom>
                                          <a:noFill/>
                                          <a:ln>
                                            <a:noFill/>
                                            <a:prstDash/>
                                          </a:ln>
                                        </pic:spPr>
                                      </pic:pic>
                                    </a:graphicData>
                                  </a:graphic>
                                </wp:inline>
                              </w:drawing>
                            </w:r>
                          </w:p>
                          <w:p w14:paraId="6A83E479" w14:textId="77777777" w:rsidR="00C72528" w:rsidRDefault="00C72528">
                            <w:pPr>
                              <w:jc w:val="right"/>
                              <w:rPr>
                                <w:sz w:val="24"/>
                                <w:szCs w:val="24"/>
                              </w:rPr>
                            </w:pPr>
                          </w:p>
                        </w:tc>
                        <w:tc>
                          <w:tcPr>
                            <w:tcW w:w="5260" w:type="dxa"/>
                            <w:tcBorders>
                              <w:left w:val="single" w:sz="12" w:space="0" w:color="1F3864"/>
                            </w:tcBorders>
                            <w:shd w:val="clear" w:color="auto" w:fill="auto"/>
                            <w:tcMar>
                              <w:top w:w="1296" w:type="dxa"/>
                              <w:left w:w="360" w:type="dxa"/>
                              <w:bottom w:w="1296" w:type="dxa"/>
                              <w:right w:w="360" w:type="dxa"/>
                            </w:tcMar>
                            <w:vAlign w:val="center"/>
                          </w:tcPr>
                          <w:p w14:paraId="60E0DA6F" w14:textId="77777777" w:rsidR="00C72528" w:rsidRDefault="00C72528">
                            <w:pPr>
                              <w:pStyle w:val="a3"/>
                              <w:jc w:val="center"/>
                              <w:rPr>
                                <w:rFonts w:ascii="Book Antiqua" w:hAnsi="Book Antiqua"/>
                                <w:b/>
                                <w:caps/>
                                <w:color w:val="1F4E79"/>
                                <w:sz w:val="26"/>
                                <w:szCs w:val="26"/>
                                <w:lang w:val="bg-BG"/>
                              </w:rPr>
                            </w:pPr>
                          </w:p>
                          <w:p w14:paraId="2D28C46B" w14:textId="77777777" w:rsidR="00C72528" w:rsidRDefault="00C72528">
                            <w:pPr>
                              <w:pStyle w:val="a3"/>
                              <w:jc w:val="center"/>
                              <w:rPr>
                                <w:rFonts w:ascii="Book Antiqua" w:hAnsi="Book Antiqua"/>
                                <w:b/>
                                <w:caps/>
                                <w:color w:val="1F4E79"/>
                                <w:sz w:val="26"/>
                                <w:szCs w:val="26"/>
                                <w:lang w:val="bg-BG"/>
                              </w:rPr>
                            </w:pPr>
                            <w:r>
                              <w:rPr>
                                <w:rFonts w:ascii="Book Antiqua" w:hAnsi="Book Antiqua"/>
                                <w:b/>
                                <w:caps/>
                                <w:color w:val="1F4E79"/>
                                <w:sz w:val="26"/>
                                <w:szCs w:val="26"/>
                                <w:lang w:val="bg-BG"/>
                              </w:rPr>
                              <w:t>РЕЗЮМЕ</w:t>
                            </w:r>
                          </w:p>
                          <w:p w14:paraId="10040C86" w14:textId="77777777" w:rsidR="00C72528" w:rsidRDefault="00C72528">
                            <w:pPr>
                              <w:pStyle w:val="a3"/>
                              <w:jc w:val="center"/>
                              <w:rPr>
                                <w:rFonts w:ascii="Book Antiqua" w:hAnsi="Book Antiqua"/>
                                <w:b/>
                                <w:caps/>
                                <w:color w:val="1F4E79"/>
                                <w:sz w:val="26"/>
                                <w:szCs w:val="26"/>
                              </w:rPr>
                            </w:pPr>
                          </w:p>
                          <w:p w14:paraId="06612762" w14:textId="77777777" w:rsidR="00C72528" w:rsidRDefault="00C72528">
                            <w:pPr>
                              <w:jc w:val="center"/>
                              <w:rPr>
                                <w:rFonts w:ascii="Book Antiqua" w:hAnsi="Book Antiqua"/>
                                <w:color w:val="000000"/>
                                <w:sz w:val="26"/>
                                <w:szCs w:val="26"/>
                              </w:rPr>
                            </w:pPr>
                            <w:r>
                              <w:rPr>
                                <w:rFonts w:ascii="Book Antiqua" w:hAnsi="Book Antiqua"/>
                                <w:color w:val="000000"/>
                                <w:sz w:val="26"/>
                                <w:szCs w:val="26"/>
                              </w:rPr>
                              <w:t>На Доклад от извършена междинна оценка на напредъка по изпълнението на приоритетни оси 1, 2 и 3 на Оперативна програма „Добро управление“</w:t>
                            </w:r>
                          </w:p>
                          <w:p w14:paraId="58307EA4" w14:textId="77777777" w:rsidR="00C72528" w:rsidRDefault="00C72528">
                            <w:pPr>
                              <w:jc w:val="center"/>
                              <w:rPr>
                                <w:rFonts w:ascii="Book Antiqua" w:hAnsi="Book Antiqua"/>
                                <w:color w:val="000000"/>
                                <w:sz w:val="26"/>
                                <w:szCs w:val="26"/>
                              </w:rPr>
                            </w:pPr>
                          </w:p>
                          <w:p w14:paraId="57774194" w14:textId="77777777" w:rsidR="00C72528" w:rsidRDefault="00C72528">
                            <w:pPr>
                              <w:jc w:val="center"/>
                            </w:pPr>
                            <w:r>
                              <w:rPr>
                                <w:rFonts w:ascii="Book Antiqua" w:eastAsia="Times New Roman" w:hAnsi="Book Antiqua"/>
                                <w:b/>
                                <w:caps/>
                                <w:color w:val="1F4E79"/>
                                <w:sz w:val="26"/>
                                <w:szCs w:val="26"/>
                              </w:rPr>
                              <w:t>ВЪЗЛОЖИТЕЛ:</w:t>
                            </w:r>
                            <w:r>
                              <w:rPr>
                                <w:rFonts w:ascii="Book Antiqua" w:hAnsi="Book Antiqua"/>
                                <w:color w:val="000000"/>
                                <w:sz w:val="26"/>
                                <w:szCs w:val="26"/>
                              </w:rPr>
                              <w:t xml:space="preserve"> </w:t>
                            </w:r>
                            <w:r>
                              <w:rPr>
                                <w:rFonts w:ascii="Book Antiqua" w:hAnsi="Book Antiqua"/>
                                <w:b/>
                                <w:color w:val="000000"/>
                                <w:sz w:val="26"/>
                                <w:szCs w:val="26"/>
                              </w:rPr>
                              <w:t>Администрация на Министерския съвет</w:t>
                            </w:r>
                          </w:p>
                          <w:p w14:paraId="151BA91A" w14:textId="77777777" w:rsidR="00C72528" w:rsidRDefault="00C72528">
                            <w:pPr>
                              <w:jc w:val="center"/>
                              <w:rPr>
                                <w:rFonts w:ascii="Book Antiqua" w:eastAsia="Times New Roman" w:hAnsi="Book Antiqua"/>
                                <w:b/>
                                <w:caps/>
                                <w:color w:val="1F4E79"/>
                                <w:sz w:val="26"/>
                                <w:szCs w:val="26"/>
                              </w:rPr>
                            </w:pPr>
                          </w:p>
                          <w:p w14:paraId="61331838" w14:textId="77777777" w:rsidR="00C72528" w:rsidRDefault="00C72528">
                            <w:pPr>
                              <w:jc w:val="center"/>
                            </w:pPr>
                            <w:r>
                              <w:rPr>
                                <w:rFonts w:ascii="Book Antiqua" w:eastAsia="Times New Roman" w:hAnsi="Book Antiqua"/>
                                <w:b/>
                                <w:caps/>
                                <w:color w:val="1F4E79"/>
                                <w:sz w:val="26"/>
                                <w:szCs w:val="26"/>
                              </w:rPr>
                              <w:t xml:space="preserve">ИЗПЪЛНИТЕЛ: </w:t>
                            </w:r>
                            <w:r>
                              <w:rPr>
                                <w:rFonts w:ascii="Book Antiqua" w:hAnsi="Book Antiqua"/>
                                <w:b/>
                                <w:color w:val="000000"/>
                                <w:sz w:val="26"/>
                                <w:szCs w:val="26"/>
                              </w:rPr>
                              <w:t xml:space="preserve">„Глобал </w:t>
                            </w:r>
                            <w:proofErr w:type="spellStart"/>
                            <w:r>
                              <w:rPr>
                                <w:rFonts w:ascii="Book Antiqua" w:hAnsi="Book Antiqua"/>
                                <w:b/>
                                <w:color w:val="000000"/>
                                <w:sz w:val="26"/>
                                <w:szCs w:val="26"/>
                              </w:rPr>
                              <w:t>Адвайзърс</w:t>
                            </w:r>
                            <w:proofErr w:type="spellEnd"/>
                            <w:r>
                              <w:rPr>
                                <w:rFonts w:ascii="Book Antiqua" w:hAnsi="Book Antiqua"/>
                                <w:b/>
                                <w:color w:val="000000"/>
                                <w:sz w:val="26"/>
                                <w:szCs w:val="26"/>
                              </w:rPr>
                              <w:t>“ АД</w:t>
                            </w:r>
                          </w:p>
                          <w:p w14:paraId="00350B04" w14:textId="77777777" w:rsidR="00C72528" w:rsidRDefault="00C72528">
                            <w:pPr>
                              <w:jc w:val="center"/>
                              <w:rPr>
                                <w:rFonts w:ascii="Book Antiqua" w:hAnsi="Book Antiqua"/>
                                <w:color w:val="000000"/>
                                <w:sz w:val="24"/>
                                <w:szCs w:val="24"/>
                              </w:rPr>
                            </w:pPr>
                          </w:p>
                          <w:p w14:paraId="0DF456CC" w14:textId="77777777" w:rsidR="00C72528" w:rsidRDefault="00C72528">
                            <w:pPr>
                              <w:pStyle w:val="a3"/>
                              <w:jc w:val="center"/>
                            </w:pPr>
                            <w:r>
                              <w:rPr>
                                <w:noProof/>
                                <w:lang w:val="bg-BG" w:eastAsia="bg-BG"/>
                              </w:rPr>
                              <w:drawing>
                                <wp:inline distT="0" distB="0" distL="0" distR="0" wp14:anchorId="2958529A" wp14:editId="3C65B011">
                                  <wp:extent cx="1082036" cy="579116"/>
                                  <wp:effectExtent l="0" t="0" r="3814" b="0"/>
                                  <wp:docPr id="4" name="Картина 3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82036" cy="579116"/>
                                          </a:xfrm>
                                          <a:prstGeom prst="rect">
                                            <a:avLst/>
                                          </a:prstGeom>
                                          <a:noFill/>
                                          <a:ln>
                                            <a:noFill/>
                                            <a:prstDash/>
                                          </a:ln>
                                        </pic:spPr>
                                      </pic:pic>
                                    </a:graphicData>
                                  </a:graphic>
                                </wp:inline>
                              </w:drawing>
                            </w:r>
                          </w:p>
                        </w:tc>
                      </w:tr>
                    </w:tbl>
                    <w:p w14:paraId="6926E941" w14:textId="77777777" w:rsidR="00C72528" w:rsidRDefault="00C72528">
                      <w:pPr>
                        <w:jc w:val="center"/>
                      </w:pPr>
                    </w:p>
                    <w:p w14:paraId="14CF43F3" w14:textId="77777777" w:rsidR="00C72528" w:rsidRDefault="00C72528">
                      <w:pPr>
                        <w:jc w:val="center"/>
                      </w:pPr>
                    </w:p>
                    <w:p w14:paraId="6E6E72E1" w14:textId="77777777" w:rsidR="00C72528" w:rsidRDefault="00C72528">
                      <w:pPr>
                        <w:jc w:val="center"/>
                      </w:pPr>
                    </w:p>
                    <w:p w14:paraId="1E3A0505" w14:textId="07BF4C75" w:rsidR="00C72528" w:rsidRDefault="00C72528">
                      <w:pPr>
                        <w:jc w:val="center"/>
                      </w:pPr>
                      <w:r>
                        <w:rPr>
                          <w:rFonts w:ascii="Book Antiqua" w:hAnsi="Book Antiqua"/>
                          <w:sz w:val="24"/>
                        </w:rPr>
                        <w:t>София, май</w:t>
                      </w:r>
                      <w:r w:rsidRPr="00EF1A79">
                        <w:rPr>
                          <w:rFonts w:ascii="Book Antiqua" w:hAnsi="Book Antiqua"/>
                          <w:sz w:val="24"/>
                          <w:lang w:val="en-US"/>
                        </w:rPr>
                        <w:t xml:space="preserve"> </w:t>
                      </w:r>
                      <w:r>
                        <w:rPr>
                          <w:rFonts w:ascii="Book Antiqua" w:hAnsi="Book Antiqua"/>
                          <w:sz w:val="24"/>
                        </w:rPr>
                        <w:t>2020 г.</w:t>
                      </w:r>
                    </w:p>
                  </w:txbxContent>
                </v:textbox>
                <w10:wrap type="topAndBottom" anchorx="margin" anchory="page"/>
              </v:shape>
            </w:pict>
          </mc:Fallback>
        </mc:AlternateContent>
      </w:r>
    </w:p>
    <w:p w14:paraId="44BC93A4" w14:textId="77777777" w:rsidR="00E708DA" w:rsidRDefault="00AC4FE7">
      <w:pPr>
        <w:pageBreakBefore/>
        <w:jc w:val="both"/>
      </w:pPr>
      <w:r>
        <w:rPr>
          <w:rFonts w:ascii="Book Antiqua" w:hAnsi="Book Antiqua"/>
        </w:rPr>
        <w:lastRenderedPageBreak/>
        <w:t xml:space="preserve">Настоящото резюме представя резултатите от изпълнението на обществена поръчка с предмет </w:t>
      </w:r>
      <w:r>
        <w:rPr>
          <w:rFonts w:ascii="Book Antiqua" w:eastAsia="Book Antiqua" w:hAnsi="Book Antiqua" w:cs="Book Antiqua"/>
        </w:rPr>
        <w:t>„Междинна оценка на напредъка по изпълнението на приоритетни оси 1, 2 и 3 на Оперативна програма „Добро управление“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бюджетна линия с рег. № </w:t>
      </w:r>
      <w:proofErr w:type="spellStart"/>
      <w:r>
        <w:rPr>
          <w:rFonts w:ascii="Book Antiqua" w:eastAsia="Book Antiqua" w:hAnsi="Book Antiqua" w:cs="Book Antiqua"/>
        </w:rPr>
        <w:t>BG05SFOP001</w:t>
      </w:r>
      <w:proofErr w:type="spellEnd"/>
      <w:r>
        <w:rPr>
          <w:rFonts w:ascii="Book Antiqua" w:eastAsia="Book Antiqua" w:hAnsi="Book Antiqua" w:cs="Book Antiqua"/>
        </w:rPr>
        <w:t xml:space="preserve">-5.001-0002 с наименование „Оценки и анализи по </w:t>
      </w:r>
      <w:proofErr w:type="spellStart"/>
      <w:r>
        <w:rPr>
          <w:rFonts w:ascii="Book Antiqua" w:eastAsia="Book Antiqua" w:hAnsi="Book Antiqua" w:cs="Book Antiqua"/>
        </w:rPr>
        <w:t>ОПДУ</w:t>
      </w:r>
      <w:proofErr w:type="spellEnd"/>
      <w:r>
        <w:rPr>
          <w:rFonts w:ascii="Book Antiqua" w:eastAsia="Book Antiqua" w:hAnsi="Book Antiqua" w:cs="Book Antiqua"/>
        </w:rPr>
        <w:t>“, финансирана по Оперативна програма „Добро управление“, съфинансирана от Европейския социален фонд.</w:t>
      </w:r>
    </w:p>
    <w:p w14:paraId="1178DACB" w14:textId="77777777" w:rsidR="00E708DA" w:rsidRDefault="00AC4FE7">
      <w:pPr>
        <w:jc w:val="both"/>
        <w:rPr>
          <w:rFonts w:ascii="Book Antiqua" w:eastAsia="Book Antiqua" w:hAnsi="Book Antiqua" w:cs="Book Antiqua"/>
        </w:rPr>
      </w:pPr>
      <w:r>
        <w:rPr>
          <w:rFonts w:ascii="Book Antiqua" w:eastAsia="Book Antiqua" w:hAnsi="Book Antiqua" w:cs="Book Antiqua"/>
        </w:rPr>
        <w:t xml:space="preserve">Междинната оценка е извършена от екип от експерти на „Глобал </w:t>
      </w:r>
      <w:proofErr w:type="spellStart"/>
      <w:r>
        <w:rPr>
          <w:rFonts w:ascii="Book Antiqua" w:eastAsia="Book Antiqua" w:hAnsi="Book Antiqua" w:cs="Book Antiqua"/>
        </w:rPr>
        <w:t>Адвайзърс</w:t>
      </w:r>
      <w:proofErr w:type="spellEnd"/>
      <w:r>
        <w:rPr>
          <w:rFonts w:ascii="Book Antiqua" w:eastAsia="Book Antiqua" w:hAnsi="Book Antiqua" w:cs="Book Antiqua"/>
        </w:rPr>
        <w:t>“ АД в периода 16 декември 2019 г. – 16 април 2020 г.</w:t>
      </w:r>
    </w:p>
    <w:p w14:paraId="646E4A8D" w14:textId="77777777" w:rsidR="00E708DA" w:rsidRDefault="00E708DA">
      <w:pPr>
        <w:jc w:val="both"/>
        <w:rPr>
          <w:rFonts w:ascii="Book Antiqua" w:eastAsia="Book Antiqua" w:hAnsi="Book Antiqua" w:cs="Book Antiqua"/>
        </w:rPr>
      </w:pPr>
    </w:p>
    <w:p w14:paraId="762EF4E3" w14:textId="77777777" w:rsidR="00E708DA" w:rsidRPr="00486D8F" w:rsidRDefault="00AC4FE7">
      <w:pPr>
        <w:shd w:val="clear" w:color="auto" w:fill="B4C6E7"/>
        <w:spacing w:after="120"/>
        <w:jc w:val="both"/>
        <w:rPr>
          <w:rFonts w:ascii="Book Antiqua" w:eastAsia="Book Antiqua" w:hAnsi="Book Antiqua" w:cs="Book Antiqua"/>
          <w:b/>
        </w:rPr>
      </w:pPr>
      <w:r w:rsidRPr="00486D8F">
        <w:rPr>
          <w:rFonts w:ascii="Book Antiqua" w:eastAsia="Book Antiqua" w:hAnsi="Book Antiqua" w:cs="Book Antiqua"/>
          <w:b/>
        </w:rPr>
        <w:t>Цели на оценката</w:t>
      </w:r>
    </w:p>
    <w:p w14:paraId="0275975D" w14:textId="77777777" w:rsidR="00E708DA" w:rsidRDefault="00AC4FE7">
      <w:pPr>
        <w:jc w:val="both"/>
      </w:pPr>
      <w:r>
        <w:rPr>
          <w:rFonts w:ascii="Book Antiqua" w:eastAsia="Book Antiqua" w:hAnsi="Book Antiqua" w:cs="Book Antiqua"/>
          <w:b/>
        </w:rPr>
        <w:t>Общата цел</w:t>
      </w:r>
      <w:r>
        <w:rPr>
          <w:rFonts w:ascii="Book Antiqua" w:eastAsia="Book Antiqua" w:hAnsi="Book Antiqua" w:cs="Book Antiqua"/>
        </w:rPr>
        <w:t xml:space="preserve"> на оценката е извършването на независим анализ и оценка на напредъка в изпълнението на Приоритетна ос 1: „Административно обслужване и е-управление“ (ПО 1), Приоритетна ос 2: „Ефективно и професионално управление в партньорство с гражданското общество и бизнеса“ (ПО 2) и Приоритетна ос 3: „Прозрачна и ефективна съдебна система“ (ПО 3)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w:t>
      </w:r>
    </w:p>
    <w:p w14:paraId="743C77AA" w14:textId="77777777" w:rsidR="00E708DA" w:rsidRDefault="00AC4FE7">
      <w:pPr>
        <w:jc w:val="both"/>
      </w:pPr>
      <w:r>
        <w:rPr>
          <w:rFonts w:ascii="Book Antiqua" w:eastAsia="Book Antiqua" w:hAnsi="Book Antiqua" w:cs="Book Antiqua"/>
        </w:rPr>
        <w:t xml:space="preserve">Дефинирани са четири </w:t>
      </w:r>
      <w:r>
        <w:rPr>
          <w:rFonts w:ascii="Book Antiqua" w:eastAsia="Book Antiqua" w:hAnsi="Book Antiqua" w:cs="Book Antiqua"/>
          <w:b/>
        </w:rPr>
        <w:t>специфични цели</w:t>
      </w:r>
      <w:r>
        <w:rPr>
          <w:rFonts w:ascii="Book Antiqua" w:eastAsia="Book Antiqua" w:hAnsi="Book Antiqua" w:cs="Book Antiqua"/>
        </w:rPr>
        <w:t>:</w:t>
      </w:r>
    </w:p>
    <w:p w14:paraId="4EC7AD65" w14:textId="77777777" w:rsidR="00E708DA" w:rsidRDefault="00AC4FE7">
      <w:pPr>
        <w:numPr>
          <w:ilvl w:val="0"/>
          <w:numId w:val="1"/>
        </w:numPr>
        <w:ind w:left="714" w:hanging="357"/>
        <w:jc w:val="both"/>
        <w:rPr>
          <w:rFonts w:ascii="Book Antiqua" w:eastAsia="Book Antiqua" w:hAnsi="Book Antiqua" w:cs="Book Antiqua"/>
          <w:color w:val="000000"/>
        </w:rPr>
      </w:pPr>
      <w:r>
        <w:rPr>
          <w:rFonts w:ascii="Book Antiqua" w:eastAsia="Book Antiqua" w:hAnsi="Book Antiqua" w:cs="Book Antiqua"/>
          <w:color w:val="000000"/>
        </w:rPr>
        <w:t xml:space="preserve">Да се оцени напредъкът в изпълнението на програмата от нейното одобрение от ЕК 19 февруари 2015 г. до 30 септември 2019 г., като се анализират заложените цели и приоритети, финансираните проекти, постигнатите резултати и индикатори; </w:t>
      </w:r>
    </w:p>
    <w:p w14:paraId="5D53D72D" w14:textId="77777777" w:rsidR="00E708DA" w:rsidRDefault="00AC4FE7">
      <w:pPr>
        <w:numPr>
          <w:ilvl w:val="0"/>
          <w:numId w:val="1"/>
        </w:numPr>
        <w:jc w:val="both"/>
        <w:rPr>
          <w:rFonts w:ascii="Book Antiqua" w:eastAsia="Book Antiqua" w:hAnsi="Book Antiqua" w:cs="Book Antiqua"/>
          <w:color w:val="000000"/>
        </w:rPr>
      </w:pPr>
      <w:r>
        <w:rPr>
          <w:rFonts w:ascii="Book Antiqua" w:eastAsia="Book Antiqua" w:hAnsi="Book Antiqua" w:cs="Book Antiqua"/>
          <w:color w:val="000000"/>
        </w:rPr>
        <w:t>Да се анализират новите (2018-2019 г.) приоритети и тенденции в областта на електронното управление и правосъдие, развитието на държавната администрация и съдебната реформа;</w:t>
      </w:r>
    </w:p>
    <w:p w14:paraId="7472D13B" w14:textId="77777777" w:rsidR="00E708DA" w:rsidRDefault="00AC4FE7">
      <w:pPr>
        <w:numPr>
          <w:ilvl w:val="0"/>
          <w:numId w:val="1"/>
        </w:numPr>
        <w:jc w:val="both"/>
        <w:rPr>
          <w:rFonts w:ascii="Book Antiqua" w:eastAsia="Book Antiqua" w:hAnsi="Book Antiqua" w:cs="Book Antiqua"/>
          <w:color w:val="000000"/>
        </w:rPr>
      </w:pPr>
      <w:r>
        <w:rPr>
          <w:rFonts w:ascii="Book Antiqua" w:eastAsia="Book Antiqua" w:hAnsi="Book Antiqua" w:cs="Book Antiqua"/>
          <w:color w:val="000000"/>
        </w:rPr>
        <w:t xml:space="preserve">Да се оцени доколко предвидените цели, приоритети и индикатори по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са актуални и могат да бъдат постигнати, и какъв е приносът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за реформите в отделните области;</w:t>
      </w:r>
    </w:p>
    <w:p w14:paraId="73D1B63F" w14:textId="77777777" w:rsidR="00E708DA" w:rsidRDefault="00AC4FE7">
      <w:pPr>
        <w:numPr>
          <w:ilvl w:val="0"/>
          <w:numId w:val="1"/>
        </w:numPr>
        <w:ind w:left="714" w:hanging="357"/>
        <w:jc w:val="both"/>
        <w:rPr>
          <w:rFonts w:ascii="Book Antiqua" w:eastAsia="Book Antiqua" w:hAnsi="Book Antiqua" w:cs="Book Antiqua"/>
          <w:color w:val="000000"/>
        </w:rPr>
      </w:pPr>
      <w:r>
        <w:rPr>
          <w:rFonts w:ascii="Book Antiqua" w:eastAsia="Book Antiqua" w:hAnsi="Book Antiqua" w:cs="Book Antiqua"/>
          <w:color w:val="000000"/>
        </w:rPr>
        <w:t xml:space="preserve">Да се направят конкретни препоръки и предложения за изменение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Наръчника на индикаторите по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вкл. за промяна в целевите стойности, преформулиране, отпадане на някои от съществуващите индикатори и предложения за включване на нови такива (ако е необходимо).</w:t>
      </w:r>
    </w:p>
    <w:p w14:paraId="4F498BCB" w14:textId="77777777" w:rsidR="00E708DA" w:rsidRDefault="00E708DA">
      <w:pPr>
        <w:ind w:left="357"/>
        <w:jc w:val="both"/>
        <w:rPr>
          <w:rFonts w:ascii="Book Antiqua" w:eastAsia="Book Antiqua" w:hAnsi="Book Antiqua" w:cs="Book Antiqua"/>
          <w:color w:val="000000"/>
        </w:rPr>
      </w:pPr>
    </w:p>
    <w:p w14:paraId="5384BCCB" w14:textId="77777777" w:rsidR="00E708DA" w:rsidRPr="00486D8F" w:rsidRDefault="00AC4FE7">
      <w:pPr>
        <w:shd w:val="clear" w:color="auto" w:fill="B4C6E7"/>
        <w:spacing w:after="120"/>
        <w:jc w:val="both"/>
        <w:rPr>
          <w:rFonts w:ascii="Book Antiqua" w:eastAsia="Book Antiqua" w:hAnsi="Book Antiqua" w:cs="Book Antiqua"/>
          <w:b/>
        </w:rPr>
      </w:pPr>
      <w:r w:rsidRPr="00486D8F">
        <w:rPr>
          <w:rFonts w:ascii="Book Antiqua" w:eastAsia="Book Antiqua" w:hAnsi="Book Antiqua" w:cs="Book Antiqua"/>
          <w:b/>
        </w:rPr>
        <w:t>Обхват на оценката</w:t>
      </w:r>
    </w:p>
    <w:p w14:paraId="264B8D9E" w14:textId="77777777" w:rsidR="00E708DA" w:rsidRDefault="00AC4FE7">
      <w:pPr>
        <w:jc w:val="both"/>
      </w:pPr>
      <w:r>
        <w:rPr>
          <w:rFonts w:ascii="Book Antiqua" w:eastAsia="Book Antiqua" w:hAnsi="Book Antiqua" w:cs="Book Antiqua"/>
        </w:rPr>
        <w:t xml:space="preserve">Оценката обхвана цялостното изпълнение на ПО 1, ПО 2 и ПО 3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от одобряването на програмата на 19 февруари 2015 г. до 30 септември 2019 г., включително анализ на степента на постигане на целевите стойности на индикаторите и формулиране при необходимост както на препоръки за промяна и/или отпадане на някои от съществуващите индикатори, така и на предложения за включването на нови индикатори или преформулиране на съществуващи.</w:t>
      </w:r>
    </w:p>
    <w:p w14:paraId="3B84A005" w14:textId="77777777" w:rsidR="00E708DA" w:rsidRDefault="00AC4FE7">
      <w:pPr>
        <w:jc w:val="both"/>
        <w:rPr>
          <w:rFonts w:ascii="Book Antiqua" w:eastAsia="Book Antiqua" w:hAnsi="Book Antiqua" w:cs="Book Antiqua"/>
        </w:rPr>
      </w:pPr>
      <w:r>
        <w:rPr>
          <w:rFonts w:ascii="Book Antiqua" w:eastAsia="Book Antiqua" w:hAnsi="Book Antiqua" w:cs="Book Antiqua"/>
        </w:rPr>
        <w:t>Предвид датата на сключването на договора и след обсъждане с Възложителя, обхватът на оценката бе разширен, като периодът обхваща цялата 2019 г. (до 31.12.2019 г.).</w:t>
      </w:r>
    </w:p>
    <w:p w14:paraId="69FBAD71" w14:textId="37CA344B" w:rsidR="00E708DA" w:rsidRDefault="00486D8F">
      <w:pPr>
        <w:jc w:val="both"/>
        <w:rPr>
          <w:rFonts w:ascii="Book Antiqua" w:eastAsia="Book Antiqua" w:hAnsi="Book Antiqua" w:cs="Book Antiqua"/>
        </w:rPr>
      </w:pPr>
      <w:r>
        <w:rPr>
          <w:rFonts w:ascii="Book Antiqua" w:eastAsia="Book Antiqua" w:hAnsi="Book Antiqua" w:cs="Book Antiqua"/>
        </w:rPr>
        <w:t>Междинната</w:t>
      </w:r>
      <w:r w:rsidR="00AC4FE7">
        <w:rPr>
          <w:rFonts w:ascii="Book Antiqua" w:eastAsia="Book Antiqua" w:hAnsi="Book Antiqua" w:cs="Book Antiqua"/>
        </w:rPr>
        <w:t xml:space="preserve"> оценка е извършена в изпълнение на четири основни задачи,  както следва:</w:t>
      </w:r>
    </w:p>
    <w:p w14:paraId="7739A8C8" w14:textId="77777777" w:rsidR="00E708DA" w:rsidRDefault="00AC4FE7">
      <w:pPr>
        <w:numPr>
          <w:ilvl w:val="0"/>
          <w:numId w:val="2"/>
        </w:numPr>
        <w:ind w:left="567" w:hanging="283"/>
        <w:jc w:val="both"/>
      </w:pPr>
      <w:r>
        <w:rPr>
          <w:rFonts w:ascii="Book Antiqua" w:eastAsia="Book Antiqua" w:hAnsi="Book Antiqua" w:cs="Book Antiqua"/>
          <w:b/>
          <w:i/>
          <w:color w:val="000000"/>
        </w:rPr>
        <w:t>Задача 1:</w:t>
      </w:r>
      <w:r>
        <w:rPr>
          <w:rFonts w:ascii="Book Antiqua" w:eastAsia="Book Antiqua" w:hAnsi="Book Antiqua" w:cs="Book Antiqua"/>
          <w:color w:val="000000"/>
        </w:rPr>
        <w:t xml:space="preserve"> Анализ и оценка на напредъка в изпълнението на ПО 1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постигане на целевите стойности на индикаторите по оста. Формулиране на препоръки за подобряване на изпълнението на ПО 1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в т.ч. формулиране на конкретни предложения за промени в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Наръчника на индикаторите по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метаданните по индикаторите и други документи.</w:t>
      </w:r>
    </w:p>
    <w:p w14:paraId="3B79E47B" w14:textId="77777777" w:rsidR="00E708DA" w:rsidRDefault="00AC4FE7">
      <w:pPr>
        <w:numPr>
          <w:ilvl w:val="0"/>
          <w:numId w:val="2"/>
        </w:numPr>
        <w:ind w:left="567" w:hanging="283"/>
        <w:jc w:val="both"/>
      </w:pPr>
      <w:r>
        <w:rPr>
          <w:rFonts w:ascii="Book Antiqua" w:eastAsia="Book Antiqua" w:hAnsi="Book Antiqua" w:cs="Book Antiqua"/>
          <w:b/>
          <w:i/>
          <w:color w:val="000000"/>
        </w:rPr>
        <w:lastRenderedPageBreak/>
        <w:t>Задача 2:</w:t>
      </w:r>
      <w:r>
        <w:rPr>
          <w:rFonts w:ascii="Book Antiqua" w:eastAsia="Book Antiqua" w:hAnsi="Book Antiqua" w:cs="Book Antiqua"/>
          <w:color w:val="000000"/>
        </w:rPr>
        <w:t xml:space="preserve"> Анализ и оценка на напредъка в изпълнението на ПО 2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постигане на целевите стойности на индикаторите по оста. Формулиране на препоръки за подобряване на изпълнението на ПО 2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в т.ч. формулиране на конкретни предложения за промени в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Наръчника на индикаторите по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метаданните по индикаторите и други документи.</w:t>
      </w:r>
    </w:p>
    <w:p w14:paraId="1CC48002" w14:textId="77777777" w:rsidR="00E708DA" w:rsidRDefault="00AC4FE7">
      <w:pPr>
        <w:numPr>
          <w:ilvl w:val="0"/>
          <w:numId w:val="2"/>
        </w:numPr>
        <w:ind w:left="567" w:hanging="283"/>
        <w:jc w:val="both"/>
      </w:pPr>
      <w:r>
        <w:rPr>
          <w:rFonts w:ascii="Book Antiqua" w:eastAsia="Book Antiqua" w:hAnsi="Book Antiqua" w:cs="Book Antiqua"/>
          <w:b/>
          <w:i/>
          <w:color w:val="000000"/>
        </w:rPr>
        <w:t>Задача 3:</w:t>
      </w:r>
      <w:r>
        <w:rPr>
          <w:rFonts w:ascii="Book Antiqua" w:eastAsia="Book Antiqua" w:hAnsi="Book Antiqua" w:cs="Book Antiqua"/>
          <w:color w:val="000000"/>
        </w:rPr>
        <w:t xml:space="preserve"> Анализ и оценка на напредъка в изпълнението на ПО 3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постигане на целевите стойности на индикаторите по оста. Формулиране на препоръки за подобряване на изпълнението на ПО 3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в т.ч. формулиране на конкретни предложения за промени в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Наръчника на индикаторите по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и метаданните по индикаторите и други документи.</w:t>
      </w:r>
    </w:p>
    <w:p w14:paraId="4BD8096B" w14:textId="77777777" w:rsidR="00E708DA" w:rsidRDefault="00AC4FE7">
      <w:pPr>
        <w:numPr>
          <w:ilvl w:val="0"/>
          <w:numId w:val="2"/>
        </w:numPr>
        <w:ind w:left="567" w:hanging="283"/>
        <w:jc w:val="both"/>
      </w:pPr>
      <w:r>
        <w:rPr>
          <w:rFonts w:ascii="Book Antiqua" w:eastAsia="Book Antiqua" w:hAnsi="Book Antiqua" w:cs="Book Antiqua"/>
          <w:b/>
          <w:i/>
          <w:color w:val="000000"/>
        </w:rPr>
        <w:t>Задача 4:</w:t>
      </w:r>
      <w:r>
        <w:rPr>
          <w:rFonts w:ascii="Book Antiqua" w:eastAsia="Book Antiqua" w:hAnsi="Book Antiqua" w:cs="Book Antiqua"/>
          <w:color w:val="000000"/>
        </w:rPr>
        <w:t xml:space="preserve"> Анализ и оценка на разпределението на финансовия ресурс между  ПО 1, ПО 2 и ПО 3 на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 xml:space="preserve">, в т.ч. формулиране на конкретни предложения за промени в </w:t>
      </w:r>
      <w:proofErr w:type="spellStart"/>
      <w:r>
        <w:rPr>
          <w:rFonts w:ascii="Book Antiqua" w:eastAsia="Book Antiqua" w:hAnsi="Book Antiqua" w:cs="Book Antiqua"/>
          <w:color w:val="000000"/>
        </w:rPr>
        <w:t>ОПДУ</w:t>
      </w:r>
      <w:proofErr w:type="spellEnd"/>
      <w:r>
        <w:rPr>
          <w:rFonts w:ascii="Book Antiqua" w:eastAsia="Book Antiqua" w:hAnsi="Book Antiqua" w:cs="Book Antiqua"/>
          <w:color w:val="000000"/>
        </w:rPr>
        <w:t>.</w:t>
      </w:r>
    </w:p>
    <w:p w14:paraId="39EE36D9" w14:textId="77777777" w:rsidR="00E708DA" w:rsidRDefault="00E708DA">
      <w:pPr>
        <w:ind w:left="284"/>
        <w:jc w:val="both"/>
      </w:pPr>
    </w:p>
    <w:p w14:paraId="02BAE8AB" w14:textId="77777777" w:rsidR="00E708DA" w:rsidRPr="00486D8F" w:rsidRDefault="00AC4FE7">
      <w:pPr>
        <w:shd w:val="clear" w:color="auto" w:fill="B4C6E7"/>
        <w:spacing w:after="120"/>
        <w:jc w:val="both"/>
        <w:rPr>
          <w:rFonts w:ascii="Book Antiqua" w:eastAsia="Book Antiqua" w:hAnsi="Book Antiqua" w:cs="Book Antiqua"/>
          <w:b/>
        </w:rPr>
      </w:pPr>
      <w:r w:rsidRPr="00486D8F">
        <w:rPr>
          <w:rFonts w:ascii="Book Antiqua" w:eastAsia="Book Antiqua" w:hAnsi="Book Antiqua" w:cs="Book Antiqua"/>
          <w:b/>
        </w:rPr>
        <w:t>Методология за извършване на оценката</w:t>
      </w:r>
    </w:p>
    <w:p w14:paraId="577CA6AF" w14:textId="77777777" w:rsidR="00E708DA" w:rsidRDefault="00AC4FE7">
      <w:pPr>
        <w:jc w:val="both"/>
      </w:pPr>
      <w:r>
        <w:rPr>
          <w:rFonts w:ascii="Book Antiqua" w:eastAsia="Book Antiqua" w:hAnsi="Book Antiqua" w:cs="Book Antiqua"/>
        </w:rPr>
        <w:t xml:space="preserve">При изпълнението на оценката са използвани </w:t>
      </w:r>
      <w:r>
        <w:rPr>
          <w:rFonts w:ascii="Book Antiqua" w:eastAsia="Book Antiqua" w:hAnsi="Book Antiqua" w:cs="Book Antiqua"/>
          <w:b/>
        </w:rPr>
        <w:t>информация и данни</w:t>
      </w:r>
      <w:r>
        <w:rPr>
          <w:rFonts w:ascii="Book Antiqua" w:eastAsia="Book Antiqua" w:hAnsi="Book Antiqua" w:cs="Book Antiqua"/>
        </w:rPr>
        <w:t xml:space="preserve">, които са набирани като част от системата за мониторинг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и са предоставени от </w:t>
      </w:r>
      <w:proofErr w:type="spellStart"/>
      <w:r>
        <w:rPr>
          <w:rFonts w:ascii="Book Antiqua" w:eastAsia="Book Antiqua" w:hAnsi="Book Antiqua" w:cs="Book Antiqua"/>
        </w:rPr>
        <w:t>УО</w:t>
      </w:r>
      <w:proofErr w:type="spellEnd"/>
      <w:r>
        <w:rPr>
          <w:rFonts w:ascii="Book Antiqua" w:eastAsia="Book Antiqua" w:hAnsi="Book Antiqua" w:cs="Book Antiqua"/>
        </w:rPr>
        <w:t xml:space="preserve">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(вътрешни анализи за изпълнение на програмата по </w:t>
      </w:r>
      <w:proofErr w:type="spellStart"/>
      <w:r>
        <w:rPr>
          <w:rFonts w:ascii="Book Antiqua" w:eastAsia="Book Antiqua" w:hAnsi="Book Antiqua" w:cs="Book Antiqua"/>
        </w:rPr>
        <w:t>ПО</w:t>
      </w:r>
      <w:proofErr w:type="spellEnd"/>
      <w:r>
        <w:rPr>
          <w:rFonts w:ascii="Book Antiqua" w:eastAsia="Book Antiqua" w:hAnsi="Book Antiqua" w:cs="Book Antiqua"/>
        </w:rPr>
        <w:t xml:space="preserve"> 1, ПО 2, </w:t>
      </w:r>
      <w:proofErr w:type="spellStart"/>
      <w:r>
        <w:rPr>
          <w:rFonts w:ascii="Book Antiqua" w:eastAsia="Book Antiqua" w:hAnsi="Book Antiqua" w:cs="Book Antiqua"/>
        </w:rPr>
        <w:t>ПО3</w:t>
      </w:r>
      <w:proofErr w:type="spellEnd"/>
      <w:r>
        <w:rPr>
          <w:rFonts w:ascii="Book Antiqua" w:eastAsia="Book Antiqua" w:hAnsi="Book Antiqua" w:cs="Book Antiqua"/>
        </w:rPr>
        <w:t xml:space="preserve">; данни за индикаторите и финансовото изпълнение), както и публично достъпна информация (нормативни и стратегически документи, годишни доклади за изпълнението на програмата, наръчници и указания, доклади от предходни оценки) и данните от </w:t>
      </w:r>
      <w:proofErr w:type="spellStart"/>
      <w:r>
        <w:rPr>
          <w:rFonts w:ascii="Book Antiqua" w:eastAsia="Book Antiqua" w:hAnsi="Book Antiqua" w:cs="Book Antiqua"/>
        </w:rPr>
        <w:t>ИСУН</w:t>
      </w:r>
      <w:proofErr w:type="spellEnd"/>
      <w:r>
        <w:rPr>
          <w:rFonts w:ascii="Book Antiqua" w:eastAsia="Book Antiqua" w:hAnsi="Book Antiqua" w:cs="Book Antiqua"/>
        </w:rPr>
        <w:t xml:space="preserve"> 2020. </w:t>
      </w:r>
    </w:p>
    <w:p w14:paraId="64137B1D" w14:textId="77777777" w:rsidR="00E708DA" w:rsidRDefault="00AC4FE7">
      <w:pPr>
        <w:jc w:val="both"/>
      </w:pPr>
      <w:r>
        <w:rPr>
          <w:rFonts w:ascii="Book Antiqua" w:eastAsia="Book Antiqua" w:hAnsi="Book Antiqua" w:cs="Book Antiqua"/>
        </w:rPr>
        <w:t>Допълнително, по време на оценката, е набрана информация посредством проведени срещи</w:t>
      </w:r>
      <w:r>
        <w:rPr>
          <w:rFonts w:ascii="Book Antiqua" w:eastAsia="Book Antiqua" w:hAnsi="Book Antiqua" w:cs="Book Antiqua"/>
          <w:b/>
        </w:rPr>
        <w:t xml:space="preserve"> </w:t>
      </w:r>
      <w:r>
        <w:rPr>
          <w:rFonts w:ascii="Book Antiqua" w:eastAsia="Book Antiqua" w:hAnsi="Book Antiqua" w:cs="Book Antiqua"/>
        </w:rPr>
        <w:t xml:space="preserve">със служители на </w:t>
      </w:r>
      <w:proofErr w:type="spellStart"/>
      <w:r>
        <w:rPr>
          <w:rFonts w:ascii="Book Antiqua" w:eastAsia="Book Antiqua" w:hAnsi="Book Antiqua" w:cs="Book Antiqua"/>
        </w:rPr>
        <w:t>УО</w:t>
      </w:r>
      <w:proofErr w:type="spellEnd"/>
      <w:r>
        <w:rPr>
          <w:rFonts w:ascii="Book Antiqua" w:eastAsia="Book Antiqua" w:hAnsi="Book Antiqua" w:cs="Book Antiqua"/>
        </w:rPr>
        <w:t xml:space="preserve">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и </w:t>
      </w:r>
      <w:r>
        <w:rPr>
          <w:rFonts w:ascii="Book Antiqua" w:eastAsia="Book Antiqua" w:hAnsi="Book Antiqua" w:cs="Book Antiqua"/>
          <w:b/>
        </w:rPr>
        <w:t>интервюта</w:t>
      </w:r>
      <w:r>
        <w:rPr>
          <w:rFonts w:ascii="Book Antiqua" w:eastAsia="Book Antiqua" w:hAnsi="Book Antiqua" w:cs="Book Antiqua"/>
        </w:rPr>
        <w:t xml:space="preserve"> с ключови бенефициенти. </w:t>
      </w:r>
    </w:p>
    <w:p w14:paraId="5A66FBD3" w14:textId="77777777" w:rsidR="00E708DA" w:rsidRDefault="00AC4FE7">
      <w:pPr>
        <w:jc w:val="both"/>
      </w:pPr>
      <w:r>
        <w:rPr>
          <w:rFonts w:ascii="Book Antiqua" w:eastAsia="Book Antiqua" w:hAnsi="Book Antiqua" w:cs="Book Antiqua"/>
        </w:rPr>
        <w:t xml:space="preserve">За целите на анализа и оценката по Приоритетна ос 2 бе проведено </w:t>
      </w:r>
      <w:r>
        <w:rPr>
          <w:rFonts w:ascii="Book Antiqua" w:eastAsia="Book Antiqua" w:hAnsi="Book Antiqua" w:cs="Book Antiqua"/>
          <w:b/>
        </w:rPr>
        <w:t xml:space="preserve">анкетно проучване </w:t>
      </w:r>
      <w:r>
        <w:rPr>
          <w:rFonts w:ascii="Book Antiqua" w:eastAsia="Book Antiqua" w:hAnsi="Book Antiqua" w:cs="Book Antiqua"/>
        </w:rPr>
        <w:t xml:space="preserve">сред бенефициентите по процедура  </w:t>
      </w:r>
      <w:proofErr w:type="spellStart"/>
      <w:r>
        <w:rPr>
          <w:rFonts w:ascii="Book Antiqua" w:eastAsia="Book Antiqua" w:hAnsi="Book Antiqua" w:cs="Book Antiqua"/>
        </w:rPr>
        <w:t>BG05SFOP001</w:t>
      </w:r>
      <w:proofErr w:type="spellEnd"/>
      <w:r>
        <w:rPr>
          <w:rFonts w:ascii="Book Antiqua" w:eastAsia="Book Antiqua" w:hAnsi="Book Antiqua" w:cs="Book Antiqua"/>
        </w:rPr>
        <w:t xml:space="preserve">-2.009 „Повишаване на гражданското участие в процесите на формулиране, изпълнение и мониторинг на политики и законодателство“. </w:t>
      </w:r>
    </w:p>
    <w:p w14:paraId="3BD7A3E5" w14:textId="402B95B8" w:rsidR="00E708DA" w:rsidRDefault="00AC4FE7">
      <w:pPr>
        <w:jc w:val="both"/>
        <w:rPr>
          <w:rFonts w:ascii="Book Antiqua" w:eastAsia="Book Antiqua" w:hAnsi="Book Antiqua" w:cs="Book Antiqua"/>
        </w:rPr>
      </w:pPr>
      <w:r>
        <w:rPr>
          <w:rFonts w:ascii="Book Antiqua" w:eastAsia="Book Antiqua" w:hAnsi="Book Antiqua" w:cs="Book Antiqua"/>
        </w:rPr>
        <w:t>На 27 февруари 20</w:t>
      </w:r>
      <w:r w:rsidR="00D6053A">
        <w:rPr>
          <w:rFonts w:ascii="Book Antiqua" w:eastAsia="Book Antiqua" w:hAnsi="Book Antiqua" w:cs="Book Antiqua"/>
        </w:rPr>
        <w:t>20</w:t>
      </w:r>
      <w:bookmarkStart w:id="1" w:name="_GoBack"/>
      <w:bookmarkEnd w:id="1"/>
      <w:r>
        <w:rPr>
          <w:rFonts w:ascii="Book Antiqua" w:eastAsia="Book Antiqua" w:hAnsi="Book Antiqua" w:cs="Book Antiqua"/>
        </w:rPr>
        <w:t xml:space="preserve"> г. бе проведена фокус група с бенефициенти по </w:t>
      </w:r>
      <w:proofErr w:type="spellStart"/>
      <w:r>
        <w:rPr>
          <w:rFonts w:ascii="Book Antiqua" w:eastAsia="Book Antiqua" w:hAnsi="Book Antiqua" w:cs="Book Antiqua"/>
        </w:rPr>
        <w:t>ПО</w:t>
      </w:r>
      <w:proofErr w:type="spellEnd"/>
      <w:r>
        <w:rPr>
          <w:rFonts w:ascii="Book Antiqua" w:eastAsia="Book Antiqua" w:hAnsi="Book Antiqua" w:cs="Book Antiqua"/>
        </w:rPr>
        <w:t xml:space="preserve"> 3. Темата на фокус групата бе „Напредъкът в изпълнението на целите на приоритетна ос 3 „Прозрачна и ефективна съдебна система“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Дискутираните въпроси обхванаха отчитането на индикаторите по програмата, постигнатите резултати, необходимост от промени в целите и индикаторите на програмата, промяна на приоритети, законодателство и тенденции през 2018 – 2019 г. в съдебната система. </w:t>
      </w:r>
    </w:p>
    <w:p w14:paraId="5AB764A7" w14:textId="77777777" w:rsidR="00E708DA" w:rsidRDefault="00E708DA">
      <w:pPr>
        <w:jc w:val="both"/>
        <w:rPr>
          <w:rFonts w:ascii="Book Antiqua" w:eastAsia="Book Antiqua" w:hAnsi="Book Antiqua" w:cs="Book Antiqua"/>
        </w:rPr>
      </w:pPr>
    </w:p>
    <w:p w14:paraId="489D3A0D" w14:textId="77777777" w:rsidR="00E708DA" w:rsidRPr="00486D8F" w:rsidRDefault="00AC4FE7">
      <w:pPr>
        <w:shd w:val="clear" w:color="auto" w:fill="B4C6E7"/>
        <w:spacing w:after="120"/>
        <w:jc w:val="both"/>
        <w:rPr>
          <w:rFonts w:ascii="Book Antiqua" w:eastAsia="Book Antiqua" w:hAnsi="Book Antiqua" w:cs="Book Antiqua"/>
          <w:b/>
        </w:rPr>
      </w:pPr>
      <w:r w:rsidRPr="00486D8F">
        <w:rPr>
          <w:rFonts w:ascii="Book Antiqua" w:eastAsia="Book Antiqua" w:hAnsi="Book Antiqua" w:cs="Book Antiqua"/>
          <w:b/>
        </w:rPr>
        <w:t>Основни изводи и препоръки</w:t>
      </w:r>
    </w:p>
    <w:p w14:paraId="005F5CDC" w14:textId="77777777" w:rsidR="00E708DA" w:rsidRDefault="00AC4FE7">
      <w:pPr>
        <w:pStyle w:val="a6"/>
        <w:numPr>
          <w:ilvl w:val="0"/>
          <w:numId w:val="3"/>
        </w:numPr>
        <w:shd w:val="clear" w:color="auto" w:fill="D9E2F3"/>
        <w:spacing w:after="120"/>
        <w:ind w:left="714" w:hanging="357"/>
        <w:jc w:val="both"/>
        <w:rPr>
          <w:rFonts w:ascii="Book Antiqua" w:hAnsi="Book Antiqua"/>
          <w:b/>
          <w:color w:val="44546A"/>
        </w:rPr>
      </w:pPr>
      <w:r>
        <w:rPr>
          <w:rFonts w:ascii="Book Antiqua" w:hAnsi="Book Antiqua"/>
          <w:b/>
          <w:color w:val="44546A"/>
        </w:rPr>
        <w:t xml:space="preserve">Общи изводи и препоръки, валидни и за трите приоритетни оси </w:t>
      </w:r>
    </w:p>
    <w:p w14:paraId="148ABC24" w14:textId="7F3502D9" w:rsidR="00E708DA" w:rsidRDefault="00AC4FE7">
      <w:pPr>
        <w:spacing w:before="120"/>
        <w:jc w:val="both"/>
      </w:pPr>
      <w:r>
        <w:rPr>
          <w:rFonts w:ascii="Book Antiqua" w:hAnsi="Book Antiqua"/>
          <w:b/>
          <w:color w:val="44546A"/>
        </w:rPr>
        <w:t>1.</w:t>
      </w:r>
      <w:r w:rsidR="00513C86">
        <w:rPr>
          <w:rFonts w:ascii="Book Antiqua" w:hAnsi="Book Antiqua"/>
          <w:b/>
          <w:color w:val="44546A"/>
        </w:rPr>
        <w:t>1</w:t>
      </w:r>
      <w:r>
        <w:rPr>
          <w:rFonts w:ascii="Book Antiqua" w:hAnsi="Book Antiqua"/>
          <w:b/>
          <w:color w:val="44546A"/>
        </w:rPr>
        <w:t>.</w:t>
      </w:r>
      <w:r>
        <w:rPr>
          <w:rFonts w:ascii="Book Antiqua" w:hAnsi="Book Antiqua"/>
          <w:color w:val="44546A"/>
        </w:rPr>
        <w:t xml:space="preserve"> </w:t>
      </w:r>
      <w:r>
        <w:rPr>
          <w:rFonts w:ascii="Book Antiqua" w:eastAsia="Book Antiqua" w:hAnsi="Book Antiqua" w:cs="Book Antiqua"/>
        </w:rPr>
        <w:t xml:space="preserve">И по трите приоритетни оси е налице риск от </w:t>
      </w:r>
      <w:proofErr w:type="spellStart"/>
      <w:r>
        <w:rPr>
          <w:rFonts w:ascii="Book Antiqua" w:eastAsia="Book Antiqua" w:hAnsi="Book Antiqua" w:cs="Book Antiqua"/>
        </w:rPr>
        <w:t>неусвояване</w:t>
      </w:r>
      <w:proofErr w:type="spellEnd"/>
      <w:r>
        <w:rPr>
          <w:rFonts w:ascii="Book Antiqua" w:eastAsia="Book Antiqua" w:hAnsi="Book Antiqua" w:cs="Book Antiqua"/>
        </w:rPr>
        <w:t xml:space="preserve"> на предвидения финансов ресурс:</w:t>
      </w:r>
    </w:p>
    <w:p w14:paraId="29606ED2" w14:textId="77777777" w:rsidR="00E708DA" w:rsidRDefault="00AC4FE7">
      <w:pPr>
        <w:numPr>
          <w:ilvl w:val="0"/>
          <w:numId w:val="4"/>
        </w:numPr>
        <w:ind w:left="314" w:hanging="314"/>
        <w:jc w:val="both"/>
        <w:rPr>
          <w:rFonts w:ascii="Book Antiqua" w:eastAsia="Book Antiqua" w:hAnsi="Book Antiqua" w:cs="Book Antiqua"/>
          <w:lang w:eastAsia="bg-BG"/>
        </w:rPr>
      </w:pPr>
      <w:r>
        <w:rPr>
          <w:rFonts w:ascii="Book Antiqua" w:eastAsia="Book Antiqua" w:hAnsi="Book Antiqua" w:cs="Book Antiqua"/>
          <w:lang w:eastAsia="bg-BG"/>
        </w:rPr>
        <w:t xml:space="preserve">По </w:t>
      </w:r>
      <w:proofErr w:type="spellStart"/>
      <w:r>
        <w:rPr>
          <w:rFonts w:ascii="Book Antiqua" w:eastAsia="Book Antiqua" w:hAnsi="Book Antiqua" w:cs="Book Antiqua"/>
          <w:lang w:eastAsia="bg-BG"/>
        </w:rPr>
        <w:t>ПО1</w:t>
      </w:r>
      <w:proofErr w:type="spellEnd"/>
      <w:r>
        <w:rPr>
          <w:rFonts w:ascii="Book Antiqua" w:eastAsia="Book Antiqua" w:hAnsi="Book Antiqua" w:cs="Book Antiqua"/>
          <w:lang w:eastAsia="bg-BG"/>
        </w:rPr>
        <w:t xml:space="preserve"> към края на 2019 г. е договорен 67% от бюджета на приоритетната ос. С планираните в </w:t>
      </w:r>
      <w:proofErr w:type="spellStart"/>
      <w:r>
        <w:rPr>
          <w:rFonts w:ascii="Book Antiqua" w:eastAsia="Book Antiqua" w:hAnsi="Book Antiqua" w:cs="Book Antiqua"/>
          <w:lang w:eastAsia="bg-BG"/>
        </w:rPr>
        <w:t>ИГРП</w:t>
      </w:r>
      <w:proofErr w:type="spellEnd"/>
      <w:r>
        <w:rPr>
          <w:rFonts w:ascii="Book Antiqua" w:eastAsia="Book Antiqua" w:hAnsi="Book Antiqua" w:cs="Book Antiqua"/>
          <w:lang w:eastAsia="bg-BG"/>
        </w:rPr>
        <w:t xml:space="preserve"> 2020 нови процедури усвояването на бюджета на приоритетната ос се очаква да остане под 77%. </w:t>
      </w:r>
    </w:p>
    <w:p w14:paraId="73883B8A" w14:textId="77777777" w:rsidR="00E708DA" w:rsidRDefault="00AC4FE7">
      <w:pPr>
        <w:numPr>
          <w:ilvl w:val="0"/>
          <w:numId w:val="4"/>
        </w:numPr>
        <w:ind w:left="314" w:hanging="314"/>
        <w:jc w:val="both"/>
        <w:rPr>
          <w:rFonts w:ascii="Book Antiqua" w:eastAsia="Book Antiqua" w:hAnsi="Book Antiqua" w:cs="Book Antiqua"/>
          <w:lang w:eastAsia="bg-BG"/>
        </w:rPr>
      </w:pPr>
      <w:r>
        <w:rPr>
          <w:rFonts w:ascii="Book Antiqua" w:eastAsia="Book Antiqua" w:hAnsi="Book Antiqua" w:cs="Book Antiqua"/>
          <w:lang w:eastAsia="bg-BG"/>
        </w:rPr>
        <w:t xml:space="preserve">По </w:t>
      </w:r>
      <w:proofErr w:type="spellStart"/>
      <w:r>
        <w:rPr>
          <w:rFonts w:ascii="Book Antiqua" w:eastAsia="Book Antiqua" w:hAnsi="Book Antiqua" w:cs="Book Antiqua"/>
          <w:lang w:eastAsia="bg-BG"/>
        </w:rPr>
        <w:t>ПО2</w:t>
      </w:r>
      <w:proofErr w:type="spellEnd"/>
      <w:r>
        <w:rPr>
          <w:rFonts w:ascii="Book Antiqua" w:eastAsia="Book Antiqua" w:hAnsi="Book Antiqua" w:cs="Book Antiqua"/>
          <w:lang w:eastAsia="bg-BG"/>
        </w:rPr>
        <w:t xml:space="preserve"> към края на 2019 г. е договорен 38% от бюджета на приоритетната ос, но реално разплатените средства са все още малко (22%). Следва да се има предвид, че голяма част от проектите по договорените процедури са все още в изпълнение. В </w:t>
      </w:r>
      <w:proofErr w:type="spellStart"/>
      <w:r>
        <w:rPr>
          <w:rFonts w:ascii="Book Antiqua" w:eastAsia="Book Antiqua" w:hAnsi="Book Antiqua" w:cs="Book Antiqua"/>
          <w:lang w:eastAsia="bg-BG"/>
        </w:rPr>
        <w:t>ИГРП</w:t>
      </w:r>
      <w:proofErr w:type="spellEnd"/>
      <w:r>
        <w:rPr>
          <w:rFonts w:ascii="Book Antiqua" w:eastAsia="Book Antiqua" w:hAnsi="Book Antiqua" w:cs="Book Antiqua"/>
          <w:lang w:eastAsia="bg-BG"/>
        </w:rPr>
        <w:t xml:space="preserve"> за 2020 са планирани 2 нови процедури с общ бюджет от 12,2 млн. лв. Ако тези процедури се осъществят, договорените средства по </w:t>
      </w:r>
      <w:proofErr w:type="spellStart"/>
      <w:r>
        <w:rPr>
          <w:rFonts w:ascii="Book Antiqua" w:eastAsia="Book Antiqua" w:hAnsi="Book Antiqua" w:cs="Book Antiqua"/>
          <w:lang w:eastAsia="bg-BG"/>
        </w:rPr>
        <w:t>ПО2</w:t>
      </w:r>
      <w:proofErr w:type="spellEnd"/>
      <w:r>
        <w:rPr>
          <w:rFonts w:ascii="Book Antiqua" w:eastAsia="Book Antiqua" w:hAnsi="Book Antiqua" w:cs="Book Antiqua"/>
          <w:lang w:eastAsia="bg-BG"/>
        </w:rPr>
        <w:t xml:space="preserve"> ще достигнат 46% от </w:t>
      </w:r>
      <w:r>
        <w:rPr>
          <w:rFonts w:ascii="Book Antiqua" w:eastAsia="Book Antiqua" w:hAnsi="Book Antiqua" w:cs="Book Antiqua"/>
          <w:lang w:eastAsia="bg-BG"/>
        </w:rPr>
        <w:lastRenderedPageBreak/>
        <w:t xml:space="preserve">бюджета на оста. Отделно от това, в </w:t>
      </w:r>
      <w:proofErr w:type="spellStart"/>
      <w:r>
        <w:rPr>
          <w:rFonts w:ascii="Book Antiqua" w:eastAsia="Book Antiqua" w:hAnsi="Book Antiqua" w:cs="Book Antiqua"/>
          <w:lang w:eastAsia="bg-BG"/>
        </w:rPr>
        <w:t>ИГРП</w:t>
      </w:r>
      <w:proofErr w:type="spellEnd"/>
      <w:r>
        <w:rPr>
          <w:rFonts w:ascii="Book Antiqua" w:eastAsia="Book Antiqua" w:hAnsi="Book Antiqua" w:cs="Book Antiqua"/>
          <w:lang w:eastAsia="bg-BG"/>
        </w:rPr>
        <w:t xml:space="preserve"> 2020 г. са планирани и две процедури, които ще бъдат изпълнявани и по </w:t>
      </w:r>
      <w:proofErr w:type="spellStart"/>
      <w:r>
        <w:rPr>
          <w:rFonts w:ascii="Book Antiqua" w:eastAsia="Book Antiqua" w:hAnsi="Book Antiqua" w:cs="Book Antiqua"/>
          <w:lang w:eastAsia="bg-BG"/>
        </w:rPr>
        <w:t>ПО</w:t>
      </w:r>
      <w:proofErr w:type="spellEnd"/>
      <w:r>
        <w:rPr>
          <w:rFonts w:ascii="Book Antiqua" w:eastAsia="Book Antiqua" w:hAnsi="Book Antiqua" w:cs="Book Antiqua"/>
          <w:lang w:eastAsia="bg-BG"/>
        </w:rPr>
        <w:t xml:space="preserve"> 1 и ПО 2 на стойност общо 9,6 млн. лева, разпределението на бюджета между двете оси по които не може да бъде определен към момента.</w:t>
      </w:r>
    </w:p>
    <w:p w14:paraId="4C610163" w14:textId="77777777" w:rsidR="00E708DA" w:rsidRDefault="00AC4FE7">
      <w:pPr>
        <w:numPr>
          <w:ilvl w:val="0"/>
          <w:numId w:val="4"/>
        </w:numPr>
        <w:ind w:left="314" w:hanging="314"/>
        <w:jc w:val="both"/>
      </w:pPr>
      <w:r>
        <w:rPr>
          <w:rFonts w:ascii="Book Antiqua" w:eastAsia="Book Antiqua" w:hAnsi="Book Antiqua" w:cs="Book Antiqua"/>
          <w:lang w:eastAsia="bg-BG"/>
        </w:rPr>
        <w:t>К</w:t>
      </w:r>
      <w:r>
        <w:rPr>
          <w:rFonts w:ascii="Book Antiqua" w:eastAsia="Book Antiqua" w:hAnsi="Book Antiqua" w:cs="Book Antiqua"/>
        </w:rPr>
        <w:t xml:space="preserve">ъм края на 2019 г. по </w:t>
      </w:r>
      <w:proofErr w:type="spellStart"/>
      <w:r>
        <w:rPr>
          <w:rFonts w:ascii="Book Antiqua" w:eastAsia="Book Antiqua" w:hAnsi="Book Antiqua" w:cs="Book Antiqua"/>
        </w:rPr>
        <w:t>ПО3</w:t>
      </w:r>
      <w:proofErr w:type="spellEnd"/>
      <w:r>
        <w:rPr>
          <w:rFonts w:ascii="Book Antiqua" w:eastAsia="Book Antiqua" w:hAnsi="Book Antiqua" w:cs="Book Antiqua"/>
        </w:rPr>
        <w:t xml:space="preserve">  са договорени 52,75 % от предвидените средства по обявените процедури. С процедурите в оценка и планираните в </w:t>
      </w:r>
      <w:proofErr w:type="spellStart"/>
      <w:r>
        <w:rPr>
          <w:rFonts w:ascii="Book Antiqua" w:eastAsia="Book Antiqua" w:hAnsi="Book Antiqua" w:cs="Book Antiqua"/>
        </w:rPr>
        <w:t>ИГРП</w:t>
      </w:r>
      <w:proofErr w:type="spellEnd"/>
      <w:r>
        <w:rPr>
          <w:rFonts w:ascii="Book Antiqua" w:eastAsia="Book Antiqua" w:hAnsi="Book Antiqua" w:cs="Book Antiqua"/>
        </w:rPr>
        <w:t xml:space="preserve"> 2020 нови процедури, усвояването на бюджета на приоритетната ос се очаква да достигне 75,2%. Остава свободен финансов ресурс на стойност 17</w:t>
      </w:r>
      <w:r w:rsidR="00676580">
        <w:rPr>
          <w:rFonts w:ascii="Book Antiqua" w:eastAsia="Book Antiqua" w:hAnsi="Book Antiqua" w:cs="Book Antiqua"/>
        </w:rPr>
        <w:t> </w:t>
      </w:r>
      <w:r>
        <w:rPr>
          <w:rFonts w:ascii="Book Antiqua" w:eastAsia="Book Antiqua" w:hAnsi="Book Antiqua" w:cs="Book Antiqua"/>
        </w:rPr>
        <w:t>232</w:t>
      </w:r>
      <w:r w:rsidR="00676580">
        <w:rPr>
          <w:rFonts w:ascii="Book Antiqua" w:eastAsia="Book Antiqua" w:hAnsi="Book Antiqua" w:cs="Book Antiqua"/>
        </w:rPr>
        <w:t> </w:t>
      </w:r>
      <w:r>
        <w:rPr>
          <w:rFonts w:ascii="Book Antiqua" w:eastAsia="Book Antiqua" w:hAnsi="Book Antiqua" w:cs="Book Antiqua"/>
        </w:rPr>
        <w:t>683</w:t>
      </w:r>
      <w:r w:rsidR="00676580">
        <w:rPr>
          <w:rFonts w:ascii="Book Antiqua" w:eastAsia="Book Antiqua" w:hAnsi="Book Antiqua" w:cs="Book Antiqua"/>
        </w:rPr>
        <w:t>,</w:t>
      </w:r>
      <w:r>
        <w:rPr>
          <w:rFonts w:ascii="Book Antiqua" w:eastAsia="Book Antiqua" w:hAnsi="Book Antiqua" w:cs="Book Antiqua"/>
        </w:rPr>
        <w:t>78</w:t>
      </w:r>
      <w:r w:rsidR="00676580">
        <w:rPr>
          <w:rFonts w:ascii="Book Antiqua" w:eastAsia="Book Antiqua" w:hAnsi="Book Antiqua" w:cs="Book Antiqua"/>
        </w:rPr>
        <w:t xml:space="preserve"> </w:t>
      </w:r>
      <w:r>
        <w:rPr>
          <w:rFonts w:ascii="Book Antiqua" w:eastAsia="Book Antiqua" w:hAnsi="Book Antiqua" w:cs="Book Antiqua"/>
        </w:rPr>
        <w:t xml:space="preserve">лв. като към него ще се прибавят спестените средства по проектите, които към момента на оценката са </w:t>
      </w:r>
      <w:r w:rsidR="00676580">
        <w:rPr>
          <w:rFonts w:ascii="Book Antiqua" w:eastAsia="Book Antiqua" w:hAnsi="Book Antiqua" w:cs="Book Antiqua"/>
        </w:rPr>
        <w:t>в размер на 874 </w:t>
      </w:r>
      <w:r>
        <w:rPr>
          <w:rFonts w:ascii="Book Antiqua" w:eastAsia="Book Antiqua" w:hAnsi="Book Antiqua" w:cs="Book Antiqua"/>
        </w:rPr>
        <w:t>672</w:t>
      </w:r>
      <w:r w:rsidR="00676580">
        <w:rPr>
          <w:rFonts w:ascii="Book Antiqua" w:eastAsia="Book Antiqua" w:hAnsi="Book Antiqua" w:cs="Book Antiqua"/>
        </w:rPr>
        <w:t>,</w:t>
      </w:r>
      <w:r>
        <w:rPr>
          <w:rFonts w:ascii="Book Antiqua" w:eastAsia="Book Antiqua" w:hAnsi="Book Antiqua" w:cs="Book Antiqua"/>
        </w:rPr>
        <w:t>23 лв. и ще бъдат увеличени след приключване на проектите, които са в изпълнение.</w:t>
      </w:r>
    </w:p>
    <w:p w14:paraId="407F0E4D" w14:textId="77777777" w:rsidR="00E708DA" w:rsidRDefault="00AC4FE7">
      <w:pPr>
        <w:jc w:val="both"/>
      </w:pPr>
      <w:r>
        <w:rPr>
          <w:rFonts w:ascii="Book Antiqua" w:eastAsia="Book Antiqua" w:hAnsi="Book Antiqua" w:cs="Book Antiqua"/>
          <w:b/>
          <w:color w:val="44546A"/>
          <w:u w:val="single"/>
        </w:rPr>
        <w:t>Препоръка:</w:t>
      </w:r>
    </w:p>
    <w:p w14:paraId="655489EB" w14:textId="77777777" w:rsidR="00E708DA" w:rsidRDefault="00AC4FE7">
      <w:pPr>
        <w:jc w:val="both"/>
        <w:rPr>
          <w:rFonts w:ascii="Book Antiqua" w:eastAsia="Book Antiqua" w:hAnsi="Book Antiqua" w:cs="Book Antiqua"/>
        </w:rPr>
      </w:pPr>
      <w:r>
        <w:rPr>
          <w:rFonts w:ascii="Book Antiqua" w:eastAsia="Book Antiqua" w:hAnsi="Book Antiqua" w:cs="Book Antiqua"/>
        </w:rPr>
        <w:t xml:space="preserve">С цел недопускане на загуба на средства е препоръчително </w:t>
      </w:r>
      <w:proofErr w:type="spellStart"/>
      <w:r>
        <w:rPr>
          <w:rFonts w:ascii="Book Antiqua" w:eastAsia="Book Antiqua" w:hAnsi="Book Antiqua" w:cs="Book Antiqua"/>
        </w:rPr>
        <w:t>УО</w:t>
      </w:r>
      <w:proofErr w:type="spellEnd"/>
      <w:r>
        <w:rPr>
          <w:rFonts w:ascii="Book Antiqua" w:eastAsia="Book Antiqua" w:hAnsi="Book Antiqua" w:cs="Book Antiqua"/>
        </w:rPr>
        <w:t xml:space="preserve">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да прецени възможността за договаряне на процедури до остатъка от финансовия план по трите оси. Оставащият ресурс може да бъде използван за финансиране на приоритетни проекти от съответните стратегически документи и пътни карти по осите, които потенциално биха имали принос към индикаторите, по които се наблюдава по-слабо изпълнение. Като алтернатива при наличието на риск от невъзможност за усвояването на планирания финансов ресурс се препоръчва предприемането на мерки за евентуалното пренасочване на средства между приоритетните оси на програмата или към други оперативни програми.</w:t>
      </w:r>
    </w:p>
    <w:p w14:paraId="2A5E130D" w14:textId="3ABF0CDA" w:rsidR="00486D8F" w:rsidRDefault="00486D8F" w:rsidP="00486D8F">
      <w:pPr>
        <w:jc w:val="both"/>
        <w:rPr>
          <w:rFonts w:ascii="Book Antiqua" w:eastAsia="Book Antiqua" w:hAnsi="Book Antiqua" w:cs="Book Antiqua"/>
        </w:rPr>
      </w:pPr>
      <w:r>
        <w:rPr>
          <w:rFonts w:ascii="Book Antiqua" w:hAnsi="Book Antiqua"/>
          <w:b/>
          <w:color w:val="44546A"/>
        </w:rPr>
        <w:t>1.</w:t>
      </w:r>
      <w:r w:rsidR="00513C86">
        <w:rPr>
          <w:rFonts w:ascii="Book Antiqua" w:hAnsi="Book Antiqua"/>
          <w:b/>
          <w:color w:val="44546A"/>
        </w:rPr>
        <w:t>2</w:t>
      </w:r>
      <w:r>
        <w:rPr>
          <w:rFonts w:ascii="Book Antiqua" w:hAnsi="Book Antiqua"/>
          <w:b/>
          <w:color w:val="44546A"/>
        </w:rPr>
        <w:t xml:space="preserve">. </w:t>
      </w:r>
      <w:r>
        <w:rPr>
          <w:rFonts w:ascii="Book Antiqua" w:eastAsia="Book Antiqua" w:hAnsi="Book Antiqua" w:cs="Book Antiqua"/>
        </w:rPr>
        <w:t xml:space="preserve">Заложените етапни цели и по трите приоритетни оси </w:t>
      </w:r>
      <w:r w:rsidRPr="00F45D39">
        <w:rPr>
          <w:rFonts w:ascii="Book Antiqua" w:eastAsia="Book Antiqua" w:hAnsi="Book Antiqua" w:cs="Book Antiqua"/>
        </w:rPr>
        <w:t>са постигнати и към 2018 г. рамката за изпълнение е изпълнена.</w:t>
      </w:r>
    </w:p>
    <w:p w14:paraId="3077BB5B" w14:textId="5A409E50" w:rsidR="002E52F7" w:rsidRPr="00DB140A" w:rsidRDefault="002E52F7" w:rsidP="002E52F7">
      <w:pPr>
        <w:jc w:val="both"/>
        <w:rPr>
          <w:rFonts w:ascii="Book Antiqua" w:hAnsi="Book Antiqua"/>
        </w:rPr>
      </w:pPr>
      <w:r>
        <w:rPr>
          <w:rFonts w:ascii="Book Antiqua" w:hAnsi="Book Antiqua"/>
          <w:b/>
          <w:color w:val="44546A"/>
        </w:rPr>
        <w:t>1.</w:t>
      </w:r>
      <w:r w:rsidR="00513C86">
        <w:rPr>
          <w:rFonts w:ascii="Book Antiqua" w:hAnsi="Book Antiqua"/>
          <w:b/>
          <w:color w:val="44546A"/>
        </w:rPr>
        <w:t>3</w:t>
      </w:r>
      <w:r>
        <w:rPr>
          <w:rFonts w:ascii="Book Antiqua" w:hAnsi="Book Antiqua"/>
          <w:b/>
          <w:color w:val="44546A"/>
        </w:rPr>
        <w:t>.</w:t>
      </w:r>
      <w:r>
        <w:rPr>
          <w:rFonts w:ascii="Book Antiqua" w:hAnsi="Book Antiqua"/>
          <w:color w:val="44546A"/>
        </w:rPr>
        <w:t xml:space="preserve"> </w:t>
      </w:r>
      <w:r w:rsidRPr="00406E5E">
        <w:rPr>
          <w:rFonts w:ascii="Book Antiqua" w:hAnsi="Book Antiqua"/>
        </w:rPr>
        <w:t>Заложените индикатори за изпълнение и резултат дават възможност за измерване постигането на целите, макар че не във всички случаи се наблюдава пряка връзка между индикаторите за изпълнение и индикаторите за резултат.</w:t>
      </w:r>
    </w:p>
    <w:p w14:paraId="773BF66D" w14:textId="19A575B3" w:rsidR="00E708DA" w:rsidRDefault="00AC4FE7">
      <w:pPr>
        <w:spacing w:before="120"/>
        <w:jc w:val="both"/>
      </w:pPr>
      <w:r>
        <w:rPr>
          <w:rFonts w:ascii="Book Antiqua" w:hAnsi="Book Antiqua"/>
          <w:b/>
          <w:color w:val="44546A"/>
        </w:rPr>
        <w:t>1.</w:t>
      </w:r>
      <w:r w:rsidR="00513C86">
        <w:rPr>
          <w:rFonts w:ascii="Book Antiqua" w:hAnsi="Book Antiqua"/>
          <w:b/>
          <w:color w:val="44546A"/>
        </w:rPr>
        <w:t>4</w:t>
      </w:r>
      <w:r>
        <w:rPr>
          <w:rFonts w:ascii="Book Antiqua" w:hAnsi="Book Antiqua"/>
          <w:b/>
          <w:color w:val="44546A"/>
        </w:rPr>
        <w:t>.</w:t>
      </w:r>
      <w:r>
        <w:rPr>
          <w:rFonts w:ascii="Book Antiqua" w:hAnsi="Book Antiqua"/>
          <w:color w:val="44546A"/>
        </w:rPr>
        <w:t xml:space="preserve"> </w:t>
      </w:r>
      <w:r>
        <w:rPr>
          <w:rFonts w:ascii="Book Antiqua" w:eastAsia="Book Antiqua" w:hAnsi="Book Antiqua" w:cs="Book Antiqua"/>
        </w:rPr>
        <w:t>Метаданните не предоставят информация на базата на какви съображения са дефинирани базовите и целевите стойности на индикаторите за резултат.</w:t>
      </w:r>
    </w:p>
    <w:p w14:paraId="5269AFAE"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3B857842" w14:textId="77777777" w:rsidR="00E708DA" w:rsidRDefault="00AC4FE7">
      <w:pPr>
        <w:jc w:val="both"/>
        <w:rPr>
          <w:rFonts w:ascii="Book Antiqua" w:eastAsia="Book Antiqua" w:hAnsi="Book Antiqua" w:cs="Book Antiqua"/>
        </w:rPr>
      </w:pPr>
      <w:r>
        <w:rPr>
          <w:rFonts w:ascii="Book Antiqua" w:eastAsia="Book Antiqua" w:hAnsi="Book Antiqua" w:cs="Book Antiqua"/>
        </w:rPr>
        <w:t>Препоръчва се при програмиране на следващата оперативна програма в метаданните на индикаторите да бъдат описани съображенията и условията, при които са дефинирани базовите и целевите стойности на индикаторите. Предоставянето на такава информация би било полезно при проследяване на промени в първоначалните условия, при които е заложена целевата стойност и доколко тези промени оказват влияние върху нейното постигане.</w:t>
      </w:r>
    </w:p>
    <w:p w14:paraId="0A6351D9" w14:textId="6EA08F64" w:rsidR="00E708DA" w:rsidRDefault="00AC4FE7">
      <w:pPr>
        <w:spacing w:before="120"/>
        <w:jc w:val="both"/>
      </w:pPr>
      <w:r>
        <w:rPr>
          <w:rFonts w:ascii="Book Antiqua" w:hAnsi="Book Antiqua"/>
          <w:b/>
          <w:color w:val="44546A"/>
        </w:rPr>
        <w:t>1.</w:t>
      </w:r>
      <w:r w:rsidR="00513C86">
        <w:rPr>
          <w:rFonts w:ascii="Book Antiqua" w:hAnsi="Book Antiqua"/>
          <w:b/>
          <w:color w:val="44546A"/>
        </w:rPr>
        <w:t>5</w:t>
      </w:r>
      <w:r>
        <w:rPr>
          <w:rFonts w:ascii="Book Antiqua" w:hAnsi="Book Antiqua"/>
          <w:b/>
          <w:color w:val="44546A"/>
        </w:rPr>
        <w:t xml:space="preserve">. </w:t>
      </w:r>
      <w:r>
        <w:rPr>
          <w:rFonts w:ascii="Book Antiqua" w:hAnsi="Book Antiqua"/>
          <w:color w:val="000000"/>
        </w:rPr>
        <w:t xml:space="preserve">Съществува разминаване между подходът, предприет при залагане на целевите стойности на индикаторите за резултат в </w:t>
      </w:r>
      <w:proofErr w:type="spellStart"/>
      <w:r>
        <w:rPr>
          <w:rFonts w:ascii="Book Antiqua" w:hAnsi="Book Antiqua"/>
          <w:color w:val="000000"/>
        </w:rPr>
        <w:t>ОПДУ</w:t>
      </w:r>
      <w:proofErr w:type="spellEnd"/>
      <w:r>
        <w:rPr>
          <w:rFonts w:ascii="Book Antiqua" w:hAnsi="Book Antiqua"/>
          <w:color w:val="000000"/>
        </w:rPr>
        <w:t xml:space="preserve"> и Насоките на ЕК за програмен период 2014-2020</w:t>
      </w:r>
      <w:r>
        <w:rPr>
          <w:rFonts w:ascii="Book Antiqua" w:hAnsi="Book Antiqua"/>
          <w:color w:val="000000"/>
        </w:rPr>
        <w:footnoteReference w:id="1"/>
      </w:r>
      <w:r>
        <w:rPr>
          <w:rFonts w:ascii="Book Antiqua" w:hAnsi="Book Antiqua"/>
          <w:color w:val="000000"/>
        </w:rPr>
        <w:t xml:space="preserve">. В </w:t>
      </w:r>
      <w:proofErr w:type="spellStart"/>
      <w:r>
        <w:rPr>
          <w:rFonts w:ascii="Book Antiqua" w:hAnsi="Book Antiqua"/>
          <w:color w:val="000000"/>
        </w:rPr>
        <w:t>ОПДУ</w:t>
      </w:r>
      <w:proofErr w:type="spellEnd"/>
      <w:r>
        <w:rPr>
          <w:rFonts w:ascii="Book Antiqua" w:hAnsi="Book Antiqua"/>
          <w:color w:val="000000"/>
        </w:rPr>
        <w:t xml:space="preserve"> целевите стойности включват базовите, докато Насоките на ЕК препоръчват  базовата стойност да не се включва в целевата стойност.</w:t>
      </w:r>
    </w:p>
    <w:p w14:paraId="1F47AB74"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1B894EC5" w14:textId="77777777" w:rsidR="00E708DA" w:rsidRDefault="00AC4FE7">
      <w:pPr>
        <w:jc w:val="both"/>
        <w:rPr>
          <w:rFonts w:ascii="Book Antiqua" w:eastAsia="Book Antiqua" w:hAnsi="Book Antiqua" w:cs="Book Antiqua"/>
        </w:rPr>
      </w:pPr>
      <w:r>
        <w:rPr>
          <w:rFonts w:ascii="Book Antiqua" w:eastAsia="Book Antiqua" w:hAnsi="Book Antiqua" w:cs="Book Antiqua"/>
        </w:rPr>
        <w:t>Препоръчва се преизчисляване на целевите стойности на индикаторите за резултат, съобразно насоките на ЕК.</w:t>
      </w:r>
    </w:p>
    <w:p w14:paraId="7D9F95EF" w14:textId="77777777" w:rsidR="00E708DA" w:rsidRDefault="00E708DA">
      <w:pPr>
        <w:jc w:val="both"/>
        <w:rPr>
          <w:rFonts w:ascii="Book Antiqua" w:eastAsia="Book Antiqua" w:hAnsi="Book Antiqua" w:cs="Book Antiqua"/>
        </w:rPr>
      </w:pPr>
    </w:p>
    <w:p w14:paraId="6E47DEC4" w14:textId="77777777" w:rsidR="00E708DA" w:rsidRDefault="00AC4FE7">
      <w:pPr>
        <w:pStyle w:val="a6"/>
        <w:numPr>
          <w:ilvl w:val="0"/>
          <w:numId w:val="3"/>
        </w:numPr>
        <w:shd w:val="clear" w:color="auto" w:fill="D9E2F3"/>
        <w:spacing w:after="120"/>
        <w:ind w:left="714" w:hanging="357"/>
        <w:jc w:val="both"/>
        <w:rPr>
          <w:rFonts w:ascii="Book Antiqua" w:hAnsi="Book Antiqua"/>
          <w:b/>
          <w:color w:val="44546A"/>
        </w:rPr>
      </w:pPr>
      <w:r>
        <w:rPr>
          <w:rFonts w:ascii="Book Antiqua" w:hAnsi="Book Antiqua"/>
          <w:b/>
          <w:color w:val="44546A"/>
        </w:rPr>
        <w:t>Основни изводи и препоръки по приоритетна ос 1.</w:t>
      </w:r>
    </w:p>
    <w:p w14:paraId="50A63DAC" w14:textId="62FC4AFF" w:rsidR="00406E5E" w:rsidRDefault="00406E5E" w:rsidP="00406E5E">
      <w:pPr>
        <w:jc w:val="both"/>
        <w:rPr>
          <w:rFonts w:ascii="Book Antiqua" w:hAnsi="Book Antiqua"/>
        </w:rPr>
      </w:pPr>
      <w:r>
        <w:rPr>
          <w:rFonts w:ascii="Book Antiqua" w:hAnsi="Book Antiqua"/>
          <w:b/>
          <w:color w:val="44546A"/>
        </w:rPr>
        <w:lastRenderedPageBreak/>
        <w:t xml:space="preserve">2.1. </w:t>
      </w:r>
      <w:r w:rsidRPr="00DB140A">
        <w:rPr>
          <w:rFonts w:ascii="Book Antiqua" w:hAnsi="Book Antiqua"/>
        </w:rPr>
        <w:t xml:space="preserve">Напредъкът по </w:t>
      </w:r>
      <w:proofErr w:type="spellStart"/>
      <w:r w:rsidRPr="00DB140A">
        <w:rPr>
          <w:rFonts w:ascii="Book Antiqua" w:hAnsi="Book Antiqua"/>
        </w:rPr>
        <w:t>ПО1</w:t>
      </w:r>
      <w:proofErr w:type="spellEnd"/>
      <w:r w:rsidRPr="00DB140A">
        <w:rPr>
          <w:rFonts w:ascii="Book Antiqua" w:hAnsi="Book Antiqua"/>
        </w:rPr>
        <w:t xml:space="preserve"> към края на 2019, по отношение на договаряне, е сравнително добър – стартирани са процедури с общ бюджет от около 88% от финансовия план по оста и са договорени 80 % планирания бюджет на процедурите. Усвояването е значително по-слабо - 31% са сертифицираните средства спрямо договорените.</w:t>
      </w:r>
    </w:p>
    <w:p w14:paraId="332E0CD2" w14:textId="5E0C690C" w:rsidR="009461BE" w:rsidRPr="009461BE" w:rsidRDefault="00406E5E" w:rsidP="009461BE">
      <w:pPr>
        <w:jc w:val="both"/>
        <w:rPr>
          <w:rFonts w:ascii="Book Antiqua" w:eastAsia="Book Antiqua" w:hAnsi="Book Antiqua" w:cs="Book Antiqua"/>
        </w:rPr>
      </w:pPr>
      <w:r>
        <w:rPr>
          <w:rFonts w:ascii="Book Antiqua" w:hAnsi="Book Antiqua"/>
          <w:b/>
          <w:color w:val="44546A"/>
        </w:rPr>
        <w:t>2.</w:t>
      </w:r>
      <w:r w:rsidR="00486D8F">
        <w:rPr>
          <w:rFonts w:ascii="Book Antiqua" w:hAnsi="Book Antiqua"/>
          <w:b/>
          <w:color w:val="44546A"/>
        </w:rPr>
        <w:t>2</w:t>
      </w:r>
      <w:r>
        <w:rPr>
          <w:rFonts w:ascii="Book Antiqua" w:hAnsi="Book Antiqua"/>
          <w:b/>
          <w:color w:val="44546A"/>
        </w:rPr>
        <w:t>.</w:t>
      </w:r>
      <w:r>
        <w:rPr>
          <w:rFonts w:ascii="Book Antiqua" w:hAnsi="Book Antiqua"/>
          <w:color w:val="44546A"/>
        </w:rPr>
        <w:t xml:space="preserve"> </w:t>
      </w:r>
      <w:r>
        <w:rPr>
          <w:rFonts w:ascii="Book Antiqua" w:eastAsia="Book Antiqua" w:hAnsi="Book Antiqua" w:cs="Book Antiqua"/>
        </w:rPr>
        <w:t xml:space="preserve">Стратегическата и нормативна рамка в областта на електронното управление в периода 2018-2019 е претърпяла развитие, като в голямата си част промените произтичат от изпълнението на ключови проекти, подкрепени по </w:t>
      </w:r>
      <w:proofErr w:type="spellStart"/>
      <w:r>
        <w:rPr>
          <w:rFonts w:ascii="Book Antiqua" w:eastAsia="Book Antiqua" w:hAnsi="Book Antiqua" w:cs="Book Antiqua"/>
        </w:rPr>
        <w:t>ОПДУ</w:t>
      </w:r>
      <w:proofErr w:type="spellEnd"/>
      <w:r>
        <w:rPr>
          <w:rFonts w:ascii="Book Antiqua" w:eastAsia="Book Antiqua" w:hAnsi="Book Antiqua" w:cs="Book Antiqua"/>
        </w:rPr>
        <w:t>.</w:t>
      </w:r>
      <w:r w:rsidR="009461BE">
        <w:rPr>
          <w:rFonts w:ascii="Book Antiqua" w:eastAsia="Book Antiqua" w:hAnsi="Book Antiqua" w:cs="Book Antiqua"/>
        </w:rPr>
        <w:t xml:space="preserve"> </w:t>
      </w:r>
      <w:r w:rsidR="009461BE" w:rsidRPr="009461BE">
        <w:rPr>
          <w:rFonts w:ascii="Book Antiqua" w:eastAsia="Book Antiqua" w:hAnsi="Book Antiqua" w:cs="Book Antiqua"/>
        </w:rPr>
        <w:t>Ключово значение за развитие на инфраструктурата, която ще способства развитието на електронното управление имат</w:t>
      </w:r>
      <w:r w:rsidR="009461BE">
        <w:rPr>
          <w:rFonts w:ascii="Book Antiqua" w:eastAsia="Book Antiqua" w:hAnsi="Book Antiqua" w:cs="Book Antiqua"/>
        </w:rPr>
        <w:t>:</w:t>
      </w:r>
      <w:r w:rsidR="009461BE" w:rsidRPr="009461BE">
        <w:rPr>
          <w:rFonts w:ascii="Book Antiqua" w:eastAsia="Book Antiqua" w:hAnsi="Book Antiqua" w:cs="Book Antiqua"/>
        </w:rPr>
        <w:t xml:space="preserve"> проекта за електронна идентификация на МВР, проекта за надграждане и развитие на </w:t>
      </w:r>
      <w:proofErr w:type="spellStart"/>
      <w:r w:rsidR="009461BE" w:rsidRPr="009461BE">
        <w:rPr>
          <w:rFonts w:ascii="Book Antiqua" w:eastAsia="Book Antiqua" w:hAnsi="Book Antiqua" w:cs="Book Antiqua"/>
        </w:rPr>
        <w:t>ДХЧО</w:t>
      </w:r>
      <w:proofErr w:type="spellEnd"/>
      <w:r w:rsidR="009461BE" w:rsidRPr="009461BE">
        <w:rPr>
          <w:rFonts w:ascii="Book Antiqua" w:eastAsia="Book Antiqua" w:hAnsi="Book Antiqua" w:cs="Book Antiqua"/>
        </w:rPr>
        <w:t xml:space="preserve"> на </w:t>
      </w:r>
      <w:proofErr w:type="spellStart"/>
      <w:r w:rsidR="009461BE" w:rsidRPr="009461BE">
        <w:rPr>
          <w:rFonts w:ascii="Book Antiqua" w:eastAsia="Book Antiqua" w:hAnsi="Book Antiqua" w:cs="Book Antiqua"/>
        </w:rPr>
        <w:t>ДАЕУ</w:t>
      </w:r>
      <w:proofErr w:type="spellEnd"/>
      <w:r w:rsidR="009461BE" w:rsidRPr="009461BE">
        <w:rPr>
          <w:rFonts w:ascii="Book Antiqua" w:eastAsia="Book Antiqua" w:hAnsi="Book Antiqua" w:cs="Book Antiqua"/>
        </w:rPr>
        <w:t xml:space="preserve">, проекта на МЗ за Националната здравна информационна система и проекта на </w:t>
      </w:r>
      <w:proofErr w:type="spellStart"/>
      <w:r w:rsidR="009461BE" w:rsidRPr="009461BE">
        <w:rPr>
          <w:rFonts w:ascii="Book Antiqua" w:eastAsia="Book Antiqua" w:hAnsi="Book Antiqua" w:cs="Book Antiqua"/>
        </w:rPr>
        <w:t>ДАЕУ</w:t>
      </w:r>
      <w:proofErr w:type="spellEnd"/>
      <w:r w:rsidR="009461BE" w:rsidRPr="009461BE">
        <w:rPr>
          <w:rFonts w:ascii="Book Antiqua" w:eastAsia="Book Antiqua" w:hAnsi="Book Antiqua" w:cs="Book Antiqua"/>
        </w:rPr>
        <w:t xml:space="preserve"> за дистанционното гласуване</w:t>
      </w:r>
      <w:r w:rsidR="009461BE">
        <w:rPr>
          <w:rFonts w:ascii="Book Antiqua" w:eastAsia="Book Antiqua" w:hAnsi="Book Antiqua" w:cs="Book Antiqua"/>
        </w:rPr>
        <w:t>.</w:t>
      </w:r>
    </w:p>
    <w:p w14:paraId="1498CC06" w14:textId="08AE933C" w:rsidR="00406E5E" w:rsidRDefault="009461BE" w:rsidP="009461BE">
      <w:pPr>
        <w:jc w:val="both"/>
        <w:rPr>
          <w:rFonts w:ascii="Book Antiqua" w:eastAsia="Book Antiqua" w:hAnsi="Book Antiqua" w:cs="Book Antiqua"/>
        </w:rPr>
      </w:pPr>
      <w:r w:rsidRPr="009461BE">
        <w:rPr>
          <w:rFonts w:ascii="Book Antiqua" w:eastAsia="Book Antiqua" w:hAnsi="Book Antiqua" w:cs="Book Antiqua"/>
        </w:rPr>
        <w:t>От външните фактори, които влияят на промените, особено силен стимул представляват нормативните изисквания на ЕС за трансгранична оперативна съвместимост за улесняване мобилността на гражданите и бизнеса.</w:t>
      </w:r>
    </w:p>
    <w:p w14:paraId="276BDD66" w14:textId="74231723" w:rsidR="00406E5E" w:rsidRPr="00406E5E" w:rsidRDefault="00406E5E" w:rsidP="00406E5E">
      <w:pPr>
        <w:jc w:val="both"/>
        <w:rPr>
          <w:rFonts w:ascii="Book Antiqua" w:hAnsi="Book Antiqua"/>
        </w:rPr>
      </w:pPr>
      <w:r>
        <w:rPr>
          <w:rFonts w:ascii="Book Antiqua" w:hAnsi="Book Antiqua"/>
          <w:b/>
          <w:color w:val="44546A"/>
        </w:rPr>
        <w:t>2.</w:t>
      </w:r>
      <w:r w:rsidR="00486D8F">
        <w:rPr>
          <w:rFonts w:ascii="Book Antiqua" w:hAnsi="Book Antiqua"/>
          <w:b/>
          <w:color w:val="44546A"/>
        </w:rPr>
        <w:t>3</w:t>
      </w:r>
      <w:r>
        <w:rPr>
          <w:rFonts w:ascii="Book Antiqua" w:hAnsi="Book Antiqua"/>
          <w:b/>
          <w:color w:val="44546A"/>
        </w:rPr>
        <w:t>.</w:t>
      </w:r>
      <w:r>
        <w:rPr>
          <w:rFonts w:ascii="Book Antiqua" w:hAnsi="Book Antiqua"/>
          <w:color w:val="44546A"/>
        </w:rPr>
        <w:t xml:space="preserve"> </w:t>
      </w:r>
      <w:r w:rsidRPr="00406E5E">
        <w:rPr>
          <w:rFonts w:ascii="Book Antiqua" w:hAnsi="Book Antiqua"/>
        </w:rPr>
        <w:t xml:space="preserve">Заложените по </w:t>
      </w:r>
      <w:proofErr w:type="spellStart"/>
      <w:r w:rsidRPr="00406E5E">
        <w:rPr>
          <w:rFonts w:ascii="Book Antiqua" w:hAnsi="Book Antiqua"/>
        </w:rPr>
        <w:t>ПО1</w:t>
      </w:r>
      <w:proofErr w:type="spellEnd"/>
      <w:r w:rsidRPr="00406E5E">
        <w:rPr>
          <w:rFonts w:ascii="Book Antiqua" w:hAnsi="Book Antiqua"/>
        </w:rPr>
        <w:t xml:space="preserve"> специфични цели продължават да бъдат актуални: продължава да е налице необходимост от намаляване на административната и регулаторна тежест за гражданите и бизнеса и увеличаване на достъпните за гражданите и бизнеса услуги, предоставяни по електронен път.</w:t>
      </w:r>
    </w:p>
    <w:p w14:paraId="563A099A" w14:textId="643F58B4" w:rsidR="00E708DA" w:rsidRDefault="00AC4FE7">
      <w:pPr>
        <w:jc w:val="both"/>
      </w:pPr>
      <w:r>
        <w:rPr>
          <w:rFonts w:ascii="Book Antiqua" w:hAnsi="Book Antiqua"/>
          <w:b/>
          <w:color w:val="44546A"/>
        </w:rPr>
        <w:t>2.</w:t>
      </w:r>
      <w:r w:rsidR="00486D8F">
        <w:rPr>
          <w:rFonts w:ascii="Book Antiqua" w:hAnsi="Book Antiqua"/>
          <w:b/>
          <w:color w:val="44546A"/>
        </w:rPr>
        <w:t>4</w:t>
      </w:r>
      <w:r>
        <w:rPr>
          <w:rFonts w:ascii="Book Antiqua" w:hAnsi="Book Antiqua"/>
          <w:b/>
          <w:color w:val="44546A"/>
        </w:rPr>
        <w:t>.</w:t>
      </w:r>
      <w:r>
        <w:rPr>
          <w:rFonts w:ascii="Book Antiqua" w:hAnsi="Book Antiqua"/>
          <w:color w:val="44546A"/>
        </w:rPr>
        <w:t xml:space="preserve"> </w:t>
      </w:r>
      <w:r w:rsidR="00A77840" w:rsidRPr="0040173A">
        <w:rPr>
          <w:rFonts w:ascii="Book Antiqua" w:eastAsia="Book Antiqua" w:hAnsi="Book Antiqua" w:cs="Book Antiqua"/>
        </w:rPr>
        <w:t xml:space="preserve">Риск </w:t>
      </w:r>
      <w:r w:rsidR="00A77840">
        <w:rPr>
          <w:rFonts w:ascii="Book Antiqua" w:eastAsia="Book Antiqua" w:hAnsi="Book Antiqua" w:cs="Book Antiqua"/>
        </w:rPr>
        <w:t>за</w:t>
      </w:r>
      <w:r w:rsidR="00A77840" w:rsidRPr="0040173A">
        <w:rPr>
          <w:rFonts w:ascii="Book Antiqua" w:eastAsia="Book Antiqua" w:hAnsi="Book Antiqua" w:cs="Book Antiqua"/>
        </w:rPr>
        <w:t xml:space="preserve"> постигане на целевите стойности към 2023 има за два </w:t>
      </w:r>
      <w:r w:rsidR="00A77840" w:rsidRPr="00A77840">
        <w:rPr>
          <w:rFonts w:ascii="Book Antiqua" w:eastAsia="Book Antiqua" w:hAnsi="Book Antiqua" w:cs="Book Antiqua"/>
          <w:b/>
        </w:rPr>
        <w:t>индикатора за изпълнение</w:t>
      </w:r>
      <w:r w:rsidR="00A77840" w:rsidRPr="0040173A">
        <w:rPr>
          <w:rFonts w:ascii="Book Antiqua" w:eastAsia="Book Antiqua" w:hAnsi="Book Antiqua" w:cs="Book Antiqua"/>
        </w:rPr>
        <w:t xml:space="preserve">: </w:t>
      </w:r>
      <w:proofErr w:type="spellStart"/>
      <w:r w:rsidR="00A77840" w:rsidRPr="0040173A">
        <w:rPr>
          <w:rFonts w:ascii="Book Antiqua" w:eastAsia="Book Antiqua" w:hAnsi="Book Antiqua" w:cs="Book Antiqua"/>
        </w:rPr>
        <w:t>О1</w:t>
      </w:r>
      <w:proofErr w:type="spellEnd"/>
      <w:r w:rsidR="00A77840" w:rsidRPr="0040173A">
        <w:rPr>
          <w:rFonts w:ascii="Book Antiqua" w:eastAsia="Book Antiqua" w:hAnsi="Book Antiqua" w:cs="Book Antiqua"/>
        </w:rPr>
        <w:t xml:space="preserve">-2 и </w:t>
      </w:r>
      <w:proofErr w:type="spellStart"/>
      <w:r w:rsidR="00A77840" w:rsidRPr="0040173A">
        <w:rPr>
          <w:rFonts w:ascii="Book Antiqua" w:eastAsia="Book Antiqua" w:hAnsi="Book Antiqua" w:cs="Book Antiqua"/>
        </w:rPr>
        <w:t>О1</w:t>
      </w:r>
      <w:proofErr w:type="spellEnd"/>
      <w:r w:rsidR="00A77840" w:rsidRPr="0040173A">
        <w:rPr>
          <w:rFonts w:ascii="Book Antiqua" w:eastAsia="Book Antiqua" w:hAnsi="Book Antiqua" w:cs="Book Antiqua"/>
        </w:rPr>
        <w:t>-8.</w:t>
      </w:r>
    </w:p>
    <w:p w14:paraId="0B8F314A" w14:textId="77777777" w:rsidR="00E708DA" w:rsidRDefault="00AC4FE7">
      <w:pPr>
        <w:tabs>
          <w:tab w:val="left" w:pos="851"/>
        </w:tabs>
        <w:jc w:val="both"/>
        <w:rPr>
          <w:rFonts w:ascii="Book Antiqua" w:eastAsia="Book Antiqua" w:hAnsi="Book Antiqua" w:cs="Book Antiqua"/>
        </w:rPr>
      </w:pPr>
      <w:r>
        <w:rPr>
          <w:rFonts w:ascii="Book Antiqua" w:eastAsia="Book Antiqua" w:hAnsi="Book Antiqua" w:cs="Book Antiqua"/>
        </w:rPr>
        <w:t xml:space="preserve">При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-2 е възможна промяна в метаданните на индикатора, за да се позволи отчитане и на частичните предварителни оценки на въздействие на нормативни актове, произтичащи от проекти, подкрепени по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Частичната оценка на нормативни актове, свързани с проекти, подкрепени по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има принос към специфичната цел и в същото време способства изпълнението на проектите и реализирането на техните резултати. </w:t>
      </w:r>
    </w:p>
    <w:p w14:paraId="0F629D48" w14:textId="77777777" w:rsidR="00E708DA" w:rsidRDefault="00AC4FE7">
      <w:pPr>
        <w:jc w:val="both"/>
        <w:rPr>
          <w:rFonts w:ascii="Book Antiqua" w:eastAsia="Book Antiqua" w:hAnsi="Book Antiqua" w:cs="Book Antiqua"/>
        </w:rPr>
      </w:pPr>
      <w:r>
        <w:rPr>
          <w:rFonts w:ascii="Book Antiqua" w:eastAsia="Book Antiqua" w:hAnsi="Book Antiqua" w:cs="Book Antiqua"/>
        </w:rPr>
        <w:t xml:space="preserve">При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-8 би следвало да се отчетат в тяхната цялост подкрепените електронни вътрешни административни услуги, включително достъпването на данни през </w:t>
      </w:r>
      <w:proofErr w:type="spellStart"/>
      <w:r>
        <w:rPr>
          <w:rFonts w:ascii="Book Antiqua" w:eastAsia="Book Antiqua" w:hAnsi="Book Antiqua" w:cs="Book Antiqua"/>
        </w:rPr>
        <w:t>RegIX</w:t>
      </w:r>
      <w:proofErr w:type="spellEnd"/>
      <w:r>
        <w:rPr>
          <w:rFonts w:ascii="Book Antiqua" w:eastAsia="Book Antiqua" w:hAnsi="Book Antiqua" w:cs="Book Antiqua"/>
        </w:rPr>
        <w:t xml:space="preserve">. Дори и при подобрено отчитане на вътрешните административни услуги, наличните към момента данни сочат, че разликата между заложената целева стойност и договорените услуги е твърде висока (целева стойност 850 услуги при договорени 387). Вписаните услуги в </w:t>
      </w:r>
      <w:proofErr w:type="spellStart"/>
      <w:r>
        <w:rPr>
          <w:rFonts w:ascii="Book Antiqua" w:eastAsia="Book Antiqua" w:hAnsi="Book Antiqua" w:cs="Book Antiqua"/>
        </w:rPr>
        <w:t>ИИСДА</w:t>
      </w:r>
      <w:proofErr w:type="spellEnd"/>
      <w:r>
        <w:rPr>
          <w:rFonts w:ascii="Book Antiqua" w:eastAsia="Book Antiqua" w:hAnsi="Book Antiqua" w:cs="Book Antiqua"/>
        </w:rPr>
        <w:t>, които потенциално могат да бъдат надградени на ниво 3 и 4 са само 684.</w:t>
      </w:r>
    </w:p>
    <w:p w14:paraId="55388BE0"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Препоръки:</w:t>
      </w:r>
    </w:p>
    <w:p w14:paraId="755AFD78"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Препоръчва се да се променят метаданните на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-2 като се позволи отчитането не само на цялостна предварителна оценка на въздействието на нормативни актове, но и частична такава. </w:t>
      </w:r>
    </w:p>
    <w:p w14:paraId="3EBAD06A" w14:textId="7B69B5AF"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Препоръчва се промяна на метаданните на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-8 с цел отчитане новите вътрешни административни услуги</w:t>
      </w:r>
      <w:r w:rsidR="00ED1A7E">
        <w:rPr>
          <w:rFonts w:ascii="Book Antiqua" w:eastAsia="Book Antiqua" w:hAnsi="Book Antiqua" w:cs="Book Antiqua"/>
          <w:lang w:val="en-US"/>
        </w:rPr>
        <w:t>,</w:t>
      </w:r>
      <w:r>
        <w:rPr>
          <w:rFonts w:ascii="Book Antiqua" w:eastAsia="Book Antiqua" w:hAnsi="Book Antiqua" w:cs="Book Antiqua"/>
        </w:rPr>
        <w:t xml:space="preserve"> които са реализирани чрез достъпване на данни през </w:t>
      </w:r>
      <w:proofErr w:type="spellStart"/>
      <w:r>
        <w:rPr>
          <w:rFonts w:ascii="Book Antiqua" w:eastAsia="Book Antiqua" w:hAnsi="Book Antiqua" w:cs="Book Antiqua"/>
        </w:rPr>
        <w:t>RegIX</w:t>
      </w:r>
      <w:proofErr w:type="spellEnd"/>
      <w:r>
        <w:rPr>
          <w:rFonts w:ascii="Book Antiqua" w:eastAsia="Book Antiqua" w:hAnsi="Book Antiqua" w:cs="Book Antiqua"/>
        </w:rPr>
        <w:t>.</w:t>
      </w:r>
    </w:p>
    <w:p w14:paraId="1FDA5B09" w14:textId="77777777" w:rsidR="00E708DA" w:rsidRDefault="00AC4FE7">
      <w:pPr>
        <w:numPr>
          <w:ilvl w:val="0"/>
          <w:numId w:val="5"/>
        </w:numPr>
        <w:tabs>
          <w:tab w:val="left" w:pos="317"/>
        </w:tabs>
        <w:ind w:left="317" w:hanging="317"/>
        <w:jc w:val="both"/>
      </w:pPr>
      <w:r>
        <w:rPr>
          <w:rFonts w:ascii="Book Antiqua" w:eastAsia="Book Antiqua" w:hAnsi="Book Antiqua" w:cs="Book Antiqua"/>
        </w:rPr>
        <w:t xml:space="preserve">Препоръчва се намаляване на целевата стойност на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-8 от 850 на 650--700 бр. Към момента са договорени 387 услуги, от които има вероятност част да не бъдат постигнати и отчетени. В същото време се очаква, планираните проекти в </w:t>
      </w:r>
      <w:proofErr w:type="spellStart"/>
      <w:r>
        <w:rPr>
          <w:rFonts w:ascii="Book Antiqua" w:eastAsia="Book Antiqua" w:hAnsi="Book Antiqua" w:cs="Book Antiqua"/>
        </w:rPr>
        <w:t>ИРГП</w:t>
      </w:r>
      <w:proofErr w:type="spellEnd"/>
      <w:r>
        <w:rPr>
          <w:rFonts w:ascii="Book Antiqua" w:eastAsia="Book Antiqua" w:hAnsi="Book Antiqua" w:cs="Book Antiqua"/>
        </w:rPr>
        <w:t xml:space="preserve"> 2020 да допринесат, по прогнози на </w:t>
      </w:r>
      <w:proofErr w:type="spellStart"/>
      <w:r>
        <w:rPr>
          <w:rFonts w:ascii="Book Antiqua" w:eastAsia="Book Antiqua" w:hAnsi="Book Antiqua" w:cs="Book Antiqua"/>
        </w:rPr>
        <w:t>УО</w:t>
      </w:r>
      <w:proofErr w:type="spellEnd"/>
      <w:r>
        <w:rPr>
          <w:rFonts w:ascii="Book Antiqua" w:eastAsia="Book Antiqua" w:hAnsi="Book Antiqua" w:cs="Book Antiqua"/>
        </w:rPr>
        <w:t>, с още 178 подкрепени услуги.</w:t>
      </w:r>
    </w:p>
    <w:p w14:paraId="16E32AA9" w14:textId="05B87ADF" w:rsidR="00E708DA" w:rsidRDefault="00AC4FE7">
      <w:pPr>
        <w:tabs>
          <w:tab w:val="left" w:pos="851"/>
        </w:tabs>
        <w:spacing w:before="120"/>
        <w:jc w:val="both"/>
      </w:pPr>
      <w:r>
        <w:rPr>
          <w:rFonts w:ascii="Book Antiqua" w:hAnsi="Book Antiqua"/>
          <w:b/>
          <w:color w:val="44546A"/>
        </w:rPr>
        <w:t>2.</w:t>
      </w:r>
      <w:r w:rsidR="00486D8F">
        <w:rPr>
          <w:rFonts w:ascii="Book Antiqua" w:hAnsi="Book Antiqua"/>
          <w:b/>
          <w:color w:val="44546A"/>
        </w:rPr>
        <w:t>5</w:t>
      </w:r>
      <w:r>
        <w:rPr>
          <w:rFonts w:ascii="Book Antiqua" w:hAnsi="Book Antiqua"/>
          <w:b/>
          <w:color w:val="44546A"/>
        </w:rPr>
        <w:t>.</w:t>
      </w:r>
      <w:r>
        <w:rPr>
          <w:rFonts w:ascii="Book Antiqua" w:hAnsi="Book Antiqua"/>
          <w:color w:val="44546A"/>
        </w:rPr>
        <w:t xml:space="preserve"> </w:t>
      </w:r>
      <w:r>
        <w:rPr>
          <w:rFonts w:ascii="Book Antiqua" w:eastAsia="Book Antiqua" w:hAnsi="Book Antiqua" w:cs="Book Antiqua"/>
        </w:rPr>
        <w:t xml:space="preserve">При индикатори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-5 и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-9 потенциалът за финансиране на допълнителни проекти, с принос към индикаторите, е ограничен от заложените в Актуализираната Пътна карта за електронно управление мерки, а в случая на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-5, от броя на </w:t>
      </w:r>
      <w:r>
        <w:rPr>
          <w:rFonts w:ascii="Book Antiqua" w:eastAsia="Book Antiqua" w:hAnsi="Book Antiqua" w:cs="Book Antiqua"/>
        </w:rPr>
        <w:lastRenderedPageBreak/>
        <w:t xml:space="preserve">контролните, приходни и регулаторни органи, които се предвижда да бъдат подкрепени. </w:t>
      </w:r>
    </w:p>
    <w:p w14:paraId="23E84653" w14:textId="216BF310" w:rsidR="00E708DA" w:rsidRDefault="00AC4FE7">
      <w:pPr>
        <w:jc w:val="both"/>
        <w:rPr>
          <w:rFonts w:ascii="Book Antiqua" w:eastAsia="Book Antiqua" w:hAnsi="Book Antiqua" w:cs="Book Antiqua"/>
        </w:rPr>
      </w:pPr>
      <w:r>
        <w:rPr>
          <w:rFonts w:ascii="Book Antiqua" w:eastAsia="Book Antiqua" w:hAnsi="Book Antiqua" w:cs="Book Antiqua"/>
        </w:rPr>
        <w:t xml:space="preserve">За по-пълно постигане на целевата стойност на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-3 би трябвало да се отчете принос</w:t>
      </w:r>
      <w:proofErr w:type="spellStart"/>
      <w:r w:rsidR="00B82FBF">
        <w:rPr>
          <w:rFonts w:ascii="Book Antiqua" w:eastAsia="Book Antiqua" w:hAnsi="Book Antiqua" w:cs="Book Antiqua"/>
          <w:lang w:val="en-US"/>
        </w:rPr>
        <w:t>ът</w:t>
      </w:r>
      <w:proofErr w:type="spellEnd"/>
      <w:r>
        <w:rPr>
          <w:rFonts w:ascii="Book Antiqua" w:eastAsia="Book Antiqua" w:hAnsi="Book Antiqua" w:cs="Book Antiqua"/>
        </w:rPr>
        <w:t xml:space="preserve"> към въвеждане на комплексно административно обслужване от осигуряването на служебен достъп до данни през </w:t>
      </w:r>
      <w:proofErr w:type="spellStart"/>
      <w:r>
        <w:rPr>
          <w:rFonts w:ascii="Book Antiqua" w:eastAsia="Book Antiqua" w:hAnsi="Book Antiqua" w:cs="Book Antiqua"/>
        </w:rPr>
        <w:t>RegIX</w:t>
      </w:r>
      <w:proofErr w:type="spellEnd"/>
      <w:r>
        <w:rPr>
          <w:rFonts w:ascii="Book Antiqua" w:eastAsia="Book Antiqua" w:hAnsi="Book Antiqua" w:cs="Book Antiqua"/>
        </w:rPr>
        <w:t xml:space="preserve">, чрез което се облекчава административната тежест за гражданите и бизнеса.  </w:t>
      </w:r>
    </w:p>
    <w:p w14:paraId="20DEA915"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190956AF"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На база на договорите, които ще бъдат сключени през 2020 г. е препоръчително да се направи прогноза на постигане на целевите стойности на индикатори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-5 и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-9. При невъзможност за финансиране на достатъчен брой проекти, с принос към индикаторите, е препоръчителна корекция на целевите стойности.  </w:t>
      </w:r>
    </w:p>
    <w:p w14:paraId="164F3910" w14:textId="77777777" w:rsidR="00E708DA" w:rsidRDefault="00AC4FE7">
      <w:pPr>
        <w:jc w:val="both"/>
        <w:rPr>
          <w:rFonts w:ascii="Book Antiqua" w:eastAsia="Book Antiqua" w:hAnsi="Book Antiqua" w:cs="Book Antiqua"/>
        </w:rPr>
      </w:pPr>
      <w:r>
        <w:rPr>
          <w:rFonts w:ascii="Book Antiqua" w:eastAsia="Book Antiqua" w:hAnsi="Book Antiqua" w:cs="Book Antiqua"/>
        </w:rPr>
        <w:t xml:space="preserve">Препоръчително </w:t>
      </w:r>
      <w:r w:rsidR="000607C7">
        <w:rPr>
          <w:rFonts w:ascii="Book Antiqua" w:eastAsia="Book Antiqua" w:hAnsi="Book Antiqua" w:cs="Book Antiqua"/>
        </w:rPr>
        <w:t xml:space="preserve">е </w:t>
      </w:r>
      <w:r>
        <w:rPr>
          <w:rFonts w:ascii="Book Antiqua" w:eastAsia="Book Antiqua" w:hAnsi="Book Antiqua" w:cs="Book Antiqua"/>
        </w:rPr>
        <w:t xml:space="preserve">да се отчете принос към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-3 от промяната във вътрешни правила и наредби на администрациите вследствие на осигуряването на служебен достъп до данни през </w:t>
      </w:r>
      <w:proofErr w:type="spellStart"/>
      <w:r>
        <w:rPr>
          <w:rFonts w:ascii="Book Antiqua" w:eastAsia="Book Antiqua" w:hAnsi="Book Antiqua" w:cs="Book Antiqua"/>
        </w:rPr>
        <w:t>RegIX</w:t>
      </w:r>
      <w:proofErr w:type="spellEnd"/>
      <w:r>
        <w:rPr>
          <w:rFonts w:ascii="Book Antiqua" w:eastAsia="Book Antiqua" w:hAnsi="Book Antiqua" w:cs="Book Antiqua"/>
        </w:rPr>
        <w:t>. Служебният достъп до данни способства комплексно административно обслужване.</w:t>
      </w:r>
    </w:p>
    <w:p w14:paraId="784CEB35" w14:textId="0AC52B7F" w:rsidR="00E708DA" w:rsidRDefault="00AC4FE7">
      <w:pPr>
        <w:spacing w:before="120"/>
        <w:jc w:val="both"/>
      </w:pPr>
      <w:r>
        <w:rPr>
          <w:rFonts w:ascii="Book Antiqua" w:eastAsia="Book Antiqua" w:hAnsi="Book Antiqua" w:cs="Book Antiqua"/>
          <w:b/>
          <w:color w:val="44546A"/>
        </w:rPr>
        <w:t>2.</w:t>
      </w:r>
      <w:r w:rsidR="00486D8F">
        <w:rPr>
          <w:rFonts w:ascii="Book Antiqua" w:eastAsia="Book Antiqua" w:hAnsi="Book Antiqua" w:cs="Book Antiqua"/>
          <w:b/>
          <w:color w:val="44546A"/>
        </w:rPr>
        <w:t>6</w:t>
      </w:r>
      <w:r>
        <w:rPr>
          <w:rFonts w:ascii="Book Antiqua" w:eastAsia="Book Antiqua" w:hAnsi="Book Antiqua" w:cs="Book Antiqua"/>
          <w:b/>
          <w:color w:val="44546A"/>
        </w:rPr>
        <w:t xml:space="preserve">. </w:t>
      </w:r>
      <w:r>
        <w:rPr>
          <w:rFonts w:ascii="Book Antiqua" w:hAnsi="Book Antiqua"/>
        </w:rPr>
        <w:t>При</w:t>
      </w:r>
      <w:r w:rsidR="00A77840" w:rsidRPr="0040173A">
        <w:rPr>
          <w:rFonts w:ascii="Book Antiqua" w:eastAsia="Book Antiqua" w:hAnsi="Book Antiqua" w:cs="Book Antiqua"/>
        </w:rPr>
        <w:t xml:space="preserve"> </w:t>
      </w:r>
      <w:r w:rsidR="00A77840" w:rsidRPr="00A77840">
        <w:rPr>
          <w:rFonts w:ascii="Book Antiqua" w:eastAsia="Book Antiqua" w:hAnsi="Book Antiqua" w:cs="Book Antiqua"/>
          <w:b/>
        </w:rPr>
        <w:t>индикаторите за резултат</w:t>
      </w:r>
      <w:r w:rsidR="00A77840" w:rsidRPr="0040173A">
        <w:rPr>
          <w:rFonts w:ascii="Book Antiqua" w:eastAsia="Book Antiqua" w:hAnsi="Book Antiqua" w:cs="Book Antiqua"/>
        </w:rPr>
        <w:t xml:space="preserve"> съществува риск </w:t>
      </w:r>
      <w:r w:rsidR="00A77840">
        <w:rPr>
          <w:rFonts w:ascii="Book Antiqua" w:eastAsia="Book Antiqua" w:hAnsi="Book Antiqua" w:cs="Book Antiqua"/>
        </w:rPr>
        <w:t xml:space="preserve">за </w:t>
      </w:r>
      <w:r w:rsidR="00A77840" w:rsidRPr="0040173A">
        <w:rPr>
          <w:rFonts w:ascii="Book Antiqua" w:eastAsia="Book Antiqua" w:hAnsi="Book Antiqua" w:cs="Book Antiqua"/>
        </w:rPr>
        <w:t xml:space="preserve">постигане на целевите стойности на два индикатора: </w:t>
      </w:r>
      <w:proofErr w:type="spellStart"/>
      <w:r w:rsidR="00A77840" w:rsidRPr="0040173A">
        <w:rPr>
          <w:rFonts w:ascii="Book Antiqua" w:eastAsia="Book Antiqua" w:hAnsi="Book Antiqua" w:cs="Book Antiqua"/>
        </w:rPr>
        <w:t>R1</w:t>
      </w:r>
      <w:proofErr w:type="spellEnd"/>
      <w:r w:rsidR="00A77840" w:rsidRPr="0040173A">
        <w:rPr>
          <w:rFonts w:ascii="Book Antiqua" w:eastAsia="Book Antiqua" w:hAnsi="Book Antiqua" w:cs="Book Antiqua"/>
        </w:rPr>
        <w:t xml:space="preserve">-1 и </w:t>
      </w:r>
      <w:proofErr w:type="spellStart"/>
      <w:r w:rsidR="00A77840" w:rsidRPr="0040173A">
        <w:rPr>
          <w:rFonts w:ascii="Book Antiqua" w:eastAsia="Book Antiqua" w:hAnsi="Book Antiqua" w:cs="Book Antiqua"/>
        </w:rPr>
        <w:t>R1</w:t>
      </w:r>
      <w:proofErr w:type="spellEnd"/>
      <w:r w:rsidR="00A77840" w:rsidRPr="0040173A">
        <w:rPr>
          <w:rFonts w:ascii="Book Antiqua" w:eastAsia="Book Antiqua" w:hAnsi="Book Antiqua" w:cs="Book Antiqua"/>
        </w:rPr>
        <w:t>-3.</w:t>
      </w:r>
    </w:p>
    <w:p w14:paraId="39E84CA3" w14:textId="77777777" w:rsidR="00E708DA" w:rsidRDefault="00AC4FE7">
      <w:pPr>
        <w:tabs>
          <w:tab w:val="left" w:pos="851"/>
        </w:tabs>
        <w:jc w:val="both"/>
        <w:rPr>
          <w:rFonts w:ascii="Book Antiqua" w:eastAsia="Book Antiqua" w:hAnsi="Book Antiqua" w:cs="Book Antiqua"/>
        </w:rPr>
      </w:pPr>
      <w:r>
        <w:rPr>
          <w:rFonts w:ascii="Book Antiqua" w:eastAsia="Book Antiqua" w:hAnsi="Book Antiqua" w:cs="Book Antiqua"/>
        </w:rPr>
        <w:t xml:space="preserve">При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-1 по проект на </w:t>
      </w:r>
      <w:proofErr w:type="spellStart"/>
      <w:r>
        <w:rPr>
          <w:rFonts w:ascii="Book Antiqua" w:eastAsia="Book Antiqua" w:hAnsi="Book Antiqua" w:cs="Book Antiqua"/>
        </w:rPr>
        <w:t>АМС</w:t>
      </w:r>
      <w:proofErr w:type="spellEnd"/>
      <w:r>
        <w:rPr>
          <w:rFonts w:ascii="Book Antiqua" w:eastAsia="Book Antiqua" w:hAnsi="Book Antiqua" w:cs="Book Antiqua"/>
        </w:rPr>
        <w:t xml:space="preserve"> са подбрани и групирани 10 услуги от типа „епизоди от живота“ и „бизнес събития“. Разработването на модел за предоставяне услугите, се очаква да стане с подкрепата на проект към Службата за подкрепа за структурни реформи на ЕК (</w:t>
      </w:r>
      <w:proofErr w:type="spellStart"/>
      <w:r>
        <w:rPr>
          <w:rFonts w:ascii="Book Antiqua" w:eastAsia="Book Antiqua" w:hAnsi="Book Antiqua" w:cs="Book Antiqua"/>
        </w:rPr>
        <w:t>SRSS</w:t>
      </w:r>
      <w:proofErr w:type="spellEnd"/>
      <w:r>
        <w:rPr>
          <w:rFonts w:ascii="Book Antiqua" w:eastAsia="Book Antiqua" w:hAnsi="Book Antiqua" w:cs="Book Antiqua"/>
        </w:rPr>
        <w:t xml:space="preserve">) на два етапа (първо пет услуги, а след това още пет). Макар че, внедряването на услугите няма да стане изцяло с подкрепата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програмата има съществен принос за това чрез направените проучвания и нормативни промени, които ще бъдат осъществени.  Към момента, обаче, не е ясно доколко услугите ще бъдат внедрени към края на </w:t>
      </w:r>
      <w:proofErr w:type="spellStart"/>
      <w:r>
        <w:rPr>
          <w:rFonts w:ascii="Book Antiqua" w:eastAsia="Book Antiqua" w:hAnsi="Book Antiqua" w:cs="Book Antiqua"/>
        </w:rPr>
        <w:t>2023г</w:t>
      </w:r>
      <w:proofErr w:type="spellEnd"/>
      <w:r>
        <w:rPr>
          <w:rFonts w:ascii="Book Antiqua" w:eastAsia="Book Antiqua" w:hAnsi="Book Antiqua" w:cs="Book Antiqua"/>
        </w:rPr>
        <w:t>. тъй като е необходимо разработеният модел да бъде осъществен на практика, което може да изисква допълнителна работа или подкрепа. По-вероятно е това са се случи само за петте услуги от първия етап на въвеждане.</w:t>
      </w:r>
    </w:p>
    <w:p w14:paraId="1FD0D0C6" w14:textId="37A03151" w:rsidR="00E708DA" w:rsidRDefault="00AC4FE7">
      <w:pPr>
        <w:jc w:val="both"/>
        <w:rPr>
          <w:rFonts w:ascii="Book Antiqua" w:eastAsia="Book Antiqua" w:hAnsi="Book Antiqua" w:cs="Book Antiqua"/>
        </w:rPr>
      </w:pPr>
      <w:r>
        <w:rPr>
          <w:rFonts w:ascii="Book Antiqua" w:eastAsia="Book Antiqua" w:hAnsi="Book Antiqua" w:cs="Book Antiqua"/>
        </w:rPr>
        <w:t xml:space="preserve">Постигането на целевата стойност на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-3 е неясно. Към индикатора е заявен принос само от едни проект, като този принос също е несигурен. Пряк принос към индикатора има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-8. Възможно е част от отчетените услуги по индикатора за изпълнение да бъдат отчетени в индикатора за резултат  стига да са приоритетни (</w:t>
      </w:r>
      <w:proofErr w:type="spellStart"/>
      <w:r>
        <w:rPr>
          <w:rFonts w:ascii="Book Antiqua" w:eastAsia="Book Antiqua" w:hAnsi="Book Antiqua" w:cs="Book Antiqua"/>
        </w:rPr>
        <w:t>т.е</w:t>
      </w:r>
      <w:proofErr w:type="spellEnd"/>
      <w:r>
        <w:rPr>
          <w:rFonts w:ascii="Book Antiqua" w:eastAsia="Book Antiqua" w:hAnsi="Book Antiqua" w:cs="Book Antiqua"/>
        </w:rPr>
        <w:t xml:space="preserve"> използвани над 5000 пъти годишно) и да се базират на </w:t>
      </w:r>
      <w:proofErr w:type="spellStart"/>
      <w:r>
        <w:rPr>
          <w:rFonts w:ascii="Book Antiqua" w:eastAsia="Book Antiqua" w:hAnsi="Book Antiqua" w:cs="Book Antiqua"/>
        </w:rPr>
        <w:t>ДХЧО</w:t>
      </w:r>
      <w:proofErr w:type="spellEnd"/>
      <w:r>
        <w:rPr>
          <w:rFonts w:ascii="Book Antiqua" w:eastAsia="Book Antiqua" w:hAnsi="Book Antiqua" w:cs="Book Antiqua"/>
        </w:rPr>
        <w:t xml:space="preserve">). Поради това препоръките към индикатор </w:t>
      </w:r>
      <w:proofErr w:type="spellStart"/>
      <w:r>
        <w:rPr>
          <w:rFonts w:ascii="Book Antiqua" w:eastAsia="Book Antiqua" w:hAnsi="Book Antiqua" w:cs="Book Antiqua"/>
        </w:rPr>
        <w:t>О1</w:t>
      </w:r>
      <w:proofErr w:type="spellEnd"/>
      <w:r>
        <w:rPr>
          <w:rFonts w:ascii="Book Antiqua" w:eastAsia="Book Antiqua" w:hAnsi="Book Antiqua" w:cs="Book Antiqua"/>
        </w:rPr>
        <w:t xml:space="preserve">-8, които касаят промяна в метаданните с цел по-пълно отчитане на вътрешните административни услуги се отнасят и за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-3. Въпреки това, заложената целева стойност от 225 подкрепени приоритетни услуги изглежда нереалистична. Подкрепените по проекти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регистри, които по анализи на данни от </w:t>
      </w:r>
      <w:proofErr w:type="spellStart"/>
      <w:r>
        <w:rPr>
          <w:rFonts w:ascii="Book Antiqua" w:eastAsia="Book Antiqua" w:hAnsi="Book Antiqua" w:cs="Book Antiqua"/>
        </w:rPr>
        <w:t>RegIX</w:t>
      </w:r>
      <w:proofErr w:type="spellEnd"/>
      <w:r>
        <w:rPr>
          <w:rFonts w:ascii="Book Antiqua" w:eastAsia="Book Antiqua" w:hAnsi="Book Antiqua" w:cs="Book Antiqua"/>
        </w:rPr>
        <w:t xml:space="preserve"> се използват над 5000 пъти годишно са 7 (при общо 30 регистъра, които се достъпват през </w:t>
      </w:r>
      <w:proofErr w:type="spellStart"/>
      <w:r>
        <w:rPr>
          <w:rFonts w:ascii="Book Antiqua" w:eastAsia="Book Antiqua" w:hAnsi="Book Antiqua" w:cs="Book Antiqua"/>
        </w:rPr>
        <w:t>RegIX</w:t>
      </w:r>
      <w:proofErr w:type="spellEnd"/>
      <w:r>
        <w:rPr>
          <w:rFonts w:ascii="Book Antiqua" w:eastAsia="Book Antiqua" w:hAnsi="Book Antiqua" w:cs="Book Antiqua"/>
        </w:rPr>
        <w:t xml:space="preserve"> над 50</w:t>
      </w:r>
      <w:r w:rsidR="00CE568C">
        <w:rPr>
          <w:rFonts w:ascii="Book Antiqua" w:eastAsia="Book Antiqua" w:hAnsi="Book Antiqua" w:cs="Book Antiqua"/>
        </w:rPr>
        <w:t>0</w:t>
      </w:r>
      <w:r>
        <w:rPr>
          <w:rFonts w:ascii="Book Antiqua" w:eastAsia="Book Antiqua" w:hAnsi="Book Antiqua" w:cs="Book Antiqua"/>
        </w:rPr>
        <w:t>0 пъти годишно</w:t>
      </w:r>
      <w:r w:rsidR="009461BE">
        <w:rPr>
          <w:rStyle w:val="a8"/>
          <w:rFonts w:ascii="Book Antiqua" w:eastAsia="Book Antiqua" w:hAnsi="Book Antiqua" w:cs="Book Antiqua"/>
        </w:rPr>
        <w:footnoteReference w:id="2"/>
      </w:r>
      <w:r>
        <w:rPr>
          <w:rFonts w:ascii="Book Antiqua" w:eastAsia="Book Antiqua" w:hAnsi="Book Antiqua" w:cs="Book Antiqua"/>
        </w:rPr>
        <w:t>).</w:t>
      </w:r>
    </w:p>
    <w:p w14:paraId="28E60151"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Препоръки:</w:t>
      </w:r>
    </w:p>
    <w:p w14:paraId="1ACD3B8C"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За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-1 се препоръчва да се наблюдава разработването на модела за въвеждане на петте услуги от типа „епизоди от живота“ и „бизнес събития“ при първия етап на изпълнение на проекта, подкрепен от </w:t>
      </w:r>
      <w:proofErr w:type="spellStart"/>
      <w:r>
        <w:rPr>
          <w:rFonts w:ascii="Book Antiqua" w:eastAsia="Book Antiqua" w:hAnsi="Book Antiqua" w:cs="Book Antiqua"/>
        </w:rPr>
        <w:t>SRSS</w:t>
      </w:r>
      <w:proofErr w:type="spellEnd"/>
      <w:r>
        <w:rPr>
          <w:rFonts w:ascii="Book Antiqua" w:eastAsia="Book Antiqua" w:hAnsi="Book Antiqua" w:cs="Book Antiqua"/>
        </w:rPr>
        <w:t xml:space="preserve">. В зависимост от постигнатите резултати и очаквания се препоръчва (1) да се намали целевата стойност на индикатора на 5 бр. услуги, като се променят метаданните, за да се уточни приносът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или (2) отпадане на индикатора при невъзможност за въвеждане на услугите от пита „епизоди от живота“ и „бизнес събития“ до края на 2023  г.</w:t>
      </w:r>
    </w:p>
    <w:p w14:paraId="4E722966"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lastRenderedPageBreak/>
        <w:t xml:space="preserve">За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-3 се препоръчва: </w:t>
      </w:r>
    </w:p>
    <w:p w14:paraId="0CAB0919" w14:textId="77777777" w:rsidR="00E708DA" w:rsidRDefault="00AC4FE7" w:rsidP="006A077E">
      <w:pPr>
        <w:tabs>
          <w:tab w:val="left" w:pos="317"/>
        </w:tabs>
        <w:jc w:val="both"/>
        <w:rPr>
          <w:rFonts w:ascii="Book Antiqua" w:eastAsia="Book Antiqua" w:hAnsi="Book Antiqua" w:cs="Book Antiqua"/>
        </w:rPr>
      </w:pPr>
      <w:r>
        <w:rPr>
          <w:rFonts w:ascii="Book Antiqua" w:eastAsia="Book Antiqua" w:hAnsi="Book Antiqua" w:cs="Book Antiqua"/>
        </w:rPr>
        <w:t xml:space="preserve">(1) Промяна на метаданните с цел отчитане на достъпването на данни през </w:t>
      </w:r>
      <w:proofErr w:type="spellStart"/>
      <w:r>
        <w:rPr>
          <w:rFonts w:ascii="Book Antiqua" w:eastAsia="Book Antiqua" w:hAnsi="Book Antiqua" w:cs="Book Antiqua"/>
        </w:rPr>
        <w:t>RegIX</w:t>
      </w:r>
      <w:proofErr w:type="spellEnd"/>
      <w:r>
        <w:rPr>
          <w:rFonts w:ascii="Book Antiqua" w:eastAsia="Book Antiqua" w:hAnsi="Book Antiqua" w:cs="Book Antiqua"/>
        </w:rPr>
        <w:t xml:space="preserve"> като вътрешна административна услуга. </w:t>
      </w:r>
    </w:p>
    <w:p w14:paraId="1888ABCC" w14:textId="77777777" w:rsidR="00E708DA" w:rsidRDefault="00AC4FE7">
      <w:pPr>
        <w:jc w:val="both"/>
      </w:pPr>
      <w:r>
        <w:rPr>
          <w:rFonts w:ascii="Book Antiqua" w:eastAsia="Book Antiqua" w:hAnsi="Book Antiqua" w:cs="Book Antiqua"/>
        </w:rPr>
        <w:t>(</w:t>
      </w:r>
      <w:r>
        <w:rPr>
          <w:rFonts w:ascii="Book Antiqua" w:eastAsia="Book Antiqua" w:hAnsi="Book Antiqua" w:cs="Book Antiqua"/>
          <w:lang w:val="en-US"/>
        </w:rPr>
        <w:t>2</w:t>
      </w:r>
      <w:r>
        <w:rPr>
          <w:rFonts w:ascii="Book Antiqua" w:eastAsia="Book Antiqua" w:hAnsi="Book Antiqua" w:cs="Book Antiqua"/>
        </w:rPr>
        <w:t>) Намаляване на целевата стойност на индикатора. Възможна е и промяна в заложения праг на годишно използване на услугите, което ще се отрази на целевата стойност.</w:t>
      </w:r>
    </w:p>
    <w:p w14:paraId="4E336EED" w14:textId="4828B19E" w:rsidR="00E708DA" w:rsidRDefault="00AC4FE7">
      <w:pPr>
        <w:spacing w:before="120"/>
        <w:jc w:val="both"/>
      </w:pPr>
      <w:r>
        <w:rPr>
          <w:rFonts w:ascii="Book Antiqua" w:eastAsia="Book Antiqua" w:hAnsi="Book Antiqua" w:cs="Book Antiqua"/>
          <w:b/>
          <w:color w:val="44546A"/>
        </w:rPr>
        <w:t>2.</w:t>
      </w:r>
      <w:r w:rsidR="00486D8F">
        <w:rPr>
          <w:rFonts w:ascii="Book Antiqua" w:eastAsia="Book Antiqua" w:hAnsi="Book Antiqua" w:cs="Book Antiqua"/>
          <w:b/>
          <w:color w:val="44546A"/>
        </w:rPr>
        <w:t>7</w:t>
      </w:r>
      <w:r>
        <w:rPr>
          <w:rFonts w:ascii="Book Antiqua" w:eastAsia="Book Antiqua" w:hAnsi="Book Antiqua" w:cs="Book Antiqua"/>
          <w:b/>
          <w:color w:val="44546A"/>
        </w:rPr>
        <w:t xml:space="preserve">. </w:t>
      </w:r>
      <w:r>
        <w:rPr>
          <w:rFonts w:ascii="Book Antiqua" w:eastAsia="Book Antiqua" w:hAnsi="Book Antiqua" w:cs="Book Antiqua"/>
        </w:rPr>
        <w:t xml:space="preserve">Метаданните на индикатор </w:t>
      </w:r>
      <w:proofErr w:type="spellStart"/>
      <w:r>
        <w:rPr>
          <w:rFonts w:ascii="Book Antiqua" w:eastAsia="Book Antiqua" w:hAnsi="Book Antiqua" w:cs="Book Antiqua"/>
        </w:rPr>
        <w:t>R1</w:t>
      </w:r>
      <w:proofErr w:type="spellEnd"/>
      <w:r>
        <w:rPr>
          <w:rFonts w:ascii="Book Antiqua" w:eastAsia="Book Antiqua" w:hAnsi="Book Antiqua" w:cs="Book Antiqua"/>
        </w:rPr>
        <w:t xml:space="preserve">-5 (Функционираща </w:t>
      </w:r>
      <w:proofErr w:type="spellStart"/>
      <w:r>
        <w:rPr>
          <w:rFonts w:ascii="Book Antiqua" w:eastAsia="Book Antiqua" w:hAnsi="Book Antiqua" w:cs="Book Antiqua"/>
        </w:rPr>
        <w:t>НЗИС</w:t>
      </w:r>
      <w:proofErr w:type="spellEnd"/>
      <w:r>
        <w:rPr>
          <w:rFonts w:ascii="Book Antiqua" w:eastAsia="Book Antiqua" w:hAnsi="Book Antiqua" w:cs="Book Antiqua"/>
        </w:rPr>
        <w:t xml:space="preserve">) не отчитат заложената в Националната здравна стратегия 2020 </w:t>
      </w:r>
      <w:proofErr w:type="spellStart"/>
      <w:r>
        <w:rPr>
          <w:rFonts w:ascii="Book Antiqua" w:eastAsia="Book Antiqua" w:hAnsi="Book Antiqua" w:cs="Book Antiqua"/>
        </w:rPr>
        <w:t>етапност</w:t>
      </w:r>
      <w:proofErr w:type="spellEnd"/>
      <w:r>
        <w:rPr>
          <w:rFonts w:ascii="Book Antiqua" w:eastAsia="Book Antiqua" w:hAnsi="Book Antiqua" w:cs="Book Antiqua"/>
        </w:rPr>
        <w:t xml:space="preserve"> на изграждане на </w:t>
      </w:r>
      <w:proofErr w:type="spellStart"/>
      <w:r>
        <w:rPr>
          <w:rFonts w:ascii="Book Antiqua" w:eastAsia="Book Antiqua" w:hAnsi="Book Antiqua" w:cs="Book Antiqua"/>
        </w:rPr>
        <w:t>НЗ</w:t>
      </w:r>
      <w:r w:rsidR="00EF1A79">
        <w:rPr>
          <w:rFonts w:ascii="Book Antiqua" w:eastAsia="Book Antiqua" w:hAnsi="Book Antiqua" w:cs="Book Antiqua"/>
        </w:rPr>
        <w:t>И</w:t>
      </w:r>
      <w:r>
        <w:rPr>
          <w:rFonts w:ascii="Book Antiqua" w:eastAsia="Book Antiqua" w:hAnsi="Book Antiqua" w:cs="Book Antiqua"/>
        </w:rPr>
        <w:t>С</w:t>
      </w:r>
      <w:proofErr w:type="spellEnd"/>
      <w:r>
        <w:rPr>
          <w:rFonts w:ascii="Book Antiqua" w:eastAsia="Book Antiqua" w:hAnsi="Book Antiqua" w:cs="Book Antiqua"/>
        </w:rPr>
        <w:t>.</w:t>
      </w:r>
    </w:p>
    <w:p w14:paraId="26334E52"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19505990" w14:textId="77777777" w:rsidR="00E708DA" w:rsidRDefault="00AC4FE7">
      <w:pPr>
        <w:jc w:val="both"/>
        <w:rPr>
          <w:rFonts w:ascii="Book Antiqua" w:eastAsia="Book Antiqua" w:hAnsi="Book Antiqua" w:cs="Book Antiqua"/>
        </w:rPr>
      </w:pPr>
      <w:r>
        <w:rPr>
          <w:rFonts w:ascii="Book Antiqua" w:eastAsia="Book Antiqua" w:hAnsi="Book Antiqua" w:cs="Book Antiqua"/>
        </w:rPr>
        <w:t xml:space="preserve">Препоръчително е метаданните на индикатора да бъдат променени като се уточни кои от ключовите компоненти на </w:t>
      </w:r>
      <w:proofErr w:type="spellStart"/>
      <w:r>
        <w:rPr>
          <w:rFonts w:ascii="Book Antiqua" w:eastAsia="Book Antiqua" w:hAnsi="Book Antiqua" w:cs="Book Antiqua"/>
        </w:rPr>
        <w:t>НЗИС</w:t>
      </w:r>
      <w:proofErr w:type="spellEnd"/>
      <w:r>
        <w:rPr>
          <w:rFonts w:ascii="Book Antiqua" w:eastAsia="Book Antiqua" w:hAnsi="Book Antiqua" w:cs="Book Antiqua"/>
        </w:rPr>
        <w:t xml:space="preserve"> ще бъдат изградени до 2023, така че да е налице действаща </w:t>
      </w:r>
      <w:proofErr w:type="spellStart"/>
      <w:r>
        <w:rPr>
          <w:rFonts w:ascii="Book Antiqua" w:eastAsia="Book Antiqua" w:hAnsi="Book Antiqua" w:cs="Book Antiqua"/>
        </w:rPr>
        <w:t>НЗИС</w:t>
      </w:r>
      <w:proofErr w:type="spellEnd"/>
      <w:r>
        <w:rPr>
          <w:rFonts w:ascii="Book Antiqua" w:eastAsia="Book Antiqua" w:hAnsi="Book Antiqua" w:cs="Book Antiqua"/>
        </w:rPr>
        <w:t xml:space="preserve"> и кои функционалности ще бъдат доизграждани в следващите етапи.</w:t>
      </w:r>
    </w:p>
    <w:p w14:paraId="13BBE370" w14:textId="25DF7001" w:rsidR="00821262" w:rsidRDefault="00821262">
      <w:pPr>
        <w:jc w:val="both"/>
        <w:rPr>
          <w:rFonts w:ascii="Book Antiqua" w:eastAsia="Book Antiqua" w:hAnsi="Book Antiqua" w:cs="Book Antiqua"/>
        </w:rPr>
      </w:pPr>
      <w:r>
        <w:rPr>
          <w:rFonts w:ascii="Book Antiqua" w:eastAsia="Book Antiqua" w:hAnsi="Book Antiqua" w:cs="Book Antiqua"/>
          <w:b/>
          <w:color w:val="44546A"/>
        </w:rPr>
        <w:t>2.</w:t>
      </w:r>
      <w:r w:rsidR="00486D8F">
        <w:rPr>
          <w:rFonts w:ascii="Book Antiqua" w:eastAsia="Book Antiqua" w:hAnsi="Book Antiqua" w:cs="Book Antiqua"/>
          <w:b/>
          <w:color w:val="44546A"/>
        </w:rPr>
        <w:t>8</w:t>
      </w:r>
      <w:r>
        <w:rPr>
          <w:rFonts w:ascii="Book Antiqua" w:eastAsia="Book Antiqua" w:hAnsi="Book Antiqua" w:cs="Book Antiqua"/>
          <w:b/>
          <w:color w:val="44546A"/>
        </w:rPr>
        <w:t xml:space="preserve">. </w:t>
      </w:r>
      <w:r w:rsidRPr="00821262">
        <w:rPr>
          <w:rFonts w:ascii="Book Antiqua" w:eastAsia="Book Antiqua" w:hAnsi="Book Antiqua" w:cs="Book Antiqua"/>
        </w:rPr>
        <w:t xml:space="preserve">По </w:t>
      </w:r>
      <w:proofErr w:type="spellStart"/>
      <w:r w:rsidRPr="00821262">
        <w:rPr>
          <w:rFonts w:ascii="Book Antiqua" w:eastAsia="Book Antiqua" w:hAnsi="Book Antiqua" w:cs="Book Antiqua"/>
        </w:rPr>
        <w:t>ПО1</w:t>
      </w:r>
      <w:proofErr w:type="spellEnd"/>
      <w:r w:rsidRPr="00821262">
        <w:rPr>
          <w:rFonts w:ascii="Book Antiqua" w:eastAsia="Book Antiqua" w:hAnsi="Book Antiqua" w:cs="Book Antiqua"/>
        </w:rPr>
        <w:t>, поради спецификата на подкрепата, някои дейности и резултати, не са обхванати от системата от индикатори. За тази цел при някои проекти са заложени специфични индикатори. Специфичните резултати от тези дейности и проекти са свързани с промените в нормативната, стратегическа и институционална рамка и изграждане на информационни системи и инфраструктура, които улесняват достъпа до данни и електронното управление.</w:t>
      </w:r>
    </w:p>
    <w:p w14:paraId="3A889E83" w14:textId="77777777" w:rsidR="00E708DA" w:rsidRDefault="00E708DA">
      <w:pPr>
        <w:jc w:val="both"/>
        <w:rPr>
          <w:rFonts w:ascii="Book Antiqua" w:eastAsia="Book Antiqua" w:hAnsi="Book Antiqua" w:cs="Book Antiqua"/>
        </w:rPr>
      </w:pPr>
    </w:p>
    <w:p w14:paraId="2635E015" w14:textId="77777777" w:rsidR="00E708DA" w:rsidRDefault="00AC4FE7">
      <w:pPr>
        <w:pStyle w:val="a6"/>
        <w:numPr>
          <w:ilvl w:val="0"/>
          <w:numId w:val="3"/>
        </w:numPr>
        <w:shd w:val="clear" w:color="auto" w:fill="D9E2F3"/>
        <w:spacing w:after="120"/>
        <w:ind w:left="714" w:hanging="357"/>
        <w:jc w:val="both"/>
        <w:rPr>
          <w:rFonts w:ascii="Book Antiqua" w:hAnsi="Book Antiqua"/>
          <w:b/>
          <w:color w:val="44546A"/>
        </w:rPr>
      </w:pPr>
      <w:r>
        <w:rPr>
          <w:rFonts w:ascii="Book Antiqua" w:hAnsi="Book Antiqua"/>
          <w:b/>
          <w:color w:val="44546A"/>
        </w:rPr>
        <w:t>Основни изводи и препоръки по приоритетна ос 2.</w:t>
      </w:r>
    </w:p>
    <w:p w14:paraId="1C1B079E" w14:textId="1DE9D834" w:rsidR="00821262" w:rsidRDefault="00821262">
      <w:pPr>
        <w:jc w:val="both"/>
        <w:rPr>
          <w:rFonts w:ascii="Book Antiqua" w:eastAsia="Book Antiqua" w:hAnsi="Book Antiqua" w:cs="Book Antiqua"/>
        </w:rPr>
      </w:pPr>
      <w:r>
        <w:rPr>
          <w:rFonts w:ascii="Book Antiqua" w:hAnsi="Book Antiqua"/>
          <w:b/>
          <w:color w:val="44546A"/>
        </w:rPr>
        <w:t>3.</w:t>
      </w:r>
      <w:r w:rsidR="00486D8F">
        <w:rPr>
          <w:rFonts w:ascii="Book Antiqua" w:hAnsi="Book Antiqua"/>
          <w:b/>
          <w:color w:val="44546A"/>
        </w:rPr>
        <w:t>1</w:t>
      </w:r>
      <w:r>
        <w:rPr>
          <w:rFonts w:ascii="Book Antiqua" w:hAnsi="Book Antiqua"/>
          <w:b/>
          <w:color w:val="44546A"/>
        </w:rPr>
        <w:t xml:space="preserve">. </w:t>
      </w:r>
      <w:r>
        <w:rPr>
          <w:rFonts w:ascii="Book Antiqua" w:eastAsia="Book Antiqua" w:hAnsi="Book Antiqua" w:cs="Book Antiqua"/>
        </w:rPr>
        <w:t>К</w:t>
      </w:r>
      <w:r w:rsidRPr="00F45D39">
        <w:rPr>
          <w:rFonts w:ascii="Book Antiqua" w:eastAsia="Book Antiqua" w:hAnsi="Book Antiqua" w:cs="Book Antiqua"/>
        </w:rPr>
        <w:t xml:space="preserve">ъм края на 2019 г. е договорен 38 % от бюджета на приоритетната ос, но реално разплатените средства са все още малко (22%). Следва да се има предвид, че голяма част от проектите по договорените процедури са все още в изпълнение. В </w:t>
      </w:r>
      <w:proofErr w:type="spellStart"/>
      <w:r w:rsidRPr="00F45D39">
        <w:rPr>
          <w:rFonts w:ascii="Book Antiqua" w:eastAsia="Book Antiqua" w:hAnsi="Book Antiqua" w:cs="Book Antiqua"/>
        </w:rPr>
        <w:t>ИГРП</w:t>
      </w:r>
      <w:proofErr w:type="spellEnd"/>
      <w:r w:rsidRPr="00F45D39">
        <w:rPr>
          <w:rFonts w:ascii="Book Antiqua" w:eastAsia="Book Antiqua" w:hAnsi="Book Antiqua" w:cs="Book Antiqua"/>
        </w:rPr>
        <w:t xml:space="preserve"> за 2020 г. са планирани 2 нови процедури с общ бюджет от 12,2 млн. лв. Ако тези процедури се осъществят, договорените средства по </w:t>
      </w:r>
      <w:proofErr w:type="spellStart"/>
      <w:r w:rsidRPr="00F45D39">
        <w:rPr>
          <w:rFonts w:ascii="Book Antiqua" w:eastAsia="Book Antiqua" w:hAnsi="Book Antiqua" w:cs="Book Antiqua"/>
        </w:rPr>
        <w:t>ПО2</w:t>
      </w:r>
      <w:proofErr w:type="spellEnd"/>
      <w:r w:rsidRPr="00F45D39">
        <w:rPr>
          <w:rFonts w:ascii="Book Antiqua" w:eastAsia="Book Antiqua" w:hAnsi="Book Antiqua" w:cs="Book Antiqua"/>
        </w:rPr>
        <w:t xml:space="preserve"> ще достигнат 46% от бюджета на оста. Отделно от това, в </w:t>
      </w:r>
      <w:proofErr w:type="spellStart"/>
      <w:r w:rsidRPr="00F45D39">
        <w:rPr>
          <w:rFonts w:ascii="Book Antiqua" w:eastAsia="Book Antiqua" w:hAnsi="Book Antiqua" w:cs="Book Antiqua"/>
        </w:rPr>
        <w:t>ИГРП</w:t>
      </w:r>
      <w:proofErr w:type="spellEnd"/>
      <w:r w:rsidRPr="00F45D39">
        <w:rPr>
          <w:rFonts w:ascii="Book Antiqua" w:eastAsia="Book Antiqua" w:hAnsi="Book Antiqua" w:cs="Book Antiqua"/>
        </w:rPr>
        <w:t xml:space="preserve"> 2020 г. са планирани и две процедури, които ще бъдат изпълнявани и по </w:t>
      </w:r>
      <w:proofErr w:type="spellStart"/>
      <w:r w:rsidRPr="00F45D39">
        <w:rPr>
          <w:rFonts w:ascii="Book Antiqua" w:eastAsia="Book Antiqua" w:hAnsi="Book Antiqua" w:cs="Book Antiqua"/>
        </w:rPr>
        <w:t>ПО</w:t>
      </w:r>
      <w:proofErr w:type="spellEnd"/>
      <w:r w:rsidRPr="00F45D39">
        <w:rPr>
          <w:rFonts w:ascii="Book Antiqua" w:eastAsia="Book Antiqua" w:hAnsi="Book Antiqua" w:cs="Book Antiqua"/>
        </w:rPr>
        <w:t xml:space="preserve"> 1 и ПО 2 на стойност общо 9,6 млн. лева.</w:t>
      </w:r>
    </w:p>
    <w:p w14:paraId="13CF94BE" w14:textId="77777777" w:rsidR="009218A4" w:rsidRDefault="008F4A1A" w:rsidP="009218A4">
      <w:pPr>
        <w:jc w:val="both"/>
        <w:rPr>
          <w:rFonts w:ascii="Book Antiqua" w:eastAsia="Book Antiqua" w:hAnsi="Book Antiqua" w:cs="Book Antiqua"/>
        </w:rPr>
      </w:pPr>
      <w:r>
        <w:rPr>
          <w:rFonts w:ascii="Book Antiqua" w:hAnsi="Book Antiqua"/>
          <w:b/>
          <w:color w:val="44546A"/>
        </w:rPr>
        <w:t>3.</w:t>
      </w:r>
      <w:r w:rsidR="00486D8F">
        <w:rPr>
          <w:rFonts w:ascii="Book Antiqua" w:hAnsi="Book Antiqua"/>
          <w:b/>
          <w:color w:val="44546A"/>
        </w:rPr>
        <w:t>2</w:t>
      </w:r>
      <w:r>
        <w:rPr>
          <w:rFonts w:ascii="Book Antiqua" w:hAnsi="Book Antiqua"/>
          <w:b/>
          <w:color w:val="44546A"/>
        </w:rPr>
        <w:t xml:space="preserve">. </w:t>
      </w:r>
      <w:r w:rsidR="009218A4" w:rsidRPr="008F4A1A">
        <w:rPr>
          <w:rFonts w:ascii="Book Antiqua" w:eastAsia="Book Antiqua" w:hAnsi="Book Antiqua" w:cs="Book Antiqua"/>
        </w:rPr>
        <w:t xml:space="preserve">Приоритетна ос 2 на </w:t>
      </w:r>
      <w:proofErr w:type="spellStart"/>
      <w:r w:rsidR="009218A4" w:rsidRPr="008F4A1A">
        <w:rPr>
          <w:rFonts w:ascii="Book Antiqua" w:eastAsia="Book Antiqua" w:hAnsi="Book Antiqua" w:cs="Book Antiqua"/>
        </w:rPr>
        <w:t>ОПДУ</w:t>
      </w:r>
      <w:proofErr w:type="spellEnd"/>
      <w:r w:rsidR="009218A4" w:rsidRPr="008F4A1A">
        <w:rPr>
          <w:rFonts w:ascii="Book Antiqua" w:eastAsia="Book Antiqua" w:hAnsi="Book Antiqua" w:cs="Book Antiqua"/>
        </w:rPr>
        <w:t xml:space="preserve"> има ключов принос към изпълнението на четири от стратегическите цели</w:t>
      </w:r>
      <w:r w:rsidR="009218A4">
        <w:rPr>
          <w:rFonts w:ascii="Book Antiqua" w:eastAsia="Book Antiqua" w:hAnsi="Book Antiqua" w:cs="Book Antiqua"/>
        </w:rPr>
        <w:t>, заложени</w:t>
      </w:r>
      <w:r w:rsidR="009218A4" w:rsidRPr="008F4A1A">
        <w:rPr>
          <w:rFonts w:ascii="Book Antiqua" w:eastAsia="Book Antiqua" w:hAnsi="Book Antiqua" w:cs="Book Antiqua"/>
        </w:rPr>
        <w:t xml:space="preserve"> в Стратегията за развитие на държавната администрация 2014 – 2020 г.</w:t>
      </w:r>
      <w:r w:rsidR="009218A4">
        <w:rPr>
          <w:rFonts w:ascii="Book Antiqua" w:eastAsia="Book Antiqua" w:hAnsi="Book Antiqua" w:cs="Book Antiqua"/>
        </w:rPr>
        <w:t xml:space="preserve">, </w:t>
      </w:r>
      <w:r w:rsidR="009218A4" w:rsidRPr="0083296A">
        <w:rPr>
          <w:rFonts w:ascii="Book Antiqua" w:eastAsia="Book Antiqua" w:hAnsi="Book Antiqua" w:cs="Book Antiqua"/>
        </w:rPr>
        <w:t xml:space="preserve">свързани с </w:t>
      </w:r>
      <w:r w:rsidR="009218A4" w:rsidRPr="0083296A">
        <w:rPr>
          <w:rFonts w:ascii="Book Antiqua" w:eastAsia="Book Antiqua" w:hAnsi="Book Antiqua" w:cs="Book Antiqua"/>
          <w:b/>
        </w:rPr>
        <w:t>разработването и мониторинга на политики, организационното развитие и управлението на човешките ресурси</w:t>
      </w:r>
      <w:r w:rsidR="009218A4">
        <w:rPr>
          <w:rFonts w:ascii="Book Antiqua" w:eastAsia="Book Antiqua" w:hAnsi="Book Antiqua" w:cs="Book Antiqua"/>
          <w:b/>
        </w:rPr>
        <w:t>:</w:t>
      </w:r>
      <w:r w:rsidR="009218A4" w:rsidRPr="008F4A1A">
        <w:rPr>
          <w:rFonts w:ascii="Book Antiqua" w:eastAsia="Book Antiqua" w:hAnsi="Book Antiqua" w:cs="Book Antiqua"/>
        </w:rPr>
        <w:t xml:space="preserve"> 1 „Ефективно управление и върховенство на закона“; 2 „Партньорско управление с гражданите и бизнеса“, стратегическа цел 3 „Открито и отговорно управление“ и стратегическа цел 4 „Професионално и експертно управление“. В Пътната карта към </w:t>
      </w:r>
      <w:proofErr w:type="spellStart"/>
      <w:r w:rsidR="009218A4" w:rsidRPr="008F4A1A">
        <w:rPr>
          <w:rFonts w:ascii="Book Antiqua" w:eastAsia="Book Antiqua" w:hAnsi="Book Antiqua" w:cs="Book Antiqua"/>
        </w:rPr>
        <w:t>СРДА</w:t>
      </w:r>
      <w:proofErr w:type="spellEnd"/>
      <w:r w:rsidR="009218A4" w:rsidRPr="008F4A1A">
        <w:rPr>
          <w:rFonts w:ascii="Book Antiqua" w:eastAsia="Book Antiqua" w:hAnsi="Book Antiqua" w:cs="Book Antiqua"/>
        </w:rPr>
        <w:t xml:space="preserve"> по стратегически цели 1-3</w:t>
      </w:r>
      <w:r w:rsidR="009218A4">
        <w:rPr>
          <w:rFonts w:ascii="Book Antiqua" w:eastAsia="Book Antiqua" w:hAnsi="Book Antiqua" w:cs="Book Antiqua"/>
        </w:rPr>
        <w:t xml:space="preserve"> </w:t>
      </w:r>
      <w:r w:rsidR="009218A4" w:rsidRPr="008F4A1A">
        <w:rPr>
          <w:rFonts w:ascii="Book Antiqua" w:eastAsia="Book Antiqua" w:hAnsi="Book Antiqua" w:cs="Book Antiqua"/>
        </w:rPr>
        <w:t xml:space="preserve">са заложени общо 39 дейности за изпълнение на мерките, 22 от които са предвидени за изпълнение по </w:t>
      </w:r>
      <w:proofErr w:type="spellStart"/>
      <w:r w:rsidR="009218A4" w:rsidRPr="008F4A1A">
        <w:rPr>
          <w:rFonts w:ascii="Book Antiqua" w:eastAsia="Book Antiqua" w:hAnsi="Book Antiqua" w:cs="Book Antiqua"/>
        </w:rPr>
        <w:t>ОПДУ</w:t>
      </w:r>
      <w:proofErr w:type="spellEnd"/>
      <w:r w:rsidR="009218A4" w:rsidRPr="008F4A1A">
        <w:rPr>
          <w:rFonts w:ascii="Book Antiqua" w:eastAsia="Book Antiqua" w:hAnsi="Book Antiqua" w:cs="Book Antiqua"/>
        </w:rPr>
        <w:t xml:space="preserve"> и които по своята същност са дейностите, чрез които се осъществяват реформи в областта на разработването и мониторинга на политиките и организационното развитие. Приносът на </w:t>
      </w:r>
      <w:proofErr w:type="spellStart"/>
      <w:r w:rsidR="009218A4" w:rsidRPr="008F4A1A">
        <w:rPr>
          <w:rFonts w:ascii="Book Antiqua" w:eastAsia="Book Antiqua" w:hAnsi="Book Antiqua" w:cs="Book Antiqua"/>
        </w:rPr>
        <w:t>ОПДУ</w:t>
      </w:r>
      <w:proofErr w:type="spellEnd"/>
      <w:r w:rsidR="009218A4" w:rsidRPr="008F4A1A">
        <w:rPr>
          <w:rFonts w:ascii="Book Antiqua" w:eastAsia="Book Antiqua" w:hAnsi="Book Antiqua" w:cs="Book Antiqua"/>
        </w:rPr>
        <w:t xml:space="preserve"> по Стратегическа цел 4 е</w:t>
      </w:r>
      <w:r w:rsidR="009218A4">
        <w:rPr>
          <w:rFonts w:ascii="Book Antiqua" w:eastAsia="Book Antiqua" w:hAnsi="Book Antiqua" w:cs="Book Antiqua"/>
        </w:rPr>
        <w:t xml:space="preserve"> в областта на </w:t>
      </w:r>
      <w:r w:rsidR="009218A4" w:rsidRPr="0083296A">
        <w:rPr>
          <w:rFonts w:ascii="Book Antiqua" w:eastAsia="Book Antiqua" w:hAnsi="Book Antiqua" w:cs="Book Antiqua"/>
        </w:rPr>
        <w:t>управлението на човешките ресурси</w:t>
      </w:r>
      <w:r w:rsidR="009218A4">
        <w:rPr>
          <w:rFonts w:ascii="Book Antiqua" w:eastAsia="Book Antiqua" w:hAnsi="Book Antiqua" w:cs="Book Antiqua"/>
        </w:rPr>
        <w:t xml:space="preserve"> и</w:t>
      </w:r>
      <w:r w:rsidR="009218A4" w:rsidRPr="008F4A1A">
        <w:rPr>
          <w:rFonts w:ascii="Book Antiqua" w:eastAsia="Book Antiqua" w:hAnsi="Book Antiqua" w:cs="Book Antiqua"/>
        </w:rPr>
        <w:t xml:space="preserve"> осъществен чрез проведени обучения, стажове, </w:t>
      </w:r>
      <w:r w:rsidR="009218A4">
        <w:rPr>
          <w:rFonts w:ascii="Book Antiqua" w:eastAsia="Book Antiqua" w:hAnsi="Book Antiqua" w:cs="Book Antiqua"/>
        </w:rPr>
        <w:t xml:space="preserve">изграден капацитет на </w:t>
      </w:r>
      <w:proofErr w:type="spellStart"/>
      <w:r w:rsidR="009218A4">
        <w:rPr>
          <w:rFonts w:ascii="Book Antiqua" w:eastAsia="Book Antiqua" w:hAnsi="Book Antiqua" w:cs="Book Antiqua"/>
        </w:rPr>
        <w:t>ИПА</w:t>
      </w:r>
      <w:proofErr w:type="spellEnd"/>
      <w:r w:rsidR="009218A4">
        <w:rPr>
          <w:rFonts w:ascii="Book Antiqua" w:eastAsia="Book Antiqua" w:hAnsi="Book Antiqua" w:cs="Book Antiqua"/>
        </w:rPr>
        <w:t>, по конкретно:</w:t>
      </w:r>
      <w:r w:rsidR="009218A4" w:rsidRPr="0083296A">
        <w:t xml:space="preserve"> </w:t>
      </w:r>
      <w:r w:rsidR="009218A4" w:rsidRPr="0083296A">
        <w:rPr>
          <w:rFonts w:ascii="Book Antiqua" w:eastAsia="Book Antiqua" w:hAnsi="Book Antiqua" w:cs="Book Antiqua"/>
        </w:rPr>
        <w:t xml:space="preserve">постигнати резултати по над 32 приключили проекта, по които са проведени над 47 000 </w:t>
      </w:r>
      <w:proofErr w:type="spellStart"/>
      <w:r w:rsidR="009218A4" w:rsidRPr="0083296A">
        <w:rPr>
          <w:rFonts w:ascii="Book Antiqua" w:eastAsia="Book Antiqua" w:hAnsi="Book Antiqua" w:cs="Book Antiqua"/>
        </w:rPr>
        <w:t>човекообучения</w:t>
      </w:r>
      <w:proofErr w:type="spellEnd"/>
      <w:r w:rsidR="009218A4" w:rsidRPr="0083296A">
        <w:rPr>
          <w:rFonts w:ascii="Book Antiqua" w:eastAsia="Book Antiqua" w:hAnsi="Book Antiqua" w:cs="Book Antiqua"/>
        </w:rPr>
        <w:t xml:space="preserve"> на служители от администрацията; осъвременени или новосъздадени са 99 обучителни модула за администрацията и е създаден Портал за работа в държавната администрация.</w:t>
      </w:r>
    </w:p>
    <w:p w14:paraId="1D89F36C" w14:textId="77777777" w:rsidR="009218A4" w:rsidRDefault="009218A4" w:rsidP="009218A4">
      <w:pPr>
        <w:jc w:val="both"/>
        <w:rPr>
          <w:rFonts w:ascii="Book Antiqua" w:eastAsia="Book Antiqua" w:hAnsi="Book Antiqua" w:cs="Book Antiqua"/>
        </w:rPr>
      </w:pPr>
      <w:r>
        <w:rPr>
          <w:rFonts w:ascii="Book Antiqua" w:eastAsia="Book Antiqua" w:hAnsi="Book Antiqua" w:cs="Book Antiqua"/>
        </w:rPr>
        <w:t>През изследвания период е извършена а</w:t>
      </w:r>
      <w:r w:rsidRPr="002647B8">
        <w:rPr>
          <w:rFonts w:ascii="Book Antiqua" w:eastAsia="Book Antiqua" w:hAnsi="Book Antiqua" w:cs="Book Antiqua"/>
        </w:rPr>
        <w:t>ктуализация на</w:t>
      </w:r>
      <w:r>
        <w:rPr>
          <w:rFonts w:ascii="Book Antiqua" w:eastAsia="Book Antiqua" w:hAnsi="Book Antiqua" w:cs="Book Antiqua"/>
        </w:rPr>
        <w:t xml:space="preserve"> мерките и</w:t>
      </w:r>
      <w:r w:rsidRPr="002647B8">
        <w:rPr>
          <w:rFonts w:ascii="Book Antiqua" w:eastAsia="Book Antiqua" w:hAnsi="Book Antiqua" w:cs="Book Antiqua"/>
        </w:rPr>
        <w:t xml:space="preserve"> </w:t>
      </w:r>
      <w:r>
        <w:rPr>
          <w:rFonts w:ascii="Book Antiqua" w:eastAsia="Book Antiqua" w:hAnsi="Book Antiqua" w:cs="Book Antiqua"/>
        </w:rPr>
        <w:t xml:space="preserve">дейностите в </w:t>
      </w:r>
      <w:r w:rsidRPr="002647B8">
        <w:rPr>
          <w:rFonts w:ascii="Book Antiqua" w:eastAsia="Book Antiqua" w:hAnsi="Book Antiqua" w:cs="Book Antiqua"/>
        </w:rPr>
        <w:t>П</w:t>
      </w:r>
      <w:r>
        <w:rPr>
          <w:rFonts w:ascii="Book Antiqua" w:eastAsia="Book Antiqua" w:hAnsi="Book Antiqua" w:cs="Book Antiqua"/>
        </w:rPr>
        <w:t xml:space="preserve">ътната карта към Стратегията за развитие на държавната администрация 2014 – 2020 г., която се дължи основно на изпълнение и </w:t>
      </w:r>
      <w:r w:rsidRPr="000741CB">
        <w:rPr>
          <w:rFonts w:ascii="Book Antiqua" w:eastAsia="Book Antiqua" w:hAnsi="Book Antiqua" w:cs="Book Antiqua"/>
        </w:rPr>
        <w:t xml:space="preserve">отчитане на вече договорени средства по стартирали </w:t>
      </w:r>
      <w:r w:rsidRPr="00CA1FB7">
        <w:rPr>
          <w:rFonts w:ascii="Book Antiqua" w:eastAsia="Book Antiqua" w:hAnsi="Book Antiqua" w:cs="Book Antiqua"/>
        </w:rPr>
        <w:t xml:space="preserve">проекти по </w:t>
      </w:r>
      <w:proofErr w:type="spellStart"/>
      <w:r w:rsidRPr="00CA1FB7">
        <w:rPr>
          <w:rFonts w:ascii="Book Antiqua" w:eastAsia="Book Antiqua" w:hAnsi="Book Antiqua" w:cs="Book Antiqua"/>
        </w:rPr>
        <w:t>ОПДУ</w:t>
      </w:r>
      <w:proofErr w:type="spellEnd"/>
      <w:r>
        <w:rPr>
          <w:rFonts w:ascii="Book Antiqua" w:eastAsia="Book Antiqua" w:hAnsi="Book Antiqua" w:cs="Book Antiqua"/>
        </w:rPr>
        <w:t xml:space="preserve"> и е свързана с: </w:t>
      </w:r>
      <w:r w:rsidRPr="000741CB">
        <w:rPr>
          <w:rFonts w:ascii="Book Antiqua" w:eastAsia="Book Antiqua" w:hAnsi="Book Antiqua" w:cs="Book Antiqua"/>
        </w:rPr>
        <w:t>прецизиран</w:t>
      </w:r>
      <w:r>
        <w:rPr>
          <w:rFonts w:ascii="Book Antiqua" w:eastAsia="Book Antiqua" w:hAnsi="Book Antiqua" w:cs="Book Antiqua"/>
        </w:rPr>
        <w:t>е на</w:t>
      </w:r>
      <w:r w:rsidRPr="000741CB">
        <w:rPr>
          <w:rFonts w:ascii="Book Antiqua" w:eastAsia="Book Antiqua" w:hAnsi="Book Antiqua" w:cs="Book Antiqua"/>
        </w:rPr>
        <w:t xml:space="preserve"> срокове</w:t>
      </w:r>
      <w:r>
        <w:rPr>
          <w:rFonts w:ascii="Book Antiqua" w:eastAsia="Book Antiqua" w:hAnsi="Book Antiqua" w:cs="Book Antiqua"/>
        </w:rPr>
        <w:t>,</w:t>
      </w:r>
      <w:r w:rsidRPr="000741CB">
        <w:rPr>
          <w:rFonts w:ascii="Book Antiqua" w:eastAsia="Book Antiqua" w:hAnsi="Book Antiqua" w:cs="Book Antiqua"/>
        </w:rPr>
        <w:t xml:space="preserve"> бюджети</w:t>
      </w:r>
      <w:r>
        <w:rPr>
          <w:rFonts w:ascii="Book Antiqua" w:eastAsia="Book Antiqua" w:hAnsi="Book Antiqua" w:cs="Book Antiqua"/>
        </w:rPr>
        <w:t xml:space="preserve"> и индикатори</w:t>
      </w:r>
      <w:r w:rsidRPr="000741CB">
        <w:rPr>
          <w:rFonts w:ascii="Book Antiqua" w:eastAsia="Book Antiqua" w:hAnsi="Book Antiqua" w:cs="Book Antiqua"/>
        </w:rPr>
        <w:t xml:space="preserve"> на част от мерките</w:t>
      </w:r>
      <w:r>
        <w:rPr>
          <w:rFonts w:ascii="Book Antiqua" w:eastAsia="Book Antiqua" w:hAnsi="Book Antiqua" w:cs="Book Antiqua"/>
        </w:rPr>
        <w:t xml:space="preserve">, </w:t>
      </w:r>
      <w:r w:rsidRPr="00CD322A">
        <w:rPr>
          <w:rFonts w:ascii="Book Antiqua" w:eastAsia="Book Antiqua" w:hAnsi="Book Antiqua" w:cs="Book Antiqua"/>
        </w:rPr>
        <w:t xml:space="preserve">включително чрез отчитане на вече договорените </w:t>
      </w:r>
      <w:r w:rsidRPr="00CD322A">
        <w:rPr>
          <w:rFonts w:ascii="Book Antiqua" w:eastAsia="Book Antiqua" w:hAnsi="Book Antiqua" w:cs="Book Antiqua"/>
        </w:rPr>
        <w:lastRenderedPageBreak/>
        <w:t xml:space="preserve">средства по стартирали проекти по </w:t>
      </w:r>
      <w:proofErr w:type="spellStart"/>
      <w:r w:rsidRPr="00CD322A">
        <w:rPr>
          <w:rFonts w:ascii="Book Antiqua" w:eastAsia="Book Antiqua" w:hAnsi="Book Antiqua" w:cs="Book Antiqua"/>
        </w:rPr>
        <w:t>ОПДУ</w:t>
      </w:r>
      <w:proofErr w:type="spellEnd"/>
      <w:r>
        <w:rPr>
          <w:rFonts w:ascii="Book Antiqua" w:eastAsia="Book Antiqua" w:hAnsi="Book Antiqua" w:cs="Book Antiqua"/>
        </w:rPr>
        <w:t xml:space="preserve">; </w:t>
      </w:r>
      <w:r w:rsidRPr="00CD322A">
        <w:rPr>
          <w:rFonts w:ascii="Book Antiqua" w:eastAsia="Book Antiqua" w:hAnsi="Book Antiqua" w:cs="Book Antiqua"/>
        </w:rPr>
        <w:t>актуализиране на индикатори за изпълнение;</w:t>
      </w:r>
      <w:r>
        <w:rPr>
          <w:rFonts w:ascii="Book Antiqua" w:eastAsia="Book Antiqua" w:hAnsi="Book Antiqua" w:cs="Book Antiqua"/>
        </w:rPr>
        <w:t xml:space="preserve"> </w:t>
      </w:r>
      <w:r w:rsidRPr="000741CB">
        <w:rPr>
          <w:rFonts w:ascii="Book Antiqua" w:eastAsia="Book Antiqua" w:hAnsi="Book Antiqua" w:cs="Book Antiqua"/>
        </w:rPr>
        <w:t>консолидиран</w:t>
      </w:r>
      <w:r>
        <w:rPr>
          <w:rFonts w:ascii="Book Antiqua" w:eastAsia="Book Antiqua" w:hAnsi="Book Antiqua" w:cs="Book Antiqua"/>
        </w:rPr>
        <w:t>е или разделяне на дейности;</w:t>
      </w:r>
      <w:r w:rsidRPr="000741CB">
        <w:rPr>
          <w:rFonts w:ascii="Book Antiqua" w:eastAsia="Book Antiqua" w:hAnsi="Book Antiqua" w:cs="Book Antiqua"/>
        </w:rPr>
        <w:t xml:space="preserve"> отпада</w:t>
      </w:r>
      <w:r>
        <w:rPr>
          <w:rFonts w:ascii="Book Antiqua" w:eastAsia="Book Antiqua" w:hAnsi="Book Antiqua" w:cs="Book Antiqua"/>
        </w:rPr>
        <w:t>не на</w:t>
      </w:r>
      <w:r w:rsidRPr="000741CB">
        <w:rPr>
          <w:rFonts w:ascii="Book Antiqua" w:eastAsia="Book Antiqua" w:hAnsi="Book Antiqua" w:cs="Book Antiqua"/>
        </w:rPr>
        <w:t xml:space="preserve"> неактуални</w:t>
      </w:r>
      <w:r>
        <w:rPr>
          <w:rFonts w:ascii="Book Antiqua" w:eastAsia="Book Antiqua" w:hAnsi="Book Antiqua" w:cs="Book Antiqua"/>
        </w:rPr>
        <w:t xml:space="preserve"> мерки и дейности;</w:t>
      </w:r>
      <w:r w:rsidRPr="000741CB">
        <w:rPr>
          <w:rFonts w:ascii="Book Antiqua" w:eastAsia="Book Antiqua" w:hAnsi="Book Antiqua" w:cs="Book Antiqua"/>
        </w:rPr>
        <w:t xml:space="preserve"> добавени нови мерки</w:t>
      </w:r>
      <w:r>
        <w:rPr>
          <w:rFonts w:ascii="Book Antiqua" w:eastAsia="Book Antiqua" w:hAnsi="Book Antiqua" w:cs="Book Antiqua"/>
        </w:rPr>
        <w:t xml:space="preserve"> и дейности към тях, </w:t>
      </w:r>
      <w:r w:rsidRPr="007B45C0">
        <w:rPr>
          <w:rFonts w:ascii="Book Antiqua" w:eastAsia="Book Antiqua" w:hAnsi="Book Antiqua" w:cs="Book Antiqua"/>
        </w:rPr>
        <w:t xml:space="preserve">като подкрепа за институцията на МФ, </w:t>
      </w:r>
      <w:proofErr w:type="spellStart"/>
      <w:r w:rsidRPr="007B45C0">
        <w:rPr>
          <w:rFonts w:ascii="Book Antiqua" w:eastAsia="Book Antiqua" w:hAnsi="Book Antiqua" w:cs="Book Antiqua"/>
        </w:rPr>
        <w:t>КЕВР</w:t>
      </w:r>
      <w:proofErr w:type="spellEnd"/>
      <w:r w:rsidRPr="007B45C0">
        <w:rPr>
          <w:rFonts w:ascii="Book Antiqua" w:eastAsia="Book Antiqua" w:hAnsi="Book Antiqua" w:cs="Book Antiqua"/>
        </w:rPr>
        <w:t xml:space="preserve"> и Омбудсмана</w:t>
      </w:r>
      <w:r>
        <w:rPr>
          <w:rFonts w:ascii="Book Antiqua" w:eastAsia="Book Antiqua" w:hAnsi="Book Antiqua" w:cs="Book Antiqua"/>
        </w:rPr>
        <w:t xml:space="preserve"> и п</w:t>
      </w:r>
      <w:r w:rsidRPr="00955D9A">
        <w:rPr>
          <w:rFonts w:ascii="Book Antiqua" w:eastAsia="Book Antiqua" w:hAnsi="Book Antiqua" w:cs="Book Antiqua"/>
        </w:rPr>
        <w:t>ровеждане на обучения за служителите в държавната администрация във връзка с прилагането на реформите по цели</w:t>
      </w:r>
      <w:r>
        <w:rPr>
          <w:rFonts w:ascii="Book Antiqua" w:eastAsia="Book Antiqua" w:hAnsi="Book Antiqua" w:cs="Book Antiqua"/>
        </w:rPr>
        <w:t xml:space="preserve">, заложени в Пътната карта към </w:t>
      </w:r>
      <w:proofErr w:type="spellStart"/>
      <w:r>
        <w:rPr>
          <w:rFonts w:ascii="Book Antiqua" w:eastAsia="Book Antiqua" w:hAnsi="Book Antiqua" w:cs="Book Antiqua"/>
        </w:rPr>
        <w:t>СРДА</w:t>
      </w:r>
      <w:proofErr w:type="spellEnd"/>
      <w:r>
        <w:rPr>
          <w:rFonts w:ascii="Book Antiqua" w:eastAsia="Book Antiqua" w:hAnsi="Book Antiqua" w:cs="Book Antiqua"/>
        </w:rPr>
        <w:t>.</w:t>
      </w:r>
    </w:p>
    <w:p w14:paraId="49C9A70F" w14:textId="504C4B21" w:rsidR="009218A4" w:rsidRDefault="009218A4" w:rsidP="009218A4">
      <w:pPr>
        <w:jc w:val="both"/>
        <w:rPr>
          <w:rFonts w:ascii="Book Antiqua" w:hAnsi="Book Antiqua"/>
          <w:b/>
          <w:color w:val="44546A"/>
        </w:rPr>
      </w:pPr>
      <w:r>
        <w:rPr>
          <w:rFonts w:ascii="Book Antiqua" w:eastAsia="Book Antiqua" w:hAnsi="Book Antiqua" w:cs="Book Antiqua"/>
        </w:rPr>
        <w:t>Не са извършвани промени в Пътната карта, които биха довели до промяна в Оперативната програма, заложените й цели и допустими дейности.</w:t>
      </w:r>
    </w:p>
    <w:p w14:paraId="375E1281" w14:textId="77777777" w:rsidR="009218A4" w:rsidRPr="008F4A1A" w:rsidRDefault="00AC048F" w:rsidP="009218A4">
      <w:pPr>
        <w:jc w:val="both"/>
        <w:rPr>
          <w:rFonts w:ascii="Book Antiqua" w:eastAsia="Book Antiqua" w:hAnsi="Book Antiqua" w:cs="Book Antiqua"/>
        </w:rPr>
      </w:pPr>
      <w:r>
        <w:rPr>
          <w:rFonts w:ascii="Book Antiqua" w:hAnsi="Book Antiqua"/>
          <w:b/>
          <w:color w:val="44546A"/>
        </w:rPr>
        <w:t>3.</w:t>
      </w:r>
      <w:r w:rsidR="00486D8F">
        <w:rPr>
          <w:rFonts w:ascii="Book Antiqua" w:hAnsi="Book Antiqua"/>
          <w:b/>
          <w:color w:val="44546A"/>
        </w:rPr>
        <w:t>3</w:t>
      </w:r>
      <w:r>
        <w:rPr>
          <w:rFonts w:ascii="Book Antiqua" w:hAnsi="Book Antiqua"/>
          <w:b/>
          <w:color w:val="44546A"/>
        </w:rPr>
        <w:t xml:space="preserve">. </w:t>
      </w:r>
      <w:r w:rsidR="008F4A1A" w:rsidRPr="008F4A1A">
        <w:rPr>
          <w:rFonts w:ascii="Book Antiqua" w:eastAsia="Book Antiqua" w:hAnsi="Book Antiqua" w:cs="Book Antiqua"/>
        </w:rPr>
        <w:t xml:space="preserve"> </w:t>
      </w:r>
      <w:r w:rsidR="009218A4" w:rsidRPr="008F4A1A">
        <w:rPr>
          <w:rFonts w:ascii="Book Antiqua" w:eastAsia="Book Antiqua" w:hAnsi="Book Antiqua" w:cs="Book Antiqua"/>
        </w:rPr>
        <w:t xml:space="preserve">През изследвания период 2018 – 2019 г. са извършени съществени промени в нормативните актове </w:t>
      </w:r>
      <w:r w:rsidR="009218A4">
        <w:rPr>
          <w:rFonts w:ascii="Book Antiqua" w:eastAsia="Book Antiqua" w:hAnsi="Book Antiqua" w:cs="Book Antiqua"/>
        </w:rPr>
        <w:t>(</w:t>
      </w:r>
      <w:r w:rsidR="009218A4" w:rsidRPr="008F4A1A">
        <w:rPr>
          <w:rFonts w:ascii="Book Antiqua" w:eastAsia="Book Antiqua" w:hAnsi="Book Antiqua" w:cs="Book Antiqua"/>
        </w:rPr>
        <w:t>Закона за държавния служител и подзаконовите актове към него</w:t>
      </w:r>
      <w:r w:rsidR="009218A4">
        <w:rPr>
          <w:rFonts w:ascii="Book Antiqua" w:eastAsia="Book Antiqua" w:hAnsi="Book Antiqua" w:cs="Book Antiqua"/>
        </w:rPr>
        <w:t>)</w:t>
      </w:r>
      <w:r w:rsidR="009218A4" w:rsidRPr="008F4A1A">
        <w:rPr>
          <w:rFonts w:ascii="Book Antiqua" w:eastAsia="Book Antiqua" w:hAnsi="Book Antiqua" w:cs="Book Antiqua"/>
        </w:rPr>
        <w:t xml:space="preserve">, които имат негативно отражение върху изпълнение на заложените мерки в Пътната карта към Стратегията за развитие на държавната администрация 2014-2020 г. и специфична цел 2 „Подобряване на специализираните знания и умения на служителите в администрацията и развитие на механизми за кариерно развитие“ на </w:t>
      </w:r>
      <w:proofErr w:type="spellStart"/>
      <w:r w:rsidR="009218A4">
        <w:rPr>
          <w:rFonts w:ascii="Book Antiqua" w:eastAsia="Book Antiqua" w:hAnsi="Book Antiqua" w:cs="Book Antiqua"/>
        </w:rPr>
        <w:t>ОПДУ</w:t>
      </w:r>
      <w:proofErr w:type="spellEnd"/>
      <w:r w:rsidR="009218A4" w:rsidRPr="008F4A1A">
        <w:rPr>
          <w:rFonts w:ascii="Book Antiqua" w:eastAsia="Book Antiqua" w:hAnsi="Book Antiqua" w:cs="Book Antiqua"/>
        </w:rPr>
        <w:t>, по конкретно:</w:t>
      </w:r>
    </w:p>
    <w:p w14:paraId="52B47554" w14:textId="77777777" w:rsidR="009218A4" w:rsidRDefault="009218A4" w:rsidP="009218A4">
      <w:pPr>
        <w:pStyle w:val="a6"/>
        <w:numPr>
          <w:ilvl w:val="0"/>
          <w:numId w:val="6"/>
        </w:numPr>
        <w:ind w:left="714" w:hanging="357"/>
        <w:jc w:val="both"/>
        <w:rPr>
          <w:rFonts w:ascii="Book Antiqua" w:eastAsia="Book Antiqua" w:hAnsi="Book Antiqua" w:cs="Book Antiqua"/>
        </w:rPr>
      </w:pPr>
      <w:r w:rsidRPr="009218A4">
        <w:rPr>
          <w:rFonts w:ascii="Book Antiqua" w:eastAsia="Book Antiqua" w:hAnsi="Book Antiqua" w:cs="Book Antiqua"/>
        </w:rPr>
        <w:t>с приемането на Закона за държавния бюджет на Република България за 2020 г. се правят изменения в Закона за държавния служител /в сила от 20.12.2019 г./, с които са отменени всички разпоредби, свързани с провеждането на централизирани конкурси, централизиран етап на конкурсите за конкретна длъжност и провеждането на тестове при заемане на първа ръководна длъжност в администрацията чрез мобилност и конкурентен подбор;</w:t>
      </w:r>
    </w:p>
    <w:p w14:paraId="545CCAC5" w14:textId="7005F0D4" w:rsidR="009218A4" w:rsidRPr="009218A4" w:rsidRDefault="009218A4" w:rsidP="009218A4">
      <w:pPr>
        <w:pStyle w:val="a6"/>
        <w:numPr>
          <w:ilvl w:val="0"/>
          <w:numId w:val="6"/>
        </w:numPr>
        <w:ind w:left="714" w:hanging="357"/>
        <w:jc w:val="both"/>
        <w:rPr>
          <w:rFonts w:ascii="Book Antiqua" w:eastAsia="Book Antiqua" w:hAnsi="Book Antiqua" w:cs="Book Antiqua"/>
        </w:rPr>
      </w:pPr>
      <w:r w:rsidRPr="009218A4">
        <w:rPr>
          <w:rFonts w:ascii="Book Antiqua" w:eastAsia="Book Antiqua" w:hAnsi="Book Antiqua" w:cs="Book Antiqua"/>
        </w:rPr>
        <w:t>измененията на Закона за държавния служител /бр. 57 от 22.07.2016 г., ДВ, бр. 100 от 2019 г., в сила от 20.12.2019 г./ доразвиват механизмите, които осигуряват възможности за развитие в кариерата на държавните служители.</w:t>
      </w:r>
    </w:p>
    <w:p w14:paraId="7BE24CF5" w14:textId="6793E297" w:rsidR="00E708DA" w:rsidRDefault="00821262">
      <w:pPr>
        <w:jc w:val="both"/>
      </w:pPr>
      <w:r w:rsidRPr="009461BE">
        <w:rPr>
          <w:rFonts w:ascii="Book Antiqua" w:hAnsi="Book Antiqua"/>
          <w:b/>
          <w:color w:val="44546A"/>
        </w:rPr>
        <w:t>3.</w:t>
      </w:r>
      <w:r w:rsidR="00486D8F">
        <w:rPr>
          <w:rFonts w:ascii="Book Antiqua" w:hAnsi="Book Antiqua"/>
          <w:b/>
          <w:color w:val="44546A"/>
        </w:rPr>
        <w:t>4</w:t>
      </w:r>
      <w:r w:rsidRPr="009461BE">
        <w:rPr>
          <w:rFonts w:ascii="Book Antiqua" w:hAnsi="Book Antiqua"/>
          <w:b/>
          <w:color w:val="44546A"/>
        </w:rPr>
        <w:t xml:space="preserve">. </w:t>
      </w:r>
      <w:r w:rsidR="00AC4FE7" w:rsidRPr="009461BE">
        <w:rPr>
          <w:rFonts w:ascii="Book Antiqua" w:eastAsia="Book Antiqua" w:hAnsi="Book Antiqua" w:cs="Book Antiqua"/>
        </w:rPr>
        <w:t xml:space="preserve">Част от заложените приоритетни дейности към Специфична цел 1 по </w:t>
      </w:r>
      <w:proofErr w:type="spellStart"/>
      <w:r w:rsidR="00AC4FE7" w:rsidRPr="009461BE">
        <w:rPr>
          <w:rFonts w:ascii="Book Antiqua" w:eastAsia="Book Antiqua" w:hAnsi="Book Antiqua" w:cs="Book Antiqua"/>
        </w:rPr>
        <w:t>ПО</w:t>
      </w:r>
      <w:proofErr w:type="spellEnd"/>
      <w:r w:rsidR="00AC4FE7" w:rsidRPr="009461BE">
        <w:rPr>
          <w:rFonts w:ascii="Book Antiqua" w:eastAsia="Book Antiqua" w:hAnsi="Book Antiqua" w:cs="Book Antiqua"/>
        </w:rPr>
        <w:t xml:space="preserve"> 2 и по-конкретно тези, свързани с децентрализацията на управлението, както и </w:t>
      </w:r>
      <w:proofErr w:type="spellStart"/>
      <w:r w:rsidR="00AC4FE7" w:rsidRPr="009461BE">
        <w:rPr>
          <w:rFonts w:ascii="Book Antiqua" w:eastAsia="Book Antiqua" w:hAnsi="Book Antiqua" w:cs="Book Antiqua"/>
        </w:rPr>
        <w:t>аутсорсингът</w:t>
      </w:r>
      <w:proofErr w:type="spellEnd"/>
      <w:r w:rsidR="00AC4FE7" w:rsidRPr="009461BE">
        <w:rPr>
          <w:rFonts w:ascii="Book Antiqua" w:eastAsia="Book Antiqua" w:hAnsi="Book Antiqua" w:cs="Book Antiqua"/>
        </w:rPr>
        <w:t xml:space="preserve"> на функции от държавната администрация към бизнеса и НПО сектора, са неактуални.</w:t>
      </w:r>
    </w:p>
    <w:p w14:paraId="33AF5036" w14:textId="77777777" w:rsidR="00E708DA" w:rsidRDefault="00AC4FE7">
      <w:pPr>
        <w:jc w:val="both"/>
        <w:rPr>
          <w:rFonts w:ascii="Book Antiqua" w:eastAsia="Book Antiqua" w:hAnsi="Book Antiqua" w:cs="Book Antiqua"/>
        </w:rPr>
      </w:pPr>
      <w:r>
        <w:rPr>
          <w:rFonts w:ascii="Book Antiqua" w:eastAsia="Book Antiqua" w:hAnsi="Book Antiqua" w:cs="Book Antiqua"/>
        </w:rPr>
        <w:t>Специфична цел 2 на ПО 2 също е неактуална с оглед на приетите промени в нормативната рамка и промяната в политиката в областта на кариерното развитие на служителите в държавната администрация, което налага необходимостта от нейното преформулиране и извършване на промяна в обхвата на част от приоритетните й дейности, и по-конкретно тези, свързани с планирането и управлението на кариерата на служителите.</w:t>
      </w:r>
    </w:p>
    <w:p w14:paraId="67A4EF2C"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Препоръки:</w:t>
      </w:r>
    </w:p>
    <w:p w14:paraId="3D7856BB"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Препоръчва се приоритетните дейности към Специфична цел 1, свързани с децентрализацията на управлението, както и </w:t>
      </w:r>
      <w:proofErr w:type="spellStart"/>
      <w:r>
        <w:rPr>
          <w:rFonts w:ascii="Book Antiqua" w:eastAsia="Book Antiqua" w:hAnsi="Book Antiqua" w:cs="Book Antiqua"/>
        </w:rPr>
        <w:t>аутсорсингът</w:t>
      </w:r>
      <w:proofErr w:type="spellEnd"/>
      <w:r>
        <w:rPr>
          <w:rFonts w:ascii="Book Antiqua" w:eastAsia="Book Antiqua" w:hAnsi="Book Antiqua" w:cs="Book Antiqua"/>
        </w:rPr>
        <w:t xml:space="preserve"> на функции от държавната администрация към бизнеса и НПО сектора, да отпаднат поради неактуалността им и съответно невъзможността да бъдат реализирани в рамките на настоящия програмен период;</w:t>
      </w:r>
    </w:p>
    <w:p w14:paraId="4CA4256A"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Препоръчва се Специфична цел 2 да бъде преформулирана, като досегашната формулировка „Подобряване на специализираните знания и умения на служителите в администрацията и развитие на механизми за кариерно развитие“ се замени със следната: „Подобряване на специализираните знания и умения на служителите в администрацията“. Препоръчва се и приоритетните дейности към Специфична цел 2, свързани с планирането и управлението на кариерата на служителите, да отпаднат предвид извършените промени в нормативната рамка и в провежданата политика в областта; </w:t>
      </w:r>
    </w:p>
    <w:p w14:paraId="503C3969" w14:textId="77777777" w:rsidR="00E708DA" w:rsidRDefault="00AC4FE7">
      <w:pPr>
        <w:numPr>
          <w:ilvl w:val="0"/>
          <w:numId w:val="5"/>
        </w:numPr>
        <w:tabs>
          <w:tab w:val="left" w:pos="317"/>
        </w:tabs>
        <w:ind w:left="317" w:hanging="317"/>
        <w:jc w:val="both"/>
      </w:pPr>
      <w:r>
        <w:rPr>
          <w:rFonts w:ascii="Book Antiqua" w:eastAsia="Book Antiqua" w:hAnsi="Book Antiqua" w:cs="Book Antiqua"/>
        </w:rPr>
        <w:lastRenderedPageBreak/>
        <w:t xml:space="preserve">Препоръчва се всички текстове от Оперативната програма, касаещи неприоритетните за подкрепа дейности по Специфични цели 1 и 2 на </w:t>
      </w:r>
      <w:proofErr w:type="spellStart"/>
      <w:r>
        <w:rPr>
          <w:rFonts w:ascii="Book Antiqua" w:eastAsia="Book Antiqua" w:hAnsi="Book Antiqua" w:cs="Book Antiqua"/>
        </w:rPr>
        <w:t>ПО2</w:t>
      </w:r>
      <w:proofErr w:type="spellEnd"/>
      <w:r>
        <w:rPr>
          <w:rFonts w:ascii="Book Antiqua" w:eastAsia="Book Antiqua" w:hAnsi="Book Antiqua" w:cs="Book Antiqua"/>
        </w:rPr>
        <w:t xml:space="preserve"> да бъдат премахнати, при бъдеща промяна на </w:t>
      </w:r>
      <w:proofErr w:type="spellStart"/>
      <w:r>
        <w:rPr>
          <w:rFonts w:ascii="Book Antiqua" w:eastAsia="Book Antiqua" w:hAnsi="Book Antiqua" w:cs="Book Antiqua"/>
        </w:rPr>
        <w:t>ОПДУ</w:t>
      </w:r>
      <w:proofErr w:type="spellEnd"/>
      <w:r>
        <w:rPr>
          <w:rFonts w:ascii="Book Antiqua" w:eastAsia="Book Antiqua" w:hAnsi="Book Antiqua" w:cs="Book Antiqua"/>
        </w:rPr>
        <w:t xml:space="preserve">.  </w:t>
      </w:r>
    </w:p>
    <w:p w14:paraId="31734C2F" w14:textId="5D815B47" w:rsidR="00E708DA" w:rsidRDefault="00AC4FE7">
      <w:pPr>
        <w:tabs>
          <w:tab w:val="left" w:pos="317"/>
        </w:tabs>
        <w:spacing w:before="120"/>
        <w:jc w:val="both"/>
      </w:pPr>
      <w:r>
        <w:rPr>
          <w:rFonts w:ascii="Book Antiqua" w:hAnsi="Book Antiqua"/>
          <w:b/>
          <w:color w:val="44546A"/>
        </w:rPr>
        <w:t>3.</w:t>
      </w:r>
      <w:r w:rsidR="00486D8F">
        <w:rPr>
          <w:rFonts w:ascii="Book Antiqua" w:hAnsi="Book Antiqua"/>
          <w:b/>
          <w:color w:val="44546A"/>
        </w:rPr>
        <w:t>5</w:t>
      </w:r>
      <w:r>
        <w:rPr>
          <w:rFonts w:ascii="Book Antiqua" w:hAnsi="Book Antiqua"/>
          <w:b/>
          <w:color w:val="44546A"/>
        </w:rPr>
        <w:t xml:space="preserve">. </w:t>
      </w:r>
      <w:r>
        <w:rPr>
          <w:rFonts w:ascii="Book Antiqua" w:eastAsia="Book Antiqua" w:hAnsi="Book Antiqua" w:cs="Book Antiqua"/>
        </w:rPr>
        <w:t>По два от индикаторите за изпълнение (</w:t>
      </w:r>
      <w:proofErr w:type="spellStart"/>
      <w:r>
        <w:rPr>
          <w:rFonts w:ascii="Book Antiqua" w:eastAsia="Book Antiqua" w:hAnsi="Book Antiqua" w:cs="Book Antiqua"/>
        </w:rPr>
        <w:t>O2</w:t>
      </w:r>
      <w:proofErr w:type="spellEnd"/>
      <w:r>
        <w:rPr>
          <w:rFonts w:ascii="Book Antiqua" w:eastAsia="Book Antiqua" w:hAnsi="Book Antiqua" w:cs="Book Antiqua"/>
        </w:rPr>
        <w:t xml:space="preserve">-3 и </w:t>
      </w:r>
      <w:proofErr w:type="spellStart"/>
      <w:r>
        <w:rPr>
          <w:rFonts w:ascii="Book Antiqua" w:eastAsia="Book Antiqua" w:hAnsi="Book Antiqua" w:cs="Book Antiqua"/>
        </w:rPr>
        <w:t>O2</w:t>
      </w:r>
      <w:proofErr w:type="spellEnd"/>
      <w:r>
        <w:rPr>
          <w:rFonts w:ascii="Book Antiqua" w:eastAsia="Book Antiqua" w:hAnsi="Book Antiqua" w:cs="Book Antiqua"/>
        </w:rPr>
        <w:t>-4) и по един от индикаторите за резултат (</w:t>
      </w:r>
      <w:proofErr w:type="spellStart"/>
      <w:r>
        <w:rPr>
          <w:rFonts w:ascii="Book Antiqua" w:eastAsia="Book Antiqua" w:hAnsi="Book Antiqua" w:cs="Book Antiqua"/>
        </w:rPr>
        <w:t>R2</w:t>
      </w:r>
      <w:proofErr w:type="spellEnd"/>
      <w:r>
        <w:rPr>
          <w:rFonts w:ascii="Book Antiqua" w:eastAsia="Book Antiqua" w:hAnsi="Book Antiqua" w:cs="Book Antiqua"/>
        </w:rPr>
        <w:t>-3) не е отчетен никакъв напредък и не се предвиждат нови процедури, които да допринесат за достигане на целевите им стойности.</w:t>
      </w:r>
    </w:p>
    <w:p w14:paraId="2F3E7527"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0A2116FD"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Препоръчително е </w:t>
      </w:r>
      <w:proofErr w:type="spellStart"/>
      <w:r>
        <w:rPr>
          <w:rFonts w:ascii="Book Antiqua" w:eastAsia="Book Antiqua" w:hAnsi="Book Antiqua" w:cs="Book Antiqua"/>
        </w:rPr>
        <w:t>УО</w:t>
      </w:r>
      <w:proofErr w:type="spellEnd"/>
      <w:r>
        <w:rPr>
          <w:rFonts w:ascii="Book Antiqua" w:eastAsia="Book Antiqua" w:hAnsi="Book Antiqua" w:cs="Book Antiqua"/>
        </w:rPr>
        <w:t xml:space="preserve"> да предприеме действия за отпадането на тези индикатори от оперативната програма.</w:t>
      </w:r>
    </w:p>
    <w:p w14:paraId="327B95C4" w14:textId="421FD050" w:rsidR="00E708DA" w:rsidRDefault="00AC4FE7">
      <w:pPr>
        <w:tabs>
          <w:tab w:val="left" w:pos="317"/>
        </w:tabs>
        <w:spacing w:before="120"/>
        <w:jc w:val="both"/>
      </w:pPr>
      <w:r>
        <w:rPr>
          <w:rFonts w:ascii="Book Antiqua" w:hAnsi="Book Antiqua"/>
          <w:b/>
          <w:color w:val="44546A"/>
        </w:rPr>
        <w:t>3.</w:t>
      </w:r>
      <w:r w:rsidR="00486D8F">
        <w:rPr>
          <w:rFonts w:ascii="Book Antiqua" w:hAnsi="Book Antiqua"/>
          <w:b/>
          <w:color w:val="44546A"/>
        </w:rPr>
        <w:t>6</w:t>
      </w:r>
      <w:r>
        <w:rPr>
          <w:rFonts w:ascii="Book Antiqua" w:hAnsi="Book Antiqua"/>
          <w:b/>
          <w:color w:val="44546A"/>
        </w:rPr>
        <w:t xml:space="preserve">. </w:t>
      </w:r>
      <w:r>
        <w:rPr>
          <w:rFonts w:ascii="Book Antiqua" w:eastAsia="Book Antiqua" w:hAnsi="Book Antiqua" w:cs="Book Antiqua"/>
        </w:rPr>
        <w:t xml:space="preserve">Риск от </w:t>
      </w:r>
      <w:proofErr w:type="spellStart"/>
      <w:r>
        <w:rPr>
          <w:rFonts w:ascii="Book Antiqua" w:eastAsia="Book Antiqua" w:hAnsi="Book Antiqua" w:cs="Book Antiqua"/>
        </w:rPr>
        <w:t>непостигане</w:t>
      </w:r>
      <w:proofErr w:type="spellEnd"/>
      <w:r>
        <w:rPr>
          <w:rFonts w:ascii="Book Antiqua" w:eastAsia="Book Antiqua" w:hAnsi="Book Antiqua" w:cs="Book Antiqua"/>
        </w:rPr>
        <w:t xml:space="preserve"> на целевите стойности на индикаторите има по още три от индикаторите за изпълнение (</w:t>
      </w:r>
      <w:proofErr w:type="spellStart"/>
      <w:r>
        <w:rPr>
          <w:rFonts w:ascii="Book Antiqua" w:eastAsia="Book Antiqua" w:hAnsi="Book Antiqua" w:cs="Book Antiqua"/>
        </w:rPr>
        <w:t>O2</w:t>
      </w:r>
      <w:proofErr w:type="spellEnd"/>
      <w:r>
        <w:rPr>
          <w:rFonts w:ascii="Book Antiqua" w:eastAsia="Book Antiqua" w:hAnsi="Book Antiqua" w:cs="Book Antiqua"/>
        </w:rPr>
        <w:t xml:space="preserve">-1, </w:t>
      </w:r>
      <w:proofErr w:type="spellStart"/>
      <w:r>
        <w:rPr>
          <w:rFonts w:ascii="Book Antiqua" w:eastAsia="Book Antiqua" w:hAnsi="Book Antiqua" w:cs="Book Antiqua"/>
        </w:rPr>
        <w:t>O2</w:t>
      </w:r>
      <w:proofErr w:type="spellEnd"/>
      <w:r>
        <w:rPr>
          <w:rFonts w:ascii="Book Antiqua" w:eastAsia="Book Antiqua" w:hAnsi="Book Antiqua" w:cs="Book Antiqua"/>
        </w:rPr>
        <w:t xml:space="preserve">-6 и </w:t>
      </w:r>
      <w:proofErr w:type="spellStart"/>
      <w:r>
        <w:rPr>
          <w:rFonts w:ascii="Book Antiqua" w:eastAsia="Book Antiqua" w:hAnsi="Book Antiqua" w:cs="Book Antiqua"/>
        </w:rPr>
        <w:t>СO20</w:t>
      </w:r>
      <w:proofErr w:type="spellEnd"/>
      <w:r>
        <w:rPr>
          <w:rFonts w:ascii="Book Antiqua" w:eastAsia="Book Antiqua" w:hAnsi="Book Antiqua" w:cs="Book Antiqua"/>
        </w:rPr>
        <w:t>), както и по един индикаторите за резултат (</w:t>
      </w:r>
      <w:proofErr w:type="spellStart"/>
      <w:r>
        <w:rPr>
          <w:rFonts w:ascii="Book Antiqua" w:eastAsia="Book Antiqua" w:hAnsi="Book Antiqua" w:cs="Book Antiqua"/>
        </w:rPr>
        <w:t>R2</w:t>
      </w:r>
      <w:proofErr w:type="spellEnd"/>
      <w:r>
        <w:rPr>
          <w:rFonts w:ascii="Book Antiqua" w:eastAsia="Book Antiqua" w:hAnsi="Book Antiqua" w:cs="Book Antiqua"/>
        </w:rPr>
        <w:t>-1)</w:t>
      </w:r>
      <w:r>
        <w:rPr>
          <w:rFonts w:ascii="Book Antiqua" w:eastAsia="Book Antiqua" w:hAnsi="Book Antiqua" w:cs="Book Antiqua"/>
          <w:bCs/>
        </w:rPr>
        <w:t>.</w:t>
      </w:r>
    </w:p>
    <w:p w14:paraId="4A2D6056"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Препоръки:</w:t>
      </w:r>
    </w:p>
    <w:p w14:paraId="49D59ECE"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Препоръчително е предприемането на действия в посока намаляване на целевите стойности на тези индикатори, както следва: </w:t>
      </w:r>
    </w:p>
    <w:p w14:paraId="233A1D54"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Намаляване на целевата стойност на индикатор </w:t>
      </w:r>
      <w:proofErr w:type="spellStart"/>
      <w:r>
        <w:rPr>
          <w:rFonts w:ascii="Book Antiqua" w:eastAsia="Book Antiqua" w:hAnsi="Book Antiqua" w:cs="Book Antiqua"/>
        </w:rPr>
        <w:t>O2</w:t>
      </w:r>
      <w:proofErr w:type="spellEnd"/>
      <w:r>
        <w:rPr>
          <w:rFonts w:ascii="Book Antiqua" w:eastAsia="Book Antiqua" w:hAnsi="Book Antiqua" w:cs="Book Antiqua"/>
        </w:rPr>
        <w:t>-1 на 90 бр. администрации подкрепени за въвеждане на системи за управление на качеството.</w:t>
      </w:r>
    </w:p>
    <w:p w14:paraId="0783E6DA"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Намаляване на целевата стойност на индикатор </w:t>
      </w:r>
      <w:proofErr w:type="spellStart"/>
      <w:r>
        <w:rPr>
          <w:rFonts w:ascii="Book Antiqua" w:eastAsia="Book Antiqua" w:hAnsi="Book Antiqua" w:cs="Book Antiqua"/>
        </w:rPr>
        <w:t>O2</w:t>
      </w:r>
      <w:proofErr w:type="spellEnd"/>
      <w:r>
        <w:rPr>
          <w:rFonts w:ascii="Book Antiqua" w:eastAsia="Book Antiqua" w:hAnsi="Book Antiqua" w:cs="Book Antiqua"/>
        </w:rPr>
        <w:t>-6 на 100 000 бр. обучени служители от администрацията.</w:t>
      </w:r>
    </w:p>
    <w:p w14:paraId="6A3BE9AC" w14:textId="01F05B86"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Намаляване на целевата стойност на индикатор </w:t>
      </w:r>
      <w:proofErr w:type="spellStart"/>
      <w:r>
        <w:rPr>
          <w:rFonts w:ascii="Book Antiqua" w:eastAsia="Book Antiqua" w:hAnsi="Book Antiqua" w:cs="Book Antiqua"/>
        </w:rPr>
        <w:t>СO20</w:t>
      </w:r>
      <w:proofErr w:type="spellEnd"/>
      <w:r>
        <w:rPr>
          <w:rFonts w:ascii="Book Antiqua" w:eastAsia="Book Antiqua" w:hAnsi="Book Antiqua" w:cs="Book Antiqua"/>
        </w:rPr>
        <w:t xml:space="preserve"> на </w:t>
      </w:r>
      <w:r w:rsidR="00CE568C">
        <w:rPr>
          <w:rFonts w:ascii="Book Antiqua" w:eastAsia="Book Antiqua" w:hAnsi="Book Antiqua" w:cs="Book Antiqua"/>
        </w:rPr>
        <w:t xml:space="preserve">280 </w:t>
      </w:r>
      <w:r>
        <w:rPr>
          <w:rFonts w:ascii="Book Antiqua" w:eastAsia="Book Antiqua" w:hAnsi="Book Antiqua" w:cs="Book Antiqua"/>
        </w:rPr>
        <w:t>проекта.</w:t>
      </w:r>
    </w:p>
    <w:p w14:paraId="17805955"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Намаляване на целевата стойност на индикатор </w:t>
      </w:r>
      <w:proofErr w:type="spellStart"/>
      <w:r>
        <w:rPr>
          <w:rFonts w:ascii="Book Antiqua" w:eastAsia="Book Antiqua" w:hAnsi="Book Antiqua" w:cs="Book Antiqua"/>
        </w:rPr>
        <w:t>R2</w:t>
      </w:r>
      <w:proofErr w:type="spellEnd"/>
      <w:r>
        <w:rPr>
          <w:rFonts w:ascii="Book Antiqua" w:eastAsia="Book Antiqua" w:hAnsi="Book Antiqua" w:cs="Book Antiqua"/>
        </w:rPr>
        <w:t>-1 на 165 бр. подкрепени администрации, прилагащи механизми за организационно развитие и управление ориентирано към резултатите.</w:t>
      </w:r>
    </w:p>
    <w:p w14:paraId="31EFD04C"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Алтернативни варианти по отношение на индикатори </w:t>
      </w:r>
      <w:proofErr w:type="spellStart"/>
      <w:r>
        <w:rPr>
          <w:rFonts w:ascii="Book Antiqua" w:eastAsia="Book Antiqua" w:hAnsi="Book Antiqua" w:cs="Book Antiqua"/>
        </w:rPr>
        <w:t>СO20</w:t>
      </w:r>
      <w:proofErr w:type="spellEnd"/>
      <w:r>
        <w:rPr>
          <w:rFonts w:ascii="Book Antiqua" w:eastAsia="Book Antiqua" w:hAnsi="Book Antiqua" w:cs="Book Antiqua"/>
        </w:rPr>
        <w:t xml:space="preserve"> и </w:t>
      </w:r>
      <w:proofErr w:type="spellStart"/>
      <w:r>
        <w:rPr>
          <w:rFonts w:ascii="Book Antiqua" w:eastAsia="Book Antiqua" w:hAnsi="Book Antiqua" w:cs="Book Antiqua"/>
        </w:rPr>
        <w:t>R2</w:t>
      </w:r>
      <w:proofErr w:type="spellEnd"/>
      <w:r>
        <w:rPr>
          <w:rFonts w:ascii="Book Antiqua" w:eastAsia="Book Antiqua" w:hAnsi="Book Antiqua" w:cs="Book Antiqua"/>
        </w:rPr>
        <w:t xml:space="preserve">-1 са: </w:t>
      </w:r>
    </w:p>
    <w:p w14:paraId="5816B2D9"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Предприемането на мерки за повишаване на осведомеността и мотивацията на потенциалните бенефициенти за участие в планираната в </w:t>
      </w:r>
      <w:proofErr w:type="spellStart"/>
      <w:r>
        <w:rPr>
          <w:rFonts w:ascii="Book Antiqua" w:eastAsia="Book Antiqua" w:hAnsi="Book Antiqua" w:cs="Book Antiqua"/>
        </w:rPr>
        <w:t>ИГРП</w:t>
      </w:r>
      <w:proofErr w:type="spellEnd"/>
      <w:r>
        <w:rPr>
          <w:rFonts w:ascii="Book Antiqua" w:eastAsia="Book Antiqua" w:hAnsi="Book Antiqua" w:cs="Book Antiqua"/>
        </w:rPr>
        <w:t xml:space="preserve"> 2020 процедура с наименование „Повишаване на гражданското участие в процесите на формулиране, изпълнение и мониторинг на политики и законодателство“ (индикатор </w:t>
      </w:r>
      <w:proofErr w:type="spellStart"/>
      <w:r>
        <w:rPr>
          <w:rFonts w:ascii="Book Antiqua" w:eastAsia="Book Antiqua" w:hAnsi="Book Antiqua" w:cs="Book Antiqua"/>
        </w:rPr>
        <w:t>С020</w:t>
      </w:r>
      <w:proofErr w:type="spellEnd"/>
      <w:r>
        <w:rPr>
          <w:rFonts w:ascii="Book Antiqua" w:eastAsia="Book Antiqua" w:hAnsi="Book Antiqua" w:cs="Book Antiqua"/>
        </w:rPr>
        <w:t xml:space="preserve">) и </w:t>
      </w:r>
    </w:p>
    <w:p w14:paraId="79D8145B" w14:textId="77777777" w:rsidR="00E708DA" w:rsidRDefault="00AC4FE7">
      <w:pPr>
        <w:numPr>
          <w:ilvl w:val="0"/>
          <w:numId w:val="5"/>
        </w:numPr>
        <w:tabs>
          <w:tab w:val="left" w:pos="317"/>
        </w:tabs>
        <w:ind w:left="317" w:hanging="317"/>
        <w:jc w:val="both"/>
      </w:pPr>
      <w:r>
        <w:rPr>
          <w:rFonts w:ascii="Book Antiqua" w:eastAsia="Book Antiqua" w:hAnsi="Book Antiqua" w:cs="Book Antiqua"/>
        </w:rPr>
        <w:t xml:space="preserve">Обявяването на процедура за конкурентен подбор на проекти за подобряване на управлението, ориентирано към резултатите, по която да бъде включен и индикатор </w:t>
      </w:r>
      <w:proofErr w:type="spellStart"/>
      <w:r>
        <w:rPr>
          <w:rFonts w:ascii="Book Antiqua" w:eastAsia="Book Antiqua" w:hAnsi="Book Antiqua" w:cs="Book Antiqua"/>
        </w:rPr>
        <w:t>R2</w:t>
      </w:r>
      <w:proofErr w:type="spellEnd"/>
      <w:r>
        <w:rPr>
          <w:rFonts w:ascii="Book Antiqua" w:eastAsia="Book Antiqua" w:hAnsi="Book Antiqua" w:cs="Book Antiqua"/>
        </w:rPr>
        <w:t>-1. Дизайнът на една такава процедура би могъл да бъде насочен към осигуряването на подкрепа за въвеждането и утвърждаването на програмен и резултатно ориентиран бюджет в администрациите.</w:t>
      </w:r>
    </w:p>
    <w:p w14:paraId="7191EBFB" w14:textId="39FF438A" w:rsidR="00E708DA" w:rsidRDefault="00AC4FE7">
      <w:pPr>
        <w:tabs>
          <w:tab w:val="left" w:pos="317"/>
        </w:tabs>
        <w:spacing w:before="120"/>
        <w:jc w:val="both"/>
      </w:pPr>
      <w:r>
        <w:rPr>
          <w:rFonts w:ascii="Book Antiqua" w:hAnsi="Book Antiqua"/>
          <w:b/>
          <w:color w:val="44546A"/>
        </w:rPr>
        <w:t>3.</w:t>
      </w:r>
      <w:r w:rsidR="00486D8F">
        <w:rPr>
          <w:rFonts w:ascii="Book Antiqua" w:hAnsi="Book Antiqua"/>
          <w:b/>
          <w:color w:val="44546A"/>
        </w:rPr>
        <w:t>7</w:t>
      </w:r>
      <w:r>
        <w:rPr>
          <w:rFonts w:ascii="Book Antiqua" w:hAnsi="Book Antiqua"/>
          <w:b/>
          <w:color w:val="44546A"/>
        </w:rPr>
        <w:t xml:space="preserve">. </w:t>
      </w:r>
      <w:r>
        <w:rPr>
          <w:rFonts w:ascii="Book Antiqua" w:eastAsia="Book Antiqua" w:hAnsi="Book Antiqua" w:cs="Book Antiqua"/>
        </w:rPr>
        <w:t>Целевите стойности на два от индикаторите на ПО 2 (</w:t>
      </w:r>
      <w:proofErr w:type="spellStart"/>
      <w:r>
        <w:rPr>
          <w:rFonts w:ascii="Book Antiqua" w:eastAsia="Book Antiqua" w:hAnsi="Book Antiqua" w:cs="Book Antiqua"/>
        </w:rPr>
        <w:t>О2</w:t>
      </w:r>
      <w:proofErr w:type="spellEnd"/>
      <w:r>
        <w:rPr>
          <w:rFonts w:ascii="Book Antiqua" w:eastAsia="Book Antiqua" w:hAnsi="Book Antiqua" w:cs="Book Antiqua"/>
        </w:rPr>
        <w:t xml:space="preserve">-5 и </w:t>
      </w:r>
      <w:proofErr w:type="spellStart"/>
      <w:r>
        <w:rPr>
          <w:rFonts w:ascii="Book Antiqua" w:eastAsia="Book Antiqua" w:hAnsi="Book Antiqua" w:cs="Book Antiqua"/>
        </w:rPr>
        <w:t>R2</w:t>
      </w:r>
      <w:proofErr w:type="spellEnd"/>
      <w:r>
        <w:rPr>
          <w:rFonts w:ascii="Book Antiqua" w:eastAsia="Book Antiqua" w:hAnsi="Book Antiqua" w:cs="Book Antiqua"/>
        </w:rPr>
        <w:t xml:space="preserve">-4) се очаква да бъдат преизпълнени, като по отношение на индикатора </w:t>
      </w:r>
      <w:proofErr w:type="spellStart"/>
      <w:r>
        <w:rPr>
          <w:rFonts w:ascii="Book Antiqua" w:eastAsia="Book Antiqua" w:hAnsi="Book Antiqua" w:cs="Book Antiqua"/>
        </w:rPr>
        <w:t>R2</w:t>
      </w:r>
      <w:proofErr w:type="spellEnd"/>
      <w:r>
        <w:rPr>
          <w:rFonts w:ascii="Book Antiqua" w:eastAsia="Book Antiqua" w:hAnsi="Book Antiqua" w:cs="Book Antiqua"/>
        </w:rPr>
        <w:t xml:space="preserve">-4 прогнозата е това преизпълнение да е </w:t>
      </w:r>
      <w:r w:rsidR="00676580">
        <w:rPr>
          <w:rFonts w:ascii="Book Antiqua" w:eastAsia="Book Antiqua" w:hAnsi="Book Antiqua" w:cs="Book Antiqua"/>
        </w:rPr>
        <w:t>значително - близо</w:t>
      </w:r>
      <w:r>
        <w:rPr>
          <w:rFonts w:ascii="Book Antiqua" w:eastAsia="Book Antiqua" w:hAnsi="Book Antiqua" w:cs="Book Antiqua"/>
        </w:rPr>
        <w:t xml:space="preserve"> </w:t>
      </w:r>
      <w:r w:rsidR="00676580">
        <w:rPr>
          <w:rFonts w:ascii="Book Antiqua" w:eastAsia="Book Antiqua" w:hAnsi="Book Antiqua" w:cs="Book Antiqua"/>
        </w:rPr>
        <w:t>4</w:t>
      </w:r>
      <w:r>
        <w:rPr>
          <w:rFonts w:ascii="Book Antiqua" w:eastAsia="Book Antiqua" w:hAnsi="Book Antiqua" w:cs="Book Antiqua"/>
        </w:rPr>
        <w:t xml:space="preserve"> пъти.</w:t>
      </w:r>
    </w:p>
    <w:p w14:paraId="0616DF05"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36766669"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Препоръчително е да се обмисли възможността за увеличаване на целевите стойности на индикатори </w:t>
      </w:r>
      <w:proofErr w:type="spellStart"/>
      <w:r>
        <w:rPr>
          <w:rFonts w:ascii="Book Antiqua" w:eastAsia="Book Antiqua" w:hAnsi="Book Antiqua" w:cs="Book Antiqua"/>
        </w:rPr>
        <w:t>О2</w:t>
      </w:r>
      <w:proofErr w:type="spellEnd"/>
      <w:r>
        <w:rPr>
          <w:rFonts w:ascii="Book Antiqua" w:eastAsia="Book Antiqua" w:hAnsi="Book Antiqua" w:cs="Book Antiqua"/>
        </w:rPr>
        <w:t xml:space="preserve">-5 и </w:t>
      </w:r>
      <w:proofErr w:type="spellStart"/>
      <w:r>
        <w:rPr>
          <w:rFonts w:ascii="Book Antiqua" w:eastAsia="Book Antiqua" w:hAnsi="Book Antiqua" w:cs="Book Antiqua"/>
        </w:rPr>
        <w:t>R2</w:t>
      </w:r>
      <w:proofErr w:type="spellEnd"/>
      <w:r>
        <w:rPr>
          <w:rFonts w:ascii="Book Antiqua" w:eastAsia="Book Antiqua" w:hAnsi="Book Antiqua" w:cs="Book Antiqua"/>
        </w:rPr>
        <w:t>-4, както следва:</w:t>
      </w:r>
    </w:p>
    <w:p w14:paraId="77438855"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Увеличаване на целевата стойност на индикатор </w:t>
      </w:r>
      <w:proofErr w:type="spellStart"/>
      <w:r>
        <w:rPr>
          <w:rFonts w:ascii="Book Antiqua" w:eastAsia="Book Antiqua" w:hAnsi="Book Antiqua" w:cs="Book Antiqua"/>
        </w:rPr>
        <w:t>О2</w:t>
      </w:r>
      <w:proofErr w:type="spellEnd"/>
      <w:r>
        <w:rPr>
          <w:rFonts w:ascii="Book Antiqua" w:eastAsia="Book Antiqua" w:hAnsi="Book Antiqua" w:cs="Book Antiqua"/>
        </w:rPr>
        <w:t>-5 на 180 бр. подкрепени нови/осъвременени обучителни модули.</w:t>
      </w:r>
    </w:p>
    <w:p w14:paraId="74D21BF0" w14:textId="77777777" w:rsidR="00E708DA" w:rsidRDefault="00AC4FE7">
      <w:pPr>
        <w:numPr>
          <w:ilvl w:val="0"/>
          <w:numId w:val="5"/>
        </w:numPr>
        <w:tabs>
          <w:tab w:val="left" w:pos="317"/>
        </w:tabs>
        <w:ind w:left="317" w:hanging="317"/>
        <w:jc w:val="both"/>
      </w:pPr>
      <w:r>
        <w:rPr>
          <w:rFonts w:ascii="Book Antiqua" w:eastAsia="Book Antiqua" w:hAnsi="Book Antiqua" w:cs="Book Antiqua"/>
        </w:rPr>
        <w:t xml:space="preserve">Увеличаване на целевата стойност на индикатор </w:t>
      </w:r>
      <w:proofErr w:type="spellStart"/>
      <w:r>
        <w:rPr>
          <w:rFonts w:ascii="Book Antiqua" w:eastAsia="Book Antiqua" w:hAnsi="Book Antiqua" w:cs="Book Antiqua"/>
        </w:rPr>
        <w:t>R2</w:t>
      </w:r>
      <w:proofErr w:type="spellEnd"/>
      <w:r>
        <w:rPr>
          <w:rFonts w:ascii="Book Antiqua" w:eastAsia="Book Antiqua" w:hAnsi="Book Antiqua" w:cs="Book Antiqua"/>
        </w:rPr>
        <w:t>-4 на около 1400 бр. отправени препоръки.</w:t>
      </w:r>
    </w:p>
    <w:p w14:paraId="3B86B827" w14:textId="77777777" w:rsidR="00E708DA" w:rsidRDefault="00E708DA">
      <w:pPr>
        <w:tabs>
          <w:tab w:val="left" w:pos="317"/>
        </w:tabs>
        <w:jc w:val="both"/>
        <w:rPr>
          <w:rFonts w:ascii="Book Antiqua" w:hAnsi="Book Antiqua"/>
          <w:color w:val="000000"/>
        </w:rPr>
      </w:pPr>
    </w:p>
    <w:p w14:paraId="3A5394A6" w14:textId="77777777" w:rsidR="00E708DA" w:rsidRDefault="00AC4FE7">
      <w:pPr>
        <w:pStyle w:val="a6"/>
        <w:numPr>
          <w:ilvl w:val="0"/>
          <w:numId w:val="3"/>
        </w:numPr>
        <w:shd w:val="clear" w:color="auto" w:fill="D9E2F3"/>
        <w:spacing w:after="120"/>
        <w:ind w:left="714" w:hanging="357"/>
        <w:jc w:val="both"/>
        <w:rPr>
          <w:rFonts w:ascii="Book Antiqua" w:hAnsi="Book Antiqua"/>
          <w:b/>
          <w:color w:val="44546A"/>
        </w:rPr>
      </w:pPr>
      <w:r>
        <w:rPr>
          <w:rFonts w:ascii="Book Antiqua" w:hAnsi="Book Antiqua"/>
          <w:b/>
          <w:color w:val="44546A"/>
        </w:rPr>
        <w:t>Основни изводи и препоръки по приоритетна ос 3.</w:t>
      </w:r>
    </w:p>
    <w:p w14:paraId="10CEDC47" w14:textId="3816C39A" w:rsidR="00486D8F" w:rsidRDefault="00AC4FE7">
      <w:pPr>
        <w:jc w:val="both"/>
        <w:rPr>
          <w:rFonts w:ascii="Book Antiqua" w:eastAsia="Book Antiqua" w:hAnsi="Book Antiqua" w:cs="Book Antiqua"/>
        </w:rPr>
      </w:pPr>
      <w:r>
        <w:rPr>
          <w:rFonts w:ascii="Book Antiqua" w:hAnsi="Book Antiqua"/>
          <w:b/>
          <w:color w:val="44546A"/>
        </w:rPr>
        <w:lastRenderedPageBreak/>
        <w:t xml:space="preserve">4.1. </w:t>
      </w:r>
      <w:r w:rsidR="00220BC6" w:rsidRPr="00B83B4E">
        <w:rPr>
          <w:rFonts w:ascii="Book Antiqua" w:eastAsia="Book Antiqua" w:hAnsi="Book Antiqua" w:cs="Book Antiqua"/>
        </w:rPr>
        <w:t xml:space="preserve">Към края на 2019 г. по </w:t>
      </w:r>
      <w:proofErr w:type="spellStart"/>
      <w:r w:rsidR="00220BC6" w:rsidRPr="00B83B4E">
        <w:rPr>
          <w:rFonts w:ascii="Book Antiqua" w:eastAsia="Book Antiqua" w:hAnsi="Book Antiqua" w:cs="Book Antiqua"/>
        </w:rPr>
        <w:t>ПО3</w:t>
      </w:r>
      <w:proofErr w:type="spellEnd"/>
      <w:r w:rsidR="00220BC6" w:rsidRPr="00B83B4E">
        <w:rPr>
          <w:rFonts w:ascii="Book Antiqua" w:eastAsia="Book Antiqua" w:hAnsi="Book Antiqua" w:cs="Book Antiqua"/>
        </w:rPr>
        <w:t xml:space="preserve"> са обявени 7 процедури с общ бюджет малко над 60 млн. лв. </w:t>
      </w:r>
      <w:r w:rsidR="00220BC6">
        <w:rPr>
          <w:rFonts w:ascii="Book Antiqua" w:eastAsia="Book Antiqua" w:hAnsi="Book Antiqua" w:cs="Book Antiqua"/>
        </w:rPr>
        <w:t>Д</w:t>
      </w:r>
      <w:r w:rsidR="00220BC6" w:rsidRPr="00B83B4E">
        <w:rPr>
          <w:rFonts w:ascii="Book Antiqua" w:eastAsia="Book Antiqua" w:hAnsi="Book Antiqua" w:cs="Book Antiqua"/>
        </w:rPr>
        <w:t xml:space="preserve">оговорените средства са 52,75% от средствата по </w:t>
      </w:r>
      <w:r w:rsidR="00220BC6">
        <w:rPr>
          <w:rFonts w:ascii="Book Antiqua" w:eastAsia="Book Antiqua" w:hAnsi="Book Antiqua" w:cs="Book Antiqua"/>
        </w:rPr>
        <w:t>обявени</w:t>
      </w:r>
      <w:r w:rsidR="00220BC6" w:rsidRPr="00B83B4E">
        <w:rPr>
          <w:rFonts w:ascii="Book Antiqua" w:eastAsia="Book Antiqua" w:hAnsi="Book Antiqua" w:cs="Book Antiqua"/>
        </w:rPr>
        <w:t xml:space="preserve"> процедури и 45,7% спрямо общия предвиден бюджет по оста. Разплатените средства са 52,84% спрямо договорените средства. Към момента на оценката сертифицираните средства по </w:t>
      </w:r>
      <w:proofErr w:type="spellStart"/>
      <w:r w:rsidR="00220BC6" w:rsidRPr="00B83B4E">
        <w:rPr>
          <w:rFonts w:ascii="Book Antiqua" w:eastAsia="Book Antiqua" w:hAnsi="Book Antiqua" w:cs="Book Antiqua"/>
        </w:rPr>
        <w:t>ПО</w:t>
      </w:r>
      <w:proofErr w:type="spellEnd"/>
      <w:r w:rsidR="00220BC6" w:rsidRPr="00B83B4E">
        <w:rPr>
          <w:rFonts w:ascii="Book Antiqua" w:eastAsia="Book Antiqua" w:hAnsi="Book Antiqua" w:cs="Book Antiqua"/>
        </w:rPr>
        <w:t xml:space="preserve"> 3 са в размер на 16 147 787,22 лв. или 27,34% от </w:t>
      </w:r>
      <w:proofErr w:type="spellStart"/>
      <w:r w:rsidR="00220BC6" w:rsidRPr="00B83B4E">
        <w:rPr>
          <w:rFonts w:ascii="Book Antiqua" w:eastAsia="Book Antiqua" w:hAnsi="Book Antiqua" w:cs="Book Antiqua"/>
        </w:rPr>
        <w:t>КЦС</w:t>
      </w:r>
      <w:proofErr w:type="spellEnd"/>
      <w:r w:rsidR="00220BC6" w:rsidRPr="00B83B4E">
        <w:rPr>
          <w:rFonts w:ascii="Book Antiqua" w:eastAsia="Book Antiqua" w:hAnsi="Book Antiqua" w:cs="Book Antiqua"/>
        </w:rPr>
        <w:t xml:space="preserve"> на индикатора F-3 „Сертифицирани средства</w:t>
      </w:r>
      <w:r w:rsidR="00220BC6">
        <w:rPr>
          <w:rFonts w:ascii="Book Antiqua" w:eastAsia="Book Antiqua" w:hAnsi="Book Antiqua" w:cs="Book Antiqua"/>
        </w:rPr>
        <w:t>“</w:t>
      </w:r>
      <w:r w:rsidR="00220BC6" w:rsidRPr="00B83B4E">
        <w:rPr>
          <w:rFonts w:ascii="Book Antiqua" w:eastAsia="Book Antiqua" w:hAnsi="Book Antiqua" w:cs="Book Antiqua"/>
        </w:rPr>
        <w:t>.</w:t>
      </w:r>
    </w:p>
    <w:p w14:paraId="5C5AC8AE" w14:textId="5EFB10B7" w:rsidR="00220BC6" w:rsidRDefault="00D55BE3" w:rsidP="00D55BE3">
      <w:pPr>
        <w:tabs>
          <w:tab w:val="left" w:pos="317"/>
        </w:tabs>
        <w:jc w:val="both"/>
        <w:rPr>
          <w:rFonts w:ascii="Book Antiqua" w:eastAsia="Book Antiqua" w:hAnsi="Book Antiqua" w:cs="Book Antiqua"/>
        </w:rPr>
      </w:pPr>
      <w:r>
        <w:rPr>
          <w:rFonts w:ascii="Book Antiqua" w:hAnsi="Book Antiqua"/>
          <w:b/>
          <w:color w:val="44546A"/>
        </w:rPr>
        <w:t xml:space="preserve">4.2. </w:t>
      </w:r>
      <w:r w:rsidRPr="00D55BE3">
        <w:rPr>
          <w:rFonts w:ascii="Book Antiqua" w:eastAsia="Book Antiqua" w:hAnsi="Book Antiqua" w:cs="Book Antiqua"/>
        </w:rPr>
        <w:t>В последните две години</w:t>
      </w:r>
      <w:r w:rsidR="002A7398">
        <w:rPr>
          <w:rFonts w:ascii="Book Antiqua" w:eastAsia="Book Antiqua" w:hAnsi="Book Antiqua" w:cs="Book Antiqua"/>
        </w:rPr>
        <w:t>,</w:t>
      </w:r>
      <w:r w:rsidRPr="00D55BE3">
        <w:rPr>
          <w:rFonts w:ascii="Book Antiqua" w:eastAsia="Book Antiqua" w:hAnsi="Book Antiqua" w:cs="Book Antiqua"/>
        </w:rPr>
        <w:t xml:space="preserve"> в някои от приоритетните области на съдебната реформа има постигнати резултати, които са свързани с подкрепата на проекти по </w:t>
      </w:r>
      <w:proofErr w:type="spellStart"/>
      <w:r w:rsidRPr="00D55BE3">
        <w:rPr>
          <w:rFonts w:ascii="Book Antiqua" w:eastAsia="Book Antiqua" w:hAnsi="Book Antiqua" w:cs="Book Antiqua"/>
        </w:rPr>
        <w:t>ОПДУ</w:t>
      </w:r>
      <w:proofErr w:type="spellEnd"/>
      <w:r w:rsidRPr="00D55BE3">
        <w:rPr>
          <w:rFonts w:ascii="Book Antiqua" w:eastAsia="Book Antiqua" w:hAnsi="Book Antiqua" w:cs="Book Antiqua"/>
        </w:rPr>
        <w:t xml:space="preserve"> например в юридическото образование, осигуряване на по-голяма прозрачност при назначаване и атестиране на магистрати, повишаване на качеството на дейността на </w:t>
      </w:r>
      <w:proofErr w:type="spellStart"/>
      <w:r w:rsidRPr="00D55BE3">
        <w:rPr>
          <w:rFonts w:ascii="Book Antiqua" w:eastAsia="Book Antiqua" w:hAnsi="Book Antiqua" w:cs="Book Antiqua"/>
        </w:rPr>
        <w:t>НИП</w:t>
      </w:r>
      <w:proofErr w:type="spellEnd"/>
      <w:r w:rsidRPr="00D55BE3">
        <w:rPr>
          <w:rFonts w:ascii="Book Antiqua" w:eastAsia="Book Antiqua" w:hAnsi="Book Antiqua" w:cs="Book Antiqua"/>
        </w:rPr>
        <w:t>.</w:t>
      </w:r>
    </w:p>
    <w:p w14:paraId="0BE3DAE7" w14:textId="3C1E7D7C" w:rsidR="00D55BE3" w:rsidRDefault="00D55BE3" w:rsidP="00D55BE3">
      <w:pPr>
        <w:tabs>
          <w:tab w:val="left" w:pos="317"/>
        </w:tabs>
        <w:jc w:val="both"/>
        <w:rPr>
          <w:rFonts w:ascii="Book Antiqua" w:eastAsia="Book Antiqua" w:hAnsi="Book Antiqua" w:cs="Book Antiqua"/>
          <w:lang w:eastAsia="bg-BG"/>
        </w:rPr>
      </w:pPr>
      <w:r w:rsidRPr="00D61C0C">
        <w:rPr>
          <w:rFonts w:ascii="Book Antiqua" w:eastAsia="Book Antiqua" w:hAnsi="Book Antiqua" w:cs="Book Antiqua"/>
          <w:lang w:eastAsia="bg-BG"/>
        </w:rPr>
        <w:t>Най-бавно се осъществяват резултатите в областта на електронно правосъдие, като основни успехи постигнати, чрез принос на програмата през последните две години са разработването и пускането в действие на Унифицираната информационна система (</w:t>
      </w:r>
      <w:proofErr w:type="spellStart"/>
      <w:r w:rsidRPr="00D61C0C">
        <w:rPr>
          <w:rFonts w:ascii="Book Antiqua" w:eastAsia="Book Antiqua" w:hAnsi="Book Antiqua" w:cs="Book Antiqua"/>
          <w:lang w:eastAsia="bg-BG"/>
        </w:rPr>
        <w:t>УИС</w:t>
      </w:r>
      <w:proofErr w:type="spellEnd"/>
      <w:r w:rsidRPr="00D61C0C">
        <w:rPr>
          <w:rFonts w:ascii="Book Antiqua" w:eastAsia="Book Antiqua" w:hAnsi="Book Antiqua" w:cs="Book Antiqua"/>
          <w:lang w:eastAsia="bg-BG"/>
        </w:rPr>
        <w:t xml:space="preserve">-3) на </w:t>
      </w:r>
      <w:proofErr w:type="spellStart"/>
      <w:r w:rsidRPr="00D61C0C">
        <w:rPr>
          <w:rFonts w:ascii="Book Antiqua" w:eastAsia="Book Antiqua" w:hAnsi="Book Antiqua" w:cs="Book Antiqua"/>
          <w:lang w:eastAsia="bg-BG"/>
        </w:rPr>
        <w:t>ПРБ</w:t>
      </w:r>
      <w:proofErr w:type="spellEnd"/>
      <w:r w:rsidRPr="00D61C0C">
        <w:rPr>
          <w:rFonts w:ascii="Book Antiqua" w:eastAsia="Book Antiqua" w:hAnsi="Book Antiqua" w:cs="Book Antiqua"/>
          <w:lang w:eastAsia="bg-BG"/>
        </w:rPr>
        <w:t>.</w:t>
      </w:r>
    </w:p>
    <w:p w14:paraId="6CAA48F9" w14:textId="1A0A7D4D" w:rsidR="002A7398" w:rsidRPr="00D55BE3" w:rsidRDefault="002A7398" w:rsidP="002A7398">
      <w:pPr>
        <w:tabs>
          <w:tab w:val="left" w:pos="317"/>
        </w:tabs>
        <w:jc w:val="both"/>
        <w:rPr>
          <w:rFonts w:ascii="Book Antiqua" w:eastAsia="Book Antiqua" w:hAnsi="Book Antiqua" w:cs="Book Antiqua"/>
        </w:rPr>
      </w:pPr>
      <w:r>
        <w:rPr>
          <w:rFonts w:ascii="Book Antiqua" w:hAnsi="Book Antiqua"/>
          <w:b/>
          <w:color w:val="44546A"/>
        </w:rPr>
        <w:t xml:space="preserve">4.3. </w:t>
      </w:r>
      <w:r w:rsidRPr="00D55BE3">
        <w:rPr>
          <w:rFonts w:ascii="Book Antiqua" w:eastAsia="Book Antiqua" w:hAnsi="Book Antiqua" w:cs="Book Antiqua"/>
        </w:rPr>
        <w:t xml:space="preserve">Не се наблюдава изменение на заложените специфични цели и приоритети в стратегическите документи в областта на правосъдието и съдебната реформа. Също така не се наблюдава изменение на нуждите на водещите институции в съдебната реформа. </w:t>
      </w:r>
      <w:r w:rsidR="009218A4">
        <w:rPr>
          <w:rFonts w:ascii="Book Antiqua" w:eastAsia="Book Antiqua" w:hAnsi="Book Antiqua" w:cs="Book Antiqua"/>
        </w:rPr>
        <w:t>П</w:t>
      </w:r>
      <w:r w:rsidRPr="00D55BE3">
        <w:rPr>
          <w:rFonts w:ascii="Book Antiqua" w:eastAsia="Book Antiqua" w:hAnsi="Book Antiqua" w:cs="Book Antiqua"/>
        </w:rPr>
        <w:t xml:space="preserve">редвидените цели и приоритетни дейности по </w:t>
      </w:r>
      <w:proofErr w:type="spellStart"/>
      <w:r w:rsidRPr="00D55BE3">
        <w:rPr>
          <w:rFonts w:ascii="Book Antiqua" w:eastAsia="Book Antiqua" w:hAnsi="Book Antiqua" w:cs="Book Antiqua"/>
        </w:rPr>
        <w:t>ПО</w:t>
      </w:r>
      <w:proofErr w:type="spellEnd"/>
      <w:r w:rsidRPr="00D55BE3">
        <w:rPr>
          <w:rFonts w:ascii="Book Antiqua" w:eastAsia="Book Antiqua" w:hAnsi="Book Antiqua" w:cs="Book Antiqua"/>
        </w:rPr>
        <w:t xml:space="preserve"> 3 на </w:t>
      </w:r>
      <w:proofErr w:type="spellStart"/>
      <w:r w:rsidRPr="00D55BE3">
        <w:rPr>
          <w:rFonts w:ascii="Book Antiqua" w:eastAsia="Book Antiqua" w:hAnsi="Book Antiqua" w:cs="Book Antiqua"/>
        </w:rPr>
        <w:t>ОПДУ</w:t>
      </w:r>
      <w:proofErr w:type="spellEnd"/>
      <w:r w:rsidRPr="00D55BE3">
        <w:rPr>
          <w:rFonts w:ascii="Book Antiqua" w:eastAsia="Book Antiqua" w:hAnsi="Book Antiqua" w:cs="Book Antiqua"/>
        </w:rPr>
        <w:t xml:space="preserve"> са актуални и релевантни и не е идентифицирана необходимост за тяхната промяна или преформулиране.</w:t>
      </w:r>
    </w:p>
    <w:p w14:paraId="337A6E09" w14:textId="01D8206D" w:rsidR="00E708DA" w:rsidRDefault="00486D8F">
      <w:pPr>
        <w:jc w:val="both"/>
      </w:pPr>
      <w:r w:rsidRPr="002A7398">
        <w:rPr>
          <w:rFonts w:ascii="Book Antiqua" w:hAnsi="Book Antiqua"/>
          <w:b/>
          <w:color w:val="44546A"/>
        </w:rPr>
        <w:t>4.</w:t>
      </w:r>
      <w:r w:rsidR="009218A4">
        <w:rPr>
          <w:rFonts w:ascii="Book Antiqua" w:hAnsi="Book Antiqua"/>
          <w:b/>
          <w:color w:val="44546A"/>
        </w:rPr>
        <w:t>4</w:t>
      </w:r>
      <w:r w:rsidRPr="002A7398">
        <w:rPr>
          <w:rFonts w:ascii="Book Antiqua" w:hAnsi="Book Antiqua"/>
          <w:b/>
          <w:color w:val="44546A"/>
        </w:rPr>
        <w:t>.</w:t>
      </w:r>
      <w:r>
        <w:rPr>
          <w:rFonts w:ascii="Book Antiqua" w:hAnsi="Book Antiqua"/>
          <w:b/>
          <w:color w:val="44546A"/>
        </w:rPr>
        <w:t xml:space="preserve"> </w:t>
      </w:r>
      <w:r w:rsidR="00AC4FE7">
        <w:rPr>
          <w:rFonts w:ascii="Book Antiqua" w:eastAsia="Book Antiqua" w:hAnsi="Book Antiqua" w:cs="Book Antiqua"/>
          <w:lang w:eastAsia="bg-BG"/>
        </w:rPr>
        <w:t xml:space="preserve">При 7 от индикаторите за продукт на ПО 3 не е идентифициран риск за постигане на целевите стойности. </w:t>
      </w:r>
    </w:p>
    <w:p w14:paraId="7ADC1EEA" w14:textId="5ACF3C57" w:rsidR="00E708DA" w:rsidRDefault="00AC4FE7">
      <w:pPr>
        <w:jc w:val="both"/>
        <w:rPr>
          <w:rFonts w:ascii="Book Antiqua" w:eastAsia="Book Antiqua" w:hAnsi="Book Antiqua" w:cs="Book Antiqua"/>
          <w:lang w:eastAsia="bg-BG"/>
        </w:rPr>
      </w:pPr>
      <w:r>
        <w:rPr>
          <w:rFonts w:ascii="Book Antiqua" w:eastAsia="Book Antiqua" w:hAnsi="Book Antiqua" w:cs="Book Antiqua"/>
          <w:lang w:eastAsia="bg-BG"/>
        </w:rPr>
        <w:t xml:space="preserve">Индикаторите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–1 (анализи, проучвания, изследвания),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–4 (проекти за алтернативни методи за решаване на правни спорове), </w:t>
      </w:r>
      <w:proofErr w:type="spellStart"/>
      <w:r>
        <w:rPr>
          <w:rFonts w:ascii="Book Antiqua" w:eastAsia="Book Antiqua" w:hAnsi="Book Antiqua" w:cs="Book Antiqua"/>
          <w:lang w:eastAsia="bg-BG"/>
        </w:rPr>
        <w:t>О3</w:t>
      </w:r>
      <w:proofErr w:type="spellEnd"/>
      <w:r>
        <w:rPr>
          <w:rFonts w:ascii="Book Antiqua" w:eastAsia="Book Antiqua" w:hAnsi="Book Antiqua" w:cs="Book Antiqua"/>
          <w:lang w:eastAsia="bg-BG"/>
        </w:rPr>
        <w:t xml:space="preserve">–5 (Брой институции, на които е извършен одит на ИТ и комуникационната инфраструктура),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–6 (електронни услуги на съдебната власт) са постигнали заложените целеви стойности към 31.12.2109 г.</w:t>
      </w:r>
    </w:p>
    <w:p w14:paraId="699AFA6E" w14:textId="77777777" w:rsidR="00E708DA" w:rsidRDefault="00AC4FE7">
      <w:pPr>
        <w:jc w:val="both"/>
        <w:rPr>
          <w:rFonts w:ascii="Book Antiqua" w:eastAsia="Book Antiqua" w:hAnsi="Book Antiqua" w:cs="Book Antiqua"/>
          <w:lang w:eastAsia="bg-BG"/>
        </w:rPr>
      </w:pPr>
      <w:r>
        <w:rPr>
          <w:rFonts w:ascii="Book Antiqua" w:eastAsia="Book Antiqua" w:hAnsi="Book Antiqua" w:cs="Book Antiqua"/>
          <w:lang w:eastAsia="bg-BG"/>
        </w:rPr>
        <w:t xml:space="preserve">Индикатори </w:t>
      </w:r>
      <w:proofErr w:type="spellStart"/>
      <w:r>
        <w:rPr>
          <w:rFonts w:ascii="Book Antiqua" w:eastAsia="Book Antiqua" w:hAnsi="Book Antiqua" w:cs="Book Antiqua"/>
          <w:lang w:eastAsia="bg-BG"/>
        </w:rPr>
        <w:t>СО20</w:t>
      </w:r>
      <w:proofErr w:type="spellEnd"/>
      <w:r>
        <w:rPr>
          <w:rFonts w:ascii="Book Antiqua" w:eastAsia="Book Antiqua" w:hAnsi="Book Antiqua" w:cs="Book Antiqua"/>
          <w:lang w:eastAsia="bg-BG"/>
        </w:rPr>
        <w:t xml:space="preserve"> (проекти, изцяло или частично изпълнени от социални партньори или НПО),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–2 (Проекти за съвместни действия) и индикатор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–8 (Обучени магистрати) все още не са постигнали целевите си стойности, но съгласно договорените проекти  и проектите, които предстои да бъдат договорени в началото на </w:t>
      </w:r>
      <w:proofErr w:type="spellStart"/>
      <w:r>
        <w:rPr>
          <w:rFonts w:ascii="Book Antiqua" w:eastAsia="Book Antiqua" w:hAnsi="Book Antiqua" w:cs="Book Antiqua"/>
          <w:lang w:eastAsia="bg-BG"/>
        </w:rPr>
        <w:t>2020г</w:t>
      </w:r>
      <w:proofErr w:type="spellEnd"/>
      <w:r>
        <w:rPr>
          <w:rFonts w:ascii="Book Antiqua" w:eastAsia="Book Antiqua" w:hAnsi="Book Antiqua" w:cs="Book Antiqua"/>
          <w:lang w:eastAsia="bg-BG"/>
        </w:rPr>
        <w:t>., тези стойности ще бъдат постигнати.</w:t>
      </w:r>
    </w:p>
    <w:p w14:paraId="79863EE0" w14:textId="77777777" w:rsidR="00E708DA" w:rsidRDefault="00AC4FE7">
      <w:pPr>
        <w:jc w:val="both"/>
        <w:rPr>
          <w:rFonts w:ascii="Book Antiqua" w:eastAsia="Book Antiqua" w:hAnsi="Book Antiqua" w:cs="Book Antiqua"/>
          <w:lang w:eastAsia="bg-BG"/>
        </w:rPr>
      </w:pPr>
      <w:r>
        <w:rPr>
          <w:rFonts w:ascii="Book Antiqua" w:eastAsia="Book Antiqua" w:hAnsi="Book Antiqua" w:cs="Book Antiqua"/>
          <w:lang w:eastAsia="bg-BG"/>
        </w:rPr>
        <w:t>При някои от тези индикатори е идентифицирана нужда за промяна на  метаданните</w:t>
      </w:r>
      <w:r w:rsidR="004256F7">
        <w:rPr>
          <w:rFonts w:ascii="Book Antiqua" w:eastAsia="Book Antiqua" w:hAnsi="Book Antiqua" w:cs="Book Antiqua"/>
          <w:lang w:eastAsia="bg-BG"/>
        </w:rPr>
        <w:t>,</w:t>
      </w:r>
      <w:r>
        <w:rPr>
          <w:rFonts w:ascii="Book Antiqua" w:eastAsia="Book Antiqua" w:hAnsi="Book Antiqua" w:cs="Book Antiqua"/>
          <w:lang w:eastAsia="bg-BG"/>
        </w:rPr>
        <w:t xml:space="preserve"> за</w:t>
      </w:r>
      <w:r w:rsidR="004256F7">
        <w:rPr>
          <w:rFonts w:ascii="Book Antiqua" w:eastAsia="Book Antiqua" w:hAnsi="Book Antiqua" w:cs="Book Antiqua"/>
          <w:lang w:eastAsia="bg-BG"/>
        </w:rPr>
        <w:t xml:space="preserve"> да</w:t>
      </w:r>
      <w:r>
        <w:rPr>
          <w:rFonts w:ascii="Book Antiqua" w:eastAsia="Book Antiqua" w:hAnsi="Book Antiqua" w:cs="Book Antiqua"/>
          <w:lang w:eastAsia="bg-BG"/>
        </w:rPr>
        <w:t xml:space="preserve"> бъдат отразени ясно и пълно постигнатите резултати по програмата.</w:t>
      </w:r>
    </w:p>
    <w:p w14:paraId="2E270D50"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Препоръки:</w:t>
      </w:r>
    </w:p>
    <w:p w14:paraId="2B368C4E" w14:textId="206FAB18"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За индикатор </w:t>
      </w:r>
      <w:proofErr w:type="spellStart"/>
      <w:r>
        <w:rPr>
          <w:rFonts w:ascii="Book Antiqua" w:eastAsia="Book Antiqua" w:hAnsi="Book Antiqua" w:cs="Book Antiqua"/>
        </w:rPr>
        <w:t>O3</w:t>
      </w:r>
      <w:proofErr w:type="spellEnd"/>
      <w:r>
        <w:rPr>
          <w:rFonts w:ascii="Book Antiqua" w:eastAsia="Book Antiqua" w:hAnsi="Book Antiqua" w:cs="Book Antiqua"/>
        </w:rPr>
        <w:t xml:space="preserve">–6 (електронни услуги на съдебната власт) се препоръчва: изменение на две точки в метаданните. В т. 2.3 „Използвани класификации“ на метаданните на индикатор </w:t>
      </w:r>
      <w:proofErr w:type="spellStart"/>
      <w:r>
        <w:rPr>
          <w:rFonts w:ascii="Book Antiqua" w:eastAsia="Book Antiqua" w:hAnsi="Book Antiqua" w:cs="Book Antiqua"/>
        </w:rPr>
        <w:t>О3</w:t>
      </w:r>
      <w:proofErr w:type="spellEnd"/>
      <w:r>
        <w:rPr>
          <w:rFonts w:ascii="Book Antiqua" w:eastAsia="Book Antiqua" w:hAnsi="Book Antiqua" w:cs="Book Antiqua"/>
        </w:rPr>
        <w:t xml:space="preserve">-6 да се добави текст „и други електронни системи/регистри в сектор „Правосъдие“. В съответствие с промяната в т. 2.3 следва да се промени и т. 7.1 „Методологични документи и източник на методологията (според индикатора, ако е приложимо)“ като след </w:t>
      </w:r>
      <w:proofErr w:type="spellStart"/>
      <w:r>
        <w:rPr>
          <w:rFonts w:ascii="Book Antiqua" w:eastAsia="Book Antiqua" w:hAnsi="Book Antiqua" w:cs="Book Antiqua"/>
        </w:rPr>
        <w:t>ЕИСС</w:t>
      </w:r>
      <w:proofErr w:type="spellEnd"/>
      <w:r>
        <w:rPr>
          <w:rFonts w:ascii="Book Antiqua" w:eastAsia="Book Antiqua" w:hAnsi="Book Antiqua" w:cs="Book Antiqua"/>
        </w:rPr>
        <w:t xml:space="preserve"> се добави същия текст „и други електронни системи/регистри в сектор „Правосъдие“.</w:t>
      </w:r>
    </w:p>
    <w:p w14:paraId="66B168CC" w14:textId="77777777" w:rsidR="00E708DA" w:rsidRDefault="00AC4FE7">
      <w:pPr>
        <w:numPr>
          <w:ilvl w:val="0"/>
          <w:numId w:val="5"/>
        </w:numPr>
        <w:tabs>
          <w:tab w:val="left" w:pos="317"/>
        </w:tabs>
        <w:ind w:left="317" w:hanging="317"/>
        <w:jc w:val="both"/>
      </w:pPr>
      <w:r>
        <w:rPr>
          <w:rFonts w:ascii="Book Antiqua" w:eastAsia="Book Antiqua" w:hAnsi="Book Antiqua" w:cs="Book Antiqua"/>
        </w:rPr>
        <w:t xml:space="preserve">За индикатор </w:t>
      </w:r>
      <w:proofErr w:type="spellStart"/>
      <w:r>
        <w:rPr>
          <w:rFonts w:ascii="Book Antiqua" w:eastAsia="Book Antiqua" w:hAnsi="Book Antiqua" w:cs="Book Antiqua"/>
        </w:rPr>
        <w:t>O3</w:t>
      </w:r>
      <w:proofErr w:type="spellEnd"/>
      <w:r>
        <w:rPr>
          <w:rFonts w:ascii="Book Antiqua" w:eastAsia="Book Antiqua" w:hAnsi="Book Antiqua" w:cs="Book Antiqua"/>
        </w:rPr>
        <w:t xml:space="preserve">–8 (Обучени магистрати) се препоръчва промяна на метаданните. В </w:t>
      </w:r>
      <w:proofErr w:type="spellStart"/>
      <w:r>
        <w:rPr>
          <w:rFonts w:ascii="Book Antiqua" w:eastAsia="Book Antiqua" w:hAnsi="Book Antiqua" w:cs="Book Antiqua"/>
        </w:rPr>
        <w:t>т.2.1</w:t>
      </w:r>
      <w:proofErr w:type="spellEnd"/>
      <w:r>
        <w:rPr>
          <w:rFonts w:ascii="Book Antiqua" w:eastAsia="Book Antiqua" w:hAnsi="Book Antiqua" w:cs="Book Antiqua"/>
        </w:rPr>
        <w:t xml:space="preserve"> „Дефиниция/Описание на индикатора“ да се добавят две допълнителни целеви групи: 1.</w:t>
      </w:r>
      <w:r w:rsidR="001F7823">
        <w:rPr>
          <w:rFonts w:ascii="Book Antiqua" w:eastAsia="Book Antiqua" w:hAnsi="Book Antiqua" w:cs="Book Antiqua"/>
        </w:rPr>
        <w:t xml:space="preserve"> </w:t>
      </w:r>
      <w:r>
        <w:rPr>
          <w:rFonts w:ascii="Book Antiqua" w:eastAsia="Book Antiqua" w:hAnsi="Book Antiqua" w:cs="Book Antiqua"/>
        </w:rPr>
        <w:t xml:space="preserve">членове на Висшия съдебен съвет, главния инспектор и инспектори от Инспектората към Висшия съдебен съвет; други лица, за които със закон или акт на Министерския съвет на основание чл. 249, ал 2 от ЗСВ на </w:t>
      </w:r>
      <w:proofErr w:type="spellStart"/>
      <w:r>
        <w:rPr>
          <w:rFonts w:ascii="Book Antiqua" w:eastAsia="Book Antiqua" w:hAnsi="Book Antiqua" w:cs="Book Antiqua"/>
        </w:rPr>
        <w:t>НИП</w:t>
      </w:r>
      <w:proofErr w:type="spellEnd"/>
      <w:r>
        <w:rPr>
          <w:rFonts w:ascii="Book Antiqua" w:eastAsia="Book Antiqua" w:hAnsi="Book Antiqua" w:cs="Book Antiqua"/>
        </w:rPr>
        <w:t xml:space="preserve"> е възложено да обучава; и 2.</w:t>
      </w:r>
      <w:r w:rsidR="001F7823">
        <w:rPr>
          <w:rFonts w:ascii="Book Antiqua" w:eastAsia="Book Antiqua" w:hAnsi="Book Antiqua" w:cs="Book Antiqua"/>
        </w:rPr>
        <w:t xml:space="preserve"> </w:t>
      </w:r>
      <w:r>
        <w:rPr>
          <w:rFonts w:ascii="Book Antiqua" w:eastAsia="Book Antiqua" w:hAnsi="Book Antiqua" w:cs="Book Antiqua"/>
        </w:rPr>
        <w:t xml:space="preserve">служители на Министерството на вътрешните работи в подточка “служители и длъжностни лица в сектор Правосъдие, подпомагащи съдебната </w:t>
      </w:r>
      <w:r>
        <w:rPr>
          <w:rFonts w:ascii="Book Antiqua" w:eastAsia="Book Antiqua" w:hAnsi="Book Antiqua" w:cs="Book Antiqua"/>
        </w:rPr>
        <w:lastRenderedPageBreak/>
        <w:t>система“. След това тези промени трябва да се отразят и в т. 2.2 „Метод на изчисление“.</w:t>
      </w:r>
    </w:p>
    <w:p w14:paraId="3F0E397E" w14:textId="2399CE3B" w:rsidR="00E708DA" w:rsidRDefault="00AC4FE7">
      <w:pPr>
        <w:tabs>
          <w:tab w:val="left" w:pos="317"/>
        </w:tabs>
        <w:spacing w:before="120"/>
        <w:jc w:val="both"/>
      </w:pPr>
      <w:r>
        <w:rPr>
          <w:rFonts w:ascii="Book Antiqua" w:hAnsi="Book Antiqua"/>
          <w:b/>
          <w:color w:val="44546A"/>
        </w:rPr>
        <w:t>4.</w:t>
      </w:r>
      <w:r w:rsidR="009218A4">
        <w:rPr>
          <w:rFonts w:ascii="Book Antiqua" w:hAnsi="Book Antiqua"/>
          <w:b/>
          <w:color w:val="44546A"/>
        </w:rPr>
        <w:t>5</w:t>
      </w:r>
      <w:r>
        <w:rPr>
          <w:rFonts w:ascii="Book Antiqua" w:hAnsi="Book Antiqua"/>
          <w:b/>
          <w:color w:val="44546A"/>
        </w:rPr>
        <w:t xml:space="preserve">. </w:t>
      </w:r>
      <w:r>
        <w:rPr>
          <w:rFonts w:ascii="Book Antiqua" w:eastAsia="Book Antiqua" w:hAnsi="Book Antiqua" w:cs="Book Antiqua"/>
          <w:lang w:eastAsia="bg-BG"/>
        </w:rPr>
        <w:t xml:space="preserve">При два от индикаторите за продукт има риск от неизпълнение: </w:t>
      </w:r>
      <w:proofErr w:type="spellStart"/>
      <w:r>
        <w:rPr>
          <w:rFonts w:ascii="Book Antiqua" w:eastAsia="Book Antiqua" w:hAnsi="Book Antiqua" w:cs="Book Antiqua"/>
          <w:lang w:eastAsia="bg-BG"/>
        </w:rPr>
        <w:t>О3</w:t>
      </w:r>
      <w:proofErr w:type="spellEnd"/>
      <w:r>
        <w:rPr>
          <w:rFonts w:ascii="Book Antiqua" w:eastAsia="Book Antiqua" w:hAnsi="Book Antiqua" w:cs="Book Antiqua"/>
          <w:lang w:eastAsia="bg-BG"/>
        </w:rPr>
        <w:t xml:space="preserve">-3 „Органи на съдебната власт подкрепени за въвеждане на програмно бюджетиране“ и </w:t>
      </w:r>
      <w:proofErr w:type="spellStart"/>
      <w:r>
        <w:rPr>
          <w:rFonts w:ascii="Book Antiqua" w:eastAsia="Book Antiqua" w:hAnsi="Book Antiqua" w:cs="Book Antiqua"/>
          <w:lang w:eastAsia="bg-BG"/>
        </w:rPr>
        <w:t>О3</w:t>
      </w:r>
      <w:proofErr w:type="spellEnd"/>
      <w:r>
        <w:rPr>
          <w:rFonts w:ascii="Book Antiqua" w:eastAsia="Book Antiqua" w:hAnsi="Book Antiqua" w:cs="Book Antiqua"/>
          <w:lang w:eastAsia="bg-BG"/>
        </w:rPr>
        <w:t xml:space="preserve">-7 „Разработена </w:t>
      </w:r>
      <w:proofErr w:type="spellStart"/>
      <w:r>
        <w:rPr>
          <w:rFonts w:ascii="Book Antiqua" w:eastAsia="Book Antiqua" w:hAnsi="Book Antiqua" w:cs="Book Antiqua"/>
          <w:lang w:eastAsia="bg-BG"/>
        </w:rPr>
        <w:t>ЕИСС</w:t>
      </w:r>
      <w:proofErr w:type="spellEnd"/>
      <w:r>
        <w:rPr>
          <w:rFonts w:ascii="Book Antiqua" w:eastAsia="Book Antiqua" w:hAnsi="Book Antiqua" w:cs="Book Antiqua"/>
          <w:lang w:eastAsia="bg-BG"/>
        </w:rPr>
        <w:t>“. При първия индикатор има голямо забавяне в подготовка на проектното предложение и оставащ кратък срок за изпълнение, а при втория индикатор, изпълнението на проекта, по който е договорен, се изпълнява с големи забавяния.</w:t>
      </w:r>
      <w:r>
        <w:rPr>
          <w:rFonts w:ascii="Book Antiqua" w:eastAsia="Book Antiqua" w:hAnsi="Book Antiqua" w:cs="Book Antiqua"/>
        </w:rPr>
        <w:t xml:space="preserve"> Съгласно резултатите от оценката съществува  възможност за постигане на заложените стойности на индикатори </w:t>
      </w:r>
      <w:proofErr w:type="spellStart"/>
      <w:r>
        <w:rPr>
          <w:rFonts w:ascii="Book Antiqua" w:eastAsia="Book Antiqua" w:hAnsi="Book Antiqua" w:cs="Book Antiqua"/>
        </w:rPr>
        <w:t>О3</w:t>
      </w:r>
      <w:proofErr w:type="spellEnd"/>
      <w:r>
        <w:rPr>
          <w:rFonts w:ascii="Book Antiqua" w:eastAsia="Book Antiqua" w:hAnsi="Book Antiqua" w:cs="Book Antiqua"/>
        </w:rPr>
        <w:t xml:space="preserve">-3 и </w:t>
      </w:r>
      <w:proofErr w:type="spellStart"/>
      <w:r>
        <w:rPr>
          <w:rFonts w:ascii="Book Antiqua" w:eastAsia="Book Antiqua" w:hAnsi="Book Antiqua" w:cs="Book Antiqua"/>
        </w:rPr>
        <w:t>О3</w:t>
      </w:r>
      <w:proofErr w:type="spellEnd"/>
      <w:r>
        <w:rPr>
          <w:rFonts w:ascii="Book Antiqua" w:eastAsia="Book Antiqua" w:hAnsi="Book Antiqua" w:cs="Book Antiqua"/>
        </w:rPr>
        <w:t>-7.</w:t>
      </w:r>
    </w:p>
    <w:p w14:paraId="1FC07962"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35FD5994"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Препоръчва се </w:t>
      </w:r>
      <w:proofErr w:type="spellStart"/>
      <w:r>
        <w:rPr>
          <w:rFonts w:ascii="Book Antiqua" w:eastAsia="Book Antiqua" w:hAnsi="Book Antiqua" w:cs="Book Antiqua"/>
        </w:rPr>
        <w:t>УО</w:t>
      </w:r>
      <w:proofErr w:type="spellEnd"/>
      <w:r>
        <w:rPr>
          <w:rFonts w:ascii="Book Antiqua" w:eastAsia="Book Antiqua" w:hAnsi="Book Antiqua" w:cs="Book Antiqua"/>
        </w:rPr>
        <w:t xml:space="preserve"> да продължи със стриктния мониторинг и ежедневната връзка с бенефициента по договорите</w:t>
      </w:r>
      <w:r w:rsidR="004256F7">
        <w:rPr>
          <w:rFonts w:ascii="Book Antiqua" w:eastAsia="Book Antiqua" w:hAnsi="Book Antiqua" w:cs="Book Antiqua"/>
        </w:rPr>
        <w:t>,</w:t>
      </w:r>
      <w:r>
        <w:rPr>
          <w:rFonts w:ascii="Book Antiqua" w:eastAsia="Book Antiqua" w:hAnsi="Book Antiqua" w:cs="Book Antiqua"/>
        </w:rPr>
        <w:t xml:space="preserve"> свързани с тези два индикатора.</w:t>
      </w:r>
    </w:p>
    <w:p w14:paraId="5362465A" w14:textId="579C9936" w:rsidR="00E708DA" w:rsidRDefault="00AC4FE7">
      <w:pPr>
        <w:spacing w:before="120"/>
        <w:jc w:val="both"/>
      </w:pPr>
      <w:r>
        <w:rPr>
          <w:rFonts w:ascii="Book Antiqua" w:hAnsi="Book Antiqua"/>
          <w:b/>
          <w:color w:val="44546A"/>
        </w:rPr>
        <w:t>4.</w:t>
      </w:r>
      <w:r w:rsidR="009218A4">
        <w:rPr>
          <w:rFonts w:ascii="Book Antiqua" w:hAnsi="Book Antiqua"/>
          <w:b/>
          <w:color w:val="44546A"/>
        </w:rPr>
        <w:t>6</w:t>
      </w:r>
      <w:r>
        <w:rPr>
          <w:rFonts w:ascii="Book Antiqua" w:hAnsi="Book Antiqua"/>
          <w:b/>
          <w:color w:val="44546A"/>
        </w:rPr>
        <w:t xml:space="preserve">. </w:t>
      </w:r>
      <w:r>
        <w:rPr>
          <w:rFonts w:ascii="Book Antiqua" w:eastAsia="Book Antiqua" w:hAnsi="Book Antiqua" w:cs="Book Antiqua"/>
          <w:lang w:eastAsia="bg-BG"/>
        </w:rPr>
        <w:t xml:space="preserve">При два от индикаторите за резултат индикатор </w:t>
      </w:r>
      <w:proofErr w:type="spellStart"/>
      <w:r>
        <w:rPr>
          <w:rFonts w:ascii="Book Antiqua" w:eastAsia="Book Antiqua" w:hAnsi="Book Antiqua" w:cs="Book Antiqua"/>
          <w:lang w:eastAsia="bg-BG"/>
        </w:rPr>
        <w:t>R3</w:t>
      </w:r>
      <w:proofErr w:type="spellEnd"/>
      <w:r>
        <w:rPr>
          <w:rFonts w:ascii="Book Antiqua" w:eastAsia="Book Antiqua" w:hAnsi="Book Antiqua" w:cs="Book Antiqua"/>
          <w:lang w:eastAsia="bg-BG"/>
        </w:rPr>
        <w:t xml:space="preserve">-1 (нови и усъвършенствани инструменти на съдебната власт) и индикатор </w:t>
      </w:r>
      <w:proofErr w:type="spellStart"/>
      <w:r>
        <w:rPr>
          <w:rFonts w:ascii="Book Antiqua" w:eastAsia="Book Antiqua" w:hAnsi="Book Antiqua" w:cs="Book Antiqua"/>
          <w:lang w:eastAsia="bg-BG"/>
        </w:rPr>
        <w:t>R3</w:t>
      </w:r>
      <w:proofErr w:type="spellEnd"/>
      <w:r>
        <w:rPr>
          <w:rFonts w:ascii="Book Antiqua" w:eastAsia="Book Antiqua" w:hAnsi="Book Antiqua" w:cs="Book Antiqua"/>
          <w:lang w:eastAsia="bg-BG"/>
        </w:rPr>
        <w:t>-3 (обучени магистрати със сертификат) не е идентифициран риск от неизпълнение.</w:t>
      </w:r>
    </w:p>
    <w:p w14:paraId="7C31BE63" w14:textId="10A69A1F" w:rsidR="00E708DA" w:rsidRDefault="00AC4FE7">
      <w:pPr>
        <w:jc w:val="both"/>
        <w:rPr>
          <w:rFonts w:ascii="Book Antiqua" w:eastAsia="Book Antiqua" w:hAnsi="Book Antiqua" w:cs="Book Antiqua"/>
          <w:lang w:eastAsia="bg-BG"/>
        </w:rPr>
      </w:pPr>
      <w:r>
        <w:rPr>
          <w:rFonts w:ascii="Book Antiqua" w:eastAsia="Book Antiqua" w:hAnsi="Book Antiqua" w:cs="Book Antiqua"/>
          <w:lang w:eastAsia="bg-BG"/>
        </w:rPr>
        <w:t xml:space="preserve">За индикатор </w:t>
      </w:r>
      <w:proofErr w:type="spellStart"/>
      <w:r>
        <w:rPr>
          <w:rFonts w:ascii="Book Antiqua" w:eastAsia="Book Antiqua" w:hAnsi="Book Antiqua" w:cs="Book Antiqua"/>
          <w:lang w:eastAsia="bg-BG"/>
        </w:rPr>
        <w:t>R3</w:t>
      </w:r>
      <w:proofErr w:type="spellEnd"/>
      <w:r>
        <w:rPr>
          <w:rFonts w:ascii="Book Antiqua" w:eastAsia="Book Antiqua" w:hAnsi="Book Antiqua" w:cs="Book Antiqua"/>
          <w:lang w:eastAsia="bg-BG"/>
        </w:rPr>
        <w:t>-3 е идентифицирана нужда от изменение на метаданните, за да се разшири обхват</w:t>
      </w:r>
      <w:r w:rsidR="004256F7">
        <w:rPr>
          <w:rFonts w:ascii="Book Antiqua" w:eastAsia="Book Antiqua" w:hAnsi="Book Antiqua" w:cs="Book Antiqua"/>
          <w:lang w:eastAsia="bg-BG"/>
        </w:rPr>
        <w:t>ът</w:t>
      </w:r>
      <w:r>
        <w:rPr>
          <w:rFonts w:ascii="Book Antiqua" w:eastAsia="Book Antiqua" w:hAnsi="Book Antiqua" w:cs="Book Antiqua"/>
          <w:lang w:eastAsia="bg-BG"/>
        </w:rPr>
        <w:t xml:space="preserve"> на целевите групи.</w:t>
      </w:r>
    </w:p>
    <w:p w14:paraId="1B61D80C" w14:textId="77777777" w:rsidR="00E708DA" w:rsidRDefault="00AC4FE7">
      <w:pPr>
        <w:tabs>
          <w:tab w:val="left" w:pos="317"/>
        </w:tabs>
        <w:jc w:val="both"/>
        <w:rPr>
          <w:rFonts w:ascii="Book Antiqua" w:eastAsia="Book Antiqua" w:hAnsi="Book Antiqua" w:cs="Book Antiqua"/>
          <w:lang w:eastAsia="bg-BG"/>
        </w:rPr>
      </w:pPr>
      <w:r>
        <w:rPr>
          <w:rFonts w:ascii="Book Antiqua" w:eastAsia="Book Antiqua" w:hAnsi="Book Antiqua" w:cs="Book Antiqua"/>
          <w:lang w:eastAsia="bg-BG"/>
        </w:rPr>
        <w:t>При тези два индикатора в целевата стойност е включена и базовата стойност, докато Насоките на ЕК препоръчват базовата стойност да не се включва в целевата стойност. Следва да се отчита само напредъкът, който се формира от надграждане на базовата стойност и представлява разлика между целевата и базовата стойност.</w:t>
      </w:r>
    </w:p>
    <w:p w14:paraId="13AA1669"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7F2A69A5" w14:textId="77777777" w:rsidR="00E708DA" w:rsidRDefault="00AC4FE7">
      <w:pPr>
        <w:tabs>
          <w:tab w:val="left" w:pos="851"/>
        </w:tabs>
        <w:ind w:left="34"/>
        <w:jc w:val="both"/>
        <w:rPr>
          <w:rFonts w:ascii="Book Antiqua" w:eastAsia="Book Antiqua" w:hAnsi="Book Antiqua" w:cs="Book Antiqua"/>
        </w:rPr>
      </w:pPr>
      <w:r>
        <w:rPr>
          <w:rFonts w:ascii="Book Antiqua" w:eastAsia="Book Antiqua" w:hAnsi="Book Antiqua" w:cs="Book Antiqua"/>
        </w:rPr>
        <w:t xml:space="preserve">За индикатор </w:t>
      </w:r>
      <w:proofErr w:type="spellStart"/>
      <w:r>
        <w:rPr>
          <w:rFonts w:ascii="Book Antiqua" w:eastAsia="Book Antiqua" w:hAnsi="Book Antiqua" w:cs="Book Antiqua"/>
        </w:rPr>
        <w:t>R3</w:t>
      </w:r>
      <w:proofErr w:type="spellEnd"/>
      <w:r>
        <w:rPr>
          <w:rFonts w:ascii="Book Antiqua" w:eastAsia="Book Antiqua" w:hAnsi="Book Antiqua" w:cs="Book Antiqua"/>
        </w:rPr>
        <w:t xml:space="preserve">-3 се препоръчва изменение на метаданните. В т. 2.1 „Дефиниция/Описание на индикатора“ и в т. 2.2  да се добавят следните текстове: „1. членове на Висшия съдебен съвет, главния инспектор и инспектори от Инспектората към Висшия съдебен съвет; други лица, за които със закон или акт на Министерския съвет на основание чл. 249, ал 2 от ЗСВ на </w:t>
      </w:r>
      <w:proofErr w:type="spellStart"/>
      <w:r>
        <w:rPr>
          <w:rFonts w:ascii="Book Antiqua" w:eastAsia="Book Antiqua" w:hAnsi="Book Antiqua" w:cs="Book Antiqua"/>
        </w:rPr>
        <w:t>НИП</w:t>
      </w:r>
      <w:proofErr w:type="spellEnd"/>
      <w:r>
        <w:rPr>
          <w:rFonts w:ascii="Book Antiqua" w:eastAsia="Book Antiqua" w:hAnsi="Book Antiqua" w:cs="Book Antiqua"/>
        </w:rPr>
        <w:t xml:space="preserve"> е възложено да обучава; 2. служители на Министерството на вътрешните работи в подточка “служители и длъжностни лица в сектор Правосъдие, подпомагащи съдебната система“.</w:t>
      </w:r>
    </w:p>
    <w:p w14:paraId="1923E54A"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За тези два индикатора за резултат се предлага да се извади определената базова стойност от целевата стойност, и като целева стойност да се заложи разликата между тях. Т.е. за индикатор </w:t>
      </w:r>
      <w:proofErr w:type="spellStart"/>
      <w:r>
        <w:rPr>
          <w:rFonts w:ascii="Book Antiqua" w:eastAsia="Book Antiqua" w:hAnsi="Book Antiqua" w:cs="Book Antiqua"/>
        </w:rPr>
        <w:t>R3</w:t>
      </w:r>
      <w:proofErr w:type="spellEnd"/>
      <w:r>
        <w:rPr>
          <w:rFonts w:ascii="Book Antiqua" w:eastAsia="Book Antiqua" w:hAnsi="Book Antiqua" w:cs="Book Antiqua"/>
        </w:rPr>
        <w:t xml:space="preserve">-1 при базова стойност 13, целевата стойност да бъде 30, а при индикатор </w:t>
      </w:r>
      <w:proofErr w:type="spellStart"/>
      <w:r>
        <w:rPr>
          <w:rFonts w:ascii="Book Antiqua" w:eastAsia="Book Antiqua" w:hAnsi="Book Antiqua" w:cs="Book Antiqua"/>
        </w:rPr>
        <w:t>R3</w:t>
      </w:r>
      <w:proofErr w:type="spellEnd"/>
      <w:r>
        <w:rPr>
          <w:rFonts w:ascii="Book Antiqua" w:eastAsia="Book Antiqua" w:hAnsi="Book Antiqua" w:cs="Book Antiqua"/>
        </w:rPr>
        <w:t>-3 при базова стойност 9 101, целевата стойност да бъде 20 000.</w:t>
      </w:r>
    </w:p>
    <w:p w14:paraId="11201596" w14:textId="16AA0E78" w:rsidR="00E708DA" w:rsidRDefault="00AC4FE7">
      <w:pPr>
        <w:tabs>
          <w:tab w:val="left" w:pos="317"/>
        </w:tabs>
        <w:spacing w:before="120"/>
        <w:jc w:val="both"/>
      </w:pPr>
      <w:r>
        <w:rPr>
          <w:rFonts w:ascii="Book Antiqua" w:hAnsi="Book Antiqua"/>
          <w:b/>
          <w:color w:val="44546A"/>
        </w:rPr>
        <w:t>4.</w:t>
      </w:r>
      <w:r w:rsidR="009218A4">
        <w:rPr>
          <w:rFonts w:ascii="Book Antiqua" w:hAnsi="Book Antiqua"/>
          <w:b/>
          <w:color w:val="44546A"/>
        </w:rPr>
        <w:t>7</w:t>
      </w:r>
      <w:r>
        <w:rPr>
          <w:rFonts w:ascii="Book Antiqua" w:hAnsi="Book Antiqua"/>
          <w:b/>
          <w:color w:val="44546A"/>
        </w:rPr>
        <w:t>.</w:t>
      </w:r>
      <w:r>
        <w:rPr>
          <w:rFonts w:ascii="Book Antiqua" w:hAnsi="Book Antiqua"/>
          <w:color w:val="000000"/>
        </w:rPr>
        <w:t xml:space="preserve"> </w:t>
      </w:r>
      <w:r>
        <w:rPr>
          <w:rFonts w:ascii="Book Antiqua" w:eastAsia="Book Antiqua" w:hAnsi="Book Antiqua" w:cs="Book Antiqua"/>
          <w:lang w:eastAsia="bg-BG"/>
        </w:rPr>
        <w:t xml:space="preserve">Индикатор </w:t>
      </w:r>
      <w:proofErr w:type="spellStart"/>
      <w:r>
        <w:rPr>
          <w:rFonts w:ascii="Book Antiqua" w:eastAsia="Book Antiqua" w:hAnsi="Book Antiqua" w:cs="Book Antiqua"/>
          <w:lang w:eastAsia="bg-BG"/>
        </w:rPr>
        <w:t>R3</w:t>
      </w:r>
      <w:proofErr w:type="spellEnd"/>
      <w:r>
        <w:rPr>
          <w:rFonts w:ascii="Book Antiqua" w:eastAsia="Book Antiqua" w:hAnsi="Book Antiqua" w:cs="Book Antiqua"/>
          <w:lang w:eastAsia="bg-BG"/>
        </w:rPr>
        <w:t>-2 (дела, водени по електронен път) е най-рисковия</w:t>
      </w:r>
      <w:r w:rsidR="00DB387E">
        <w:rPr>
          <w:rFonts w:ascii="Book Antiqua" w:eastAsia="Book Antiqua" w:hAnsi="Book Antiqua" w:cs="Book Antiqua"/>
          <w:lang w:eastAsia="bg-BG"/>
        </w:rPr>
        <w:t>т</w:t>
      </w:r>
      <w:r>
        <w:rPr>
          <w:rFonts w:ascii="Book Antiqua" w:eastAsia="Book Antiqua" w:hAnsi="Book Antiqua" w:cs="Book Antiqua"/>
          <w:lang w:eastAsia="bg-BG"/>
        </w:rPr>
        <w:t xml:space="preserve"> от гледна точка на постигане индикатор по </w:t>
      </w:r>
      <w:proofErr w:type="spellStart"/>
      <w:r>
        <w:rPr>
          <w:rFonts w:ascii="Book Antiqua" w:eastAsia="Book Antiqua" w:hAnsi="Book Antiqua" w:cs="Book Antiqua"/>
          <w:lang w:eastAsia="bg-BG"/>
        </w:rPr>
        <w:t>ПО</w:t>
      </w:r>
      <w:proofErr w:type="spellEnd"/>
      <w:r>
        <w:rPr>
          <w:rFonts w:ascii="Book Antiqua" w:eastAsia="Book Antiqua" w:hAnsi="Book Antiqua" w:cs="Book Antiqua"/>
          <w:lang w:eastAsia="bg-BG"/>
        </w:rPr>
        <w:t xml:space="preserve"> 3. Той е свързан с индикатор</w:t>
      </w:r>
      <w:r w:rsidR="009218A4">
        <w:rPr>
          <w:rFonts w:ascii="Book Antiqua" w:eastAsia="Book Antiqua" w:hAnsi="Book Antiqua" w:cs="Book Antiqua"/>
          <w:lang w:eastAsia="bg-BG"/>
        </w:rPr>
        <w:t>а</w:t>
      </w:r>
      <w:r>
        <w:rPr>
          <w:rFonts w:ascii="Book Antiqua" w:eastAsia="Book Antiqua" w:hAnsi="Book Antiqua" w:cs="Book Antiqua"/>
          <w:lang w:eastAsia="bg-BG"/>
        </w:rPr>
        <w:t xml:space="preserve"> за продукт </w:t>
      </w:r>
      <w:proofErr w:type="spellStart"/>
      <w:r>
        <w:rPr>
          <w:rFonts w:ascii="Book Antiqua" w:eastAsia="Book Antiqua" w:hAnsi="Book Antiqua" w:cs="Book Antiqua"/>
          <w:lang w:eastAsia="bg-BG"/>
        </w:rPr>
        <w:t>О3</w:t>
      </w:r>
      <w:proofErr w:type="spellEnd"/>
      <w:r>
        <w:rPr>
          <w:rFonts w:ascii="Book Antiqua" w:eastAsia="Book Antiqua" w:hAnsi="Book Antiqua" w:cs="Book Antiqua"/>
          <w:lang w:eastAsia="bg-BG"/>
        </w:rPr>
        <w:t xml:space="preserve">-7 (Разработена </w:t>
      </w:r>
      <w:proofErr w:type="spellStart"/>
      <w:r>
        <w:rPr>
          <w:rFonts w:ascii="Book Antiqua" w:eastAsia="Book Antiqua" w:hAnsi="Book Antiqua" w:cs="Book Antiqua"/>
          <w:lang w:eastAsia="bg-BG"/>
        </w:rPr>
        <w:t>ЕИСС</w:t>
      </w:r>
      <w:proofErr w:type="spellEnd"/>
      <w:r>
        <w:rPr>
          <w:rFonts w:ascii="Book Antiqua" w:eastAsia="Book Antiqua" w:hAnsi="Book Antiqua" w:cs="Book Antiqua"/>
          <w:lang w:eastAsia="bg-BG"/>
        </w:rPr>
        <w:t>), който също е идентифициран като рисков. Дефиницията на индикатора не отразява много добре резултата, който ще бъда постигнат.</w:t>
      </w:r>
    </w:p>
    <w:p w14:paraId="16E8DCD5"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7E6C99D6" w14:textId="77777777" w:rsidR="00E708DA" w:rsidRDefault="00AC4FE7">
      <w:pPr>
        <w:tabs>
          <w:tab w:val="left" w:pos="317"/>
        </w:tabs>
        <w:jc w:val="both"/>
        <w:rPr>
          <w:rFonts w:ascii="Book Antiqua" w:eastAsia="Book Antiqua" w:hAnsi="Book Antiqua" w:cs="Book Antiqua"/>
        </w:rPr>
      </w:pPr>
      <w:r>
        <w:rPr>
          <w:rFonts w:ascii="Book Antiqua" w:eastAsia="Book Antiqua" w:hAnsi="Book Antiqua" w:cs="Book Antiqua"/>
        </w:rPr>
        <w:t xml:space="preserve">Препоръчва се индикатор </w:t>
      </w:r>
      <w:proofErr w:type="spellStart"/>
      <w:r>
        <w:rPr>
          <w:rFonts w:ascii="Book Antiqua" w:eastAsia="Book Antiqua" w:hAnsi="Book Antiqua" w:cs="Book Antiqua"/>
        </w:rPr>
        <w:t>R3</w:t>
      </w:r>
      <w:proofErr w:type="spellEnd"/>
      <w:r>
        <w:rPr>
          <w:rFonts w:ascii="Book Antiqua" w:eastAsia="Book Antiqua" w:hAnsi="Book Antiqua" w:cs="Book Antiqua"/>
        </w:rPr>
        <w:t xml:space="preserve">-2 (дела, водени по електронен път) да бъде преформулиран от "Брой на делата, водени по електронен път" на "Брой институции в съдебната система, свързани с </w:t>
      </w:r>
      <w:proofErr w:type="spellStart"/>
      <w:r>
        <w:rPr>
          <w:rFonts w:ascii="Book Antiqua" w:eastAsia="Book Antiqua" w:hAnsi="Book Antiqua" w:cs="Book Antiqua"/>
        </w:rPr>
        <w:t>ЕИСС</w:t>
      </w:r>
      <w:proofErr w:type="spellEnd"/>
      <w:r>
        <w:rPr>
          <w:rFonts w:ascii="Book Antiqua" w:eastAsia="Book Antiqua" w:hAnsi="Book Antiqua" w:cs="Book Antiqua"/>
        </w:rPr>
        <w:t>“, като във връзка с това се намали и целевата стойност индикатора от 250 000 дела  на 180 органи на съдебната власт.</w:t>
      </w:r>
    </w:p>
    <w:p w14:paraId="2756AB5E" w14:textId="4F153DAC" w:rsidR="00E708DA" w:rsidRDefault="00AC4FE7">
      <w:pPr>
        <w:spacing w:before="120"/>
        <w:jc w:val="both"/>
      </w:pPr>
      <w:r>
        <w:rPr>
          <w:rFonts w:ascii="Book Antiqua" w:hAnsi="Book Antiqua"/>
          <w:b/>
          <w:color w:val="44546A"/>
        </w:rPr>
        <w:t>4.</w:t>
      </w:r>
      <w:r w:rsidR="009218A4">
        <w:rPr>
          <w:rFonts w:ascii="Book Antiqua" w:hAnsi="Book Antiqua"/>
          <w:b/>
          <w:color w:val="44546A"/>
        </w:rPr>
        <w:t>8</w:t>
      </w:r>
      <w:r>
        <w:rPr>
          <w:rFonts w:ascii="Book Antiqua" w:hAnsi="Book Antiqua"/>
          <w:b/>
          <w:color w:val="44546A"/>
        </w:rPr>
        <w:t xml:space="preserve">. </w:t>
      </w:r>
      <w:r>
        <w:rPr>
          <w:rFonts w:ascii="Book Antiqua" w:eastAsia="Book Antiqua" w:hAnsi="Book Antiqua" w:cs="Book Antiqua"/>
          <w:lang w:eastAsia="bg-BG"/>
        </w:rPr>
        <w:t xml:space="preserve">При три от индикаторите за продукт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–1 (анализи, проучвания, изследвания),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 xml:space="preserve">–4 (проекти за алтернативни методи за решаване на правни спорове), </w:t>
      </w:r>
      <w:proofErr w:type="spellStart"/>
      <w:r>
        <w:rPr>
          <w:rFonts w:ascii="Book Antiqua" w:eastAsia="Book Antiqua" w:hAnsi="Book Antiqua" w:cs="Book Antiqua"/>
          <w:lang w:eastAsia="bg-BG"/>
        </w:rPr>
        <w:t>O3</w:t>
      </w:r>
      <w:proofErr w:type="spellEnd"/>
      <w:r>
        <w:rPr>
          <w:rFonts w:ascii="Book Antiqua" w:eastAsia="Book Antiqua" w:hAnsi="Book Antiqua" w:cs="Book Antiqua"/>
          <w:lang w:eastAsia="bg-BG"/>
        </w:rPr>
        <w:t>–6 (електронни услуги на съдебната власт) се очаква значително преизпълнение на заложените целеви стойности.</w:t>
      </w:r>
    </w:p>
    <w:p w14:paraId="42F8FC1B" w14:textId="1F185801" w:rsidR="00E708DA" w:rsidRDefault="00AC4FE7">
      <w:pPr>
        <w:tabs>
          <w:tab w:val="left" w:pos="317"/>
        </w:tabs>
        <w:jc w:val="both"/>
        <w:rPr>
          <w:rFonts w:ascii="Book Antiqua" w:eastAsia="Book Antiqua" w:hAnsi="Book Antiqua" w:cs="Book Antiqua"/>
          <w:lang w:eastAsia="bg-BG"/>
        </w:rPr>
      </w:pPr>
      <w:r>
        <w:rPr>
          <w:rFonts w:ascii="Book Antiqua" w:eastAsia="Book Antiqua" w:hAnsi="Book Antiqua" w:cs="Book Antiqua"/>
          <w:lang w:eastAsia="bg-BG"/>
        </w:rPr>
        <w:lastRenderedPageBreak/>
        <w:t>Голямото преизпълнение на заложените стойности на индикаторите, както е в случая с два, три  и дори четири пъти, е признак на пропуски в програмирането поради липса на данни и анализи от страна</w:t>
      </w:r>
      <w:r w:rsidR="00EF1A79">
        <w:rPr>
          <w:rFonts w:ascii="Book Antiqua" w:eastAsia="Book Antiqua" w:hAnsi="Book Antiqua" w:cs="Book Antiqua"/>
          <w:lang w:val="en-US" w:eastAsia="bg-BG"/>
        </w:rPr>
        <w:t xml:space="preserve"> </w:t>
      </w:r>
      <w:proofErr w:type="spellStart"/>
      <w:r w:rsidR="00EF1A79">
        <w:rPr>
          <w:rFonts w:ascii="Book Antiqua" w:eastAsia="Book Antiqua" w:hAnsi="Book Antiqua" w:cs="Book Antiqua"/>
          <w:lang w:val="en-US" w:eastAsia="bg-BG"/>
        </w:rPr>
        <w:t>на</w:t>
      </w:r>
      <w:proofErr w:type="spellEnd"/>
      <w:r>
        <w:rPr>
          <w:rFonts w:ascii="Book Antiqua" w:eastAsia="Book Antiqua" w:hAnsi="Book Antiqua" w:cs="Book Antiqua"/>
          <w:lang w:eastAsia="bg-BG"/>
        </w:rPr>
        <w:t xml:space="preserve"> бенефициентите и водещите институции относно нуждите на системата и капацитета на бенефициентите и съответно залагане на занижени стойности за индикаторите.</w:t>
      </w:r>
    </w:p>
    <w:p w14:paraId="64EC722C" w14:textId="77777777" w:rsidR="00E708DA" w:rsidRDefault="00AC4FE7">
      <w:pPr>
        <w:jc w:val="both"/>
        <w:rPr>
          <w:rFonts w:ascii="Book Antiqua" w:eastAsia="Book Antiqua" w:hAnsi="Book Antiqua" w:cs="Book Antiqua"/>
          <w:b/>
          <w:color w:val="44546A"/>
          <w:u w:val="single"/>
        </w:rPr>
      </w:pPr>
      <w:r>
        <w:rPr>
          <w:rFonts w:ascii="Book Antiqua" w:eastAsia="Book Antiqua" w:hAnsi="Book Antiqua" w:cs="Book Antiqua"/>
          <w:b/>
          <w:color w:val="44546A"/>
          <w:u w:val="single"/>
        </w:rPr>
        <w:t>Препоръка:</w:t>
      </w:r>
    </w:p>
    <w:p w14:paraId="5DE4DE12" w14:textId="12D0A4FA" w:rsidR="00E708DA" w:rsidRDefault="00AC4FE7">
      <w:pPr>
        <w:tabs>
          <w:tab w:val="left" w:pos="851"/>
        </w:tabs>
        <w:ind w:left="34"/>
        <w:jc w:val="both"/>
        <w:rPr>
          <w:rFonts w:ascii="Book Antiqua" w:eastAsia="Book Antiqua" w:hAnsi="Book Antiqua" w:cs="Book Antiqua"/>
        </w:rPr>
      </w:pPr>
      <w:r>
        <w:rPr>
          <w:rFonts w:ascii="Book Antiqua" w:eastAsia="Book Antiqua" w:hAnsi="Book Antiqua" w:cs="Book Antiqua"/>
        </w:rPr>
        <w:t xml:space="preserve">Препоръчително е да се обмисли увеличаването на целевите стойности на </w:t>
      </w:r>
      <w:proofErr w:type="spellStart"/>
      <w:r>
        <w:rPr>
          <w:rFonts w:ascii="Book Antiqua" w:eastAsia="Book Antiqua" w:hAnsi="Book Antiqua" w:cs="Book Antiqua"/>
        </w:rPr>
        <w:t>O3</w:t>
      </w:r>
      <w:proofErr w:type="spellEnd"/>
      <w:r>
        <w:rPr>
          <w:rFonts w:ascii="Book Antiqua" w:eastAsia="Book Antiqua" w:hAnsi="Book Antiqua" w:cs="Book Antiqua"/>
        </w:rPr>
        <w:t xml:space="preserve">–1 (анализи, проучвания, изследвания),  </w:t>
      </w:r>
      <w:proofErr w:type="spellStart"/>
      <w:r>
        <w:rPr>
          <w:rFonts w:ascii="Book Antiqua" w:eastAsia="Book Antiqua" w:hAnsi="Book Antiqua" w:cs="Book Antiqua"/>
        </w:rPr>
        <w:t>O3</w:t>
      </w:r>
      <w:proofErr w:type="spellEnd"/>
      <w:r>
        <w:rPr>
          <w:rFonts w:ascii="Book Antiqua" w:eastAsia="Book Antiqua" w:hAnsi="Book Antiqua" w:cs="Book Antiqua"/>
        </w:rPr>
        <w:t xml:space="preserve">–4 (проекти за алтернативни методи за решаване на правни спорове), </w:t>
      </w:r>
      <w:proofErr w:type="spellStart"/>
      <w:r>
        <w:rPr>
          <w:rFonts w:ascii="Book Antiqua" w:eastAsia="Book Antiqua" w:hAnsi="Book Antiqua" w:cs="Book Antiqua"/>
        </w:rPr>
        <w:t>O3</w:t>
      </w:r>
      <w:proofErr w:type="spellEnd"/>
      <w:r>
        <w:rPr>
          <w:rFonts w:ascii="Book Antiqua" w:eastAsia="Book Antiqua" w:hAnsi="Book Antiqua" w:cs="Book Antiqua"/>
        </w:rPr>
        <w:t>–6 (електронни услуги на съдебната власт)</w:t>
      </w:r>
      <w:r w:rsidR="00DB387E">
        <w:rPr>
          <w:rFonts w:ascii="Book Antiqua" w:eastAsia="Book Antiqua" w:hAnsi="Book Antiqua" w:cs="Book Antiqua"/>
        </w:rPr>
        <w:t>,</w:t>
      </w:r>
      <w:r>
        <w:rPr>
          <w:rFonts w:ascii="Book Antiqua" w:eastAsia="Book Antiqua" w:hAnsi="Book Antiqua" w:cs="Book Antiqua"/>
        </w:rPr>
        <w:t xml:space="preserve"> за да бъдат отразени реалистично постиженията на програмата, както следва:</w:t>
      </w:r>
    </w:p>
    <w:p w14:paraId="30283B72"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Увеличаване на целевата стойност на </w:t>
      </w:r>
      <w:proofErr w:type="spellStart"/>
      <w:r>
        <w:rPr>
          <w:rFonts w:ascii="Book Antiqua" w:eastAsia="Book Antiqua" w:hAnsi="Book Antiqua" w:cs="Book Antiqua"/>
        </w:rPr>
        <w:t>O3</w:t>
      </w:r>
      <w:proofErr w:type="spellEnd"/>
      <w:r>
        <w:rPr>
          <w:rFonts w:ascii="Book Antiqua" w:eastAsia="Book Antiqua" w:hAnsi="Book Antiqua" w:cs="Book Antiqua"/>
        </w:rPr>
        <w:t xml:space="preserve">–1 (анализи, проучвания, изследвания)  на 150 подкрепени анализи, проучвания, изследвания, методики и оценки, свързани с дейността на съдебната система. </w:t>
      </w:r>
    </w:p>
    <w:p w14:paraId="127D5544" w14:textId="77777777" w:rsidR="00E708DA" w:rsidRDefault="00AC4FE7">
      <w:pPr>
        <w:numPr>
          <w:ilvl w:val="0"/>
          <w:numId w:val="5"/>
        </w:numPr>
        <w:tabs>
          <w:tab w:val="left" w:pos="317"/>
        </w:tabs>
        <w:ind w:left="317" w:hanging="317"/>
        <w:jc w:val="both"/>
        <w:rPr>
          <w:rFonts w:ascii="Book Antiqua" w:eastAsia="Book Antiqua" w:hAnsi="Book Antiqua" w:cs="Book Antiqua"/>
        </w:rPr>
      </w:pPr>
      <w:r>
        <w:rPr>
          <w:rFonts w:ascii="Book Antiqua" w:eastAsia="Book Antiqua" w:hAnsi="Book Antiqua" w:cs="Book Antiqua"/>
        </w:rPr>
        <w:t xml:space="preserve">Увеличаване на целевата стойност на </w:t>
      </w:r>
      <w:proofErr w:type="spellStart"/>
      <w:r>
        <w:rPr>
          <w:rFonts w:ascii="Book Antiqua" w:eastAsia="Book Antiqua" w:hAnsi="Book Antiqua" w:cs="Book Antiqua"/>
        </w:rPr>
        <w:t>O3</w:t>
      </w:r>
      <w:proofErr w:type="spellEnd"/>
      <w:r>
        <w:rPr>
          <w:rFonts w:ascii="Book Antiqua" w:eastAsia="Book Antiqua" w:hAnsi="Book Antiqua" w:cs="Book Antiqua"/>
        </w:rPr>
        <w:t>–4 (проекти за алтернативни методи за решаване на правни спорове), на 15 проекта.</w:t>
      </w:r>
    </w:p>
    <w:p w14:paraId="6D3CC4CD" w14:textId="77777777" w:rsidR="00E708DA" w:rsidRDefault="00AC4FE7">
      <w:pPr>
        <w:numPr>
          <w:ilvl w:val="0"/>
          <w:numId w:val="5"/>
        </w:numPr>
        <w:tabs>
          <w:tab w:val="left" w:pos="317"/>
        </w:tabs>
        <w:ind w:left="317" w:hanging="317"/>
        <w:jc w:val="both"/>
      </w:pPr>
      <w:r>
        <w:rPr>
          <w:rFonts w:ascii="Book Antiqua" w:eastAsia="Book Antiqua" w:hAnsi="Book Antiqua" w:cs="Book Antiqua"/>
        </w:rPr>
        <w:t xml:space="preserve">Увеличаване на целевата стойност </w:t>
      </w:r>
      <w:proofErr w:type="spellStart"/>
      <w:r>
        <w:rPr>
          <w:rFonts w:ascii="Book Antiqua" w:eastAsia="Book Antiqua" w:hAnsi="Book Antiqua" w:cs="Book Antiqua"/>
        </w:rPr>
        <w:t>O3</w:t>
      </w:r>
      <w:proofErr w:type="spellEnd"/>
      <w:r>
        <w:rPr>
          <w:rFonts w:ascii="Book Antiqua" w:eastAsia="Book Antiqua" w:hAnsi="Book Antiqua" w:cs="Book Antiqua"/>
        </w:rPr>
        <w:t>–6 (електронни услуги на съдебната власт) на 10 броя електронни услуги на съдебната власт.</w:t>
      </w:r>
    </w:p>
    <w:sectPr w:rsidR="00E708DA">
      <w:footerReference w:type="default" r:id="rId10"/>
      <w:headerReference w:type="firs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7BE6B" w14:textId="77777777" w:rsidR="000A77D2" w:rsidRDefault="000A77D2">
      <w:pPr>
        <w:spacing w:after="0"/>
      </w:pPr>
      <w:r>
        <w:separator/>
      </w:r>
    </w:p>
  </w:endnote>
  <w:endnote w:type="continuationSeparator" w:id="0">
    <w:p w14:paraId="2FEDD4ED" w14:textId="77777777" w:rsidR="000A77D2" w:rsidRDefault="000A77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BD17F" w14:textId="31F65A7A" w:rsidR="00C72528" w:rsidRDefault="00C72528">
    <w:pPr>
      <w:pStyle w:val="a5"/>
      <w:jc w:val="right"/>
    </w:pPr>
    <w:r>
      <w:fldChar w:fldCharType="begin"/>
    </w:r>
    <w:r>
      <w:instrText xml:space="preserve"> PAGE </w:instrText>
    </w:r>
    <w:r>
      <w:fldChar w:fldCharType="separate"/>
    </w:r>
    <w:r w:rsidR="00D6053A">
      <w:rPr>
        <w:noProof/>
      </w:rPr>
      <w:t>4</w:t>
    </w:r>
    <w:r>
      <w:fldChar w:fldCharType="end"/>
    </w:r>
  </w:p>
  <w:p w14:paraId="71A0E0BB" w14:textId="77777777" w:rsidR="00C72528" w:rsidRDefault="00C725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B7A" w14:textId="77777777" w:rsidR="00C72528" w:rsidRDefault="000A77D2">
    <w:pPr>
      <w:tabs>
        <w:tab w:val="center" w:pos="4536"/>
        <w:tab w:val="right" w:pos="9072"/>
      </w:tabs>
      <w:spacing w:after="0"/>
      <w:jc w:val="center"/>
    </w:pPr>
    <w:hyperlink r:id="rId1" w:history="1">
      <w:r w:rsidR="00C72528">
        <w:rPr>
          <w:rFonts w:ascii="Book Antiqua" w:eastAsia="Times New Roman" w:hAnsi="Book Antiqua"/>
          <w:i/>
          <w:color w:val="0563C1"/>
          <w:u w:val="single"/>
          <w:lang w:val="en-US"/>
        </w:rPr>
        <w:t>www.eufunds.bg</w:t>
      </w:r>
    </w:hyperlink>
  </w:p>
  <w:p w14:paraId="256B1AA3" w14:textId="77777777" w:rsidR="00C72528" w:rsidRDefault="00C72528">
    <w:pPr>
      <w:tabs>
        <w:tab w:val="center" w:pos="4536"/>
        <w:tab w:val="right" w:pos="9072"/>
      </w:tabs>
      <w:spacing w:after="0"/>
    </w:pPr>
  </w:p>
  <w:p w14:paraId="18E9A799" w14:textId="77777777" w:rsidR="00C72528" w:rsidRDefault="00C72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1D861" w14:textId="77777777" w:rsidR="000A77D2" w:rsidRDefault="000A77D2">
      <w:pPr>
        <w:spacing w:after="0"/>
      </w:pPr>
      <w:r>
        <w:rPr>
          <w:color w:val="000000"/>
        </w:rPr>
        <w:separator/>
      </w:r>
    </w:p>
  </w:footnote>
  <w:footnote w:type="continuationSeparator" w:id="0">
    <w:p w14:paraId="245DA016" w14:textId="77777777" w:rsidR="000A77D2" w:rsidRDefault="000A77D2">
      <w:pPr>
        <w:spacing w:after="0"/>
      </w:pPr>
      <w:r>
        <w:continuationSeparator/>
      </w:r>
    </w:p>
  </w:footnote>
  <w:footnote w:id="1">
    <w:p w14:paraId="7C455A6A" w14:textId="77777777" w:rsidR="00C72528" w:rsidRDefault="00C72528" w:rsidP="00C25083">
      <w:pPr>
        <w:spacing w:after="0"/>
      </w:pPr>
      <w:r>
        <w:rPr>
          <w:rStyle w:val="a8"/>
        </w:rPr>
        <w:footnoteRef/>
      </w:r>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Monitoring</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and</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Evaluation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of</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European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Cohesion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Policy</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European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Social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Fund</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Guidance</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document</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August</w:t>
      </w:r>
      <w:proofErr w:type="spellEnd"/>
      <w:r>
        <w:rPr>
          <w:rFonts w:ascii="Book Antiqua" w:eastAsia="Book Antiqua" w:hAnsi="Book Antiqua" w:cs="Book Antiqua"/>
          <w:color w:val="000000"/>
          <w:sz w:val="18"/>
          <w:szCs w:val="18"/>
        </w:rPr>
        <w:t xml:space="preserve"> 2018 [стр. 16])</w:t>
      </w:r>
    </w:p>
  </w:footnote>
  <w:footnote w:id="2">
    <w:p w14:paraId="2504DDC2" w14:textId="4A7F8AF0" w:rsidR="009461BE" w:rsidRPr="009461BE" w:rsidRDefault="009461BE">
      <w:pPr>
        <w:pStyle w:val="ae"/>
        <w:rPr>
          <w:rFonts w:ascii="Book Antiqua" w:hAnsi="Book Antiqua"/>
          <w:sz w:val="18"/>
          <w:szCs w:val="18"/>
        </w:rPr>
      </w:pPr>
      <w:r w:rsidRPr="009461BE">
        <w:rPr>
          <w:rStyle w:val="a8"/>
          <w:rFonts w:ascii="Book Antiqua" w:hAnsi="Book Antiqua"/>
          <w:sz w:val="18"/>
          <w:szCs w:val="18"/>
        </w:rPr>
        <w:footnoteRef/>
      </w:r>
      <w:r w:rsidRPr="009461BE">
        <w:rPr>
          <w:rFonts w:ascii="Book Antiqua" w:hAnsi="Book Antiqua"/>
          <w:sz w:val="18"/>
          <w:szCs w:val="18"/>
        </w:rPr>
        <w:t xml:space="preserve"> </w:t>
      </w:r>
      <w:r w:rsidRPr="009461BE">
        <w:rPr>
          <w:rFonts w:ascii="Book Antiqua" w:eastAsia="Book Antiqua" w:hAnsi="Book Antiqua" w:cs="Book Antiqua"/>
          <w:sz w:val="18"/>
          <w:szCs w:val="18"/>
        </w:rPr>
        <w:t>по данни за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BA954" w14:textId="77777777" w:rsidR="00C72528" w:rsidRDefault="00C72528">
    <w:pPr>
      <w:tabs>
        <w:tab w:val="center" w:pos="4536"/>
        <w:tab w:val="right" w:pos="9072"/>
      </w:tabs>
      <w:spacing w:after="0"/>
    </w:pPr>
    <w:r>
      <w:rPr>
        <w:noProof/>
        <w:lang w:eastAsia="bg-BG"/>
      </w:rPr>
      <w:drawing>
        <wp:anchor distT="0" distB="0" distL="114300" distR="114300" simplePos="0" relativeHeight="251659264" behindDoc="0" locked="0" layoutInCell="1" allowOverlap="1" wp14:anchorId="1965C9A2" wp14:editId="70F50039">
          <wp:simplePos x="0" y="0"/>
          <wp:positionH relativeFrom="margin">
            <wp:align>right</wp:align>
          </wp:positionH>
          <wp:positionV relativeFrom="paragraph">
            <wp:posOffset>130173</wp:posOffset>
          </wp:positionV>
          <wp:extent cx="1836416" cy="705487"/>
          <wp:effectExtent l="0" t="0" r="0" b="0"/>
          <wp:wrapTight wrapText="bothSides">
            <wp:wrapPolygon edited="0">
              <wp:start x="0" y="0"/>
              <wp:lineTo x="0" y="20997"/>
              <wp:lineTo x="21286" y="20997"/>
              <wp:lineTo x="21286" y="0"/>
              <wp:lineTo x="0" y="0"/>
            </wp:wrapPolygon>
          </wp:wrapTight>
          <wp:docPr id="1" name="Картина 7" descr="C:\Users\Windows\AppData\Local\Temp\Rar$DIa0.405\logo-bg-righ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836416" cy="705487"/>
                  </a:xfrm>
                  <a:prstGeom prst="rect">
                    <a:avLst/>
                  </a:prstGeom>
                  <a:noFill/>
                  <a:ln>
                    <a:noFill/>
                    <a:prstDash/>
                  </a:ln>
                </pic:spPr>
              </pic:pic>
            </a:graphicData>
          </a:graphic>
        </wp:anchor>
      </w:drawing>
    </w:r>
    <w:r>
      <w:rPr>
        <w:rFonts w:ascii="Book Antiqua" w:hAnsi="Book Antiqua"/>
        <w:noProof/>
        <w:lang w:eastAsia="bg-BG"/>
      </w:rPr>
      <w:drawing>
        <wp:anchor distT="0" distB="0" distL="114300" distR="114300" simplePos="0" relativeHeight="251660288" behindDoc="0" locked="0" layoutInCell="1" allowOverlap="1" wp14:anchorId="021689A4" wp14:editId="35AB00AA">
          <wp:simplePos x="0" y="0"/>
          <wp:positionH relativeFrom="margin">
            <wp:align>left</wp:align>
          </wp:positionH>
          <wp:positionV relativeFrom="paragraph">
            <wp:posOffset>236857</wp:posOffset>
          </wp:positionV>
          <wp:extent cx="1938656" cy="548640"/>
          <wp:effectExtent l="0" t="0" r="4444" b="3810"/>
          <wp:wrapTight wrapText="bothSides">
            <wp:wrapPolygon edited="0">
              <wp:start x="0" y="0"/>
              <wp:lineTo x="0" y="21000"/>
              <wp:lineTo x="9551" y="21000"/>
              <wp:lineTo x="19952" y="19500"/>
              <wp:lineTo x="20588" y="15750"/>
              <wp:lineTo x="18041" y="12000"/>
              <wp:lineTo x="21437" y="8250"/>
              <wp:lineTo x="21437" y="3000"/>
              <wp:lineTo x="9551" y="0"/>
              <wp:lineTo x="0" y="0"/>
            </wp:wrapPolygon>
          </wp:wrapTight>
          <wp:docPr id="2" name="Картина 8" descr="C:\Users\Windows\AppData\Local\Temp\Rar$DIa0.714\EU_SEFrigh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938656" cy="548640"/>
                  </a:xfrm>
                  <a:prstGeom prst="rect">
                    <a:avLst/>
                  </a:prstGeom>
                  <a:noFill/>
                  <a:ln>
                    <a:noFill/>
                    <a:prstDash/>
                  </a:ln>
                </pic:spPr>
              </pic:pic>
            </a:graphicData>
          </a:graphic>
        </wp:anchor>
      </w:drawing>
    </w:r>
  </w:p>
  <w:p w14:paraId="0DBBB66A" w14:textId="77777777" w:rsidR="00C72528" w:rsidRDefault="00C725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1A3DD7"/>
    <w:multiLevelType w:val="multilevel"/>
    <w:tmpl w:val="2F1496C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9622FE"/>
    <w:multiLevelType w:val="multilevel"/>
    <w:tmpl w:val="5456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06700B"/>
    <w:multiLevelType w:val="hybridMultilevel"/>
    <w:tmpl w:val="6DB637BA"/>
    <w:lvl w:ilvl="0" w:tplc="7EA87D9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0FD3C02"/>
    <w:multiLevelType w:val="hybridMultilevel"/>
    <w:tmpl w:val="F76EC3E8"/>
    <w:lvl w:ilvl="0" w:tplc="C76AABEC">
      <w:numFmt w:val="bullet"/>
      <w:lvlText w:val="-"/>
      <w:lvlJc w:val="left"/>
      <w:pPr>
        <w:ind w:left="720" w:hanging="360"/>
      </w:pPr>
      <w:rPr>
        <w:rFonts w:ascii="Book Antiqua" w:eastAsia="Book Antiqua" w:hAnsi="Book Antiqua" w:cs="Book Antiqu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62523CF"/>
    <w:multiLevelType w:val="multilevel"/>
    <w:tmpl w:val="ECB692C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4A5C50"/>
    <w:multiLevelType w:val="multilevel"/>
    <w:tmpl w:val="886282E2"/>
    <w:lvl w:ilvl="0">
      <w:numFmt w:val="bullet"/>
      <w:lvlText w:val="❖"/>
      <w:lvlJc w:val="left"/>
      <w:pPr>
        <w:ind w:left="780" w:hanging="360"/>
      </w:pPr>
      <w:rPr>
        <w:rFonts w:ascii="Noto Sans Symbols" w:eastAsia="Noto Sans Symbols" w:hAnsi="Noto Sans Symbols" w:cs="Noto Sans Symbols"/>
      </w:rPr>
    </w:lvl>
    <w:lvl w:ilvl="1">
      <w:numFmt w:val="bullet"/>
      <w:lvlText w:val="⮚"/>
      <w:lvlJc w:val="left"/>
      <w:pPr>
        <w:ind w:left="1500" w:hanging="360"/>
      </w:pPr>
      <w:rPr>
        <w:rFonts w:ascii="Noto Sans Symbols" w:eastAsia="Noto Sans Symbols" w:hAnsi="Noto Sans Symbols" w:cs="Noto Sans Symbols"/>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5E4F4402"/>
    <w:multiLevelType w:val="multilevel"/>
    <w:tmpl w:val="8E3AB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DA"/>
    <w:rsid w:val="000032CC"/>
    <w:rsid w:val="00014115"/>
    <w:rsid w:val="000607C7"/>
    <w:rsid w:val="000A77D2"/>
    <w:rsid w:val="001F7823"/>
    <w:rsid w:val="00220BC6"/>
    <w:rsid w:val="002A7398"/>
    <w:rsid w:val="002E52F7"/>
    <w:rsid w:val="003A39A9"/>
    <w:rsid w:val="00406E5E"/>
    <w:rsid w:val="004256F7"/>
    <w:rsid w:val="00463FD7"/>
    <w:rsid w:val="004674B5"/>
    <w:rsid w:val="00486D8F"/>
    <w:rsid w:val="004A091C"/>
    <w:rsid w:val="004E286C"/>
    <w:rsid w:val="00513C86"/>
    <w:rsid w:val="00642903"/>
    <w:rsid w:val="00676580"/>
    <w:rsid w:val="006A077E"/>
    <w:rsid w:val="007A6F5A"/>
    <w:rsid w:val="007D2859"/>
    <w:rsid w:val="00821262"/>
    <w:rsid w:val="008F4A1A"/>
    <w:rsid w:val="009218A4"/>
    <w:rsid w:val="00923382"/>
    <w:rsid w:val="00933514"/>
    <w:rsid w:val="009461BE"/>
    <w:rsid w:val="009D198B"/>
    <w:rsid w:val="00A77840"/>
    <w:rsid w:val="00AC048F"/>
    <w:rsid w:val="00AC4FE7"/>
    <w:rsid w:val="00B82FBF"/>
    <w:rsid w:val="00C25083"/>
    <w:rsid w:val="00C72528"/>
    <w:rsid w:val="00CE568C"/>
    <w:rsid w:val="00CF670F"/>
    <w:rsid w:val="00D55BE3"/>
    <w:rsid w:val="00D6053A"/>
    <w:rsid w:val="00D75F0D"/>
    <w:rsid w:val="00DB140A"/>
    <w:rsid w:val="00DB387E"/>
    <w:rsid w:val="00E41613"/>
    <w:rsid w:val="00E465AF"/>
    <w:rsid w:val="00E708DA"/>
    <w:rsid w:val="00ED1A7E"/>
    <w:rsid w:val="00EF1A79"/>
    <w:rsid w:val="00F109DA"/>
    <w:rsid w:val="00FB2D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A3F5"/>
  <w15:docId w15:val="{558321E7-05C4-4995-970B-5B518164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after="6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pPr>
      <w:suppressAutoHyphens/>
      <w:spacing w:after="0" w:line="240" w:lineRule="auto"/>
    </w:pPr>
    <w:rPr>
      <w:rFonts w:eastAsia="Times New Roman"/>
      <w:lang w:val="en-US"/>
    </w:rPr>
  </w:style>
  <w:style w:type="character" w:customStyle="1" w:styleId="NoSpacingChar">
    <w:name w:val="No Spacing Char"/>
    <w:basedOn w:val="a0"/>
    <w:rPr>
      <w:rFonts w:eastAsia="Times New Roman"/>
      <w:lang w:val="en-US"/>
    </w:rPr>
  </w:style>
  <w:style w:type="paragraph" w:styleId="a4">
    <w:name w:val="header"/>
    <w:basedOn w:val="a"/>
    <w:pPr>
      <w:tabs>
        <w:tab w:val="center" w:pos="4536"/>
        <w:tab w:val="right" w:pos="9072"/>
      </w:tabs>
      <w:spacing w:after="0"/>
    </w:pPr>
  </w:style>
  <w:style w:type="character" w:customStyle="1" w:styleId="HeaderChar">
    <w:name w:val="Header Char"/>
    <w:basedOn w:val="a0"/>
  </w:style>
  <w:style w:type="paragraph" w:styleId="a5">
    <w:name w:val="footer"/>
    <w:basedOn w:val="a"/>
    <w:pPr>
      <w:tabs>
        <w:tab w:val="center" w:pos="4536"/>
        <w:tab w:val="right" w:pos="9072"/>
      </w:tabs>
      <w:spacing w:after="0"/>
    </w:pPr>
  </w:style>
  <w:style w:type="character" w:customStyle="1" w:styleId="FooterChar">
    <w:name w:val="Footer Char"/>
    <w:basedOn w:val="a0"/>
  </w:style>
  <w:style w:type="paragraph" w:styleId="a6">
    <w:name w:val="List Paragraph"/>
    <w:basedOn w:val="a"/>
    <w:pPr>
      <w:ind w:left="720"/>
    </w:pPr>
  </w:style>
  <w:style w:type="paragraph" w:customStyle="1" w:styleId="CommentText1">
    <w:name w:val="Comment Text1"/>
    <w:basedOn w:val="a"/>
    <w:rPr>
      <w:sz w:val="20"/>
      <w:szCs w:val="20"/>
    </w:rPr>
  </w:style>
  <w:style w:type="character" w:customStyle="1" w:styleId="CommentTextChar">
    <w:name w:val="Comment Text Char"/>
    <w:basedOn w:val="a0"/>
    <w:rPr>
      <w:sz w:val="20"/>
      <w:szCs w:val="20"/>
    </w:rPr>
  </w:style>
  <w:style w:type="character" w:customStyle="1" w:styleId="CommentReference1">
    <w:name w:val="Comment Reference1"/>
    <w:basedOn w:val="a0"/>
    <w:rPr>
      <w:sz w:val="16"/>
      <w:szCs w:val="16"/>
    </w:rPr>
  </w:style>
  <w:style w:type="paragraph" w:styleId="a7">
    <w:name w:val="Balloon Text"/>
    <w:basedOn w:val="a"/>
    <w:pPr>
      <w:spacing w:after="0"/>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character" w:styleId="a8">
    <w:name w:val="footnote reference"/>
    <w:basedOn w:val="a0"/>
    <w:rPr>
      <w:position w:val="0"/>
      <w:vertAlign w:val="superscript"/>
    </w:rPr>
  </w:style>
  <w:style w:type="paragraph" w:customStyle="1" w:styleId="CharCharCharCharCarChar">
    <w:name w:val="Char Char Char Char Car Char"/>
    <w:basedOn w:val="a"/>
    <w:next w:val="a"/>
    <w:pPr>
      <w:spacing w:after="0" w:line="240" w:lineRule="exact"/>
    </w:pPr>
    <w:rPr>
      <w:vertAlign w:val="superscript"/>
    </w:rPr>
  </w:style>
  <w:style w:type="character" w:styleId="a9">
    <w:name w:val="annotation reference"/>
    <w:basedOn w:val="a0"/>
    <w:uiPriority w:val="99"/>
    <w:semiHidden/>
    <w:unhideWhenUsed/>
    <w:rsid w:val="004256F7"/>
    <w:rPr>
      <w:sz w:val="16"/>
      <w:szCs w:val="16"/>
    </w:rPr>
  </w:style>
  <w:style w:type="paragraph" w:styleId="aa">
    <w:name w:val="annotation text"/>
    <w:basedOn w:val="a"/>
    <w:link w:val="ab"/>
    <w:uiPriority w:val="99"/>
    <w:semiHidden/>
    <w:unhideWhenUsed/>
    <w:rsid w:val="004256F7"/>
    <w:rPr>
      <w:sz w:val="20"/>
      <w:szCs w:val="20"/>
    </w:rPr>
  </w:style>
  <w:style w:type="character" w:customStyle="1" w:styleId="ab">
    <w:name w:val="Текст на коментар Знак"/>
    <w:basedOn w:val="a0"/>
    <w:link w:val="aa"/>
    <w:uiPriority w:val="99"/>
    <w:semiHidden/>
    <w:rsid w:val="004256F7"/>
    <w:rPr>
      <w:sz w:val="20"/>
      <w:szCs w:val="20"/>
    </w:rPr>
  </w:style>
  <w:style w:type="paragraph" w:styleId="ac">
    <w:name w:val="annotation subject"/>
    <w:basedOn w:val="aa"/>
    <w:next w:val="aa"/>
    <w:link w:val="ad"/>
    <w:uiPriority w:val="99"/>
    <w:semiHidden/>
    <w:unhideWhenUsed/>
    <w:rsid w:val="004256F7"/>
    <w:rPr>
      <w:b/>
      <w:bCs/>
    </w:rPr>
  </w:style>
  <w:style w:type="character" w:customStyle="1" w:styleId="ad">
    <w:name w:val="Предмет на коментар Знак"/>
    <w:basedOn w:val="ab"/>
    <w:link w:val="ac"/>
    <w:uiPriority w:val="99"/>
    <w:semiHidden/>
    <w:rsid w:val="004256F7"/>
    <w:rPr>
      <w:b/>
      <w:bCs/>
      <w:sz w:val="20"/>
      <w:szCs w:val="20"/>
    </w:rPr>
  </w:style>
  <w:style w:type="paragraph" w:styleId="ae">
    <w:name w:val="footnote text"/>
    <w:basedOn w:val="a"/>
    <w:link w:val="af"/>
    <w:uiPriority w:val="99"/>
    <w:semiHidden/>
    <w:unhideWhenUsed/>
    <w:rsid w:val="009461BE"/>
    <w:pPr>
      <w:spacing w:after="0"/>
    </w:pPr>
    <w:rPr>
      <w:sz w:val="20"/>
      <w:szCs w:val="20"/>
    </w:rPr>
  </w:style>
  <w:style w:type="character" w:customStyle="1" w:styleId="af">
    <w:name w:val="Текст под линия Знак"/>
    <w:basedOn w:val="a0"/>
    <w:link w:val="ae"/>
    <w:uiPriority w:val="99"/>
    <w:semiHidden/>
    <w:rsid w:val="009461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BF33-7320-4047-BEA8-1BBCD112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4784</Words>
  <Characters>27270</Characters>
  <Application>Microsoft Office Word</Application>
  <DocSecurity>0</DocSecurity>
  <Lines>227</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Bobi</dc:creator>
  <dc:description/>
  <cp:lastModifiedBy>Windows 1</cp:lastModifiedBy>
  <cp:revision>10</cp:revision>
  <dcterms:created xsi:type="dcterms:W3CDTF">2020-05-09T08:40:00Z</dcterms:created>
  <dcterms:modified xsi:type="dcterms:W3CDTF">2020-05-12T13:39:00Z</dcterms:modified>
</cp:coreProperties>
</file>