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D0467" w14:textId="29302FDB" w:rsidR="00C2551C" w:rsidRPr="007756D7" w:rsidRDefault="00E863E7" w:rsidP="003537E8">
      <w:pPr>
        <w:jc w:val="center"/>
        <w:rPr>
          <w:b/>
          <w:sz w:val="28"/>
          <w:szCs w:val="28"/>
        </w:rPr>
      </w:pPr>
      <w:r w:rsidRPr="007756D7">
        <w:rPr>
          <w:b/>
          <w:sz w:val="28"/>
          <w:szCs w:val="28"/>
        </w:rPr>
        <w:t>Обосновка на предложени</w:t>
      </w:r>
      <w:r w:rsidR="00345F85" w:rsidRPr="007756D7">
        <w:rPr>
          <w:b/>
          <w:sz w:val="28"/>
          <w:szCs w:val="28"/>
        </w:rPr>
        <w:t>е</w:t>
      </w:r>
      <w:r w:rsidR="00C2551C" w:rsidRPr="007756D7">
        <w:rPr>
          <w:b/>
          <w:sz w:val="28"/>
          <w:szCs w:val="28"/>
        </w:rPr>
        <w:t>то</w:t>
      </w:r>
      <w:r w:rsidR="00345F85" w:rsidRPr="007756D7">
        <w:rPr>
          <w:b/>
          <w:sz w:val="28"/>
          <w:szCs w:val="28"/>
        </w:rPr>
        <w:t xml:space="preserve"> за изменение на</w:t>
      </w:r>
    </w:p>
    <w:p w14:paraId="57292C25" w14:textId="77777777" w:rsidR="00C2551C" w:rsidRPr="007756D7" w:rsidRDefault="00E863E7" w:rsidP="003537E8">
      <w:pPr>
        <w:jc w:val="center"/>
        <w:rPr>
          <w:b/>
          <w:sz w:val="28"/>
          <w:szCs w:val="28"/>
        </w:rPr>
      </w:pPr>
      <w:r w:rsidRPr="007756D7">
        <w:rPr>
          <w:b/>
          <w:sz w:val="28"/>
          <w:szCs w:val="28"/>
        </w:rPr>
        <w:t>Оперативна програма „</w:t>
      </w:r>
      <w:r w:rsidR="0000269B" w:rsidRPr="007756D7">
        <w:rPr>
          <w:b/>
          <w:sz w:val="28"/>
          <w:szCs w:val="28"/>
        </w:rPr>
        <w:t>Добро управление</w:t>
      </w:r>
      <w:r w:rsidRPr="007756D7">
        <w:rPr>
          <w:b/>
          <w:sz w:val="28"/>
          <w:szCs w:val="28"/>
        </w:rPr>
        <w:t>“</w:t>
      </w:r>
    </w:p>
    <w:p w14:paraId="2FE6E9BC" w14:textId="0EAD5A83" w:rsidR="00345F85" w:rsidRPr="007756D7" w:rsidRDefault="00AA7AE7" w:rsidP="003537E8">
      <w:pPr>
        <w:spacing w:line="360" w:lineRule="auto"/>
        <w:jc w:val="center"/>
        <w:rPr>
          <w:b/>
          <w:sz w:val="28"/>
          <w:szCs w:val="28"/>
        </w:rPr>
      </w:pPr>
      <w:r>
        <w:rPr>
          <w:b/>
          <w:sz w:val="28"/>
          <w:szCs w:val="28"/>
        </w:rPr>
        <w:t>юни</w:t>
      </w:r>
      <w:r w:rsidRPr="007756D7">
        <w:rPr>
          <w:b/>
          <w:sz w:val="28"/>
          <w:szCs w:val="28"/>
        </w:rPr>
        <w:t xml:space="preserve"> </w:t>
      </w:r>
      <w:r w:rsidR="00345F85" w:rsidRPr="007756D7">
        <w:rPr>
          <w:b/>
          <w:sz w:val="28"/>
          <w:szCs w:val="28"/>
        </w:rPr>
        <w:t>2020 г.</w:t>
      </w:r>
    </w:p>
    <w:p w14:paraId="1B225FC5" w14:textId="2CEA12C3" w:rsidR="005A0F12" w:rsidRPr="006038C6" w:rsidRDefault="005A0F12" w:rsidP="00256781">
      <w:pPr>
        <w:spacing w:before="120" w:after="120"/>
        <w:ind w:firstLine="709"/>
        <w:jc w:val="both"/>
      </w:pPr>
      <w:r w:rsidRPr="006038C6">
        <w:t>Държавите-членки на ЕС</w:t>
      </w:r>
      <w:r w:rsidR="006038C6" w:rsidRPr="009C3DD8">
        <w:t xml:space="preserve"> </w:t>
      </w:r>
      <w:r w:rsidR="00B80B14" w:rsidRPr="006038C6">
        <w:t>са</w:t>
      </w:r>
      <w:r w:rsidRPr="006038C6">
        <w:t xml:space="preserve"> засегнати значително от </w:t>
      </w:r>
      <w:r w:rsidR="00B80B14" w:rsidRPr="006038C6">
        <w:t xml:space="preserve">настъпилата </w:t>
      </w:r>
      <w:r w:rsidRPr="006038C6">
        <w:t>криза</w:t>
      </w:r>
      <w:r w:rsidR="00B80B14" w:rsidRPr="006038C6">
        <w:t xml:space="preserve"> по повод </w:t>
      </w:r>
      <w:r w:rsidRPr="006038C6">
        <w:t>разпространението на COVID-19.</w:t>
      </w:r>
      <w:r w:rsidR="00B80B14" w:rsidRPr="006038C6">
        <w:t xml:space="preserve"> В</w:t>
      </w:r>
      <w:r w:rsidRPr="006038C6">
        <w:t>ъзпрепятства</w:t>
      </w:r>
      <w:r w:rsidR="00B80B14" w:rsidRPr="006038C6">
        <w:t xml:space="preserve">нето на </w:t>
      </w:r>
      <w:r w:rsidRPr="006038C6">
        <w:t xml:space="preserve">растежа в </w:t>
      </w:r>
      <w:r w:rsidR="000765D1">
        <w:t>държавите-членки</w:t>
      </w:r>
      <w:r w:rsidR="000765D1" w:rsidRPr="009C3DD8">
        <w:t xml:space="preserve"> </w:t>
      </w:r>
      <w:r w:rsidRPr="006038C6">
        <w:t>утежнява сериозно недостига на ликвидност</w:t>
      </w:r>
      <w:r w:rsidR="00B80B14" w:rsidRPr="006038C6">
        <w:t xml:space="preserve"> на средства</w:t>
      </w:r>
      <w:r w:rsidRPr="006038C6">
        <w:t xml:space="preserve"> поради </w:t>
      </w:r>
      <w:r w:rsidR="00B80B14" w:rsidRPr="006038C6">
        <w:t xml:space="preserve">възникналата </w:t>
      </w:r>
      <w:r w:rsidR="00582C58" w:rsidRPr="006038C6">
        <w:t xml:space="preserve">необходимост от </w:t>
      </w:r>
      <w:r w:rsidRPr="006038C6">
        <w:t>увеличение на публичните инвестиции</w:t>
      </w:r>
      <w:r w:rsidR="00582C58" w:rsidRPr="006038C6">
        <w:t xml:space="preserve"> </w:t>
      </w:r>
      <w:r w:rsidRPr="006038C6">
        <w:t xml:space="preserve">в здравните системи и в </w:t>
      </w:r>
      <w:r w:rsidR="00B80B14" w:rsidRPr="006038C6">
        <w:t xml:space="preserve">засегнатите икономически </w:t>
      </w:r>
      <w:r w:rsidRPr="006038C6">
        <w:t>сектори. Това създаде изключителна ситуация, която</w:t>
      </w:r>
      <w:r w:rsidR="00B80B14" w:rsidRPr="006038C6">
        <w:t xml:space="preserve"> налага предприемането на спешни мерки</w:t>
      </w:r>
      <w:r w:rsidRPr="006038C6">
        <w:t>.</w:t>
      </w:r>
    </w:p>
    <w:p w14:paraId="035AC272" w14:textId="00681FE4" w:rsidR="005A0F12" w:rsidRPr="006038C6" w:rsidRDefault="005A0F12" w:rsidP="00256781">
      <w:pPr>
        <w:spacing w:before="120" w:after="120"/>
        <w:ind w:firstLine="709"/>
        <w:jc w:val="both"/>
      </w:pPr>
      <w:r w:rsidRPr="006038C6">
        <w:t>В България е необходимо да се мобилизират всички налични ресурси на национално ниво за структуриране на целенасочени социално-икономически мерки, с цел подпомагане на усилията на здравната и социална система за справяне със създалата се епидемична обстановка, подкрепа за уязвимите групи от населението и засегнатите икономически сектори на българската икономика. Част от необходимите допълнителни публични ресурси може да бъде осигурена от Европейските структурни и инвестиционни фондове.</w:t>
      </w:r>
    </w:p>
    <w:p w14:paraId="4DBB5B01" w14:textId="378E7182" w:rsidR="005A0F12" w:rsidRPr="006038C6" w:rsidRDefault="005A0F12" w:rsidP="00256781">
      <w:pPr>
        <w:spacing w:before="120" w:after="120"/>
        <w:ind w:firstLine="709"/>
        <w:jc w:val="both"/>
      </w:pPr>
      <w:r w:rsidRPr="006038C6">
        <w:t>В тази връзка със свое Решение № 256/14.04.2020 г. (</w:t>
      </w:r>
      <w:r w:rsidR="001B7378">
        <w:t xml:space="preserve">наричано по-долу </w:t>
      </w:r>
      <w:r w:rsidRPr="006038C6">
        <w:t xml:space="preserve">РМС № 256/2020 г.) Министерският съвет даде съгласие за преразпределение на приноса от Европейските структурни и инвестиционни фондове чрез прехвърляне на средства между оперативните програми 2014-2020 г. за подкрепа на мерки за минимизиране на отрицателните последици от епидемичното разпространение на COVID-19. </w:t>
      </w:r>
    </w:p>
    <w:p w14:paraId="279F0730" w14:textId="5D5D480A" w:rsidR="005A0F12" w:rsidRPr="00C04E62" w:rsidRDefault="005A0F12" w:rsidP="00256781">
      <w:pPr>
        <w:spacing w:before="120" w:after="120"/>
        <w:ind w:firstLine="709"/>
        <w:jc w:val="both"/>
      </w:pPr>
      <w:r w:rsidRPr="00C04E62">
        <w:t xml:space="preserve">Съгласно т. 1, б. „а“ от </w:t>
      </w:r>
      <w:r w:rsidR="0061585A" w:rsidRPr="00C04E62">
        <w:t xml:space="preserve">РМС № 256/2020 г. </w:t>
      </w:r>
      <w:r w:rsidRPr="00C04E62">
        <w:t>от Оперативна програма „Добро управление“ (ОПДУ) следва да се прехвърлят 105 000 000 лева към Оперативна програма „Развитие на човешките ресурси“ (ОПРЧР).</w:t>
      </w:r>
    </w:p>
    <w:p w14:paraId="1AE37D67" w14:textId="4210097D" w:rsidR="005A0F12" w:rsidRPr="00C04E62" w:rsidRDefault="005A0F12" w:rsidP="00256781">
      <w:pPr>
        <w:spacing w:before="120" w:after="120"/>
        <w:ind w:firstLine="709"/>
        <w:jc w:val="both"/>
      </w:pPr>
      <w:r w:rsidRPr="00C04E62">
        <w:t xml:space="preserve">С </w:t>
      </w:r>
      <w:r w:rsidR="0061585A" w:rsidRPr="00C04E62">
        <w:t>посоченото решение</w:t>
      </w:r>
      <w:r w:rsidRPr="00C04E62">
        <w:t xml:space="preserve"> Министерският съвет разпорежда на Управляващите органи на оперативните програми да предприемат незабавни действия по изменението на съответните елементи на програмите и последващото им одобряване.</w:t>
      </w:r>
    </w:p>
    <w:p w14:paraId="6F2147D7" w14:textId="3E4BC0FF" w:rsidR="005A0F12" w:rsidRPr="000D1A5A" w:rsidRDefault="005A0F12" w:rsidP="00256781">
      <w:pPr>
        <w:spacing w:before="120" w:after="120"/>
        <w:ind w:firstLine="709"/>
        <w:jc w:val="both"/>
        <w:rPr>
          <w:lang w:val="en-US"/>
        </w:rPr>
      </w:pPr>
      <w:r w:rsidRPr="00C04E62">
        <w:t>В изпълнение на РМС № 256/2020 г. Управляващият орган (УО) на ОПДУ изготви проект на изменение на програмата, в резултат на което ще бъде освободен ресурс в размер на 105 000 000 лева</w:t>
      </w:r>
      <w:r w:rsidR="006038C6" w:rsidRPr="00C04E62">
        <w:t>, който ще бъде</w:t>
      </w:r>
      <w:r w:rsidRPr="00C04E62">
        <w:t xml:space="preserve"> прехвърлен към ОПРЧР.</w:t>
      </w:r>
      <w:r w:rsidR="006739F6" w:rsidRPr="006739F6">
        <w:t xml:space="preserve"> За целта бюджетът на ОПДУ се намалява със 105 000 000 лева, в т.ч. принос от ЕСФ в размер на 89 250 000 лв. и национално съфинансиране в размер на 15 750 000 лв.</w:t>
      </w:r>
      <w:r w:rsidR="000D1A5A">
        <w:rPr>
          <w:lang w:val="en-US"/>
        </w:rPr>
        <w:t>д</w:t>
      </w:r>
    </w:p>
    <w:p w14:paraId="1E69E707" w14:textId="2C1E1A58" w:rsidR="00AE4C80" w:rsidRPr="006038C6" w:rsidRDefault="00AE4C80" w:rsidP="00256781">
      <w:pPr>
        <w:spacing w:before="120" w:after="120"/>
        <w:ind w:firstLine="709"/>
        <w:jc w:val="both"/>
      </w:pPr>
      <w:r w:rsidRPr="006038C6">
        <w:t>Предлагат се сле</w:t>
      </w:r>
      <w:r w:rsidR="001369A6" w:rsidRPr="006038C6">
        <w:t>д</w:t>
      </w:r>
      <w:r w:rsidRPr="006038C6">
        <w:t xml:space="preserve">ните </w:t>
      </w:r>
      <w:r w:rsidR="00613A55" w:rsidRPr="006038C6">
        <w:t>промени</w:t>
      </w:r>
      <w:r w:rsidR="00DF32E7" w:rsidRPr="006038C6">
        <w:t xml:space="preserve"> </w:t>
      </w:r>
      <w:r w:rsidR="00022B92" w:rsidRPr="006038C6">
        <w:t>на ОПДУ</w:t>
      </w:r>
      <w:r w:rsidRPr="006038C6">
        <w:t>:</w:t>
      </w:r>
    </w:p>
    <w:p w14:paraId="50A955B0" w14:textId="19E56602" w:rsidR="008711E4" w:rsidRPr="007756D7" w:rsidRDefault="0000269B" w:rsidP="000E6A6B">
      <w:pPr>
        <w:pStyle w:val="ListParagraph"/>
        <w:numPr>
          <w:ilvl w:val="0"/>
          <w:numId w:val="35"/>
        </w:numPr>
        <w:spacing w:before="240" w:after="120" w:line="240" w:lineRule="auto"/>
        <w:ind w:left="992" w:hanging="272"/>
        <w:contextualSpacing w:val="0"/>
        <w:jc w:val="both"/>
        <w:rPr>
          <w:rFonts w:ascii="Times New Roman" w:hAnsi="Times New Roman"/>
          <w:b/>
          <w:i/>
          <w:sz w:val="24"/>
          <w:szCs w:val="24"/>
        </w:rPr>
      </w:pPr>
      <w:r w:rsidRPr="007756D7">
        <w:rPr>
          <w:rFonts w:ascii="Times New Roman" w:hAnsi="Times New Roman"/>
          <w:b/>
          <w:i/>
          <w:sz w:val="24"/>
          <w:szCs w:val="24"/>
        </w:rPr>
        <w:t>Намаляване</w:t>
      </w:r>
      <w:r w:rsidR="002E383B" w:rsidRPr="007756D7">
        <w:rPr>
          <w:rFonts w:ascii="Times New Roman" w:hAnsi="Times New Roman"/>
          <w:b/>
          <w:i/>
          <w:sz w:val="24"/>
          <w:szCs w:val="24"/>
        </w:rPr>
        <w:t xml:space="preserve"> на </w:t>
      </w:r>
      <w:r w:rsidR="00745199" w:rsidRPr="007756D7">
        <w:rPr>
          <w:rFonts w:ascii="Times New Roman" w:hAnsi="Times New Roman"/>
          <w:b/>
          <w:i/>
          <w:sz w:val="24"/>
          <w:szCs w:val="24"/>
        </w:rPr>
        <w:t>средства</w:t>
      </w:r>
      <w:r w:rsidR="001369A6" w:rsidRPr="007756D7">
        <w:rPr>
          <w:rFonts w:ascii="Times New Roman" w:hAnsi="Times New Roman"/>
          <w:b/>
          <w:i/>
          <w:sz w:val="24"/>
          <w:szCs w:val="24"/>
        </w:rPr>
        <w:t>та</w:t>
      </w:r>
      <w:r w:rsidR="00745199" w:rsidRPr="007756D7">
        <w:rPr>
          <w:rFonts w:ascii="Times New Roman" w:hAnsi="Times New Roman"/>
          <w:b/>
          <w:i/>
          <w:sz w:val="24"/>
          <w:szCs w:val="24"/>
        </w:rPr>
        <w:t xml:space="preserve"> </w:t>
      </w:r>
      <w:r w:rsidR="00F3205F" w:rsidRPr="007756D7">
        <w:rPr>
          <w:rFonts w:ascii="Times New Roman" w:hAnsi="Times New Roman"/>
          <w:b/>
          <w:i/>
          <w:sz w:val="24"/>
          <w:szCs w:val="24"/>
        </w:rPr>
        <w:t>по</w:t>
      </w:r>
      <w:r w:rsidR="00745199" w:rsidRPr="007756D7">
        <w:rPr>
          <w:rFonts w:ascii="Times New Roman" w:hAnsi="Times New Roman"/>
          <w:b/>
          <w:i/>
          <w:sz w:val="24"/>
          <w:szCs w:val="24"/>
        </w:rPr>
        <w:t xml:space="preserve"> приоритетни оси </w:t>
      </w:r>
      <w:r w:rsidR="00F3205F" w:rsidRPr="007756D7">
        <w:rPr>
          <w:rFonts w:ascii="Times New Roman" w:hAnsi="Times New Roman"/>
          <w:b/>
          <w:i/>
          <w:sz w:val="24"/>
          <w:szCs w:val="24"/>
        </w:rPr>
        <w:t>1</w:t>
      </w:r>
      <w:r w:rsidR="00745199" w:rsidRPr="007756D7">
        <w:rPr>
          <w:rFonts w:ascii="Times New Roman" w:hAnsi="Times New Roman"/>
          <w:b/>
          <w:i/>
          <w:sz w:val="24"/>
          <w:szCs w:val="24"/>
        </w:rPr>
        <w:t xml:space="preserve">, </w:t>
      </w:r>
      <w:r w:rsidR="00F3205F" w:rsidRPr="007756D7">
        <w:rPr>
          <w:rFonts w:ascii="Times New Roman" w:hAnsi="Times New Roman"/>
          <w:b/>
          <w:i/>
          <w:sz w:val="24"/>
          <w:szCs w:val="24"/>
        </w:rPr>
        <w:t xml:space="preserve">2 и 3 </w:t>
      </w:r>
      <w:r w:rsidR="00591A5B" w:rsidRPr="007756D7">
        <w:rPr>
          <w:rFonts w:ascii="Times New Roman" w:hAnsi="Times New Roman"/>
          <w:b/>
          <w:i/>
          <w:sz w:val="24"/>
          <w:szCs w:val="24"/>
        </w:rPr>
        <w:t xml:space="preserve">на </w:t>
      </w:r>
      <w:r w:rsidR="00F3205F" w:rsidRPr="007756D7">
        <w:rPr>
          <w:rFonts w:ascii="Times New Roman" w:hAnsi="Times New Roman"/>
          <w:b/>
          <w:i/>
          <w:sz w:val="24"/>
          <w:szCs w:val="24"/>
        </w:rPr>
        <w:t>ОПДУ</w:t>
      </w:r>
    </w:p>
    <w:p w14:paraId="7E15CA43" w14:textId="2572670A" w:rsidR="00EE2E46" w:rsidRDefault="00CB3727" w:rsidP="00256781">
      <w:pPr>
        <w:spacing w:before="120" w:after="120"/>
        <w:ind w:firstLine="708"/>
        <w:jc w:val="both"/>
      </w:pPr>
      <w:r w:rsidRPr="007756D7">
        <w:t xml:space="preserve">На базата на извършен анализ </w:t>
      </w:r>
      <w:r w:rsidR="00EE2E46">
        <w:t xml:space="preserve">от УО на ОПДУ и в съответствие с </w:t>
      </w:r>
      <w:r w:rsidR="00EE2E46" w:rsidRPr="00EE2E46">
        <w:t>указанията</w:t>
      </w:r>
      <w:r w:rsidR="00A1620A">
        <w:t>,</w:t>
      </w:r>
      <w:r w:rsidR="00EE2E46" w:rsidRPr="00EE2E46">
        <w:t xml:space="preserve"> дадени от Работната група на ЕК по Инициативата за инвестиции в отговор на </w:t>
      </w:r>
      <w:r w:rsidR="003537E8" w:rsidRPr="003537E8">
        <w:t>COVID-19</w:t>
      </w:r>
      <w:r w:rsidR="00EE2E46">
        <w:t>, вкл. и отговорите на често задавани въпроси</w:t>
      </w:r>
      <w:r w:rsidR="00EE2E46" w:rsidRPr="00EE2E46">
        <w:t xml:space="preserve"> </w:t>
      </w:r>
      <w:r w:rsidR="00EE2E46">
        <w:t>в тази връзка</w:t>
      </w:r>
      <w:r w:rsidR="00EE2E46">
        <w:rPr>
          <w:rStyle w:val="FootnoteReference"/>
        </w:rPr>
        <w:footnoteReference w:id="2"/>
      </w:r>
      <w:r w:rsidR="00EE2E46">
        <w:t xml:space="preserve">, </w:t>
      </w:r>
      <w:r w:rsidR="00C624E3">
        <w:t xml:space="preserve">размерът на </w:t>
      </w:r>
      <w:r w:rsidR="00EE2E46" w:rsidRPr="00EE2E46">
        <w:t>средствата, които бих</w:t>
      </w:r>
      <w:r w:rsidR="00EE2E46">
        <w:t>а</w:t>
      </w:r>
      <w:r w:rsidR="00EE2E46" w:rsidRPr="00EE2E46">
        <w:t xml:space="preserve"> могли да </w:t>
      </w:r>
      <w:r w:rsidR="00EE2E46">
        <w:t xml:space="preserve">бъдат прехвърлени от ОПДУ </w:t>
      </w:r>
      <w:r w:rsidR="00EE2E46" w:rsidRPr="00EE2E46">
        <w:t xml:space="preserve">са ограничени до размера на </w:t>
      </w:r>
      <w:r w:rsidR="00EE2E46" w:rsidRPr="006739F6">
        <w:rPr>
          <w:i/>
        </w:rPr>
        <w:t>основното разпределение</w:t>
      </w:r>
      <w:r w:rsidR="00EE2E46" w:rsidRPr="00EE2E46">
        <w:t xml:space="preserve"> и </w:t>
      </w:r>
      <w:r w:rsidR="00EE2E46" w:rsidRPr="006739F6">
        <w:rPr>
          <w:i/>
        </w:rPr>
        <w:t>резерва за изпълнение</w:t>
      </w:r>
      <w:r w:rsidR="00EE2E46" w:rsidRPr="00EE2E46">
        <w:t>, заложени в б</w:t>
      </w:r>
      <w:r w:rsidR="00EE2E46">
        <w:t>юджета на програмата за 2020 г., като п</w:t>
      </w:r>
      <w:r w:rsidR="00EE2E46" w:rsidRPr="00EE2E46">
        <w:t>рехвърлян</w:t>
      </w:r>
      <w:r w:rsidR="00EE2E46">
        <w:t>ето</w:t>
      </w:r>
      <w:r w:rsidR="00EE2E46" w:rsidRPr="00EE2E46">
        <w:t xml:space="preserve"> не мо</w:t>
      </w:r>
      <w:r w:rsidR="00EE2E46">
        <w:t>же</w:t>
      </w:r>
      <w:r w:rsidR="00EE2E46" w:rsidRPr="00EE2E46">
        <w:t xml:space="preserve"> да каса</w:t>
      </w:r>
      <w:r w:rsidR="00EE2E46">
        <w:t>е</w:t>
      </w:r>
      <w:r w:rsidR="00C624E3">
        <w:t xml:space="preserve"> предходни години, което п</w:t>
      </w:r>
      <w:r w:rsidR="00EE2E46" w:rsidRPr="00EE2E46">
        <w:t xml:space="preserve">редставлява </w:t>
      </w:r>
      <w:r w:rsidR="00EE2E46" w:rsidRPr="00C04E62">
        <w:t>105 000 000 лева</w:t>
      </w:r>
      <w:r w:rsidR="00EE2E46" w:rsidRPr="00EE2E46">
        <w:t xml:space="preserve"> (вкл. националното съфинансиране).</w:t>
      </w:r>
      <w:r w:rsidR="00C624E3">
        <w:t xml:space="preserve"> </w:t>
      </w:r>
    </w:p>
    <w:p w14:paraId="2B42E89B" w14:textId="0B7B96A9" w:rsidR="001A708B" w:rsidRPr="007756D7" w:rsidRDefault="00077971" w:rsidP="00256781">
      <w:pPr>
        <w:spacing w:before="120" w:after="120"/>
        <w:ind w:firstLine="708"/>
        <w:jc w:val="both"/>
      </w:pPr>
      <w:r w:rsidRPr="007756D7">
        <w:t xml:space="preserve">Средствата </w:t>
      </w:r>
      <w:r w:rsidR="00537C9A" w:rsidRPr="007756D7">
        <w:t>ще</w:t>
      </w:r>
      <w:r w:rsidRPr="007756D7">
        <w:t xml:space="preserve"> бъдат осигурени от </w:t>
      </w:r>
      <w:r w:rsidR="001D2136" w:rsidRPr="007756D7">
        <w:t xml:space="preserve">недоговорен </w:t>
      </w:r>
      <w:r w:rsidRPr="007756D7">
        <w:t xml:space="preserve">ресурс по </w:t>
      </w:r>
      <w:r w:rsidR="004F687F" w:rsidRPr="007756D7">
        <w:t>П</w:t>
      </w:r>
      <w:r w:rsidRPr="007756D7">
        <w:t>рограмата</w:t>
      </w:r>
      <w:r w:rsidR="002C10BB" w:rsidRPr="007756D7">
        <w:t>, както следва</w:t>
      </w:r>
      <w:r w:rsidR="00E46690" w:rsidRPr="007756D7">
        <w:rPr>
          <w:rStyle w:val="FootnoteReference"/>
        </w:rPr>
        <w:footnoteReference w:id="3"/>
      </w:r>
      <w:r w:rsidR="002C10BB" w:rsidRPr="007756D7">
        <w:t>:</w:t>
      </w:r>
    </w:p>
    <w:p w14:paraId="1FA26A71" w14:textId="60002AFB" w:rsidR="009C5367" w:rsidRPr="007756D7" w:rsidRDefault="002247F5" w:rsidP="00256781">
      <w:pPr>
        <w:pStyle w:val="ListParagraph"/>
        <w:numPr>
          <w:ilvl w:val="0"/>
          <w:numId w:val="15"/>
        </w:numPr>
        <w:spacing w:before="120" w:after="120" w:line="240" w:lineRule="auto"/>
        <w:ind w:left="567" w:hanging="567"/>
        <w:contextualSpacing w:val="0"/>
        <w:jc w:val="both"/>
        <w:rPr>
          <w:rFonts w:ascii="Times New Roman" w:hAnsi="Times New Roman"/>
          <w:sz w:val="24"/>
          <w:szCs w:val="24"/>
        </w:rPr>
      </w:pPr>
      <w:r w:rsidRPr="007756D7">
        <w:rPr>
          <w:rFonts w:ascii="Times New Roman" w:hAnsi="Times New Roman"/>
          <w:b/>
          <w:sz w:val="24"/>
          <w:szCs w:val="24"/>
        </w:rPr>
        <w:lastRenderedPageBreak/>
        <w:t>27</w:t>
      </w:r>
      <w:r w:rsidR="004D4354" w:rsidRPr="007756D7">
        <w:rPr>
          <w:rFonts w:ascii="Times New Roman" w:hAnsi="Times New Roman"/>
          <w:b/>
          <w:sz w:val="24"/>
          <w:szCs w:val="24"/>
        </w:rPr>
        <w:t>,</w:t>
      </w:r>
      <w:r w:rsidR="00FE4E33" w:rsidRPr="007756D7">
        <w:rPr>
          <w:rFonts w:ascii="Times New Roman" w:hAnsi="Times New Roman"/>
          <w:b/>
          <w:sz w:val="24"/>
          <w:szCs w:val="24"/>
        </w:rPr>
        <w:t xml:space="preserve">36 </w:t>
      </w:r>
      <w:r w:rsidR="002C10BB" w:rsidRPr="007756D7">
        <w:rPr>
          <w:rFonts w:ascii="Times New Roman" w:hAnsi="Times New Roman"/>
          <w:b/>
          <w:sz w:val="24"/>
          <w:szCs w:val="24"/>
        </w:rPr>
        <w:t xml:space="preserve">млн. лв. </w:t>
      </w:r>
      <w:r w:rsidR="00A60587" w:rsidRPr="007756D7">
        <w:rPr>
          <w:rFonts w:ascii="Times New Roman" w:hAnsi="Times New Roman"/>
          <w:b/>
          <w:sz w:val="24"/>
          <w:szCs w:val="24"/>
        </w:rPr>
        <w:t xml:space="preserve">от ПО </w:t>
      </w:r>
      <w:r w:rsidR="00F624EA" w:rsidRPr="007756D7">
        <w:rPr>
          <w:rFonts w:ascii="Times New Roman" w:hAnsi="Times New Roman"/>
          <w:b/>
          <w:sz w:val="24"/>
          <w:szCs w:val="24"/>
        </w:rPr>
        <w:t>1</w:t>
      </w:r>
      <w:r w:rsidR="00A60587" w:rsidRPr="007756D7">
        <w:rPr>
          <w:rFonts w:ascii="Times New Roman" w:hAnsi="Times New Roman"/>
          <w:sz w:val="24"/>
          <w:szCs w:val="24"/>
        </w:rPr>
        <w:t xml:space="preserve"> </w:t>
      </w:r>
      <w:r w:rsidR="00A60587" w:rsidRPr="007756D7">
        <w:rPr>
          <w:rFonts w:ascii="Times New Roman" w:hAnsi="Times New Roman"/>
          <w:b/>
          <w:sz w:val="24"/>
          <w:szCs w:val="24"/>
        </w:rPr>
        <w:t>„</w:t>
      </w:r>
      <w:r w:rsidR="00725F41" w:rsidRPr="007756D7">
        <w:rPr>
          <w:rFonts w:ascii="Times New Roman" w:hAnsi="Times New Roman"/>
          <w:b/>
          <w:sz w:val="24"/>
          <w:szCs w:val="24"/>
        </w:rPr>
        <w:t>Административно обслужване и е-управление</w:t>
      </w:r>
      <w:r w:rsidR="00A60587" w:rsidRPr="007756D7">
        <w:rPr>
          <w:rFonts w:ascii="Times New Roman" w:hAnsi="Times New Roman"/>
          <w:b/>
          <w:sz w:val="24"/>
          <w:szCs w:val="24"/>
        </w:rPr>
        <w:t>“</w:t>
      </w:r>
      <w:r w:rsidR="00725F41" w:rsidRPr="007756D7">
        <w:rPr>
          <w:rFonts w:ascii="Times New Roman" w:hAnsi="Times New Roman"/>
          <w:sz w:val="24"/>
          <w:szCs w:val="24"/>
        </w:rPr>
        <w:t xml:space="preserve">. Тези средства са част от бюджета, предвиден за изпълнение на мерки от </w:t>
      </w:r>
      <w:r w:rsidR="00D024A4" w:rsidRPr="007756D7">
        <w:rPr>
          <w:rFonts w:ascii="Times New Roman" w:hAnsi="Times New Roman"/>
          <w:sz w:val="24"/>
          <w:szCs w:val="24"/>
        </w:rPr>
        <w:t>Пътната карта за изпълнение на Стратегията за развитие на електронното управление в Република България за периода 2019-2023 г.</w:t>
      </w:r>
      <w:r w:rsidR="00BE2E6E" w:rsidRPr="007756D7">
        <w:rPr>
          <w:rFonts w:ascii="Times New Roman" w:hAnsi="Times New Roman"/>
          <w:sz w:val="24"/>
          <w:szCs w:val="24"/>
        </w:rPr>
        <w:t xml:space="preserve"> </w:t>
      </w:r>
      <w:r w:rsidR="009C5367" w:rsidRPr="007756D7">
        <w:rPr>
          <w:rFonts w:ascii="Times New Roman" w:hAnsi="Times New Roman"/>
          <w:sz w:val="24"/>
          <w:szCs w:val="24"/>
        </w:rPr>
        <w:t>(ПКЕУ).  В рамките на ПО</w:t>
      </w:r>
      <w:r w:rsidR="00EC1AAA">
        <w:rPr>
          <w:rFonts w:ascii="Times New Roman" w:hAnsi="Times New Roman"/>
          <w:sz w:val="24"/>
          <w:szCs w:val="24"/>
        </w:rPr>
        <w:t xml:space="preserve"> </w:t>
      </w:r>
      <w:r w:rsidR="009C5367" w:rsidRPr="007756D7">
        <w:rPr>
          <w:rFonts w:ascii="Times New Roman" w:hAnsi="Times New Roman"/>
          <w:sz w:val="24"/>
          <w:szCs w:val="24"/>
        </w:rPr>
        <w:t xml:space="preserve">1 се запазва ресурс за финансиране на процедурите, предвидени в ИГРП 2020, реализиране на фаза 2 на Проект „Надграждане на хоризонталните и централизирани системи на електронното управление във връзка с прилагане на Единния модел за заявяване, заплащане и предоставяне на електронни административни услуги“ на </w:t>
      </w:r>
      <w:r w:rsidR="00645A36">
        <w:rPr>
          <w:rFonts w:ascii="Times New Roman" w:hAnsi="Times New Roman"/>
          <w:sz w:val="24"/>
          <w:szCs w:val="24"/>
        </w:rPr>
        <w:t>Държавна агенция „Електронно управление“ (</w:t>
      </w:r>
      <w:r w:rsidR="009C5367" w:rsidRPr="007756D7">
        <w:rPr>
          <w:rFonts w:ascii="Times New Roman" w:hAnsi="Times New Roman"/>
          <w:sz w:val="24"/>
          <w:szCs w:val="24"/>
        </w:rPr>
        <w:t>ДАЕУ</w:t>
      </w:r>
      <w:r w:rsidR="00645A36">
        <w:rPr>
          <w:rFonts w:ascii="Times New Roman" w:hAnsi="Times New Roman"/>
          <w:sz w:val="24"/>
          <w:szCs w:val="24"/>
        </w:rPr>
        <w:t>)</w:t>
      </w:r>
      <w:r w:rsidR="009C5367" w:rsidRPr="007756D7">
        <w:rPr>
          <w:rFonts w:ascii="Times New Roman" w:hAnsi="Times New Roman"/>
          <w:sz w:val="24"/>
          <w:szCs w:val="24"/>
        </w:rPr>
        <w:t xml:space="preserve">, както и за изпълнение на мерки съгласно Концепцията за </w:t>
      </w:r>
      <w:proofErr w:type="spellStart"/>
      <w:r w:rsidR="009C5367" w:rsidRPr="007756D7">
        <w:rPr>
          <w:rFonts w:ascii="Times New Roman" w:hAnsi="Times New Roman"/>
          <w:sz w:val="24"/>
          <w:szCs w:val="24"/>
        </w:rPr>
        <w:t>регистрова</w:t>
      </w:r>
      <w:proofErr w:type="spellEnd"/>
      <w:r w:rsidR="009C5367" w:rsidRPr="007756D7">
        <w:rPr>
          <w:rFonts w:ascii="Times New Roman" w:hAnsi="Times New Roman"/>
          <w:sz w:val="24"/>
          <w:szCs w:val="24"/>
        </w:rPr>
        <w:t xml:space="preserve"> реформа и други мерки от ПКЕУ, които са с висока степен на зрялост и имат съществено значение за развитие на електронното управление.</w:t>
      </w:r>
    </w:p>
    <w:p w14:paraId="29DF0D8A" w14:textId="299F14E8" w:rsidR="00D72194" w:rsidRPr="009C3DD8" w:rsidRDefault="00253563" w:rsidP="00256781">
      <w:pPr>
        <w:pStyle w:val="ListParagraph"/>
        <w:numPr>
          <w:ilvl w:val="0"/>
          <w:numId w:val="15"/>
        </w:numPr>
        <w:spacing w:before="120" w:after="120" w:line="240" w:lineRule="auto"/>
        <w:ind w:left="567" w:hanging="567"/>
        <w:contextualSpacing w:val="0"/>
        <w:jc w:val="both"/>
        <w:rPr>
          <w:rFonts w:ascii="Times New Roman" w:hAnsi="Times New Roman"/>
          <w:sz w:val="24"/>
          <w:szCs w:val="24"/>
        </w:rPr>
      </w:pPr>
      <w:r w:rsidRPr="009C3DD8">
        <w:rPr>
          <w:rFonts w:ascii="Times New Roman" w:hAnsi="Times New Roman"/>
          <w:b/>
          <w:sz w:val="24"/>
          <w:szCs w:val="24"/>
        </w:rPr>
        <w:t>59</w:t>
      </w:r>
      <w:r w:rsidR="00D72194" w:rsidRPr="009C3DD8">
        <w:rPr>
          <w:rFonts w:ascii="Times New Roman" w:hAnsi="Times New Roman"/>
          <w:b/>
          <w:sz w:val="24"/>
          <w:szCs w:val="24"/>
        </w:rPr>
        <w:t xml:space="preserve"> млн. лв. от ПО </w:t>
      </w:r>
      <w:r w:rsidR="00D024A4" w:rsidRPr="009C3DD8">
        <w:rPr>
          <w:rFonts w:ascii="Times New Roman" w:hAnsi="Times New Roman"/>
          <w:b/>
          <w:sz w:val="24"/>
          <w:szCs w:val="24"/>
        </w:rPr>
        <w:t>2</w:t>
      </w:r>
      <w:r w:rsidR="00D72194" w:rsidRPr="009C3DD8">
        <w:rPr>
          <w:rFonts w:ascii="Times New Roman" w:hAnsi="Times New Roman"/>
          <w:b/>
          <w:sz w:val="24"/>
          <w:szCs w:val="24"/>
        </w:rPr>
        <w:t xml:space="preserve"> „</w:t>
      </w:r>
      <w:r w:rsidR="0051746C" w:rsidRPr="009C3DD8">
        <w:rPr>
          <w:rFonts w:ascii="Times New Roman" w:hAnsi="Times New Roman"/>
          <w:b/>
          <w:sz w:val="24"/>
          <w:szCs w:val="24"/>
        </w:rPr>
        <w:t>Ефективно и професионално управление в партньорство с гражданското общество и бизнеса“</w:t>
      </w:r>
      <w:r w:rsidR="0051746C" w:rsidRPr="009C3DD8">
        <w:rPr>
          <w:rFonts w:ascii="Times New Roman" w:hAnsi="Times New Roman"/>
          <w:sz w:val="24"/>
          <w:szCs w:val="24"/>
        </w:rPr>
        <w:t>. Това</w:t>
      </w:r>
      <w:r w:rsidR="004B3B5F" w:rsidRPr="009C3DD8">
        <w:rPr>
          <w:rFonts w:ascii="Times New Roman" w:hAnsi="Times New Roman"/>
          <w:sz w:val="24"/>
          <w:szCs w:val="24"/>
        </w:rPr>
        <w:t xml:space="preserve"> са</w:t>
      </w:r>
      <w:r w:rsidR="0051746C" w:rsidRPr="009C3DD8">
        <w:rPr>
          <w:rFonts w:ascii="Times New Roman" w:hAnsi="Times New Roman"/>
          <w:sz w:val="24"/>
          <w:szCs w:val="24"/>
        </w:rPr>
        <w:t xml:space="preserve"> </w:t>
      </w:r>
      <w:r w:rsidR="00B1035E" w:rsidRPr="009C3DD8">
        <w:rPr>
          <w:rFonts w:ascii="Times New Roman" w:hAnsi="Times New Roman"/>
          <w:sz w:val="24"/>
          <w:szCs w:val="24"/>
        </w:rPr>
        <w:t xml:space="preserve">средствата, които към момента не са договорени по </w:t>
      </w:r>
      <w:r w:rsidR="009C3DD8" w:rsidRPr="009C3DD8">
        <w:rPr>
          <w:rFonts w:ascii="Times New Roman" w:hAnsi="Times New Roman"/>
          <w:sz w:val="24"/>
          <w:szCs w:val="24"/>
        </w:rPr>
        <w:t>оста</w:t>
      </w:r>
      <w:r w:rsidR="00B1035E" w:rsidRPr="009C3DD8">
        <w:rPr>
          <w:rFonts w:ascii="Times New Roman" w:hAnsi="Times New Roman"/>
          <w:sz w:val="24"/>
          <w:szCs w:val="24"/>
        </w:rPr>
        <w:t xml:space="preserve"> и не са предвидени в </w:t>
      </w:r>
      <w:r w:rsidR="0051746C" w:rsidRPr="009C3DD8">
        <w:rPr>
          <w:rFonts w:ascii="Times New Roman" w:hAnsi="Times New Roman"/>
          <w:sz w:val="24"/>
          <w:szCs w:val="24"/>
        </w:rPr>
        <w:t>ИГРП 2019 и 2020</w:t>
      </w:r>
      <w:r w:rsidR="002B17D4" w:rsidRPr="009C3DD8">
        <w:rPr>
          <w:rFonts w:ascii="Times New Roman" w:hAnsi="Times New Roman"/>
          <w:sz w:val="24"/>
          <w:szCs w:val="24"/>
        </w:rPr>
        <w:t>.</w:t>
      </w:r>
      <w:r w:rsidR="0051746C" w:rsidRPr="009C3DD8">
        <w:rPr>
          <w:rFonts w:ascii="Times New Roman" w:hAnsi="Times New Roman"/>
          <w:sz w:val="24"/>
          <w:szCs w:val="24"/>
        </w:rPr>
        <w:t xml:space="preserve"> </w:t>
      </w:r>
      <w:r w:rsidR="004B3B5F" w:rsidRPr="009C3DD8">
        <w:rPr>
          <w:rFonts w:ascii="Times New Roman" w:hAnsi="Times New Roman"/>
          <w:sz w:val="24"/>
          <w:szCs w:val="24"/>
        </w:rPr>
        <w:t xml:space="preserve">В </w:t>
      </w:r>
      <w:r w:rsidR="00EC6CD4" w:rsidRPr="009C3DD8">
        <w:rPr>
          <w:rFonts w:ascii="Times New Roman" w:hAnsi="Times New Roman"/>
          <w:sz w:val="24"/>
          <w:szCs w:val="24"/>
        </w:rPr>
        <w:t xml:space="preserve">рамките на ПО 2 се запазва финансов ресурс в размер от 5 млн. лева, който може да бъде използван за финансиране на </w:t>
      </w:r>
      <w:r w:rsidR="00B1035E" w:rsidRPr="009C3DD8">
        <w:rPr>
          <w:rFonts w:ascii="Times New Roman" w:hAnsi="Times New Roman"/>
          <w:sz w:val="24"/>
          <w:szCs w:val="24"/>
        </w:rPr>
        <w:t xml:space="preserve"> </w:t>
      </w:r>
      <w:r w:rsidR="00EC6CD4" w:rsidRPr="009C3DD8">
        <w:rPr>
          <w:rFonts w:ascii="Times New Roman" w:hAnsi="Times New Roman"/>
          <w:sz w:val="24"/>
          <w:szCs w:val="24"/>
        </w:rPr>
        <w:t>мерки от ПКЕУ</w:t>
      </w:r>
      <w:r w:rsidR="00B1035E" w:rsidRPr="009C3DD8">
        <w:rPr>
          <w:rFonts w:ascii="Times New Roman" w:hAnsi="Times New Roman"/>
          <w:sz w:val="24"/>
          <w:szCs w:val="24"/>
        </w:rPr>
        <w:t xml:space="preserve"> и други</w:t>
      </w:r>
      <w:r w:rsidR="00EC6CD4" w:rsidRPr="009C3DD8">
        <w:rPr>
          <w:rFonts w:ascii="Times New Roman" w:hAnsi="Times New Roman"/>
          <w:sz w:val="24"/>
          <w:szCs w:val="24"/>
        </w:rPr>
        <w:t xml:space="preserve">, които </w:t>
      </w:r>
      <w:r w:rsidR="00B1035E" w:rsidRPr="009C3DD8">
        <w:rPr>
          <w:rFonts w:ascii="Times New Roman" w:hAnsi="Times New Roman"/>
          <w:sz w:val="24"/>
          <w:szCs w:val="24"/>
        </w:rPr>
        <w:t xml:space="preserve">са </w:t>
      </w:r>
      <w:r w:rsidR="00EC6CD4" w:rsidRPr="009C3DD8">
        <w:rPr>
          <w:rFonts w:ascii="Times New Roman" w:hAnsi="Times New Roman"/>
          <w:sz w:val="24"/>
          <w:szCs w:val="24"/>
        </w:rPr>
        <w:t>в обхвата на ПО 2</w:t>
      </w:r>
      <w:r w:rsidR="004B3B5F" w:rsidRPr="009C3DD8">
        <w:rPr>
          <w:rFonts w:ascii="Times New Roman" w:hAnsi="Times New Roman"/>
          <w:sz w:val="24"/>
          <w:szCs w:val="24"/>
        </w:rPr>
        <w:t xml:space="preserve"> и могат да бъдат изпълнени до 2023</w:t>
      </w:r>
      <w:r w:rsidR="00EC6CD4" w:rsidRPr="009C3DD8">
        <w:rPr>
          <w:rFonts w:ascii="Times New Roman" w:hAnsi="Times New Roman"/>
          <w:sz w:val="24"/>
          <w:szCs w:val="24"/>
        </w:rPr>
        <w:t xml:space="preserve">. </w:t>
      </w:r>
      <w:r w:rsidR="009C3DD8">
        <w:rPr>
          <w:rFonts w:ascii="Times New Roman" w:hAnsi="Times New Roman"/>
          <w:sz w:val="24"/>
          <w:szCs w:val="24"/>
        </w:rPr>
        <w:t xml:space="preserve"> В рамките на ост</w:t>
      </w:r>
      <w:r w:rsidR="00B1035E" w:rsidRPr="009C3DD8">
        <w:rPr>
          <w:rFonts w:ascii="Times New Roman" w:hAnsi="Times New Roman"/>
          <w:sz w:val="24"/>
          <w:szCs w:val="24"/>
        </w:rPr>
        <w:t xml:space="preserve">а се </w:t>
      </w:r>
      <w:r w:rsidRPr="009C3DD8">
        <w:rPr>
          <w:rFonts w:ascii="Times New Roman" w:hAnsi="Times New Roman"/>
          <w:sz w:val="24"/>
          <w:szCs w:val="24"/>
        </w:rPr>
        <w:t>финансира</w:t>
      </w:r>
      <w:r w:rsidR="00B1035E" w:rsidRPr="009C3DD8">
        <w:rPr>
          <w:rFonts w:ascii="Times New Roman" w:hAnsi="Times New Roman"/>
          <w:sz w:val="24"/>
          <w:szCs w:val="24"/>
        </w:rPr>
        <w:t>т</w:t>
      </w:r>
      <w:r w:rsidRPr="009C3DD8">
        <w:rPr>
          <w:rFonts w:ascii="Times New Roman" w:hAnsi="Times New Roman"/>
          <w:sz w:val="24"/>
          <w:szCs w:val="24"/>
        </w:rPr>
        <w:t xml:space="preserve"> мерките, предвидени в </w:t>
      </w:r>
      <w:r w:rsidR="00E31130" w:rsidRPr="009C3DD8">
        <w:rPr>
          <w:rFonts w:ascii="Times New Roman" w:hAnsi="Times New Roman"/>
          <w:sz w:val="24"/>
          <w:szCs w:val="24"/>
        </w:rPr>
        <w:t>Пътната карта за изпълнение на Стратегията за развитие на държавната администрация (</w:t>
      </w:r>
      <w:r w:rsidRPr="009C3DD8">
        <w:rPr>
          <w:rFonts w:ascii="Times New Roman" w:hAnsi="Times New Roman"/>
          <w:sz w:val="24"/>
          <w:szCs w:val="24"/>
        </w:rPr>
        <w:t>ПКСРДА</w:t>
      </w:r>
      <w:r w:rsidR="00E31130" w:rsidRPr="009C3DD8">
        <w:rPr>
          <w:rFonts w:ascii="Times New Roman" w:hAnsi="Times New Roman"/>
          <w:sz w:val="24"/>
          <w:szCs w:val="24"/>
        </w:rPr>
        <w:t>)</w:t>
      </w:r>
      <w:r w:rsidRPr="009C3DD8">
        <w:rPr>
          <w:rFonts w:ascii="Times New Roman" w:hAnsi="Times New Roman"/>
          <w:sz w:val="24"/>
          <w:szCs w:val="24"/>
        </w:rPr>
        <w:t xml:space="preserve">. </w:t>
      </w:r>
      <w:r w:rsidR="00BB5BE2" w:rsidRPr="00BB5BE2">
        <w:rPr>
          <w:rFonts w:ascii="Times New Roman" w:hAnsi="Times New Roman"/>
          <w:sz w:val="24"/>
          <w:szCs w:val="24"/>
        </w:rPr>
        <w:t>Необходимостта от изпълнението на някои от тях е отпаднала във връзка с настъпили промени в подхода на реа</w:t>
      </w:r>
      <w:r w:rsidR="00BB5BE2">
        <w:rPr>
          <w:rFonts w:ascii="Times New Roman" w:hAnsi="Times New Roman"/>
          <w:sz w:val="24"/>
          <w:szCs w:val="24"/>
        </w:rPr>
        <w:t>лизиране на конкретни политики.</w:t>
      </w:r>
    </w:p>
    <w:p w14:paraId="1A741930" w14:textId="3D07C957" w:rsidR="00783E1E" w:rsidRDefault="00FF52EC" w:rsidP="00256781">
      <w:pPr>
        <w:pStyle w:val="ListParagraph"/>
        <w:numPr>
          <w:ilvl w:val="0"/>
          <w:numId w:val="15"/>
        </w:numPr>
        <w:spacing w:before="120" w:after="120" w:line="240" w:lineRule="auto"/>
        <w:ind w:left="567" w:hanging="567"/>
        <w:contextualSpacing w:val="0"/>
        <w:jc w:val="both"/>
        <w:rPr>
          <w:rFonts w:ascii="Times New Roman" w:hAnsi="Times New Roman"/>
          <w:sz w:val="24"/>
          <w:szCs w:val="24"/>
        </w:rPr>
      </w:pPr>
      <w:r w:rsidRPr="007756D7">
        <w:rPr>
          <w:rFonts w:ascii="Times New Roman" w:hAnsi="Times New Roman"/>
          <w:b/>
          <w:sz w:val="24"/>
          <w:szCs w:val="24"/>
        </w:rPr>
        <w:t>18</w:t>
      </w:r>
      <w:r w:rsidR="00DF630B" w:rsidRPr="007756D7">
        <w:rPr>
          <w:rFonts w:ascii="Times New Roman" w:hAnsi="Times New Roman"/>
          <w:b/>
          <w:sz w:val="24"/>
          <w:szCs w:val="24"/>
        </w:rPr>
        <w:t>,6</w:t>
      </w:r>
      <w:r w:rsidR="00FE4E33" w:rsidRPr="007756D7">
        <w:rPr>
          <w:rFonts w:ascii="Times New Roman" w:hAnsi="Times New Roman"/>
          <w:b/>
          <w:sz w:val="24"/>
          <w:szCs w:val="24"/>
        </w:rPr>
        <w:t>4</w:t>
      </w:r>
      <w:r w:rsidR="008002E6" w:rsidRPr="007756D7">
        <w:rPr>
          <w:rFonts w:ascii="Times New Roman" w:hAnsi="Times New Roman"/>
          <w:b/>
          <w:sz w:val="24"/>
          <w:szCs w:val="24"/>
        </w:rPr>
        <w:t xml:space="preserve"> </w:t>
      </w:r>
      <w:r w:rsidR="00783E1E" w:rsidRPr="007756D7">
        <w:rPr>
          <w:rFonts w:ascii="Times New Roman" w:hAnsi="Times New Roman"/>
          <w:b/>
          <w:sz w:val="24"/>
          <w:szCs w:val="24"/>
        </w:rPr>
        <w:t xml:space="preserve">млн. лв. от ПО </w:t>
      </w:r>
      <w:r w:rsidR="0051746C" w:rsidRPr="007756D7">
        <w:rPr>
          <w:rFonts w:ascii="Times New Roman" w:hAnsi="Times New Roman"/>
          <w:b/>
          <w:sz w:val="24"/>
          <w:szCs w:val="24"/>
        </w:rPr>
        <w:t>3</w:t>
      </w:r>
      <w:r w:rsidR="00783E1E" w:rsidRPr="007756D7">
        <w:rPr>
          <w:rFonts w:ascii="Times New Roman" w:hAnsi="Times New Roman"/>
          <w:b/>
          <w:sz w:val="24"/>
          <w:szCs w:val="24"/>
        </w:rPr>
        <w:t xml:space="preserve"> „</w:t>
      </w:r>
      <w:r w:rsidR="00FA19EA" w:rsidRPr="007756D7">
        <w:rPr>
          <w:rFonts w:ascii="Times New Roman" w:hAnsi="Times New Roman"/>
          <w:b/>
          <w:sz w:val="24"/>
          <w:szCs w:val="24"/>
        </w:rPr>
        <w:t>Прозрачна и ефективна съдебна система</w:t>
      </w:r>
      <w:r w:rsidR="00023A17" w:rsidRPr="007756D7">
        <w:rPr>
          <w:rFonts w:ascii="Times New Roman" w:hAnsi="Times New Roman"/>
          <w:b/>
          <w:sz w:val="24"/>
          <w:szCs w:val="24"/>
        </w:rPr>
        <w:t>“</w:t>
      </w:r>
      <w:r w:rsidR="00FA19EA" w:rsidRPr="007756D7">
        <w:rPr>
          <w:rFonts w:ascii="Times New Roman" w:hAnsi="Times New Roman"/>
          <w:sz w:val="24"/>
          <w:szCs w:val="24"/>
        </w:rPr>
        <w:t xml:space="preserve">. Това са средствата, които към момента не са договорени по оста и не са предвидени в ИГРП 2020 г. </w:t>
      </w:r>
      <w:r w:rsidR="00DB4C1C" w:rsidRPr="007756D7">
        <w:rPr>
          <w:rFonts w:ascii="Times New Roman" w:hAnsi="Times New Roman"/>
          <w:sz w:val="24"/>
          <w:szCs w:val="24"/>
        </w:rPr>
        <w:t xml:space="preserve">В допълнение на ресурса, необходим за планираните в ИГРП 2020 процедури в рамките на ПО 3 се запазва финансов ресурс </w:t>
      </w:r>
      <w:r w:rsidR="002162A7" w:rsidRPr="007756D7">
        <w:rPr>
          <w:rFonts w:ascii="Times New Roman" w:hAnsi="Times New Roman"/>
          <w:sz w:val="24"/>
          <w:szCs w:val="24"/>
        </w:rPr>
        <w:t>от 2 млн. лв. за предстоящи процедури</w:t>
      </w:r>
      <w:r w:rsidR="00E31130" w:rsidRPr="007756D7">
        <w:rPr>
          <w:rFonts w:ascii="Times New Roman" w:hAnsi="Times New Roman"/>
          <w:sz w:val="24"/>
          <w:szCs w:val="24"/>
        </w:rPr>
        <w:t>,</w:t>
      </w:r>
      <w:r w:rsidR="002162A7" w:rsidRPr="007756D7">
        <w:rPr>
          <w:rFonts w:ascii="Times New Roman" w:hAnsi="Times New Roman"/>
          <w:sz w:val="24"/>
          <w:szCs w:val="24"/>
        </w:rPr>
        <w:t xml:space="preserve"> свързани с обезпечаване на функционирането на Единна</w:t>
      </w:r>
      <w:r w:rsidR="00E31130" w:rsidRPr="007756D7">
        <w:rPr>
          <w:rFonts w:ascii="Times New Roman" w:hAnsi="Times New Roman"/>
          <w:sz w:val="24"/>
          <w:szCs w:val="24"/>
        </w:rPr>
        <w:t>та</w:t>
      </w:r>
      <w:r w:rsidR="002162A7" w:rsidRPr="007756D7">
        <w:rPr>
          <w:rFonts w:ascii="Times New Roman" w:hAnsi="Times New Roman"/>
          <w:sz w:val="24"/>
          <w:szCs w:val="24"/>
        </w:rPr>
        <w:t xml:space="preserve"> информационна система на съдилищата (ЕИСС) за водене на дела по електронен път. </w:t>
      </w:r>
    </w:p>
    <w:p w14:paraId="109611EB" w14:textId="263A056B" w:rsidR="006E287A" w:rsidRPr="006E287A" w:rsidRDefault="006E287A" w:rsidP="006E287A">
      <w:pPr>
        <w:spacing w:after="160" w:line="259" w:lineRule="auto"/>
        <w:ind w:firstLine="567"/>
        <w:jc w:val="both"/>
        <w:rPr>
          <w:rFonts w:eastAsia="Calibri"/>
          <w:szCs w:val="24"/>
        </w:rPr>
      </w:pPr>
      <w:r w:rsidRPr="006E287A">
        <w:rPr>
          <w:rFonts w:eastAsia="Calibri"/>
          <w:szCs w:val="24"/>
        </w:rPr>
        <w:t>Намаляването на бюджета на ОПДУ е свързано с коригиране на съответните финансови разчети по Приоритетни оси 1, 2 и 3</w:t>
      </w:r>
      <w:r w:rsidR="000C794B" w:rsidRPr="00A555F8">
        <w:rPr>
          <w:rFonts w:eastAsia="Calibri"/>
          <w:szCs w:val="24"/>
          <w:lang w:val="ru-RU"/>
        </w:rPr>
        <w:t>,</w:t>
      </w:r>
      <w:r w:rsidRPr="006E287A">
        <w:rPr>
          <w:rFonts w:eastAsia="Calibri"/>
          <w:szCs w:val="24"/>
        </w:rPr>
        <w:t xml:space="preserve"> </w:t>
      </w:r>
      <w:r w:rsidR="000C794B" w:rsidRPr="00A555F8">
        <w:rPr>
          <w:rFonts w:eastAsia="Calibri"/>
          <w:szCs w:val="24"/>
          <w:lang w:val="ru-RU"/>
        </w:rPr>
        <w:t>категории</w:t>
      </w:r>
      <w:r w:rsidRPr="006E287A">
        <w:rPr>
          <w:rFonts w:eastAsia="Calibri"/>
          <w:szCs w:val="24"/>
        </w:rPr>
        <w:t xml:space="preserve"> </w:t>
      </w:r>
      <w:proofErr w:type="spellStart"/>
      <w:r w:rsidRPr="006E287A">
        <w:rPr>
          <w:rFonts w:eastAsia="Calibri"/>
          <w:szCs w:val="24"/>
        </w:rPr>
        <w:t>интервенци</w:t>
      </w:r>
      <w:proofErr w:type="spellEnd"/>
      <w:r w:rsidR="000C794B" w:rsidRPr="00A555F8">
        <w:rPr>
          <w:rFonts w:eastAsia="Calibri"/>
          <w:szCs w:val="24"/>
          <w:lang w:val="ru-RU"/>
        </w:rPr>
        <w:t>и</w:t>
      </w:r>
      <w:r w:rsidRPr="006E287A">
        <w:rPr>
          <w:rFonts w:eastAsia="Calibri"/>
          <w:szCs w:val="24"/>
        </w:rPr>
        <w:t>, включително финансовия план на програмата.</w:t>
      </w:r>
    </w:p>
    <w:p w14:paraId="3120E36C" w14:textId="5C4E38D2" w:rsidR="00440313" w:rsidRPr="007756D7" w:rsidRDefault="00D643BE" w:rsidP="00256781">
      <w:pPr>
        <w:pStyle w:val="ListParagraph"/>
        <w:numPr>
          <w:ilvl w:val="0"/>
          <w:numId w:val="35"/>
        </w:numPr>
        <w:spacing w:before="240" w:after="120" w:line="240" w:lineRule="auto"/>
        <w:ind w:left="993" w:hanging="273"/>
        <w:contextualSpacing w:val="0"/>
        <w:jc w:val="both"/>
        <w:rPr>
          <w:rFonts w:ascii="Times New Roman" w:hAnsi="Times New Roman"/>
          <w:b/>
          <w:i/>
          <w:sz w:val="24"/>
          <w:szCs w:val="24"/>
        </w:rPr>
      </w:pPr>
      <w:r w:rsidRPr="007756D7">
        <w:rPr>
          <w:rFonts w:ascii="Times New Roman" w:hAnsi="Times New Roman"/>
          <w:b/>
          <w:i/>
          <w:sz w:val="24"/>
          <w:szCs w:val="24"/>
        </w:rPr>
        <w:t xml:space="preserve">Промяна на индикаторите по приоритетни оси </w:t>
      </w:r>
      <w:r w:rsidR="00F12385" w:rsidRPr="007756D7">
        <w:rPr>
          <w:rFonts w:ascii="Times New Roman" w:hAnsi="Times New Roman"/>
          <w:b/>
          <w:i/>
          <w:sz w:val="24"/>
          <w:szCs w:val="24"/>
        </w:rPr>
        <w:t xml:space="preserve">1, </w:t>
      </w:r>
      <w:r w:rsidRPr="007756D7">
        <w:rPr>
          <w:rFonts w:ascii="Times New Roman" w:hAnsi="Times New Roman"/>
          <w:b/>
          <w:i/>
          <w:sz w:val="24"/>
          <w:szCs w:val="24"/>
        </w:rPr>
        <w:t xml:space="preserve">2 и </w:t>
      </w:r>
      <w:r w:rsidR="00F12385" w:rsidRPr="007756D7">
        <w:rPr>
          <w:rFonts w:ascii="Times New Roman" w:hAnsi="Times New Roman"/>
          <w:b/>
          <w:i/>
          <w:sz w:val="24"/>
          <w:szCs w:val="24"/>
        </w:rPr>
        <w:t>3</w:t>
      </w:r>
    </w:p>
    <w:p w14:paraId="6569D158" w14:textId="7A8365B6" w:rsidR="00DF1802" w:rsidRDefault="00F12385" w:rsidP="00DF1802">
      <w:pPr>
        <w:spacing w:before="120" w:after="120"/>
        <w:ind w:firstLine="709"/>
        <w:jc w:val="both"/>
      </w:pPr>
      <w:r w:rsidRPr="007756D7">
        <w:t>Значителното намаляване на средствата по трите оси</w:t>
      </w:r>
      <w:r w:rsidR="0099493F" w:rsidRPr="007756D7">
        <w:t xml:space="preserve"> ще </w:t>
      </w:r>
      <w:r w:rsidRPr="007756D7">
        <w:t>се отрази в</w:t>
      </w:r>
      <w:r w:rsidR="0099493F" w:rsidRPr="007756D7">
        <w:t xml:space="preserve">ърху </w:t>
      </w:r>
      <w:r w:rsidR="00312523" w:rsidRPr="007756D7">
        <w:t xml:space="preserve">част от </w:t>
      </w:r>
      <w:r w:rsidRPr="007756D7">
        <w:t xml:space="preserve">целевите стойности на </w:t>
      </w:r>
      <w:r w:rsidR="007B01E4">
        <w:t xml:space="preserve">определени </w:t>
      </w:r>
      <w:r w:rsidRPr="007756D7">
        <w:t>индикатори, които следва да бъдат постигнати към 2023</w:t>
      </w:r>
      <w:r w:rsidR="00A411C9">
        <w:t> </w:t>
      </w:r>
      <w:r w:rsidRPr="007756D7">
        <w:t>г.</w:t>
      </w:r>
      <w:r w:rsidR="00312523" w:rsidRPr="007756D7">
        <w:t xml:space="preserve"> и нал</w:t>
      </w:r>
      <w:r w:rsidR="007B01E4">
        <w:t>ага</w:t>
      </w:r>
      <w:r w:rsidR="00312523" w:rsidRPr="007756D7">
        <w:t xml:space="preserve"> отпадане</w:t>
      </w:r>
      <w:r w:rsidR="007756D7" w:rsidRPr="007756D7">
        <w:t xml:space="preserve"> и</w:t>
      </w:r>
      <w:r w:rsidR="007B01E4">
        <w:t>/или</w:t>
      </w:r>
      <w:r w:rsidR="007756D7" w:rsidRPr="007756D7">
        <w:t xml:space="preserve"> намаляване на целевите стойности</w:t>
      </w:r>
      <w:r w:rsidR="00312523" w:rsidRPr="007756D7">
        <w:t xml:space="preserve"> на индикатори по </w:t>
      </w:r>
      <w:proofErr w:type="spellStart"/>
      <w:r w:rsidR="00BE2E6E" w:rsidRPr="007756D7">
        <w:t>ПО</w:t>
      </w:r>
      <w:proofErr w:type="spellEnd"/>
      <w:r w:rsidR="00BE2E6E" w:rsidRPr="007756D7">
        <w:t xml:space="preserve"> 1 и </w:t>
      </w:r>
      <w:r w:rsidR="00312523" w:rsidRPr="007756D7">
        <w:t>ПО 2</w:t>
      </w:r>
      <w:r w:rsidR="007B01E4">
        <w:t>.</w:t>
      </w:r>
      <w:r w:rsidRPr="007756D7">
        <w:t xml:space="preserve"> </w:t>
      </w:r>
      <w:r w:rsidR="00C76FAC" w:rsidRPr="00CF333E">
        <w:t xml:space="preserve">В допълнение са предложени корекции на индикатори, при които е установено </w:t>
      </w:r>
      <w:r w:rsidR="00144371">
        <w:t>по</w:t>
      </w:r>
      <w:r w:rsidR="00C76FAC" w:rsidRPr="00CF333E">
        <w:t xml:space="preserve">грешно </w:t>
      </w:r>
      <w:r w:rsidR="00144371">
        <w:t>допускане</w:t>
      </w:r>
      <w:r w:rsidR="0087273B" w:rsidRPr="00CF333E">
        <w:rPr>
          <w:lang w:val="ru-RU"/>
        </w:rPr>
        <w:t xml:space="preserve"> при </w:t>
      </w:r>
      <w:r w:rsidR="0087273B" w:rsidRPr="00CF333E">
        <w:t xml:space="preserve">програмирането </w:t>
      </w:r>
      <w:r w:rsidR="0056003F" w:rsidRPr="00CF333E">
        <w:t xml:space="preserve">през </w:t>
      </w:r>
      <w:r w:rsidR="0087273B" w:rsidRPr="00CF333E">
        <w:rPr>
          <w:lang w:val="ru-RU"/>
        </w:rPr>
        <w:t>2014 г.</w:t>
      </w:r>
      <w:r w:rsidR="004A5E5D" w:rsidRPr="00CF333E">
        <w:rPr>
          <w:lang w:val="ru-RU"/>
        </w:rPr>
        <w:t xml:space="preserve"> </w:t>
      </w:r>
      <w:r w:rsidR="001B1FFB" w:rsidRPr="00CF333E">
        <w:t>или промяна в политиката.</w:t>
      </w:r>
      <w:r w:rsidR="001B1FFB" w:rsidRPr="00CF333E">
        <w:rPr>
          <w:lang w:val="ru-RU"/>
        </w:rPr>
        <w:t xml:space="preserve"> </w:t>
      </w:r>
      <w:r w:rsidR="002407A0" w:rsidRPr="00CF333E">
        <w:t>Предложените промени</w:t>
      </w:r>
      <w:r w:rsidR="00945CF2" w:rsidRPr="00CF333E">
        <w:t xml:space="preserve"> на целев</w:t>
      </w:r>
      <w:r w:rsidR="0087273B" w:rsidRPr="00CF333E">
        <w:t>ите</w:t>
      </w:r>
      <w:r w:rsidR="00945CF2" w:rsidRPr="00CF333E">
        <w:t xml:space="preserve"> стойност</w:t>
      </w:r>
      <w:r w:rsidR="0087273B" w:rsidRPr="00CF333E">
        <w:t>и</w:t>
      </w:r>
      <w:r w:rsidR="00945CF2" w:rsidRPr="00CF333E">
        <w:t xml:space="preserve"> на индикатор</w:t>
      </w:r>
      <w:r w:rsidR="0087273B" w:rsidRPr="00CF333E">
        <w:t xml:space="preserve">ите </w:t>
      </w:r>
      <w:r w:rsidR="0056003F" w:rsidRPr="00CF333E">
        <w:t>са</w:t>
      </w:r>
      <w:r w:rsidR="00945CF2" w:rsidRPr="00CF333E">
        <w:t xml:space="preserve"> препоръчан</w:t>
      </w:r>
      <w:r w:rsidR="0056003F" w:rsidRPr="00CF333E">
        <w:t>и</w:t>
      </w:r>
      <w:r w:rsidR="00945CF2" w:rsidRPr="00CF333E">
        <w:t xml:space="preserve"> и в Доклада от извършената междинна оценка</w:t>
      </w:r>
      <w:r w:rsidR="00DF1802" w:rsidRPr="00CF333E">
        <w:rPr>
          <w:rStyle w:val="FootnoteReference"/>
        </w:rPr>
        <w:footnoteReference w:id="4"/>
      </w:r>
      <w:r w:rsidR="00DF1802" w:rsidRPr="00CF333E">
        <w:t xml:space="preserve"> </w:t>
      </w:r>
      <w:r w:rsidR="00945CF2" w:rsidRPr="00CF333E">
        <w:t>(Доклад от междинна оценка 2020).</w:t>
      </w:r>
    </w:p>
    <w:p w14:paraId="2ED08742" w14:textId="5A03F418" w:rsidR="0058184C" w:rsidRDefault="003367D0" w:rsidP="00DF1802">
      <w:pPr>
        <w:spacing w:before="120" w:after="120"/>
        <w:ind w:firstLine="709"/>
        <w:jc w:val="both"/>
      </w:pPr>
      <w:r>
        <w:t>С</w:t>
      </w:r>
      <w:r w:rsidR="00DE2A5D">
        <w:t xml:space="preserve">ледва да се коригира и допусната </w:t>
      </w:r>
      <w:r w:rsidR="007B01E4">
        <w:t xml:space="preserve">техническа </w:t>
      </w:r>
      <w:r w:rsidR="00DE2A5D">
        <w:t xml:space="preserve">грешка при програмирането на ОПДУ по отношение на целевите стойности на индикаторите за резултат. В </w:t>
      </w:r>
      <w:r w:rsidR="008139A2" w:rsidRPr="007756D7">
        <w:t xml:space="preserve">целевата стойност на </w:t>
      </w:r>
      <w:r w:rsidR="008C7294" w:rsidRPr="007756D7">
        <w:t>6</w:t>
      </w:r>
      <w:r w:rsidR="008139A2" w:rsidRPr="007756D7">
        <w:t xml:space="preserve"> индикатора за резултат по </w:t>
      </w:r>
      <w:proofErr w:type="spellStart"/>
      <w:r w:rsidR="008139A2" w:rsidRPr="007756D7">
        <w:t>ПО</w:t>
      </w:r>
      <w:proofErr w:type="spellEnd"/>
      <w:r w:rsidR="008139A2" w:rsidRPr="007756D7">
        <w:t xml:space="preserve"> 1, ПО</w:t>
      </w:r>
      <w:r w:rsidR="0005133A" w:rsidRPr="007756D7">
        <w:t xml:space="preserve"> </w:t>
      </w:r>
      <w:r w:rsidR="008139A2" w:rsidRPr="007756D7">
        <w:t>2 и ПО</w:t>
      </w:r>
      <w:r w:rsidR="0005133A" w:rsidRPr="007756D7">
        <w:t xml:space="preserve"> </w:t>
      </w:r>
      <w:r w:rsidR="008139A2" w:rsidRPr="007756D7">
        <w:t xml:space="preserve">3 е включена и тяхната базова стойност. </w:t>
      </w:r>
      <w:r w:rsidR="0058184C">
        <w:t xml:space="preserve">Базовата стойност на индикаторите отразява състоянието по всеки от тях към момента на програмирането на ОПДУ, постигнато преди стартирането на програмата. В този смисъл базовата стойност не представлява референтна стойност, която следва да се </w:t>
      </w:r>
      <w:r w:rsidR="005E02D0">
        <w:t>постига</w:t>
      </w:r>
      <w:r w:rsidR="0058184C">
        <w:t xml:space="preserve"> по ОПДУ.</w:t>
      </w:r>
    </w:p>
    <w:p w14:paraId="6D6909FA" w14:textId="4E5DFA2F" w:rsidR="008139A2" w:rsidRPr="007756D7" w:rsidRDefault="008139A2" w:rsidP="00DF1802">
      <w:pPr>
        <w:spacing w:before="120" w:after="120"/>
        <w:ind w:firstLine="709"/>
        <w:jc w:val="both"/>
      </w:pPr>
      <w:r w:rsidRPr="007756D7">
        <w:t xml:space="preserve">Предлаганата промяна е свързана с </w:t>
      </w:r>
      <w:r w:rsidR="00517FDC">
        <w:t>коректно</w:t>
      </w:r>
      <w:r w:rsidR="0058184C">
        <w:t>то</w:t>
      </w:r>
      <w:r w:rsidR="00517FDC">
        <w:t xml:space="preserve"> формулиране на целевите стойности за 2023</w:t>
      </w:r>
      <w:r w:rsidR="0058184C">
        <w:t xml:space="preserve"> г.</w:t>
      </w:r>
      <w:r w:rsidR="00517FDC">
        <w:t xml:space="preserve">, като в тях не следва да се включва </w:t>
      </w:r>
      <w:r w:rsidRPr="007756D7">
        <w:t xml:space="preserve">базовата стойност. Техническата промяна е в </w:t>
      </w:r>
      <w:r w:rsidRPr="007756D7">
        <w:lastRenderedPageBreak/>
        <w:t xml:space="preserve">съответствие с препоръки, направени в рамките на докладите от извършените две междинни оценки на напредъка по изпълнението на </w:t>
      </w:r>
      <w:r w:rsidR="00063A81">
        <w:t>ПО</w:t>
      </w:r>
      <w:r w:rsidRPr="007756D7">
        <w:t xml:space="preserve"> 1, 2 и 3 на Оперативна програма „Добро управление“ и установена допусната грешка при програмирането. </w:t>
      </w:r>
      <w:r w:rsidR="007B01E4">
        <w:t>П</w:t>
      </w:r>
      <w:r w:rsidRPr="007756D7">
        <w:t xml:space="preserve">редложеното изменение е съобразено и с </w:t>
      </w:r>
      <w:r w:rsidR="00517FDC">
        <w:t>Н</w:t>
      </w:r>
      <w:r w:rsidRPr="007756D7">
        <w:t>асоки</w:t>
      </w:r>
      <w:r w:rsidR="00517FDC">
        <w:t>те</w:t>
      </w:r>
      <w:r w:rsidRPr="007756D7">
        <w:t xml:space="preserve"> на ЕК</w:t>
      </w:r>
      <w:r w:rsidR="00A3382F" w:rsidRPr="00A3382F">
        <w:t xml:space="preserve"> за програмен период 2014-2020</w:t>
      </w:r>
      <w:r w:rsidR="00A3382F">
        <w:rPr>
          <w:rStyle w:val="FootnoteReference"/>
        </w:rPr>
        <w:footnoteReference w:id="5"/>
      </w:r>
      <w:r w:rsidRPr="007756D7">
        <w:t xml:space="preserve">, </w:t>
      </w:r>
      <w:r w:rsidR="00D93140">
        <w:t xml:space="preserve">където е посочено, </w:t>
      </w:r>
      <w:r w:rsidRPr="007756D7">
        <w:t>че не следва базовата стойност да се включва в целевата по програмата, а следва да се отчита само напредъкът, който се формира от надграждане на базовата стойност и представлява разлика между целевата и базовата стойност.</w:t>
      </w:r>
      <w:r w:rsidR="008C7294" w:rsidRPr="007756D7">
        <w:t xml:space="preserve"> </w:t>
      </w:r>
      <w:r w:rsidRPr="007756D7">
        <w:t xml:space="preserve">В тази връзка </w:t>
      </w:r>
      <w:r w:rsidR="00306C7B">
        <w:t xml:space="preserve">се </w:t>
      </w:r>
      <w:r w:rsidRPr="007756D7">
        <w:t>предлага от целева</w:t>
      </w:r>
      <w:r w:rsidR="00517FDC">
        <w:t>та</w:t>
      </w:r>
      <w:r w:rsidRPr="007756D7">
        <w:t xml:space="preserve"> стойност за 2023 г. да се извади базовата стойност </w:t>
      </w:r>
      <w:r w:rsidR="008C7294" w:rsidRPr="007756D7">
        <w:t xml:space="preserve">както </w:t>
      </w:r>
      <w:r w:rsidR="00517FDC">
        <w:t>следва:</w:t>
      </w:r>
    </w:p>
    <w:p w14:paraId="5268EA99" w14:textId="4160B8A9" w:rsidR="00254B7D" w:rsidRPr="007756D7" w:rsidRDefault="00254B7D" w:rsidP="00701B95">
      <w:pPr>
        <w:ind w:firstLine="142"/>
        <w:jc w:val="both"/>
        <w:rPr>
          <w:b/>
          <w:sz w:val="20"/>
        </w:rPr>
      </w:pPr>
      <w:r w:rsidRPr="007756D7">
        <w:rPr>
          <w:b/>
          <w:sz w:val="20"/>
        </w:rPr>
        <w:t>Таблица 1</w:t>
      </w:r>
    </w:p>
    <w:tbl>
      <w:tblPr>
        <w:tblW w:w="9326" w:type="dxa"/>
        <w:jc w:val="center"/>
        <w:tblLayout w:type="fixed"/>
        <w:tblLook w:val="04A0" w:firstRow="1" w:lastRow="0" w:firstColumn="1" w:lastColumn="0" w:noHBand="0" w:noVBand="1"/>
      </w:tblPr>
      <w:tblGrid>
        <w:gridCol w:w="1408"/>
        <w:gridCol w:w="4111"/>
        <w:gridCol w:w="1134"/>
        <w:gridCol w:w="1134"/>
        <w:gridCol w:w="1539"/>
      </w:tblGrid>
      <w:tr w:rsidR="0005133A" w:rsidRPr="007756D7" w14:paraId="3EDADEDC" w14:textId="77777777" w:rsidTr="00701B95">
        <w:trPr>
          <w:trHeight w:val="870"/>
          <w:tblHeader/>
          <w:jc w:val="center"/>
        </w:trPr>
        <w:tc>
          <w:tcPr>
            <w:tcW w:w="1408"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14:paraId="424C86F1" w14:textId="77777777" w:rsidR="0005133A" w:rsidRPr="007756D7" w:rsidRDefault="0005133A" w:rsidP="00254B7D">
            <w:pPr>
              <w:jc w:val="center"/>
              <w:rPr>
                <w:rFonts w:eastAsia="Times New Roman"/>
                <w:b/>
                <w:bCs/>
                <w:color w:val="000000"/>
                <w:sz w:val="20"/>
              </w:rPr>
            </w:pPr>
            <w:r w:rsidRPr="007756D7">
              <w:rPr>
                <w:rFonts w:eastAsia="Times New Roman"/>
                <w:b/>
                <w:bCs/>
                <w:color w:val="000000"/>
                <w:sz w:val="20"/>
              </w:rPr>
              <w:t>Сигнатура на индикатора</w:t>
            </w:r>
          </w:p>
        </w:tc>
        <w:tc>
          <w:tcPr>
            <w:tcW w:w="4111"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0CE1AB63" w14:textId="77777777" w:rsidR="0005133A" w:rsidRPr="007756D7" w:rsidRDefault="0005133A" w:rsidP="00254B7D">
            <w:pPr>
              <w:jc w:val="center"/>
              <w:rPr>
                <w:rFonts w:eastAsia="Times New Roman"/>
                <w:b/>
                <w:bCs/>
                <w:color w:val="000000"/>
                <w:sz w:val="20"/>
              </w:rPr>
            </w:pPr>
            <w:r w:rsidRPr="007756D7">
              <w:rPr>
                <w:rFonts w:eastAsia="Times New Roman"/>
                <w:b/>
                <w:bCs/>
                <w:color w:val="000000"/>
                <w:sz w:val="20"/>
              </w:rPr>
              <w:t>Наименование на индикатора</w:t>
            </w:r>
          </w:p>
        </w:tc>
        <w:tc>
          <w:tcPr>
            <w:tcW w:w="1134"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4878B4A7" w14:textId="50F09B5F" w:rsidR="0005133A" w:rsidRPr="007756D7" w:rsidRDefault="0005133A" w:rsidP="00254B7D">
            <w:pPr>
              <w:jc w:val="center"/>
              <w:rPr>
                <w:rFonts w:eastAsia="Times New Roman"/>
                <w:b/>
                <w:bCs/>
                <w:color w:val="000000"/>
                <w:sz w:val="20"/>
              </w:rPr>
            </w:pPr>
            <w:r w:rsidRPr="007756D7">
              <w:rPr>
                <w:rFonts w:eastAsia="Times New Roman"/>
                <w:b/>
                <w:bCs/>
                <w:color w:val="000000"/>
                <w:sz w:val="20"/>
              </w:rPr>
              <w:t>Базова стойност</w:t>
            </w:r>
          </w:p>
        </w:tc>
        <w:tc>
          <w:tcPr>
            <w:tcW w:w="1134"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59B753A4" w14:textId="7A9884FE" w:rsidR="0005133A" w:rsidRPr="007756D7" w:rsidRDefault="0005133A" w:rsidP="00254B7D">
            <w:pPr>
              <w:jc w:val="center"/>
              <w:rPr>
                <w:rFonts w:eastAsia="Times New Roman"/>
                <w:b/>
                <w:bCs/>
                <w:color w:val="000000"/>
                <w:sz w:val="20"/>
              </w:rPr>
            </w:pPr>
            <w:r w:rsidRPr="007756D7">
              <w:rPr>
                <w:rFonts w:eastAsia="Times New Roman"/>
                <w:b/>
                <w:bCs/>
                <w:color w:val="000000"/>
                <w:sz w:val="20"/>
              </w:rPr>
              <w:t>Целева стойност до 2023</w:t>
            </w:r>
          </w:p>
        </w:tc>
        <w:tc>
          <w:tcPr>
            <w:tcW w:w="1539"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6910A6C6" w14:textId="266652BB" w:rsidR="0005133A" w:rsidRPr="007756D7" w:rsidRDefault="0005133A" w:rsidP="00517FDC">
            <w:pPr>
              <w:jc w:val="center"/>
              <w:rPr>
                <w:rFonts w:eastAsia="Times New Roman"/>
                <w:b/>
                <w:bCs/>
                <w:color w:val="000000"/>
                <w:sz w:val="20"/>
              </w:rPr>
            </w:pPr>
            <w:r w:rsidRPr="007756D7">
              <w:rPr>
                <w:rFonts w:eastAsia="Times New Roman"/>
                <w:b/>
                <w:bCs/>
                <w:color w:val="000000"/>
                <w:sz w:val="20"/>
              </w:rPr>
              <w:t xml:space="preserve">Предложение за </w:t>
            </w:r>
            <w:r w:rsidR="00517FDC">
              <w:rPr>
                <w:rFonts w:eastAsia="Times New Roman"/>
                <w:b/>
                <w:bCs/>
                <w:color w:val="000000"/>
                <w:sz w:val="20"/>
              </w:rPr>
              <w:t>коректно отразяване на</w:t>
            </w:r>
            <w:r w:rsidRPr="007756D7">
              <w:rPr>
                <w:rFonts w:eastAsia="Times New Roman"/>
                <w:b/>
                <w:bCs/>
                <w:color w:val="000000"/>
                <w:sz w:val="20"/>
              </w:rPr>
              <w:t xml:space="preserve"> целевата стойност </w:t>
            </w:r>
          </w:p>
        </w:tc>
      </w:tr>
      <w:tr w:rsidR="0005133A" w:rsidRPr="007756D7" w14:paraId="57AD7B5E" w14:textId="77777777" w:rsidTr="00701B95">
        <w:trPr>
          <w:trHeight w:val="207"/>
          <w:jc w:val="center"/>
        </w:trPr>
        <w:tc>
          <w:tcPr>
            <w:tcW w:w="9326"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DA46B18" w14:textId="77777777" w:rsidR="0005133A" w:rsidRPr="007756D7" w:rsidRDefault="0005133A" w:rsidP="00F44A6D">
            <w:pPr>
              <w:rPr>
                <w:rFonts w:eastAsia="Times New Roman"/>
                <w:b/>
                <w:bCs/>
                <w:color w:val="000000"/>
                <w:sz w:val="20"/>
              </w:rPr>
            </w:pPr>
            <w:r w:rsidRPr="007756D7">
              <w:rPr>
                <w:rFonts w:eastAsia="Times New Roman"/>
                <w:b/>
                <w:bCs/>
                <w:color w:val="000000"/>
                <w:sz w:val="20"/>
              </w:rPr>
              <w:t>ПРИОРИТЕТНА ОС 1</w:t>
            </w:r>
          </w:p>
        </w:tc>
      </w:tr>
      <w:tr w:rsidR="0005133A" w:rsidRPr="007756D7" w14:paraId="70F6080B" w14:textId="77777777" w:rsidTr="00701B95">
        <w:trPr>
          <w:trHeight w:val="407"/>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562A488" w14:textId="34A8FD2E" w:rsidR="0005133A" w:rsidRPr="00E6150F" w:rsidRDefault="00D60CA8" w:rsidP="00F44A6D">
            <w:pPr>
              <w:jc w:val="center"/>
              <w:rPr>
                <w:rFonts w:eastAsia="Times New Roman"/>
                <w:b/>
                <w:bCs/>
                <w:color w:val="000000"/>
                <w:sz w:val="18"/>
                <w:szCs w:val="18"/>
              </w:rPr>
            </w:pPr>
            <w:r w:rsidRPr="00E6150F">
              <w:rPr>
                <w:rFonts w:eastAsia="Times New Roman"/>
                <w:b/>
                <w:bCs/>
                <w:color w:val="000000"/>
                <w:sz w:val="18"/>
                <w:szCs w:val="18"/>
              </w:rPr>
              <w:t>R1-2</w:t>
            </w:r>
          </w:p>
        </w:tc>
        <w:tc>
          <w:tcPr>
            <w:tcW w:w="4111" w:type="dxa"/>
            <w:tcBorders>
              <w:top w:val="single" w:sz="4" w:space="0" w:color="auto"/>
              <w:left w:val="nil"/>
              <w:bottom w:val="single" w:sz="4" w:space="0" w:color="auto"/>
              <w:right w:val="single" w:sz="4" w:space="0" w:color="auto"/>
            </w:tcBorders>
            <w:shd w:val="clear" w:color="auto" w:fill="auto"/>
          </w:tcPr>
          <w:p w14:paraId="244ED804" w14:textId="6EA14847" w:rsidR="0005133A" w:rsidRPr="00E6150F" w:rsidRDefault="00D60CA8" w:rsidP="00F44A6D">
            <w:pPr>
              <w:jc w:val="both"/>
              <w:rPr>
                <w:rFonts w:eastAsia="Times New Roman"/>
                <w:bCs/>
                <w:color w:val="000000"/>
                <w:sz w:val="18"/>
                <w:szCs w:val="18"/>
              </w:rPr>
            </w:pPr>
            <w:r w:rsidRPr="00E6150F">
              <w:rPr>
                <w:rFonts w:eastAsia="Times New Roman"/>
                <w:bCs/>
                <w:color w:val="000000"/>
                <w:sz w:val="18"/>
                <w:szCs w:val="18"/>
              </w:rPr>
              <w:t>Брой стандартизирани общински услуги, въведени във всички общински администрации</w:t>
            </w:r>
          </w:p>
        </w:tc>
        <w:tc>
          <w:tcPr>
            <w:tcW w:w="1134" w:type="dxa"/>
            <w:tcBorders>
              <w:top w:val="single" w:sz="4" w:space="0" w:color="auto"/>
              <w:left w:val="nil"/>
              <w:bottom w:val="single" w:sz="4" w:space="0" w:color="auto"/>
              <w:right w:val="single" w:sz="4" w:space="0" w:color="auto"/>
            </w:tcBorders>
            <w:shd w:val="clear" w:color="auto" w:fill="auto"/>
          </w:tcPr>
          <w:p w14:paraId="7FC1C66D" w14:textId="0513BE35" w:rsidR="0005133A" w:rsidRPr="00E6150F" w:rsidRDefault="00FB15CC" w:rsidP="00F44A6D">
            <w:pPr>
              <w:jc w:val="center"/>
              <w:rPr>
                <w:rFonts w:eastAsia="Times New Roman"/>
                <w:bCs/>
                <w:color w:val="000000"/>
                <w:sz w:val="18"/>
                <w:szCs w:val="18"/>
              </w:rPr>
            </w:pPr>
            <w:r w:rsidRPr="00E6150F">
              <w:rPr>
                <w:rFonts w:eastAsia="Times New Roman"/>
                <w:bCs/>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tcPr>
          <w:p w14:paraId="47E62D8C" w14:textId="45EB0178" w:rsidR="0005133A" w:rsidRPr="00E6150F" w:rsidRDefault="00FB15CC" w:rsidP="00F44A6D">
            <w:pPr>
              <w:jc w:val="center"/>
              <w:rPr>
                <w:rFonts w:eastAsia="Times New Roman"/>
                <w:bCs/>
                <w:color w:val="000000"/>
                <w:sz w:val="18"/>
                <w:szCs w:val="18"/>
              </w:rPr>
            </w:pPr>
            <w:r w:rsidRPr="00E6150F">
              <w:rPr>
                <w:rFonts w:eastAsia="Times New Roman"/>
                <w:bCs/>
                <w:color w:val="000000"/>
                <w:sz w:val="18"/>
                <w:szCs w:val="18"/>
              </w:rPr>
              <w:t>47</w:t>
            </w:r>
          </w:p>
        </w:tc>
        <w:tc>
          <w:tcPr>
            <w:tcW w:w="1539" w:type="dxa"/>
            <w:tcBorders>
              <w:top w:val="single" w:sz="4" w:space="0" w:color="auto"/>
              <w:left w:val="nil"/>
              <w:bottom w:val="single" w:sz="4" w:space="0" w:color="auto"/>
              <w:right w:val="single" w:sz="4" w:space="0" w:color="auto"/>
            </w:tcBorders>
            <w:shd w:val="clear" w:color="auto" w:fill="auto"/>
          </w:tcPr>
          <w:p w14:paraId="646E27B4" w14:textId="5DC6538B" w:rsidR="0005133A" w:rsidRPr="00E6150F" w:rsidRDefault="00FB15CC" w:rsidP="00F44A6D">
            <w:pPr>
              <w:jc w:val="center"/>
              <w:rPr>
                <w:rFonts w:eastAsia="Times New Roman"/>
                <w:bCs/>
                <w:color w:val="000000"/>
                <w:sz w:val="18"/>
                <w:szCs w:val="18"/>
              </w:rPr>
            </w:pPr>
            <w:r w:rsidRPr="00E6150F">
              <w:rPr>
                <w:rFonts w:eastAsia="Times New Roman"/>
                <w:bCs/>
                <w:color w:val="000000"/>
                <w:sz w:val="18"/>
                <w:szCs w:val="18"/>
              </w:rPr>
              <w:t>20</w:t>
            </w:r>
          </w:p>
        </w:tc>
      </w:tr>
      <w:tr w:rsidR="00594CD2" w:rsidRPr="00D17813" w14:paraId="1D62BAC2" w14:textId="77777777" w:rsidTr="00594CD2">
        <w:trPr>
          <w:trHeight w:val="215"/>
          <w:jc w:val="center"/>
        </w:trPr>
        <w:tc>
          <w:tcPr>
            <w:tcW w:w="9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tbl>
            <w:tblPr>
              <w:tblW w:w="9326" w:type="dxa"/>
              <w:jc w:val="center"/>
              <w:tblLayout w:type="fixed"/>
              <w:tblLook w:val="04A0" w:firstRow="1" w:lastRow="0" w:firstColumn="1" w:lastColumn="0" w:noHBand="0" w:noVBand="1"/>
            </w:tblPr>
            <w:tblGrid>
              <w:gridCol w:w="1408"/>
              <w:gridCol w:w="4111"/>
              <w:gridCol w:w="1134"/>
              <w:gridCol w:w="1134"/>
              <w:gridCol w:w="1539"/>
            </w:tblGrid>
            <w:tr w:rsidR="00594CD2" w:rsidRPr="00E6150F" w14:paraId="294EE59C" w14:textId="77777777" w:rsidTr="00403E7E">
              <w:trPr>
                <w:trHeight w:val="407"/>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DCCDED2" w14:textId="70846FA9" w:rsidR="00594CD2" w:rsidRPr="00E6150F" w:rsidRDefault="00594CD2" w:rsidP="00594CD2">
                  <w:pPr>
                    <w:jc w:val="center"/>
                    <w:rPr>
                      <w:rFonts w:eastAsia="Times New Roman"/>
                      <w:b/>
                      <w:bCs/>
                      <w:color w:val="000000"/>
                      <w:sz w:val="18"/>
                      <w:szCs w:val="18"/>
                    </w:rPr>
                  </w:pPr>
                  <w:r w:rsidRPr="00E6150F">
                    <w:rPr>
                      <w:rFonts w:eastAsia="Times New Roman"/>
                      <w:b/>
                      <w:bCs/>
                      <w:color w:val="000000"/>
                      <w:sz w:val="18"/>
                      <w:szCs w:val="18"/>
                    </w:rPr>
                    <w:t>R1-3</w:t>
                  </w:r>
                </w:p>
              </w:tc>
              <w:tc>
                <w:tcPr>
                  <w:tcW w:w="4111" w:type="dxa"/>
                  <w:tcBorders>
                    <w:top w:val="single" w:sz="4" w:space="0" w:color="auto"/>
                    <w:left w:val="nil"/>
                    <w:bottom w:val="single" w:sz="4" w:space="0" w:color="auto"/>
                    <w:right w:val="single" w:sz="4" w:space="0" w:color="auto"/>
                  </w:tcBorders>
                  <w:shd w:val="clear" w:color="auto" w:fill="auto"/>
                </w:tcPr>
                <w:p w14:paraId="578CD18A" w14:textId="311B807D" w:rsidR="00594CD2" w:rsidRPr="00E6150F" w:rsidRDefault="00594CD2" w:rsidP="00594CD2">
                  <w:pPr>
                    <w:jc w:val="both"/>
                    <w:rPr>
                      <w:rFonts w:eastAsia="Times New Roman"/>
                      <w:bCs/>
                      <w:color w:val="000000"/>
                      <w:sz w:val="18"/>
                      <w:szCs w:val="18"/>
                    </w:rPr>
                  </w:pPr>
                  <w:r w:rsidRPr="00E6150F">
                    <w:rPr>
                      <w:rFonts w:eastAsia="Times New Roman"/>
                      <w:bCs/>
                      <w:color w:val="000000"/>
                      <w:sz w:val="18"/>
                      <w:szCs w:val="18"/>
                    </w:rPr>
                    <w:t>Брой на подкрепени приоритетни електронизирани услуги, включително вътрешно-административни, на ниво транзакция и/или разплащане базирани на държавния ХЧО, използвани над 5 000 пъти годишно</w:t>
                  </w:r>
                </w:p>
              </w:tc>
              <w:tc>
                <w:tcPr>
                  <w:tcW w:w="1134" w:type="dxa"/>
                  <w:tcBorders>
                    <w:top w:val="single" w:sz="4" w:space="0" w:color="auto"/>
                    <w:left w:val="nil"/>
                    <w:bottom w:val="single" w:sz="4" w:space="0" w:color="auto"/>
                    <w:right w:val="single" w:sz="4" w:space="0" w:color="auto"/>
                  </w:tcBorders>
                  <w:shd w:val="clear" w:color="auto" w:fill="auto"/>
                </w:tcPr>
                <w:p w14:paraId="504F7E43" w14:textId="3D3C7195" w:rsidR="00594CD2" w:rsidRPr="00E6150F" w:rsidRDefault="00594CD2" w:rsidP="00594CD2">
                  <w:pPr>
                    <w:jc w:val="center"/>
                    <w:rPr>
                      <w:rFonts w:eastAsia="Times New Roman"/>
                      <w:bCs/>
                      <w:color w:val="000000"/>
                      <w:sz w:val="18"/>
                      <w:szCs w:val="18"/>
                    </w:rPr>
                  </w:pPr>
                  <w:r w:rsidRPr="00E6150F">
                    <w:rPr>
                      <w:rFonts w:eastAsia="Times New Roman"/>
                      <w:bCs/>
                      <w:color w:val="000000"/>
                      <w:sz w:val="18"/>
                      <w:szCs w:val="18"/>
                    </w:rPr>
                    <w:t>193</w:t>
                  </w:r>
                </w:p>
              </w:tc>
              <w:tc>
                <w:tcPr>
                  <w:tcW w:w="1134" w:type="dxa"/>
                  <w:tcBorders>
                    <w:top w:val="single" w:sz="4" w:space="0" w:color="auto"/>
                    <w:left w:val="nil"/>
                    <w:bottom w:val="single" w:sz="4" w:space="0" w:color="auto"/>
                    <w:right w:val="single" w:sz="4" w:space="0" w:color="auto"/>
                  </w:tcBorders>
                  <w:shd w:val="clear" w:color="auto" w:fill="auto"/>
                </w:tcPr>
                <w:p w14:paraId="14ABB618" w14:textId="4EADD8CB" w:rsidR="00594CD2" w:rsidRPr="00E6150F" w:rsidRDefault="00594CD2" w:rsidP="00594CD2">
                  <w:pPr>
                    <w:jc w:val="center"/>
                    <w:rPr>
                      <w:rFonts w:eastAsia="Times New Roman"/>
                      <w:bCs/>
                      <w:color w:val="000000"/>
                      <w:sz w:val="18"/>
                      <w:szCs w:val="18"/>
                    </w:rPr>
                  </w:pPr>
                  <w:r w:rsidRPr="00E6150F">
                    <w:rPr>
                      <w:rFonts w:eastAsia="Times New Roman"/>
                      <w:bCs/>
                      <w:color w:val="000000"/>
                      <w:sz w:val="18"/>
                      <w:szCs w:val="18"/>
                    </w:rPr>
                    <w:t>418</w:t>
                  </w:r>
                </w:p>
              </w:tc>
              <w:tc>
                <w:tcPr>
                  <w:tcW w:w="1539" w:type="dxa"/>
                  <w:tcBorders>
                    <w:top w:val="single" w:sz="4" w:space="0" w:color="auto"/>
                    <w:left w:val="nil"/>
                    <w:bottom w:val="single" w:sz="4" w:space="0" w:color="auto"/>
                    <w:right w:val="single" w:sz="4" w:space="0" w:color="auto"/>
                  </w:tcBorders>
                  <w:shd w:val="clear" w:color="auto" w:fill="auto"/>
                </w:tcPr>
                <w:p w14:paraId="1A7583D3" w14:textId="2D92C819" w:rsidR="00594CD2" w:rsidRPr="00E6150F" w:rsidRDefault="00594CD2" w:rsidP="00594CD2">
                  <w:pPr>
                    <w:jc w:val="center"/>
                    <w:rPr>
                      <w:rFonts w:eastAsia="Times New Roman"/>
                      <w:bCs/>
                      <w:color w:val="000000"/>
                      <w:sz w:val="18"/>
                      <w:szCs w:val="18"/>
                    </w:rPr>
                  </w:pPr>
                  <w:r w:rsidRPr="00E6150F">
                    <w:rPr>
                      <w:rFonts w:eastAsia="Times New Roman"/>
                      <w:bCs/>
                      <w:color w:val="000000"/>
                      <w:sz w:val="18"/>
                      <w:szCs w:val="18"/>
                    </w:rPr>
                    <w:t>225</w:t>
                  </w:r>
                </w:p>
              </w:tc>
            </w:tr>
          </w:tbl>
          <w:p w14:paraId="5DFF1202" w14:textId="77777777" w:rsidR="00594CD2" w:rsidRPr="00E6150F" w:rsidRDefault="00594CD2" w:rsidP="0005133A">
            <w:pPr>
              <w:rPr>
                <w:rFonts w:eastAsia="Times New Roman"/>
                <w:bCs/>
                <w:color w:val="000000"/>
                <w:sz w:val="18"/>
                <w:szCs w:val="18"/>
              </w:rPr>
            </w:pPr>
          </w:p>
        </w:tc>
      </w:tr>
      <w:tr w:rsidR="0005133A" w:rsidRPr="007756D7" w14:paraId="5DDD70DF" w14:textId="77777777" w:rsidTr="00701B95">
        <w:trPr>
          <w:trHeight w:val="215"/>
          <w:jc w:val="center"/>
        </w:trPr>
        <w:tc>
          <w:tcPr>
            <w:tcW w:w="93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B342D" w14:textId="0A38D8C3" w:rsidR="0005133A" w:rsidRPr="007756D7" w:rsidRDefault="0005133A" w:rsidP="0005133A">
            <w:pPr>
              <w:rPr>
                <w:rFonts w:eastAsia="Times New Roman"/>
                <w:b/>
                <w:color w:val="000000"/>
                <w:sz w:val="20"/>
              </w:rPr>
            </w:pPr>
            <w:r w:rsidRPr="007756D7">
              <w:rPr>
                <w:rFonts w:eastAsia="Times New Roman"/>
                <w:b/>
                <w:color w:val="000000"/>
                <w:sz w:val="20"/>
              </w:rPr>
              <w:t>ПРИОРИТЕТНА ОС 2</w:t>
            </w:r>
          </w:p>
        </w:tc>
      </w:tr>
      <w:tr w:rsidR="0005133A" w:rsidRPr="007756D7" w14:paraId="5D19236B" w14:textId="77777777" w:rsidTr="00701B95">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2D7C5C7" w14:textId="5998BF78" w:rsidR="0005133A" w:rsidRPr="007756D7" w:rsidRDefault="0005133A" w:rsidP="00F44A6D">
            <w:pPr>
              <w:jc w:val="center"/>
              <w:rPr>
                <w:rFonts w:eastAsia="Times New Roman"/>
                <w:b/>
                <w:bCs/>
                <w:color w:val="000000"/>
                <w:sz w:val="18"/>
                <w:szCs w:val="18"/>
              </w:rPr>
            </w:pPr>
            <w:r w:rsidRPr="007756D7">
              <w:rPr>
                <w:rFonts w:eastAsia="Times New Roman"/>
                <w:b/>
                <w:bCs/>
                <w:color w:val="000000"/>
                <w:sz w:val="18"/>
                <w:szCs w:val="18"/>
              </w:rPr>
              <w:t>R2-1</w:t>
            </w:r>
          </w:p>
        </w:tc>
        <w:tc>
          <w:tcPr>
            <w:tcW w:w="4111" w:type="dxa"/>
            <w:tcBorders>
              <w:top w:val="single" w:sz="4" w:space="0" w:color="auto"/>
              <w:left w:val="nil"/>
              <w:bottom w:val="single" w:sz="4" w:space="0" w:color="auto"/>
              <w:right w:val="single" w:sz="4" w:space="0" w:color="auto"/>
            </w:tcBorders>
            <w:shd w:val="clear" w:color="auto" w:fill="auto"/>
          </w:tcPr>
          <w:p w14:paraId="6ACB4752" w14:textId="3734E669" w:rsidR="0005133A" w:rsidRPr="007756D7" w:rsidRDefault="0005133A" w:rsidP="00F44A6D">
            <w:pPr>
              <w:jc w:val="both"/>
              <w:rPr>
                <w:rFonts w:eastAsia="Times New Roman"/>
                <w:color w:val="000000"/>
                <w:sz w:val="18"/>
                <w:szCs w:val="18"/>
              </w:rPr>
            </w:pPr>
            <w:r w:rsidRPr="007756D7">
              <w:rPr>
                <w:rFonts w:eastAsia="Times New Roman"/>
                <w:color w:val="000000"/>
                <w:sz w:val="18"/>
                <w:szCs w:val="18"/>
              </w:rPr>
              <w:t>Брой подкрепени администрации, прилагащи механизми за организационно развитие и управление ориентирано към резултатите</w:t>
            </w:r>
          </w:p>
        </w:tc>
        <w:tc>
          <w:tcPr>
            <w:tcW w:w="1134" w:type="dxa"/>
            <w:tcBorders>
              <w:top w:val="single" w:sz="4" w:space="0" w:color="auto"/>
              <w:left w:val="nil"/>
              <w:bottom w:val="single" w:sz="4" w:space="0" w:color="auto"/>
              <w:right w:val="single" w:sz="4" w:space="0" w:color="auto"/>
            </w:tcBorders>
            <w:shd w:val="clear" w:color="auto" w:fill="auto"/>
          </w:tcPr>
          <w:p w14:paraId="137C0170" w14:textId="35499192" w:rsidR="0005133A" w:rsidRPr="007756D7" w:rsidRDefault="00FB15CC" w:rsidP="00F44A6D">
            <w:pPr>
              <w:jc w:val="center"/>
              <w:rPr>
                <w:rFonts w:eastAsia="Times New Roman"/>
                <w:sz w:val="20"/>
              </w:rPr>
            </w:pPr>
            <w:r w:rsidRPr="007756D7">
              <w:rPr>
                <w:rFonts w:eastAsia="Times New Roman"/>
                <w:sz w:val="20"/>
              </w:rPr>
              <w:t>206</w:t>
            </w:r>
          </w:p>
        </w:tc>
        <w:tc>
          <w:tcPr>
            <w:tcW w:w="1134" w:type="dxa"/>
            <w:tcBorders>
              <w:top w:val="single" w:sz="4" w:space="0" w:color="auto"/>
              <w:left w:val="nil"/>
              <w:bottom w:val="single" w:sz="4" w:space="0" w:color="auto"/>
              <w:right w:val="single" w:sz="4" w:space="0" w:color="auto"/>
            </w:tcBorders>
            <w:shd w:val="clear" w:color="auto" w:fill="auto"/>
          </w:tcPr>
          <w:p w14:paraId="174FE7DA" w14:textId="4E503DC8" w:rsidR="0005133A" w:rsidRPr="007756D7" w:rsidRDefault="00FB15CC" w:rsidP="00F44A6D">
            <w:pPr>
              <w:jc w:val="center"/>
              <w:rPr>
                <w:rFonts w:eastAsia="Times New Roman"/>
                <w:sz w:val="20"/>
              </w:rPr>
            </w:pPr>
            <w:r w:rsidRPr="007756D7">
              <w:rPr>
                <w:rFonts w:eastAsia="Times New Roman"/>
                <w:sz w:val="20"/>
              </w:rPr>
              <w:t>400</w:t>
            </w:r>
          </w:p>
        </w:tc>
        <w:tc>
          <w:tcPr>
            <w:tcW w:w="1539" w:type="dxa"/>
            <w:tcBorders>
              <w:top w:val="single" w:sz="4" w:space="0" w:color="auto"/>
              <w:left w:val="nil"/>
              <w:bottom w:val="single" w:sz="4" w:space="0" w:color="auto"/>
              <w:right w:val="single" w:sz="4" w:space="0" w:color="auto"/>
            </w:tcBorders>
            <w:shd w:val="clear" w:color="auto" w:fill="auto"/>
          </w:tcPr>
          <w:p w14:paraId="6F7E5894" w14:textId="341567BD" w:rsidR="0005133A" w:rsidRPr="007756D7" w:rsidRDefault="00FB15CC" w:rsidP="00F44A6D">
            <w:pPr>
              <w:jc w:val="center"/>
              <w:rPr>
                <w:rFonts w:eastAsia="Times New Roman"/>
                <w:color w:val="000000"/>
                <w:sz w:val="20"/>
              </w:rPr>
            </w:pPr>
            <w:r w:rsidRPr="007756D7">
              <w:rPr>
                <w:rFonts w:eastAsia="Times New Roman"/>
                <w:color w:val="000000"/>
                <w:sz w:val="20"/>
              </w:rPr>
              <w:t>194</w:t>
            </w:r>
          </w:p>
        </w:tc>
      </w:tr>
      <w:tr w:rsidR="0005133A" w:rsidRPr="007756D7" w14:paraId="7F8E4FA1" w14:textId="77777777" w:rsidTr="00701B95">
        <w:trPr>
          <w:trHeight w:val="586"/>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3086615" w14:textId="2FEDAA38" w:rsidR="0005133A" w:rsidRPr="00CF333E" w:rsidRDefault="00D87930" w:rsidP="00F44A6D">
            <w:pPr>
              <w:jc w:val="center"/>
              <w:rPr>
                <w:rFonts w:eastAsia="Times New Roman"/>
                <w:b/>
                <w:bCs/>
                <w:color w:val="000000"/>
                <w:sz w:val="18"/>
                <w:szCs w:val="18"/>
              </w:rPr>
            </w:pPr>
            <w:r w:rsidRPr="00CF333E">
              <w:rPr>
                <w:rFonts w:eastAsia="Times New Roman"/>
                <w:b/>
                <w:bCs/>
                <w:color w:val="000000"/>
                <w:sz w:val="18"/>
                <w:szCs w:val="18"/>
              </w:rPr>
              <w:t>R2-4</w:t>
            </w:r>
          </w:p>
        </w:tc>
        <w:tc>
          <w:tcPr>
            <w:tcW w:w="4111" w:type="dxa"/>
            <w:tcBorders>
              <w:top w:val="single" w:sz="4" w:space="0" w:color="auto"/>
              <w:left w:val="nil"/>
              <w:bottom w:val="single" w:sz="4" w:space="0" w:color="auto"/>
              <w:right w:val="single" w:sz="4" w:space="0" w:color="auto"/>
            </w:tcBorders>
            <w:shd w:val="clear" w:color="auto" w:fill="auto"/>
          </w:tcPr>
          <w:p w14:paraId="6440FB2F" w14:textId="200CF214" w:rsidR="0005133A" w:rsidRPr="00CF333E" w:rsidRDefault="00D87930" w:rsidP="00F44A6D">
            <w:pPr>
              <w:jc w:val="both"/>
              <w:rPr>
                <w:rFonts w:eastAsia="Times New Roman"/>
                <w:color w:val="000000"/>
                <w:sz w:val="18"/>
                <w:szCs w:val="18"/>
              </w:rPr>
            </w:pPr>
            <w:r w:rsidRPr="00CF333E">
              <w:rPr>
                <w:rFonts w:eastAsia="Times New Roman"/>
                <w:color w:val="000000"/>
                <w:sz w:val="18"/>
                <w:szCs w:val="18"/>
              </w:rPr>
              <w:t>Отправени препоръки от НПО и мрежи от НПО към процеса на формиране, осъществяване и мониторинг на политики</w:t>
            </w:r>
          </w:p>
        </w:tc>
        <w:tc>
          <w:tcPr>
            <w:tcW w:w="1134" w:type="dxa"/>
            <w:tcBorders>
              <w:top w:val="single" w:sz="4" w:space="0" w:color="auto"/>
              <w:left w:val="nil"/>
              <w:bottom w:val="single" w:sz="4" w:space="0" w:color="auto"/>
              <w:right w:val="single" w:sz="4" w:space="0" w:color="auto"/>
            </w:tcBorders>
            <w:shd w:val="clear" w:color="auto" w:fill="auto"/>
          </w:tcPr>
          <w:p w14:paraId="2BF125D3" w14:textId="2F948E9B" w:rsidR="0005133A" w:rsidRPr="00CF333E" w:rsidRDefault="00FB15CC" w:rsidP="00F44A6D">
            <w:pPr>
              <w:jc w:val="center"/>
              <w:rPr>
                <w:rFonts w:eastAsia="Times New Roman"/>
                <w:sz w:val="20"/>
              </w:rPr>
            </w:pPr>
            <w:r w:rsidRPr="00CF333E">
              <w:rPr>
                <w:rFonts w:eastAsia="Times New Roman"/>
                <w:sz w:val="20"/>
              </w:rPr>
              <w:t>30</w:t>
            </w:r>
          </w:p>
        </w:tc>
        <w:tc>
          <w:tcPr>
            <w:tcW w:w="1134" w:type="dxa"/>
            <w:tcBorders>
              <w:top w:val="single" w:sz="4" w:space="0" w:color="auto"/>
              <w:left w:val="nil"/>
              <w:bottom w:val="single" w:sz="4" w:space="0" w:color="auto"/>
              <w:right w:val="single" w:sz="4" w:space="0" w:color="auto"/>
            </w:tcBorders>
            <w:shd w:val="clear" w:color="auto" w:fill="auto"/>
          </w:tcPr>
          <w:p w14:paraId="5D44CAC5" w14:textId="13F4AF20" w:rsidR="0005133A" w:rsidRPr="00CF333E" w:rsidRDefault="00FB15CC" w:rsidP="00F44A6D">
            <w:pPr>
              <w:jc w:val="center"/>
              <w:rPr>
                <w:rFonts w:eastAsia="Times New Roman"/>
                <w:sz w:val="20"/>
              </w:rPr>
            </w:pPr>
            <w:r w:rsidRPr="00CF333E">
              <w:rPr>
                <w:rFonts w:eastAsia="Times New Roman"/>
                <w:sz w:val="20"/>
              </w:rPr>
              <w:t>400</w:t>
            </w:r>
          </w:p>
        </w:tc>
        <w:tc>
          <w:tcPr>
            <w:tcW w:w="1539" w:type="dxa"/>
            <w:tcBorders>
              <w:top w:val="single" w:sz="4" w:space="0" w:color="auto"/>
              <w:left w:val="nil"/>
              <w:bottom w:val="single" w:sz="4" w:space="0" w:color="auto"/>
              <w:right w:val="single" w:sz="4" w:space="0" w:color="auto"/>
            </w:tcBorders>
            <w:shd w:val="clear" w:color="auto" w:fill="auto"/>
          </w:tcPr>
          <w:p w14:paraId="3323CD78" w14:textId="2F13458C" w:rsidR="0005133A" w:rsidRPr="00CF333E" w:rsidRDefault="00FB15CC" w:rsidP="00F44A6D">
            <w:pPr>
              <w:jc w:val="center"/>
              <w:rPr>
                <w:rFonts w:eastAsia="Times New Roman"/>
                <w:color w:val="000000"/>
                <w:sz w:val="20"/>
              </w:rPr>
            </w:pPr>
            <w:r w:rsidRPr="00CF333E">
              <w:rPr>
                <w:rFonts w:eastAsia="Times New Roman"/>
                <w:color w:val="000000"/>
                <w:sz w:val="20"/>
              </w:rPr>
              <w:t>370</w:t>
            </w:r>
          </w:p>
        </w:tc>
      </w:tr>
      <w:tr w:rsidR="00D87930" w:rsidRPr="007756D7" w14:paraId="338632AB" w14:textId="77777777" w:rsidTr="00701B95">
        <w:trPr>
          <w:trHeight w:val="58"/>
          <w:jc w:val="center"/>
        </w:trPr>
        <w:tc>
          <w:tcPr>
            <w:tcW w:w="93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324C3" w14:textId="52F9E112" w:rsidR="00D87930" w:rsidRPr="00BD2528" w:rsidRDefault="00D87930" w:rsidP="00D87930">
            <w:pPr>
              <w:rPr>
                <w:rFonts w:eastAsia="Times New Roman"/>
                <w:b/>
                <w:color w:val="000000"/>
                <w:sz w:val="20"/>
                <w:highlight w:val="yellow"/>
              </w:rPr>
            </w:pPr>
            <w:r w:rsidRPr="00CF333E">
              <w:rPr>
                <w:rFonts w:eastAsia="Times New Roman"/>
                <w:b/>
                <w:color w:val="000000"/>
                <w:sz w:val="20"/>
              </w:rPr>
              <w:t>ПРИОРИТЕТНА ОС 3</w:t>
            </w:r>
          </w:p>
        </w:tc>
      </w:tr>
      <w:tr w:rsidR="0005133A" w:rsidRPr="007756D7" w14:paraId="63C657FF" w14:textId="77777777" w:rsidTr="00701B95">
        <w:trPr>
          <w:trHeight w:val="634"/>
          <w:jc w:val="center"/>
        </w:trPr>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497DFD27" w14:textId="31D705BF" w:rsidR="0005133A" w:rsidRPr="00CF333E" w:rsidRDefault="00D60CA8" w:rsidP="00F44A6D">
            <w:pPr>
              <w:jc w:val="center"/>
              <w:rPr>
                <w:rFonts w:eastAsia="Times New Roman"/>
                <w:b/>
                <w:bCs/>
                <w:color w:val="000000"/>
                <w:sz w:val="18"/>
                <w:szCs w:val="18"/>
              </w:rPr>
            </w:pPr>
            <w:r w:rsidRPr="00CF333E">
              <w:rPr>
                <w:rFonts w:eastAsia="Times New Roman"/>
                <w:b/>
                <w:bCs/>
                <w:color w:val="000000"/>
                <w:sz w:val="18"/>
                <w:szCs w:val="18"/>
              </w:rPr>
              <w:t>R3-1</w:t>
            </w:r>
          </w:p>
        </w:tc>
        <w:tc>
          <w:tcPr>
            <w:tcW w:w="4111" w:type="dxa"/>
            <w:tcBorders>
              <w:top w:val="single" w:sz="4" w:space="0" w:color="auto"/>
              <w:left w:val="nil"/>
              <w:bottom w:val="single" w:sz="4" w:space="0" w:color="auto"/>
              <w:right w:val="single" w:sz="4" w:space="0" w:color="auto"/>
            </w:tcBorders>
            <w:shd w:val="clear" w:color="auto" w:fill="auto"/>
            <w:hideMark/>
          </w:tcPr>
          <w:p w14:paraId="0165A713" w14:textId="03818305" w:rsidR="0005133A" w:rsidRPr="00CF333E" w:rsidRDefault="00D60CA8" w:rsidP="00F44A6D">
            <w:pPr>
              <w:jc w:val="both"/>
              <w:rPr>
                <w:rFonts w:eastAsia="Times New Roman"/>
                <w:color w:val="000000"/>
                <w:sz w:val="18"/>
                <w:szCs w:val="18"/>
              </w:rPr>
            </w:pPr>
            <w:r w:rsidRPr="00CF333E">
              <w:rPr>
                <w:rFonts w:eastAsia="Times New Roman"/>
                <w:color w:val="000000"/>
                <w:sz w:val="18"/>
                <w:szCs w:val="18"/>
              </w:rPr>
              <w:t>Въведени нови и усъвършенстване на съществуващи инструменти за модернизация на съдебната власт</w:t>
            </w:r>
          </w:p>
        </w:tc>
        <w:tc>
          <w:tcPr>
            <w:tcW w:w="1134" w:type="dxa"/>
            <w:tcBorders>
              <w:top w:val="single" w:sz="4" w:space="0" w:color="auto"/>
              <w:left w:val="nil"/>
              <w:bottom w:val="single" w:sz="4" w:space="0" w:color="auto"/>
              <w:right w:val="single" w:sz="4" w:space="0" w:color="auto"/>
            </w:tcBorders>
            <w:shd w:val="clear" w:color="auto" w:fill="auto"/>
          </w:tcPr>
          <w:p w14:paraId="33C73894" w14:textId="2FE4C8B1" w:rsidR="0005133A" w:rsidRPr="00CF333E" w:rsidRDefault="00E62867" w:rsidP="00F44A6D">
            <w:pPr>
              <w:jc w:val="center"/>
              <w:rPr>
                <w:rFonts w:eastAsia="Times New Roman"/>
                <w:sz w:val="20"/>
              </w:rPr>
            </w:pPr>
            <w:r w:rsidRPr="00CF333E">
              <w:rPr>
                <w:rFonts w:eastAsia="Times New Roman"/>
                <w:sz w:val="20"/>
              </w:rPr>
              <w:t>13</w:t>
            </w:r>
          </w:p>
        </w:tc>
        <w:tc>
          <w:tcPr>
            <w:tcW w:w="1134" w:type="dxa"/>
            <w:tcBorders>
              <w:top w:val="single" w:sz="4" w:space="0" w:color="auto"/>
              <w:left w:val="nil"/>
              <w:bottom w:val="single" w:sz="4" w:space="0" w:color="auto"/>
              <w:right w:val="single" w:sz="4" w:space="0" w:color="auto"/>
            </w:tcBorders>
            <w:shd w:val="clear" w:color="auto" w:fill="auto"/>
          </w:tcPr>
          <w:p w14:paraId="7CD253D7" w14:textId="0F4F653C" w:rsidR="0005133A" w:rsidRPr="00CF333E" w:rsidRDefault="00E62867" w:rsidP="00F44A6D">
            <w:pPr>
              <w:jc w:val="center"/>
              <w:rPr>
                <w:rFonts w:eastAsia="Times New Roman"/>
                <w:sz w:val="20"/>
              </w:rPr>
            </w:pPr>
            <w:r w:rsidRPr="00CF333E">
              <w:rPr>
                <w:rFonts w:eastAsia="Times New Roman"/>
                <w:sz w:val="20"/>
              </w:rPr>
              <w:t>43</w:t>
            </w:r>
          </w:p>
        </w:tc>
        <w:tc>
          <w:tcPr>
            <w:tcW w:w="1539" w:type="dxa"/>
            <w:tcBorders>
              <w:top w:val="single" w:sz="4" w:space="0" w:color="auto"/>
              <w:left w:val="nil"/>
              <w:bottom w:val="single" w:sz="4" w:space="0" w:color="auto"/>
              <w:right w:val="single" w:sz="4" w:space="0" w:color="auto"/>
            </w:tcBorders>
            <w:shd w:val="clear" w:color="auto" w:fill="auto"/>
          </w:tcPr>
          <w:p w14:paraId="2BE74ECA" w14:textId="66387037" w:rsidR="0005133A" w:rsidRPr="00CF333E" w:rsidRDefault="00E62867" w:rsidP="00F44A6D">
            <w:pPr>
              <w:jc w:val="center"/>
              <w:rPr>
                <w:rFonts w:eastAsia="Times New Roman"/>
                <w:color w:val="000000"/>
                <w:sz w:val="20"/>
              </w:rPr>
            </w:pPr>
            <w:r w:rsidRPr="00CF333E">
              <w:rPr>
                <w:rFonts w:eastAsia="Times New Roman"/>
                <w:color w:val="000000"/>
                <w:sz w:val="20"/>
              </w:rPr>
              <w:t>30</w:t>
            </w:r>
          </w:p>
        </w:tc>
      </w:tr>
      <w:tr w:rsidR="00D60CA8" w:rsidRPr="007756D7" w14:paraId="573F6545" w14:textId="77777777" w:rsidTr="00701B95">
        <w:trPr>
          <w:trHeight w:val="602"/>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320D593" w14:textId="49987759" w:rsidR="00D60CA8" w:rsidRPr="00CF333E" w:rsidRDefault="00D60CA8" w:rsidP="00F44A6D">
            <w:pPr>
              <w:jc w:val="center"/>
              <w:rPr>
                <w:rFonts w:eastAsia="Times New Roman"/>
                <w:b/>
                <w:bCs/>
                <w:color w:val="000000"/>
                <w:sz w:val="18"/>
                <w:szCs w:val="18"/>
              </w:rPr>
            </w:pPr>
            <w:r w:rsidRPr="00CF333E">
              <w:rPr>
                <w:rFonts w:eastAsia="Times New Roman"/>
                <w:b/>
                <w:bCs/>
                <w:color w:val="000000"/>
                <w:sz w:val="18"/>
                <w:szCs w:val="18"/>
              </w:rPr>
              <w:t>R3-3</w:t>
            </w:r>
          </w:p>
        </w:tc>
        <w:tc>
          <w:tcPr>
            <w:tcW w:w="4111" w:type="dxa"/>
            <w:tcBorders>
              <w:top w:val="single" w:sz="4" w:space="0" w:color="auto"/>
              <w:left w:val="nil"/>
              <w:bottom w:val="single" w:sz="4" w:space="0" w:color="auto"/>
              <w:right w:val="single" w:sz="4" w:space="0" w:color="auto"/>
            </w:tcBorders>
            <w:shd w:val="clear" w:color="auto" w:fill="auto"/>
          </w:tcPr>
          <w:p w14:paraId="3DAE3C8C" w14:textId="46ACA7C6" w:rsidR="00D60CA8" w:rsidRPr="00CF333E" w:rsidRDefault="00D60CA8" w:rsidP="00F44A6D">
            <w:pPr>
              <w:jc w:val="both"/>
              <w:rPr>
                <w:rFonts w:eastAsia="Times New Roman"/>
                <w:color w:val="000000"/>
                <w:sz w:val="18"/>
                <w:szCs w:val="18"/>
              </w:rPr>
            </w:pPr>
            <w:r w:rsidRPr="00CF333E">
              <w:rPr>
                <w:rFonts w:eastAsia="Times New Roman"/>
                <w:color w:val="000000"/>
                <w:sz w:val="18"/>
                <w:szCs w:val="18"/>
              </w:rPr>
              <w:t>Магистрати, съдебни служители и служители на разследващите органи по НПК, успешно преминали обучения с получаване на сертификат</w:t>
            </w:r>
          </w:p>
        </w:tc>
        <w:tc>
          <w:tcPr>
            <w:tcW w:w="1134" w:type="dxa"/>
            <w:tcBorders>
              <w:top w:val="single" w:sz="4" w:space="0" w:color="auto"/>
              <w:left w:val="nil"/>
              <w:bottom w:val="single" w:sz="4" w:space="0" w:color="auto"/>
              <w:right w:val="single" w:sz="4" w:space="0" w:color="auto"/>
            </w:tcBorders>
            <w:shd w:val="clear" w:color="auto" w:fill="auto"/>
          </w:tcPr>
          <w:p w14:paraId="6055A006" w14:textId="76E49D27" w:rsidR="00D60CA8" w:rsidRPr="00CF333E" w:rsidRDefault="00E62867" w:rsidP="00F44A6D">
            <w:pPr>
              <w:jc w:val="center"/>
              <w:rPr>
                <w:rFonts w:eastAsia="Times New Roman"/>
                <w:sz w:val="20"/>
              </w:rPr>
            </w:pPr>
            <w:r w:rsidRPr="00CF333E">
              <w:rPr>
                <w:rFonts w:eastAsia="Times New Roman"/>
                <w:sz w:val="20"/>
              </w:rPr>
              <w:t>9 101</w:t>
            </w:r>
          </w:p>
        </w:tc>
        <w:tc>
          <w:tcPr>
            <w:tcW w:w="1134" w:type="dxa"/>
            <w:tcBorders>
              <w:top w:val="single" w:sz="4" w:space="0" w:color="auto"/>
              <w:left w:val="nil"/>
              <w:bottom w:val="single" w:sz="4" w:space="0" w:color="auto"/>
              <w:right w:val="single" w:sz="4" w:space="0" w:color="auto"/>
            </w:tcBorders>
            <w:shd w:val="clear" w:color="auto" w:fill="auto"/>
          </w:tcPr>
          <w:p w14:paraId="4FE8E5DD" w14:textId="78E717D2" w:rsidR="00D60CA8" w:rsidRPr="00CF333E" w:rsidRDefault="00E62867" w:rsidP="00E62867">
            <w:pPr>
              <w:jc w:val="center"/>
              <w:rPr>
                <w:rFonts w:eastAsia="Times New Roman"/>
                <w:sz w:val="20"/>
              </w:rPr>
            </w:pPr>
            <w:r w:rsidRPr="00CF333E">
              <w:rPr>
                <w:rFonts w:eastAsia="Times New Roman"/>
                <w:sz w:val="20"/>
              </w:rPr>
              <w:t>29 101</w:t>
            </w:r>
          </w:p>
        </w:tc>
        <w:tc>
          <w:tcPr>
            <w:tcW w:w="1539" w:type="dxa"/>
            <w:tcBorders>
              <w:top w:val="single" w:sz="4" w:space="0" w:color="auto"/>
              <w:left w:val="nil"/>
              <w:bottom w:val="single" w:sz="4" w:space="0" w:color="auto"/>
              <w:right w:val="single" w:sz="4" w:space="0" w:color="auto"/>
            </w:tcBorders>
            <w:shd w:val="clear" w:color="auto" w:fill="auto"/>
          </w:tcPr>
          <w:p w14:paraId="34C72767" w14:textId="49FB424D" w:rsidR="00D60CA8" w:rsidRPr="00CF333E" w:rsidRDefault="00E62867" w:rsidP="00F44A6D">
            <w:pPr>
              <w:jc w:val="center"/>
              <w:rPr>
                <w:rFonts w:eastAsia="Times New Roman"/>
                <w:color w:val="000000"/>
                <w:sz w:val="20"/>
              </w:rPr>
            </w:pPr>
            <w:r w:rsidRPr="00CF333E">
              <w:rPr>
                <w:rFonts w:eastAsia="Times New Roman"/>
                <w:color w:val="000000"/>
                <w:sz w:val="20"/>
              </w:rPr>
              <w:t>20 000</w:t>
            </w:r>
          </w:p>
        </w:tc>
      </w:tr>
    </w:tbl>
    <w:p w14:paraId="5608E60F" w14:textId="05E70FDB" w:rsidR="00491ACB" w:rsidRPr="007756D7" w:rsidRDefault="00491ACB" w:rsidP="00256781">
      <w:pPr>
        <w:spacing w:before="120" w:after="240"/>
        <w:ind w:firstLine="709"/>
        <w:jc w:val="both"/>
      </w:pPr>
      <w:r w:rsidRPr="007756D7">
        <w:t>Освен предложението за техническа</w:t>
      </w:r>
      <w:r w:rsidR="0063708C" w:rsidRPr="007756D7">
        <w:t>та</w:t>
      </w:r>
      <w:r w:rsidRPr="007756D7">
        <w:t xml:space="preserve"> корекция, описано по-горе, предлагаме и следните изменения:</w:t>
      </w:r>
    </w:p>
    <w:p w14:paraId="6924E593" w14:textId="00716327" w:rsidR="00254B7D" w:rsidRPr="007756D7" w:rsidRDefault="00491ACB" w:rsidP="00063A81">
      <w:pPr>
        <w:pStyle w:val="ListParagraph"/>
        <w:numPr>
          <w:ilvl w:val="0"/>
          <w:numId w:val="36"/>
        </w:numPr>
        <w:shd w:val="clear" w:color="auto" w:fill="D9D9D9" w:themeFill="background1" w:themeFillShade="D9"/>
        <w:spacing w:after="120" w:line="240" w:lineRule="auto"/>
        <w:ind w:left="426" w:right="142" w:hanging="284"/>
        <w:jc w:val="both"/>
        <w:rPr>
          <w:rFonts w:ascii="Times New Roman" w:hAnsi="Times New Roman"/>
          <w:b/>
          <w:sz w:val="24"/>
          <w:szCs w:val="24"/>
        </w:rPr>
      </w:pPr>
      <w:r w:rsidRPr="007756D7">
        <w:rPr>
          <w:rFonts w:ascii="Times New Roman" w:hAnsi="Times New Roman"/>
          <w:b/>
          <w:sz w:val="24"/>
          <w:szCs w:val="24"/>
        </w:rPr>
        <w:t>ПО ПРИОРИТЕТНА ОС 1</w:t>
      </w:r>
    </w:p>
    <w:p w14:paraId="5E64A7EB" w14:textId="47552445" w:rsidR="00254B7D" w:rsidRPr="007756D7" w:rsidRDefault="00254B7D" w:rsidP="00063A81">
      <w:pPr>
        <w:ind w:firstLine="142"/>
        <w:jc w:val="both"/>
        <w:rPr>
          <w:b/>
          <w:sz w:val="20"/>
          <w:u w:val="single"/>
        </w:rPr>
      </w:pPr>
      <w:r w:rsidRPr="007756D7">
        <w:rPr>
          <w:b/>
          <w:sz w:val="20"/>
          <w:u w:val="single"/>
        </w:rPr>
        <w:t>Таблица 2</w:t>
      </w:r>
    </w:p>
    <w:tbl>
      <w:tblPr>
        <w:tblW w:w="9346" w:type="dxa"/>
        <w:jc w:val="center"/>
        <w:tblLook w:val="04A0" w:firstRow="1" w:lastRow="0" w:firstColumn="1" w:lastColumn="0" w:noHBand="0" w:noVBand="1"/>
      </w:tblPr>
      <w:tblGrid>
        <w:gridCol w:w="1352"/>
        <w:gridCol w:w="3827"/>
        <w:gridCol w:w="2324"/>
        <w:gridCol w:w="1843"/>
      </w:tblGrid>
      <w:tr w:rsidR="00043F33" w:rsidRPr="007756D7" w14:paraId="1753D426" w14:textId="77777777" w:rsidTr="00063A81">
        <w:trPr>
          <w:trHeight w:val="870"/>
          <w:tblHeader/>
          <w:jc w:val="center"/>
        </w:trPr>
        <w:tc>
          <w:tcPr>
            <w:tcW w:w="1352"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14:paraId="7B6A7E44" w14:textId="77777777" w:rsidR="00043F33" w:rsidRPr="007756D7" w:rsidRDefault="00043F33" w:rsidP="00F44A6D">
            <w:pPr>
              <w:jc w:val="center"/>
              <w:rPr>
                <w:rFonts w:eastAsia="Times New Roman"/>
                <w:b/>
                <w:bCs/>
                <w:color w:val="000000"/>
                <w:sz w:val="20"/>
              </w:rPr>
            </w:pPr>
            <w:r w:rsidRPr="007756D7">
              <w:rPr>
                <w:rFonts w:eastAsia="Times New Roman"/>
                <w:b/>
                <w:bCs/>
                <w:color w:val="000000"/>
                <w:sz w:val="20"/>
              </w:rPr>
              <w:t>Сигнатура на индикатора</w:t>
            </w:r>
          </w:p>
        </w:tc>
        <w:tc>
          <w:tcPr>
            <w:tcW w:w="3827"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3F7AF5B5" w14:textId="77777777" w:rsidR="00043F33" w:rsidRPr="007756D7" w:rsidRDefault="00043F33" w:rsidP="00F44A6D">
            <w:pPr>
              <w:jc w:val="center"/>
              <w:rPr>
                <w:rFonts w:eastAsia="Times New Roman"/>
                <w:b/>
                <w:bCs/>
                <w:color w:val="000000"/>
                <w:sz w:val="20"/>
              </w:rPr>
            </w:pPr>
            <w:r w:rsidRPr="007756D7">
              <w:rPr>
                <w:rFonts w:eastAsia="Times New Roman"/>
                <w:b/>
                <w:bCs/>
                <w:color w:val="000000"/>
                <w:sz w:val="20"/>
              </w:rPr>
              <w:t>Наименование на индикатора</w:t>
            </w:r>
          </w:p>
        </w:tc>
        <w:tc>
          <w:tcPr>
            <w:tcW w:w="2324"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6B30F618" w14:textId="57A0532F" w:rsidR="00043F33" w:rsidRPr="007756D7" w:rsidRDefault="00043F33" w:rsidP="00F44A6D">
            <w:pPr>
              <w:jc w:val="center"/>
              <w:rPr>
                <w:rFonts w:eastAsia="Times New Roman"/>
                <w:b/>
                <w:bCs/>
                <w:color w:val="000000"/>
                <w:sz w:val="20"/>
              </w:rPr>
            </w:pPr>
            <w:r w:rsidRPr="007756D7">
              <w:rPr>
                <w:rFonts w:eastAsia="Times New Roman"/>
                <w:b/>
                <w:bCs/>
                <w:color w:val="000000"/>
                <w:sz w:val="20"/>
              </w:rPr>
              <w:t>Целева стойност до 2023</w:t>
            </w:r>
            <w:r w:rsidRPr="007756D7">
              <w:rPr>
                <w:rStyle w:val="FootnoteReference"/>
                <w:rFonts w:eastAsia="Times New Roman"/>
                <w:b/>
                <w:bCs/>
                <w:color w:val="000000"/>
                <w:sz w:val="20"/>
              </w:rPr>
              <w:footnoteReference w:id="6"/>
            </w:r>
          </w:p>
        </w:tc>
        <w:tc>
          <w:tcPr>
            <w:tcW w:w="1843"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14:paraId="3F32B4EE" w14:textId="77777777" w:rsidR="00043F33" w:rsidRPr="007756D7" w:rsidRDefault="00043F33" w:rsidP="00F44A6D">
            <w:pPr>
              <w:jc w:val="center"/>
              <w:rPr>
                <w:rFonts w:eastAsia="Times New Roman"/>
                <w:b/>
                <w:bCs/>
                <w:color w:val="000000"/>
                <w:sz w:val="20"/>
              </w:rPr>
            </w:pPr>
            <w:r w:rsidRPr="007756D7">
              <w:rPr>
                <w:rFonts w:eastAsia="Times New Roman"/>
                <w:b/>
                <w:bCs/>
                <w:color w:val="000000"/>
                <w:sz w:val="20"/>
              </w:rPr>
              <w:t>Предложение за изменение на целевата стойност до 2023</w:t>
            </w:r>
          </w:p>
        </w:tc>
      </w:tr>
      <w:tr w:rsidR="00043F33" w:rsidRPr="007756D7" w14:paraId="6896BD61" w14:textId="2080E1F7" w:rsidTr="00063A81">
        <w:trPr>
          <w:trHeight w:val="366"/>
          <w:jc w:val="center"/>
        </w:trPr>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7493A68F" w14:textId="1C7D10DD"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О1-1</w:t>
            </w:r>
          </w:p>
        </w:tc>
        <w:tc>
          <w:tcPr>
            <w:tcW w:w="3827" w:type="dxa"/>
            <w:tcBorders>
              <w:top w:val="single" w:sz="4" w:space="0" w:color="auto"/>
              <w:left w:val="nil"/>
              <w:bottom w:val="single" w:sz="4" w:space="0" w:color="auto"/>
              <w:right w:val="single" w:sz="4" w:space="0" w:color="auto"/>
            </w:tcBorders>
            <w:shd w:val="clear" w:color="auto" w:fill="auto"/>
            <w:hideMark/>
          </w:tcPr>
          <w:p w14:paraId="5F69A24D" w14:textId="6E126243"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 xml:space="preserve">Брой подкрепени административни режими прегледани за опростяване </w:t>
            </w:r>
          </w:p>
        </w:tc>
        <w:tc>
          <w:tcPr>
            <w:tcW w:w="2324" w:type="dxa"/>
            <w:tcBorders>
              <w:top w:val="single" w:sz="4" w:space="0" w:color="auto"/>
              <w:left w:val="nil"/>
              <w:bottom w:val="single" w:sz="4" w:space="0" w:color="auto"/>
              <w:right w:val="single" w:sz="4" w:space="0" w:color="auto"/>
            </w:tcBorders>
            <w:shd w:val="clear" w:color="auto" w:fill="auto"/>
            <w:hideMark/>
          </w:tcPr>
          <w:p w14:paraId="7284429B" w14:textId="7B0FF6E1" w:rsidR="00043F33" w:rsidRPr="007756D7" w:rsidRDefault="00043F33" w:rsidP="00F44A6D">
            <w:pPr>
              <w:jc w:val="center"/>
              <w:rPr>
                <w:rFonts w:eastAsia="Times New Roman"/>
                <w:sz w:val="20"/>
              </w:rPr>
            </w:pPr>
            <w:r w:rsidRPr="007756D7">
              <w:rPr>
                <w:rFonts w:eastAsia="Times New Roman"/>
                <w:sz w:val="20"/>
              </w:rPr>
              <w:t>700</w:t>
            </w:r>
          </w:p>
        </w:tc>
        <w:tc>
          <w:tcPr>
            <w:tcW w:w="1843" w:type="dxa"/>
            <w:tcBorders>
              <w:top w:val="single" w:sz="4" w:space="0" w:color="auto"/>
              <w:left w:val="nil"/>
              <w:bottom w:val="single" w:sz="4" w:space="0" w:color="auto"/>
              <w:right w:val="single" w:sz="4" w:space="0" w:color="auto"/>
            </w:tcBorders>
            <w:shd w:val="clear" w:color="auto" w:fill="auto"/>
            <w:hideMark/>
          </w:tcPr>
          <w:p w14:paraId="21161E57" w14:textId="14A54586" w:rsidR="00043F33" w:rsidRPr="00BD2528" w:rsidRDefault="005020C6" w:rsidP="00F44A6D">
            <w:pPr>
              <w:jc w:val="center"/>
              <w:rPr>
                <w:rFonts w:eastAsia="Times New Roman"/>
                <w:color w:val="000000"/>
                <w:sz w:val="20"/>
                <w:lang w:val="en-US"/>
              </w:rPr>
            </w:pPr>
            <w:r w:rsidRPr="00585F0F">
              <w:rPr>
                <w:rFonts w:eastAsia="Times New Roman"/>
                <w:color w:val="000000"/>
                <w:sz w:val="20"/>
                <w:lang w:val="en-US"/>
              </w:rPr>
              <w:t>НП</w:t>
            </w:r>
          </w:p>
        </w:tc>
      </w:tr>
      <w:tr w:rsidR="00043F33" w:rsidRPr="007756D7" w14:paraId="6CAFC545" w14:textId="77777777" w:rsidTr="00063A81">
        <w:trPr>
          <w:trHeight w:val="359"/>
          <w:jc w:val="center"/>
        </w:trPr>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79EC20E7"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 xml:space="preserve">О1-2 </w:t>
            </w:r>
          </w:p>
        </w:tc>
        <w:tc>
          <w:tcPr>
            <w:tcW w:w="3827" w:type="dxa"/>
            <w:tcBorders>
              <w:top w:val="single" w:sz="4" w:space="0" w:color="auto"/>
              <w:left w:val="nil"/>
              <w:bottom w:val="single" w:sz="4" w:space="0" w:color="auto"/>
              <w:right w:val="single" w:sz="4" w:space="0" w:color="auto"/>
            </w:tcBorders>
            <w:shd w:val="clear" w:color="auto" w:fill="auto"/>
            <w:hideMark/>
          </w:tcPr>
          <w:p w14:paraId="72B748FB"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Брой нормативни актове, за които са извършени оценки на въздействието</w:t>
            </w:r>
          </w:p>
        </w:tc>
        <w:tc>
          <w:tcPr>
            <w:tcW w:w="2324" w:type="dxa"/>
            <w:tcBorders>
              <w:top w:val="single" w:sz="4" w:space="0" w:color="auto"/>
              <w:left w:val="nil"/>
              <w:bottom w:val="single" w:sz="4" w:space="0" w:color="auto"/>
              <w:right w:val="single" w:sz="4" w:space="0" w:color="auto"/>
            </w:tcBorders>
            <w:shd w:val="clear" w:color="auto" w:fill="auto"/>
            <w:hideMark/>
          </w:tcPr>
          <w:p w14:paraId="7C77CA2E" w14:textId="77777777" w:rsidR="00043F33" w:rsidRPr="007756D7" w:rsidRDefault="00043F33" w:rsidP="00F44A6D">
            <w:pPr>
              <w:jc w:val="center"/>
              <w:rPr>
                <w:rFonts w:eastAsia="Times New Roman"/>
                <w:sz w:val="20"/>
              </w:rPr>
            </w:pPr>
            <w:r w:rsidRPr="007756D7">
              <w:rPr>
                <w:rFonts w:eastAsia="Times New Roman"/>
                <w:sz w:val="20"/>
              </w:rPr>
              <w:t>65</w:t>
            </w:r>
          </w:p>
        </w:tc>
        <w:tc>
          <w:tcPr>
            <w:tcW w:w="1843" w:type="dxa"/>
            <w:tcBorders>
              <w:top w:val="single" w:sz="4" w:space="0" w:color="auto"/>
              <w:left w:val="nil"/>
              <w:bottom w:val="single" w:sz="4" w:space="0" w:color="auto"/>
              <w:right w:val="single" w:sz="4" w:space="0" w:color="auto"/>
            </w:tcBorders>
            <w:shd w:val="clear" w:color="auto" w:fill="auto"/>
            <w:hideMark/>
          </w:tcPr>
          <w:p w14:paraId="4212F78D" w14:textId="4DD96BAF"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034E0689" w14:textId="77777777" w:rsidTr="00063A81">
        <w:trPr>
          <w:trHeight w:val="365"/>
          <w:jc w:val="center"/>
        </w:trPr>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2E2FDB3C"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О1-3</w:t>
            </w:r>
          </w:p>
        </w:tc>
        <w:tc>
          <w:tcPr>
            <w:tcW w:w="3827" w:type="dxa"/>
            <w:tcBorders>
              <w:top w:val="single" w:sz="4" w:space="0" w:color="auto"/>
              <w:left w:val="nil"/>
              <w:bottom w:val="single" w:sz="4" w:space="0" w:color="auto"/>
              <w:right w:val="single" w:sz="4" w:space="0" w:color="auto"/>
            </w:tcBorders>
            <w:shd w:val="clear" w:color="auto" w:fill="auto"/>
            <w:hideMark/>
          </w:tcPr>
          <w:p w14:paraId="7CFA4750"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Администрации, подкрепени за въвеждане на комплексно административно обслужване</w:t>
            </w:r>
          </w:p>
        </w:tc>
        <w:tc>
          <w:tcPr>
            <w:tcW w:w="2324" w:type="dxa"/>
            <w:tcBorders>
              <w:top w:val="single" w:sz="4" w:space="0" w:color="auto"/>
              <w:left w:val="nil"/>
              <w:bottom w:val="single" w:sz="4" w:space="0" w:color="auto"/>
              <w:right w:val="single" w:sz="4" w:space="0" w:color="auto"/>
            </w:tcBorders>
            <w:shd w:val="clear" w:color="auto" w:fill="auto"/>
            <w:hideMark/>
          </w:tcPr>
          <w:p w14:paraId="288EC2F2" w14:textId="77777777" w:rsidR="00043F33" w:rsidRPr="007756D7" w:rsidRDefault="00043F33" w:rsidP="00F44A6D">
            <w:pPr>
              <w:jc w:val="center"/>
              <w:rPr>
                <w:rFonts w:eastAsia="Times New Roman"/>
                <w:sz w:val="20"/>
              </w:rPr>
            </w:pPr>
            <w:r w:rsidRPr="007756D7">
              <w:rPr>
                <w:rFonts w:eastAsia="Times New Roman"/>
                <w:sz w:val="20"/>
              </w:rPr>
              <w:t>103</w:t>
            </w:r>
          </w:p>
        </w:tc>
        <w:tc>
          <w:tcPr>
            <w:tcW w:w="1843" w:type="dxa"/>
            <w:tcBorders>
              <w:top w:val="single" w:sz="4" w:space="0" w:color="auto"/>
              <w:left w:val="nil"/>
              <w:bottom w:val="single" w:sz="4" w:space="0" w:color="auto"/>
              <w:right w:val="single" w:sz="4" w:space="0" w:color="auto"/>
            </w:tcBorders>
            <w:shd w:val="clear" w:color="auto" w:fill="auto"/>
            <w:hideMark/>
          </w:tcPr>
          <w:p w14:paraId="40FEA007" w14:textId="170F1F2B"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3738F673" w14:textId="77777777" w:rsidTr="00063A81">
        <w:trPr>
          <w:trHeight w:val="371"/>
          <w:jc w:val="center"/>
        </w:trPr>
        <w:tc>
          <w:tcPr>
            <w:tcW w:w="1352" w:type="dxa"/>
            <w:tcBorders>
              <w:top w:val="nil"/>
              <w:left w:val="single" w:sz="4" w:space="0" w:color="auto"/>
              <w:bottom w:val="single" w:sz="4" w:space="0" w:color="auto"/>
              <w:right w:val="single" w:sz="4" w:space="0" w:color="auto"/>
            </w:tcBorders>
            <w:shd w:val="clear" w:color="auto" w:fill="auto"/>
            <w:hideMark/>
          </w:tcPr>
          <w:p w14:paraId="635D6F03"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 xml:space="preserve">О1-4 </w:t>
            </w:r>
          </w:p>
        </w:tc>
        <w:tc>
          <w:tcPr>
            <w:tcW w:w="3827" w:type="dxa"/>
            <w:tcBorders>
              <w:top w:val="nil"/>
              <w:left w:val="nil"/>
              <w:bottom w:val="single" w:sz="4" w:space="0" w:color="auto"/>
              <w:right w:val="single" w:sz="4" w:space="0" w:color="auto"/>
            </w:tcBorders>
            <w:shd w:val="clear" w:color="auto" w:fill="auto"/>
            <w:hideMark/>
          </w:tcPr>
          <w:p w14:paraId="1278BD9B"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 xml:space="preserve">Брой общински услуги, подкрепени за стандартизиране </w:t>
            </w:r>
          </w:p>
        </w:tc>
        <w:tc>
          <w:tcPr>
            <w:tcW w:w="2324" w:type="dxa"/>
            <w:tcBorders>
              <w:top w:val="nil"/>
              <w:left w:val="nil"/>
              <w:bottom w:val="single" w:sz="4" w:space="0" w:color="auto"/>
              <w:right w:val="single" w:sz="4" w:space="0" w:color="auto"/>
            </w:tcBorders>
            <w:shd w:val="clear" w:color="auto" w:fill="auto"/>
            <w:hideMark/>
          </w:tcPr>
          <w:p w14:paraId="3D0EA2EC" w14:textId="77777777" w:rsidR="00043F33" w:rsidRPr="007756D7" w:rsidRDefault="00043F33" w:rsidP="00F44A6D">
            <w:pPr>
              <w:jc w:val="center"/>
              <w:rPr>
                <w:rFonts w:eastAsia="Times New Roman"/>
                <w:sz w:val="20"/>
              </w:rPr>
            </w:pPr>
            <w:r w:rsidRPr="007756D7">
              <w:rPr>
                <w:rFonts w:eastAsia="Times New Roman"/>
                <w:sz w:val="20"/>
              </w:rPr>
              <w:t>20</w:t>
            </w:r>
          </w:p>
        </w:tc>
        <w:tc>
          <w:tcPr>
            <w:tcW w:w="1843" w:type="dxa"/>
            <w:tcBorders>
              <w:top w:val="nil"/>
              <w:left w:val="nil"/>
              <w:bottom w:val="single" w:sz="4" w:space="0" w:color="auto"/>
              <w:right w:val="single" w:sz="4" w:space="0" w:color="auto"/>
            </w:tcBorders>
            <w:shd w:val="clear" w:color="auto" w:fill="auto"/>
            <w:hideMark/>
          </w:tcPr>
          <w:p w14:paraId="412157FA" w14:textId="54A7E3B8"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26547225" w14:textId="77777777" w:rsidTr="00063A81">
        <w:trPr>
          <w:trHeight w:val="788"/>
          <w:jc w:val="center"/>
        </w:trPr>
        <w:tc>
          <w:tcPr>
            <w:tcW w:w="1352" w:type="dxa"/>
            <w:tcBorders>
              <w:top w:val="nil"/>
              <w:left w:val="single" w:sz="4" w:space="0" w:color="auto"/>
              <w:bottom w:val="single" w:sz="4" w:space="0" w:color="auto"/>
              <w:right w:val="single" w:sz="4" w:space="0" w:color="auto"/>
            </w:tcBorders>
            <w:shd w:val="clear" w:color="auto" w:fill="auto"/>
            <w:hideMark/>
          </w:tcPr>
          <w:p w14:paraId="1F537172"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lastRenderedPageBreak/>
              <w:t>О1-5</w:t>
            </w:r>
          </w:p>
        </w:tc>
        <w:tc>
          <w:tcPr>
            <w:tcW w:w="3827" w:type="dxa"/>
            <w:tcBorders>
              <w:top w:val="nil"/>
              <w:left w:val="nil"/>
              <w:bottom w:val="single" w:sz="4" w:space="0" w:color="auto"/>
              <w:right w:val="single" w:sz="4" w:space="0" w:color="auto"/>
            </w:tcBorders>
            <w:shd w:val="clear" w:color="auto" w:fill="auto"/>
            <w:hideMark/>
          </w:tcPr>
          <w:p w14:paraId="5F33E9D2"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Контролни, приходни и регулаторни органи, подкрепени за развитие на организационен и аналитичен капацитет, включително за извършване на съвместни проверки</w:t>
            </w:r>
          </w:p>
        </w:tc>
        <w:tc>
          <w:tcPr>
            <w:tcW w:w="2324" w:type="dxa"/>
            <w:tcBorders>
              <w:top w:val="nil"/>
              <w:left w:val="nil"/>
              <w:bottom w:val="single" w:sz="4" w:space="0" w:color="auto"/>
              <w:right w:val="single" w:sz="4" w:space="0" w:color="auto"/>
            </w:tcBorders>
            <w:shd w:val="clear" w:color="auto" w:fill="auto"/>
            <w:hideMark/>
          </w:tcPr>
          <w:p w14:paraId="659DFB19" w14:textId="421614EE" w:rsidR="00043F33" w:rsidRPr="007756D7" w:rsidRDefault="00043F33" w:rsidP="00FF0DBC">
            <w:pPr>
              <w:jc w:val="center"/>
              <w:rPr>
                <w:rFonts w:eastAsia="Times New Roman"/>
                <w:sz w:val="20"/>
              </w:rPr>
            </w:pPr>
            <w:r w:rsidRPr="007756D7">
              <w:rPr>
                <w:rFonts w:eastAsia="Times New Roman"/>
                <w:sz w:val="20"/>
              </w:rPr>
              <w:t>15</w:t>
            </w:r>
          </w:p>
        </w:tc>
        <w:tc>
          <w:tcPr>
            <w:tcW w:w="1843" w:type="dxa"/>
            <w:tcBorders>
              <w:top w:val="nil"/>
              <w:left w:val="nil"/>
              <w:bottom w:val="single" w:sz="4" w:space="0" w:color="auto"/>
              <w:right w:val="single" w:sz="4" w:space="0" w:color="auto"/>
            </w:tcBorders>
            <w:shd w:val="clear" w:color="auto" w:fill="auto"/>
            <w:hideMark/>
          </w:tcPr>
          <w:p w14:paraId="1981DEFE" w14:textId="2189F104"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49D16D4B" w14:textId="77777777" w:rsidTr="00063A81">
        <w:trPr>
          <w:trHeight w:val="249"/>
          <w:jc w:val="center"/>
        </w:trPr>
        <w:tc>
          <w:tcPr>
            <w:tcW w:w="1352" w:type="dxa"/>
            <w:tcBorders>
              <w:top w:val="nil"/>
              <w:left w:val="single" w:sz="4" w:space="0" w:color="auto"/>
              <w:bottom w:val="single" w:sz="4" w:space="0" w:color="auto"/>
              <w:right w:val="single" w:sz="4" w:space="0" w:color="auto"/>
            </w:tcBorders>
            <w:shd w:val="clear" w:color="auto" w:fill="auto"/>
            <w:hideMark/>
          </w:tcPr>
          <w:p w14:paraId="10ABADF1"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 xml:space="preserve">О1-6 </w:t>
            </w:r>
          </w:p>
        </w:tc>
        <w:tc>
          <w:tcPr>
            <w:tcW w:w="3827" w:type="dxa"/>
            <w:tcBorders>
              <w:top w:val="nil"/>
              <w:left w:val="nil"/>
              <w:bottom w:val="single" w:sz="4" w:space="0" w:color="auto"/>
              <w:right w:val="single" w:sz="4" w:space="0" w:color="auto"/>
            </w:tcBorders>
            <w:shd w:val="clear" w:color="auto" w:fill="auto"/>
            <w:hideMark/>
          </w:tcPr>
          <w:p w14:paraId="253CA861"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 xml:space="preserve">Проекти за развитие на държавен ХЧО </w:t>
            </w:r>
          </w:p>
        </w:tc>
        <w:tc>
          <w:tcPr>
            <w:tcW w:w="2324" w:type="dxa"/>
            <w:tcBorders>
              <w:top w:val="nil"/>
              <w:left w:val="nil"/>
              <w:bottom w:val="single" w:sz="4" w:space="0" w:color="auto"/>
              <w:right w:val="single" w:sz="4" w:space="0" w:color="auto"/>
            </w:tcBorders>
            <w:shd w:val="clear" w:color="auto" w:fill="auto"/>
            <w:hideMark/>
          </w:tcPr>
          <w:p w14:paraId="23146310" w14:textId="77777777" w:rsidR="00043F33" w:rsidRPr="007756D7" w:rsidRDefault="00043F33" w:rsidP="00F44A6D">
            <w:pPr>
              <w:jc w:val="center"/>
              <w:rPr>
                <w:rFonts w:eastAsia="Times New Roman"/>
                <w:sz w:val="20"/>
              </w:rPr>
            </w:pPr>
            <w:r w:rsidRPr="007756D7">
              <w:rPr>
                <w:rFonts w:eastAsia="Times New Roman"/>
                <w:sz w:val="20"/>
              </w:rPr>
              <w:t>4</w:t>
            </w:r>
          </w:p>
        </w:tc>
        <w:tc>
          <w:tcPr>
            <w:tcW w:w="1843" w:type="dxa"/>
            <w:tcBorders>
              <w:top w:val="nil"/>
              <w:left w:val="nil"/>
              <w:bottom w:val="single" w:sz="4" w:space="0" w:color="auto"/>
              <w:right w:val="single" w:sz="4" w:space="0" w:color="auto"/>
            </w:tcBorders>
            <w:shd w:val="clear" w:color="auto" w:fill="auto"/>
            <w:hideMark/>
          </w:tcPr>
          <w:p w14:paraId="24682147" w14:textId="318D5037"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7B5F6CE5" w14:textId="77777777" w:rsidTr="00063A81">
        <w:trPr>
          <w:trHeight w:val="267"/>
          <w:jc w:val="center"/>
        </w:trPr>
        <w:tc>
          <w:tcPr>
            <w:tcW w:w="1352" w:type="dxa"/>
            <w:tcBorders>
              <w:top w:val="nil"/>
              <w:left w:val="single" w:sz="4" w:space="0" w:color="auto"/>
              <w:bottom w:val="single" w:sz="4" w:space="0" w:color="auto"/>
              <w:right w:val="single" w:sz="4" w:space="0" w:color="auto"/>
            </w:tcBorders>
            <w:shd w:val="clear" w:color="auto" w:fill="auto"/>
            <w:hideMark/>
          </w:tcPr>
          <w:p w14:paraId="025AC18C"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О1-7</w:t>
            </w:r>
          </w:p>
        </w:tc>
        <w:tc>
          <w:tcPr>
            <w:tcW w:w="3827" w:type="dxa"/>
            <w:tcBorders>
              <w:top w:val="nil"/>
              <w:left w:val="nil"/>
              <w:bottom w:val="single" w:sz="4" w:space="0" w:color="auto"/>
              <w:right w:val="single" w:sz="4" w:space="0" w:color="auto"/>
            </w:tcBorders>
            <w:shd w:val="clear" w:color="auto" w:fill="auto"/>
            <w:hideMark/>
          </w:tcPr>
          <w:p w14:paraId="6EBFCF87"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Брой подкрепени регистри</w:t>
            </w:r>
          </w:p>
        </w:tc>
        <w:tc>
          <w:tcPr>
            <w:tcW w:w="2324" w:type="dxa"/>
            <w:tcBorders>
              <w:top w:val="nil"/>
              <w:left w:val="nil"/>
              <w:bottom w:val="single" w:sz="4" w:space="0" w:color="auto"/>
              <w:right w:val="single" w:sz="4" w:space="0" w:color="auto"/>
            </w:tcBorders>
            <w:shd w:val="clear" w:color="auto" w:fill="auto"/>
            <w:hideMark/>
          </w:tcPr>
          <w:p w14:paraId="4F896CAC" w14:textId="77777777" w:rsidR="00043F33" w:rsidRPr="007756D7" w:rsidRDefault="00043F33" w:rsidP="00F44A6D">
            <w:pPr>
              <w:jc w:val="center"/>
              <w:rPr>
                <w:rFonts w:eastAsia="Times New Roman"/>
                <w:sz w:val="20"/>
              </w:rPr>
            </w:pPr>
            <w:r w:rsidRPr="007756D7">
              <w:rPr>
                <w:rFonts w:eastAsia="Times New Roman"/>
                <w:sz w:val="20"/>
              </w:rPr>
              <w:t>100</w:t>
            </w:r>
          </w:p>
        </w:tc>
        <w:tc>
          <w:tcPr>
            <w:tcW w:w="1843" w:type="dxa"/>
            <w:tcBorders>
              <w:top w:val="nil"/>
              <w:left w:val="nil"/>
              <w:bottom w:val="single" w:sz="4" w:space="0" w:color="auto"/>
              <w:right w:val="single" w:sz="4" w:space="0" w:color="auto"/>
            </w:tcBorders>
            <w:shd w:val="clear" w:color="auto" w:fill="auto"/>
            <w:hideMark/>
          </w:tcPr>
          <w:p w14:paraId="32D047CE" w14:textId="06547178" w:rsidR="00043F33" w:rsidRPr="007756D7" w:rsidRDefault="00AB678C" w:rsidP="00F44A6D">
            <w:pPr>
              <w:jc w:val="center"/>
              <w:rPr>
                <w:rFonts w:eastAsia="Times New Roman"/>
                <w:color w:val="000000"/>
                <w:sz w:val="20"/>
              </w:rPr>
            </w:pPr>
            <w:r>
              <w:rPr>
                <w:rFonts w:eastAsia="Times New Roman"/>
                <w:color w:val="000000"/>
                <w:sz w:val="20"/>
              </w:rPr>
              <w:t>НП</w:t>
            </w:r>
          </w:p>
        </w:tc>
      </w:tr>
      <w:tr w:rsidR="00043F33" w:rsidRPr="007756D7" w14:paraId="7CA1F3EB" w14:textId="77777777" w:rsidTr="00063A81">
        <w:trPr>
          <w:trHeight w:val="413"/>
          <w:jc w:val="center"/>
        </w:trPr>
        <w:tc>
          <w:tcPr>
            <w:tcW w:w="1352" w:type="dxa"/>
            <w:tcBorders>
              <w:top w:val="nil"/>
              <w:left w:val="single" w:sz="4" w:space="0" w:color="auto"/>
              <w:bottom w:val="single" w:sz="4" w:space="0" w:color="auto"/>
              <w:right w:val="single" w:sz="4" w:space="0" w:color="auto"/>
            </w:tcBorders>
            <w:shd w:val="clear" w:color="auto" w:fill="auto"/>
            <w:hideMark/>
          </w:tcPr>
          <w:p w14:paraId="16E17CD6"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О1-8</w:t>
            </w:r>
          </w:p>
        </w:tc>
        <w:tc>
          <w:tcPr>
            <w:tcW w:w="3827" w:type="dxa"/>
            <w:tcBorders>
              <w:top w:val="nil"/>
              <w:left w:val="nil"/>
              <w:bottom w:val="single" w:sz="4" w:space="0" w:color="auto"/>
              <w:right w:val="single" w:sz="4" w:space="0" w:color="auto"/>
            </w:tcBorders>
            <w:shd w:val="clear" w:color="auto" w:fill="auto"/>
            <w:hideMark/>
          </w:tcPr>
          <w:p w14:paraId="637EEA18"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 xml:space="preserve">Подкрепени електронни услуги за предоставянето им в транзакционен режим </w:t>
            </w:r>
          </w:p>
        </w:tc>
        <w:tc>
          <w:tcPr>
            <w:tcW w:w="2324" w:type="dxa"/>
            <w:tcBorders>
              <w:top w:val="nil"/>
              <w:left w:val="nil"/>
              <w:bottom w:val="single" w:sz="4" w:space="0" w:color="auto"/>
              <w:right w:val="single" w:sz="4" w:space="0" w:color="auto"/>
            </w:tcBorders>
            <w:shd w:val="clear" w:color="auto" w:fill="auto"/>
            <w:hideMark/>
          </w:tcPr>
          <w:p w14:paraId="16E77815" w14:textId="77777777" w:rsidR="00043F33" w:rsidRPr="007756D7" w:rsidRDefault="00043F33" w:rsidP="00F44A6D">
            <w:pPr>
              <w:jc w:val="center"/>
              <w:rPr>
                <w:rFonts w:eastAsia="Times New Roman"/>
                <w:sz w:val="20"/>
              </w:rPr>
            </w:pPr>
            <w:r w:rsidRPr="007756D7">
              <w:rPr>
                <w:rFonts w:eastAsia="Times New Roman"/>
                <w:sz w:val="20"/>
              </w:rPr>
              <w:t>850</w:t>
            </w:r>
          </w:p>
        </w:tc>
        <w:tc>
          <w:tcPr>
            <w:tcW w:w="1843" w:type="dxa"/>
            <w:tcBorders>
              <w:top w:val="nil"/>
              <w:left w:val="nil"/>
              <w:bottom w:val="single" w:sz="4" w:space="0" w:color="auto"/>
              <w:right w:val="single" w:sz="4" w:space="0" w:color="auto"/>
            </w:tcBorders>
            <w:shd w:val="clear" w:color="auto" w:fill="auto"/>
            <w:hideMark/>
          </w:tcPr>
          <w:p w14:paraId="333B1503" w14:textId="77777777" w:rsidR="00043F33" w:rsidRPr="007756D7" w:rsidRDefault="00043F33" w:rsidP="00F44A6D">
            <w:pPr>
              <w:jc w:val="center"/>
              <w:rPr>
                <w:rFonts w:eastAsia="Times New Roman"/>
                <w:color w:val="000000"/>
                <w:sz w:val="20"/>
              </w:rPr>
            </w:pPr>
            <w:r w:rsidRPr="007756D7">
              <w:rPr>
                <w:rFonts w:eastAsia="Times New Roman"/>
                <w:color w:val="000000"/>
                <w:sz w:val="20"/>
              </w:rPr>
              <w:t>750</w:t>
            </w:r>
          </w:p>
        </w:tc>
      </w:tr>
      <w:tr w:rsidR="00043F33" w:rsidRPr="007756D7" w14:paraId="34A4AFDC" w14:textId="77777777" w:rsidTr="00063A81">
        <w:trPr>
          <w:trHeight w:val="839"/>
          <w:jc w:val="center"/>
        </w:trPr>
        <w:tc>
          <w:tcPr>
            <w:tcW w:w="1352" w:type="dxa"/>
            <w:tcBorders>
              <w:top w:val="nil"/>
              <w:left w:val="single" w:sz="4" w:space="0" w:color="auto"/>
              <w:bottom w:val="single" w:sz="4" w:space="0" w:color="auto"/>
              <w:right w:val="single" w:sz="4" w:space="0" w:color="auto"/>
            </w:tcBorders>
            <w:shd w:val="clear" w:color="auto" w:fill="auto"/>
            <w:hideMark/>
          </w:tcPr>
          <w:p w14:paraId="6C178AC9"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О1-9</w:t>
            </w:r>
          </w:p>
        </w:tc>
        <w:tc>
          <w:tcPr>
            <w:tcW w:w="3827" w:type="dxa"/>
            <w:tcBorders>
              <w:top w:val="nil"/>
              <w:left w:val="nil"/>
              <w:bottom w:val="single" w:sz="4" w:space="0" w:color="auto"/>
              <w:right w:val="single" w:sz="4" w:space="0" w:color="auto"/>
            </w:tcBorders>
            <w:shd w:val="clear" w:color="auto" w:fill="auto"/>
            <w:hideMark/>
          </w:tcPr>
          <w:p w14:paraId="5E342A24" w14:textId="7B8FE8CF" w:rsidR="00043F33" w:rsidRPr="007756D7" w:rsidRDefault="00043F33" w:rsidP="00B1799A">
            <w:pPr>
              <w:jc w:val="both"/>
              <w:rPr>
                <w:rFonts w:eastAsia="Times New Roman"/>
                <w:color w:val="000000"/>
                <w:sz w:val="18"/>
                <w:szCs w:val="18"/>
              </w:rPr>
            </w:pPr>
            <w:r w:rsidRPr="007756D7">
              <w:rPr>
                <w:rFonts w:eastAsia="Times New Roman"/>
                <w:color w:val="000000"/>
                <w:sz w:val="18"/>
                <w:szCs w:val="18"/>
              </w:rPr>
              <w:t>Брой проекти за развитие на секторните системи на е- управление (е-обществени поръчки, е- здравеопазване, е-митници, е-архивиране, е-осигуряване и др.)</w:t>
            </w:r>
          </w:p>
        </w:tc>
        <w:tc>
          <w:tcPr>
            <w:tcW w:w="2324" w:type="dxa"/>
            <w:tcBorders>
              <w:top w:val="nil"/>
              <w:left w:val="nil"/>
              <w:bottom w:val="single" w:sz="4" w:space="0" w:color="auto"/>
              <w:right w:val="single" w:sz="4" w:space="0" w:color="auto"/>
            </w:tcBorders>
            <w:shd w:val="clear" w:color="auto" w:fill="auto"/>
            <w:hideMark/>
          </w:tcPr>
          <w:p w14:paraId="1241A14A" w14:textId="77777777" w:rsidR="00043F33" w:rsidRPr="007756D7" w:rsidRDefault="00043F33" w:rsidP="00F44A6D">
            <w:pPr>
              <w:jc w:val="center"/>
              <w:rPr>
                <w:rFonts w:eastAsia="Times New Roman"/>
                <w:sz w:val="20"/>
              </w:rPr>
            </w:pPr>
            <w:r w:rsidRPr="007756D7">
              <w:rPr>
                <w:rFonts w:eastAsia="Times New Roman"/>
                <w:sz w:val="20"/>
              </w:rPr>
              <w:t>15</w:t>
            </w:r>
          </w:p>
        </w:tc>
        <w:tc>
          <w:tcPr>
            <w:tcW w:w="1843" w:type="dxa"/>
            <w:tcBorders>
              <w:top w:val="nil"/>
              <w:left w:val="nil"/>
              <w:bottom w:val="single" w:sz="4" w:space="0" w:color="auto"/>
              <w:right w:val="single" w:sz="4" w:space="0" w:color="auto"/>
            </w:tcBorders>
            <w:shd w:val="clear" w:color="auto" w:fill="auto"/>
            <w:hideMark/>
          </w:tcPr>
          <w:p w14:paraId="6497F526" w14:textId="77777777" w:rsidR="00043F33" w:rsidRPr="007756D7" w:rsidRDefault="00043F33" w:rsidP="00F44A6D">
            <w:pPr>
              <w:jc w:val="center"/>
              <w:rPr>
                <w:rFonts w:eastAsia="Times New Roman"/>
                <w:color w:val="000000"/>
                <w:sz w:val="20"/>
              </w:rPr>
            </w:pPr>
            <w:r w:rsidRPr="007756D7">
              <w:rPr>
                <w:rFonts w:eastAsia="Times New Roman"/>
                <w:color w:val="000000"/>
                <w:sz w:val="20"/>
              </w:rPr>
              <w:t>13</w:t>
            </w:r>
          </w:p>
        </w:tc>
      </w:tr>
      <w:tr w:rsidR="00043F33" w:rsidRPr="007756D7" w14:paraId="07FC9CF5" w14:textId="77777777" w:rsidTr="00063A81">
        <w:trPr>
          <w:trHeight w:val="275"/>
          <w:jc w:val="center"/>
        </w:trPr>
        <w:tc>
          <w:tcPr>
            <w:tcW w:w="1352" w:type="dxa"/>
            <w:tcBorders>
              <w:top w:val="nil"/>
              <w:left w:val="single" w:sz="4" w:space="0" w:color="auto"/>
              <w:bottom w:val="single" w:sz="4" w:space="0" w:color="auto"/>
              <w:right w:val="single" w:sz="4" w:space="0" w:color="auto"/>
            </w:tcBorders>
            <w:shd w:val="clear" w:color="auto" w:fill="auto"/>
            <w:hideMark/>
          </w:tcPr>
          <w:p w14:paraId="2CFB6AD5"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R1-1</w:t>
            </w:r>
          </w:p>
        </w:tc>
        <w:tc>
          <w:tcPr>
            <w:tcW w:w="3827" w:type="dxa"/>
            <w:tcBorders>
              <w:top w:val="nil"/>
              <w:left w:val="nil"/>
              <w:bottom w:val="single" w:sz="4" w:space="0" w:color="auto"/>
              <w:right w:val="single" w:sz="4" w:space="0" w:color="auto"/>
            </w:tcBorders>
            <w:shd w:val="clear" w:color="auto" w:fill="auto"/>
            <w:hideMark/>
          </w:tcPr>
          <w:p w14:paraId="443E3409"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Брой внедрени услуги от типа „епизоди от живота“ и „бизнес събития“</w:t>
            </w:r>
          </w:p>
        </w:tc>
        <w:tc>
          <w:tcPr>
            <w:tcW w:w="2324" w:type="dxa"/>
            <w:tcBorders>
              <w:top w:val="nil"/>
              <w:left w:val="nil"/>
              <w:bottom w:val="single" w:sz="4" w:space="0" w:color="auto"/>
              <w:right w:val="single" w:sz="4" w:space="0" w:color="auto"/>
            </w:tcBorders>
            <w:shd w:val="clear" w:color="auto" w:fill="auto"/>
            <w:hideMark/>
          </w:tcPr>
          <w:p w14:paraId="215F2220" w14:textId="77777777" w:rsidR="00043F33" w:rsidRPr="007756D7" w:rsidRDefault="00043F33" w:rsidP="00F44A6D">
            <w:pPr>
              <w:jc w:val="center"/>
              <w:rPr>
                <w:rFonts w:eastAsia="Times New Roman"/>
                <w:sz w:val="20"/>
              </w:rPr>
            </w:pPr>
            <w:r w:rsidRPr="007756D7">
              <w:rPr>
                <w:rFonts w:eastAsia="Times New Roman"/>
                <w:sz w:val="20"/>
              </w:rPr>
              <w:t>10</w:t>
            </w:r>
          </w:p>
        </w:tc>
        <w:tc>
          <w:tcPr>
            <w:tcW w:w="1843" w:type="dxa"/>
            <w:tcBorders>
              <w:top w:val="nil"/>
              <w:left w:val="nil"/>
              <w:bottom w:val="single" w:sz="4" w:space="0" w:color="auto"/>
              <w:right w:val="single" w:sz="4" w:space="0" w:color="auto"/>
            </w:tcBorders>
            <w:shd w:val="clear" w:color="auto" w:fill="auto"/>
            <w:hideMark/>
          </w:tcPr>
          <w:p w14:paraId="59E02BC9" w14:textId="287DB235" w:rsidR="00043F33" w:rsidRPr="007756D7" w:rsidRDefault="00062D88" w:rsidP="00F44A6D">
            <w:pPr>
              <w:jc w:val="center"/>
              <w:rPr>
                <w:rFonts w:eastAsia="Times New Roman"/>
                <w:sz w:val="20"/>
              </w:rPr>
            </w:pPr>
            <w:r>
              <w:rPr>
                <w:rFonts w:eastAsia="Times New Roman"/>
                <w:sz w:val="20"/>
              </w:rPr>
              <w:t>0</w:t>
            </w:r>
          </w:p>
        </w:tc>
      </w:tr>
      <w:tr w:rsidR="00043F33" w:rsidRPr="007756D7" w14:paraId="6C0B5A65" w14:textId="77777777" w:rsidTr="00063A81">
        <w:trPr>
          <w:trHeight w:val="423"/>
          <w:jc w:val="center"/>
        </w:trPr>
        <w:tc>
          <w:tcPr>
            <w:tcW w:w="1352" w:type="dxa"/>
            <w:tcBorders>
              <w:top w:val="nil"/>
              <w:left w:val="single" w:sz="4" w:space="0" w:color="auto"/>
              <w:bottom w:val="single" w:sz="4" w:space="0" w:color="auto"/>
              <w:right w:val="single" w:sz="4" w:space="0" w:color="auto"/>
            </w:tcBorders>
            <w:shd w:val="clear" w:color="auto" w:fill="auto"/>
            <w:hideMark/>
          </w:tcPr>
          <w:p w14:paraId="011E1BCE"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R1-2</w:t>
            </w:r>
          </w:p>
        </w:tc>
        <w:tc>
          <w:tcPr>
            <w:tcW w:w="3827" w:type="dxa"/>
            <w:tcBorders>
              <w:top w:val="nil"/>
              <w:left w:val="nil"/>
              <w:bottom w:val="single" w:sz="4" w:space="0" w:color="auto"/>
              <w:right w:val="single" w:sz="4" w:space="0" w:color="auto"/>
            </w:tcBorders>
            <w:shd w:val="clear" w:color="auto" w:fill="auto"/>
            <w:hideMark/>
          </w:tcPr>
          <w:p w14:paraId="7B1D552C"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 xml:space="preserve">Брой стандартизирани общински услуги, въведени във всички общински администрации </w:t>
            </w:r>
          </w:p>
        </w:tc>
        <w:tc>
          <w:tcPr>
            <w:tcW w:w="2324" w:type="dxa"/>
            <w:tcBorders>
              <w:top w:val="nil"/>
              <w:left w:val="nil"/>
              <w:bottom w:val="single" w:sz="4" w:space="0" w:color="auto"/>
              <w:right w:val="single" w:sz="4" w:space="0" w:color="auto"/>
            </w:tcBorders>
            <w:shd w:val="clear" w:color="auto" w:fill="auto"/>
            <w:hideMark/>
          </w:tcPr>
          <w:p w14:paraId="2F5960B0" w14:textId="092BBC06" w:rsidR="00043F33" w:rsidRPr="007756D7" w:rsidRDefault="00043F33" w:rsidP="00201699">
            <w:pPr>
              <w:jc w:val="center"/>
              <w:rPr>
                <w:rFonts w:eastAsia="Times New Roman"/>
                <w:sz w:val="20"/>
              </w:rPr>
            </w:pPr>
            <w:r w:rsidRPr="007756D7">
              <w:rPr>
                <w:rFonts w:eastAsia="Times New Roman"/>
                <w:sz w:val="20"/>
              </w:rPr>
              <w:t>2</w:t>
            </w:r>
            <w:r>
              <w:rPr>
                <w:rFonts w:eastAsia="Times New Roman"/>
                <w:sz w:val="20"/>
              </w:rPr>
              <w:t>0</w:t>
            </w:r>
          </w:p>
        </w:tc>
        <w:tc>
          <w:tcPr>
            <w:tcW w:w="1843" w:type="dxa"/>
            <w:tcBorders>
              <w:top w:val="nil"/>
              <w:left w:val="nil"/>
              <w:bottom w:val="single" w:sz="4" w:space="0" w:color="auto"/>
              <w:right w:val="single" w:sz="4" w:space="0" w:color="auto"/>
            </w:tcBorders>
            <w:shd w:val="clear" w:color="auto" w:fill="auto"/>
            <w:hideMark/>
          </w:tcPr>
          <w:p w14:paraId="12268D67" w14:textId="3702F7C7" w:rsidR="00043F33" w:rsidRPr="007756D7" w:rsidRDefault="00043F33" w:rsidP="00F44A6D">
            <w:pPr>
              <w:jc w:val="center"/>
              <w:rPr>
                <w:rFonts w:eastAsia="Times New Roman"/>
                <w:color w:val="000000"/>
                <w:sz w:val="20"/>
              </w:rPr>
            </w:pPr>
            <w:r>
              <w:rPr>
                <w:rFonts w:eastAsia="Times New Roman"/>
                <w:color w:val="000000"/>
                <w:sz w:val="20"/>
              </w:rPr>
              <w:t>НП</w:t>
            </w:r>
          </w:p>
        </w:tc>
      </w:tr>
      <w:tr w:rsidR="00043F33" w:rsidRPr="007756D7" w14:paraId="79C19109" w14:textId="77777777" w:rsidTr="00746E89">
        <w:trPr>
          <w:trHeight w:val="982"/>
          <w:jc w:val="center"/>
        </w:trPr>
        <w:tc>
          <w:tcPr>
            <w:tcW w:w="1352" w:type="dxa"/>
            <w:tcBorders>
              <w:top w:val="nil"/>
              <w:left w:val="single" w:sz="4" w:space="0" w:color="auto"/>
              <w:bottom w:val="single" w:sz="4" w:space="0" w:color="auto"/>
              <w:right w:val="single" w:sz="4" w:space="0" w:color="auto"/>
            </w:tcBorders>
            <w:shd w:val="clear" w:color="auto" w:fill="auto"/>
          </w:tcPr>
          <w:p w14:paraId="0A97B474" w14:textId="7C9D1B08"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R1-3</w:t>
            </w:r>
          </w:p>
        </w:tc>
        <w:tc>
          <w:tcPr>
            <w:tcW w:w="3827" w:type="dxa"/>
            <w:tcBorders>
              <w:top w:val="nil"/>
              <w:left w:val="nil"/>
              <w:bottom w:val="single" w:sz="4" w:space="0" w:color="auto"/>
              <w:right w:val="single" w:sz="4" w:space="0" w:color="auto"/>
            </w:tcBorders>
            <w:shd w:val="clear" w:color="auto" w:fill="auto"/>
          </w:tcPr>
          <w:p w14:paraId="78F27F02" w14:textId="2010FAF5" w:rsidR="00043F33" w:rsidRPr="007756D7" w:rsidRDefault="00043F33" w:rsidP="003B13E1">
            <w:pPr>
              <w:jc w:val="both"/>
              <w:rPr>
                <w:rFonts w:eastAsia="Times New Roman"/>
                <w:color w:val="000000"/>
                <w:sz w:val="18"/>
                <w:szCs w:val="18"/>
              </w:rPr>
            </w:pPr>
            <w:r w:rsidRPr="003B13E1">
              <w:rPr>
                <w:rFonts w:eastAsia="Times New Roman"/>
                <w:color w:val="000000"/>
                <w:sz w:val="18"/>
                <w:szCs w:val="18"/>
              </w:rPr>
              <w:t>„Дял на административните и вътрешно-административни услуги използвани над 5000 пъти годишно, които са на ниво 3 и 4 и са базирани на държавния ХЧО</w:t>
            </w:r>
            <w:r>
              <w:rPr>
                <w:rFonts w:eastAsia="Times New Roman"/>
                <w:color w:val="000000"/>
                <w:sz w:val="18"/>
                <w:szCs w:val="18"/>
              </w:rPr>
              <w:t>.</w:t>
            </w:r>
          </w:p>
        </w:tc>
        <w:tc>
          <w:tcPr>
            <w:tcW w:w="2324" w:type="dxa"/>
            <w:tcBorders>
              <w:top w:val="nil"/>
              <w:left w:val="nil"/>
              <w:bottom w:val="single" w:sz="4" w:space="0" w:color="auto"/>
              <w:right w:val="single" w:sz="4" w:space="0" w:color="auto"/>
            </w:tcBorders>
            <w:shd w:val="clear" w:color="auto" w:fill="auto"/>
          </w:tcPr>
          <w:p w14:paraId="09FF6AC3" w14:textId="7E557482" w:rsidR="006E1870" w:rsidRPr="006E1870" w:rsidRDefault="00746E89" w:rsidP="00746E89">
            <w:pPr>
              <w:jc w:val="center"/>
              <w:rPr>
                <w:rFonts w:eastAsia="Times New Roman"/>
                <w:sz w:val="20"/>
                <w:lang w:val="en-US"/>
              </w:rPr>
            </w:pPr>
            <w:r>
              <w:rPr>
                <w:rFonts w:eastAsia="Times New Roman"/>
                <w:sz w:val="20"/>
                <w:lang w:val="en-US"/>
              </w:rPr>
              <w:t>225</w:t>
            </w:r>
          </w:p>
        </w:tc>
        <w:tc>
          <w:tcPr>
            <w:tcW w:w="1843" w:type="dxa"/>
            <w:tcBorders>
              <w:top w:val="nil"/>
              <w:left w:val="nil"/>
              <w:bottom w:val="single" w:sz="4" w:space="0" w:color="auto"/>
              <w:right w:val="single" w:sz="4" w:space="0" w:color="auto"/>
            </w:tcBorders>
            <w:shd w:val="clear" w:color="auto" w:fill="auto"/>
          </w:tcPr>
          <w:p w14:paraId="34A35A07" w14:textId="2147D775" w:rsidR="00043F33" w:rsidRPr="007756D7" w:rsidRDefault="00043F33">
            <w:pPr>
              <w:jc w:val="center"/>
              <w:rPr>
                <w:rFonts w:eastAsia="Times New Roman"/>
                <w:color w:val="000000"/>
                <w:sz w:val="20"/>
              </w:rPr>
            </w:pPr>
            <w:r>
              <w:rPr>
                <w:rFonts w:eastAsia="Times New Roman"/>
                <w:color w:val="000000"/>
                <w:sz w:val="20"/>
              </w:rPr>
              <w:t xml:space="preserve">100% </w:t>
            </w:r>
          </w:p>
        </w:tc>
      </w:tr>
      <w:tr w:rsidR="00043F33" w:rsidRPr="007756D7" w14:paraId="0082FAAF" w14:textId="77777777" w:rsidTr="00063A81">
        <w:trPr>
          <w:trHeight w:val="480"/>
          <w:jc w:val="center"/>
        </w:trPr>
        <w:tc>
          <w:tcPr>
            <w:tcW w:w="1352" w:type="dxa"/>
            <w:tcBorders>
              <w:top w:val="nil"/>
              <w:left w:val="single" w:sz="4" w:space="0" w:color="auto"/>
              <w:bottom w:val="single" w:sz="4" w:space="0" w:color="auto"/>
              <w:right w:val="single" w:sz="4" w:space="0" w:color="auto"/>
            </w:tcBorders>
            <w:shd w:val="clear" w:color="auto" w:fill="auto"/>
            <w:hideMark/>
          </w:tcPr>
          <w:p w14:paraId="11E605F3"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R1-4</w:t>
            </w:r>
          </w:p>
        </w:tc>
        <w:tc>
          <w:tcPr>
            <w:tcW w:w="3827" w:type="dxa"/>
            <w:tcBorders>
              <w:top w:val="nil"/>
              <w:left w:val="nil"/>
              <w:bottom w:val="single" w:sz="4" w:space="0" w:color="auto"/>
              <w:right w:val="single" w:sz="4" w:space="0" w:color="auto"/>
            </w:tcBorders>
            <w:shd w:val="clear" w:color="auto" w:fill="auto"/>
            <w:hideMark/>
          </w:tcPr>
          <w:p w14:paraId="407F0289"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Функционираща електронна тръжна система (e-</w:t>
            </w:r>
            <w:proofErr w:type="spellStart"/>
            <w:r w:rsidRPr="007756D7">
              <w:rPr>
                <w:rFonts w:eastAsia="Times New Roman"/>
                <w:color w:val="000000"/>
                <w:sz w:val="18"/>
                <w:szCs w:val="18"/>
              </w:rPr>
              <w:t>procurement</w:t>
            </w:r>
            <w:proofErr w:type="spellEnd"/>
            <w:r w:rsidRPr="007756D7">
              <w:rPr>
                <w:rFonts w:eastAsia="Times New Roman"/>
                <w:color w:val="000000"/>
                <w:sz w:val="18"/>
                <w:szCs w:val="18"/>
              </w:rPr>
              <w:t xml:space="preserve">)  </w:t>
            </w:r>
          </w:p>
        </w:tc>
        <w:tc>
          <w:tcPr>
            <w:tcW w:w="2324" w:type="dxa"/>
            <w:tcBorders>
              <w:top w:val="nil"/>
              <w:left w:val="nil"/>
              <w:bottom w:val="single" w:sz="4" w:space="0" w:color="auto"/>
              <w:right w:val="single" w:sz="4" w:space="0" w:color="auto"/>
            </w:tcBorders>
            <w:shd w:val="clear" w:color="auto" w:fill="auto"/>
            <w:hideMark/>
          </w:tcPr>
          <w:p w14:paraId="639111A4" w14:textId="77777777" w:rsidR="00043F33" w:rsidRPr="007756D7" w:rsidRDefault="00043F33" w:rsidP="00F44A6D">
            <w:pPr>
              <w:jc w:val="center"/>
              <w:rPr>
                <w:rFonts w:eastAsia="Times New Roman"/>
                <w:sz w:val="20"/>
              </w:rPr>
            </w:pPr>
            <w:r w:rsidRPr="007756D7">
              <w:rPr>
                <w:rFonts w:eastAsia="Times New Roman"/>
                <w:sz w:val="20"/>
              </w:rPr>
              <w:t>1</w:t>
            </w:r>
          </w:p>
        </w:tc>
        <w:tc>
          <w:tcPr>
            <w:tcW w:w="1843" w:type="dxa"/>
            <w:tcBorders>
              <w:top w:val="nil"/>
              <w:left w:val="nil"/>
              <w:bottom w:val="single" w:sz="4" w:space="0" w:color="auto"/>
              <w:right w:val="single" w:sz="4" w:space="0" w:color="auto"/>
            </w:tcBorders>
            <w:shd w:val="clear" w:color="auto" w:fill="auto"/>
            <w:hideMark/>
          </w:tcPr>
          <w:p w14:paraId="7EF462E6" w14:textId="632360B0"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r w:rsidR="00043F33" w:rsidRPr="007756D7" w14:paraId="34E5466B" w14:textId="77777777" w:rsidTr="00063A81">
        <w:trPr>
          <w:trHeight w:val="153"/>
          <w:jc w:val="center"/>
        </w:trPr>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3BD7B90E" w14:textId="77777777" w:rsidR="00043F33" w:rsidRPr="007756D7" w:rsidRDefault="00043F33" w:rsidP="00F44A6D">
            <w:pPr>
              <w:jc w:val="center"/>
              <w:rPr>
                <w:rFonts w:eastAsia="Times New Roman"/>
                <w:b/>
                <w:bCs/>
                <w:color w:val="000000"/>
                <w:sz w:val="18"/>
                <w:szCs w:val="18"/>
              </w:rPr>
            </w:pPr>
            <w:r w:rsidRPr="007756D7">
              <w:rPr>
                <w:rFonts w:eastAsia="Times New Roman"/>
                <w:b/>
                <w:bCs/>
                <w:color w:val="000000"/>
                <w:sz w:val="18"/>
                <w:szCs w:val="18"/>
              </w:rPr>
              <w:t>R1-5</w:t>
            </w:r>
          </w:p>
        </w:tc>
        <w:tc>
          <w:tcPr>
            <w:tcW w:w="3827" w:type="dxa"/>
            <w:tcBorders>
              <w:top w:val="single" w:sz="4" w:space="0" w:color="auto"/>
              <w:left w:val="nil"/>
              <w:bottom w:val="single" w:sz="4" w:space="0" w:color="auto"/>
              <w:right w:val="single" w:sz="4" w:space="0" w:color="auto"/>
            </w:tcBorders>
            <w:shd w:val="clear" w:color="auto" w:fill="auto"/>
            <w:hideMark/>
          </w:tcPr>
          <w:p w14:paraId="5DE331BD" w14:textId="77777777" w:rsidR="00043F33" w:rsidRPr="007756D7" w:rsidRDefault="00043F33" w:rsidP="00F44A6D">
            <w:pPr>
              <w:jc w:val="both"/>
              <w:rPr>
                <w:rFonts w:eastAsia="Times New Roman"/>
                <w:color w:val="000000"/>
                <w:sz w:val="18"/>
                <w:szCs w:val="18"/>
              </w:rPr>
            </w:pPr>
            <w:r w:rsidRPr="007756D7">
              <w:rPr>
                <w:rFonts w:eastAsia="Times New Roman"/>
                <w:color w:val="000000"/>
                <w:sz w:val="18"/>
                <w:szCs w:val="18"/>
              </w:rPr>
              <w:t>Функционираща НЗИС</w:t>
            </w:r>
          </w:p>
        </w:tc>
        <w:tc>
          <w:tcPr>
            <w:tcW w:w="2324" w:type="dxa"/>
            <w:tcBorders>
              <w:top w:val="single" w:sz="4" w:space="0" w:color="auto"/>
              <w:left w:val="nil"/>
              <w:bottom w:val="single" w:sz="4" w:space="0" w:color="auto"/>
              <w:right w:val="single" w:sz="4" w:space="0" w:color="auto"/>
            </w:tcBorders>
            <w:shd w:val="clear" w:color="auto" w:fill="auto"/>
            <w:hideMark/>
          </w:tcPr>
          <w:p w14:paraId="6FF81B4A" w14:textId="77777777" w:rsidR="00043F33" w:rsidRPr="007756D7" w:rsidRDefault="00043F33" w:rsidP="00F44A6D">
            <w:pPr>
              <w:jc w:val="center"/>
              <w:rPr>
                <w:rFonts w:eastAsia="Times New Roman"/>
                <w:sz w:val="20"/>
              </w:rPr>
            </w:pPr>
            <w:r w:rsidRPr="007756D7">
              <w:rPr>
                <w:rFonts w:eastAsia="Times New Roman"/>
                <w:sz w:val="20"/>
              </w:rPr>
              <w:t>1</w:t>
            </w:r>
          </w:p>
        </w:tc>
        <w:tc>
          <w:tcPr>
            <w:tcW w:w="1843" w:type="dxa"/>
            <w:tcBorders>
              <w:top w:val="single" w:sz="4" w:space="0" w:color="auto"/>
              <w:left w:val="nil"/>
              <w:bottom w:val="single" w:sz="4" w:space="0" w:color="auto"/>
              <w:right w:val="single" w:sz="4" w:space="0" w:color="auto"/>
            </w:tcBorders>
            <w:shd w:val="clear" w:color="auto" w:fill="auto"/>
            <w:hideMark/>
          </w:tcPr>
          <w:p w14:paraId="3F477F23" w14:textId="1610DB51" w:rsidR="00043F33" w:rsidRPr="007756D7" w:rsidRDefault="00043F33" w:rsidP="00F44A6D">
            <w:pPr>
              <w:jc w:val="center"/>
              <w:rPr>
                <w:rFonts w:eastAsia="Times New Roman"/>
                <w:color w:val="000000"/>
                <w:sz w:val="20"/>
              </w:rPr>
            </w:pPr>
            <w:r w:rsidRPr="007756D7">
              <w:rPr>
                <w:rFonts w:eastAsia="Times New Roman"/>
                <w:color w:val="000000"/>
                <w:sz w:val="20"/>
              </w:rPr>
              <w:t>НП</w:t>
            </w:r>
          </w:p>
        </w:tc>
      </w:tr>
    </w:tbl>
    <w:p w14:paraId="3CD7B3E1" w14:textId="17BD2A36" w:rsidR="00491ACB" w:rsidRPr="007756D7" w:rsidRDefault="00FA19EA" w:rsidP="00256781">
      <w:pPr>
        <w:pStyle w:val="ListParagraph"/>
        <w:numPr>
          <w:ilvl w:val="1"/>
          <w:numId w:val="36"/>
        </w:numPr>
        <w:spacing w:before="120" w:after="120" w:line="240" w:lineRule="auto"/>
        <w:ind w:left="1418" w:hanging="709"/>
        <w:contextualSpacing w:val="0"/>
        <w:jc w:val="both"/>
        <w:rPr>
          <w:rFonts w:ascii="Times New Roman" w:hAnsi="Times New Roman"/>
          <w:b/>
          <w:sz w:val="24"/>
          <w:szCs w:val="24"/>
          <w:u w:val="single"/>
        </w:rPr>
      </w:pPr>
      <w:r w:rsidRPr="007756D7">
        <w:rPr>
          <w:rFonts w:ascii="Times New Roman" w:hAnsi="Times New Roman"/>
          <w:b/>
          <w:sz w:val="24"/>
          <w:szCs w:val="24"/>
          <w:u w:val="single"/>
        </w:rPr>
        <w:t>Отпадане на индикатор:</w:t>
      </w:r>
    </w:p>
    <w:p w14:paraId="5327EA50" w14:textId="3179465C" w:rsidR="00403751" w:rsidRPr="007756D7" w:rsidRDefault="00403751" w:rsidP="003537E8">
      <w:pPr>
        <w:pStyle w:val="ListParagraph"/>
        <w:numPr>
          <w:ilvl w:val="0"/>
          <w:numId w:val="28"/>
        </w:numPr>
        <w:spacing w:before="120" w:after="120" w:line="240" w:lineRule="auto"/>
        <w:ind w:left="709" w:hanging="284"/>
        <w:contextualSpacing w:val="0"/>
        <w:jc w:val="both"/>
        <w:rPr>
          <w:rFonts w:ascii="Times New Roman" w:hAnsi="Times New Roman"/>
          <w:i/>
          <w:sz w:val="24"/>
          <w:szCs w:val="24"/>
        </w:rPr>
      </w:pPr>
      <w:r w:rsidRPr="007756D7">
        <w:rPr>
          <w:rFonts w:ascii="Times New Roman" w:hAnsi="Times New Roman"/>
          <w:b/>
          <w:i/>
          <w:sz w:val="24"/>
          <w:szCs w:val="24"/>
        </w:rPr>
        <w:t>R1-1 „Брой внедрени услуги от типа „епизоди от живота“ и „бизнес събития“</w:t>
      </w:r>
    </w:p>
    <w:p w14:paraId="0A0CC99C" w14:textId="322252E8" w:rsidR="00945CF2" w:rsidRDefault="0038407E" w:rsidP="003537E8">
      <w:pPr>
        <w:pStyle w:val="ListParagraph"/>
        <w:spacing w:after="120" w:line="240" w:lineRule="auto"/>
        <w:ind w:left="0" w:firstLine="709"/>
        <w:contextualSpacing w:val="0"/>
        <w:jc w:val="both"/>
        <w:rPr>
          <w:rFonts w:ascii="Times New Roman" w:hAnsi="Times New Roman"/>
          <w:sz w:val="24"/>
          <w:szCs w:val="24"/>
        </w:rPr>
      </w:pPr>
      <w:r w:rsidRPr="0038407E">
        <w:rPr>
          <w:rFonts w:ascii="Times New Roman" w:hAnsi="Times New Roman"/>
          <w:sz w:val="24"/>
          <w:szCs w:val="24"/>
        </w:rPr>
        <w:t xml:space="preserve">Предложеното </w:t>
      </w:r>
      <w:r>
        <w:rPr>
          <w:rFonts w:ascii="Times New Roman" w:hAnsi="Times New Roman"/>
          <w:sz w:val="24"/>
          <w:szCs w:val="24"/>
        </w:rPr>
        <w:t>отпадане на индикатора</w:t>
      </w:r>
      <w:r w:rsidR="00C70A94">
        <w:rPr>
          <w:rStyle w:val="FootnoteReference"/>
          <w:rFonts w:ascii="Times New Roman" w:hAnsi="Times New Roman"/>
          <w:sz w:val="24"/>
          <w:szCs w:val="24"/>
        </w:rPr>
        <w:footnoteReference w:id="7"/>
      </w:r>
      <w:r w:rsidR="00481557">
        <w:rPr>
          <w:rFonts w:ascii="Times New Roman" w:hAnsi="Times New Roman"/>
          <w:sz w:val="24"/>
          <w:szCs w:val="24"/>
        </w:rPr>
        <w:t xml:space="preserve"> </w:t>
      </w:r>
      <w:r w:rsidRPr="0038407E">
        <w:rPr>
          <w:rFonts w:ascii="Times New Roman" w:hAnsi="Times New Roman"/>
          <w:sz w:val="24"/>
          <w:szCs w:val="24"/>
        </w:rPr>
        <w:t xml:space="preserve">е </w:t>
      </w:r>
      <w:r>
        <w:rPr>
          <w:rFonts w:ascii="Times New Roman" w:hAnsi="Times New Roman"/>
          <w:sz w:val="24"/>
          <w:szCs w:val="24"/>
        </w:rPr>
        <w:t>пряко следствие</w:t>
      </w:r>
      <w:r w:rsidRPr="0038407E">
        <w:rPr>
          <w:rFonts w:ascii="Times New Roman" w:hAnsi="Times New Roman"/>
          <w:sz w:val="24"/>
          <w:szCs w:val="24"/>
        </w:rPr>
        <w:t xml:space="preserve"> </w:t>
      </w:r>
      <w:r>
        <w:rPr>
          <w:rFonts w:ascii="Times New Roman" w:hAnsi="Times New Roman"/>
          <w:sz w:val="24"/>
          <w:szCs w:val="24"/>
        </w:rPr>
        <w:t xml:space="preserve">от </w:t>
      </w:r>
      <w:r w:rsidRPr="0038407E">
        <w:rPr>
          <w:rFonts w:ascii="Times New Roman" w:hAnsi="Times New Roman"/>
          <w:sz w:val="24"/>
          <w:szCs w:val="24"/>
        </w:rPr>
        <w:t>намаляване на бюджета на ПО</w:t>
      </w:r>
      <w:r w:rsidR="00481557">
        <w:rPr>
          <w:rFonts w:ascii="Times New Roman" w:hAnsi="Times New Roman"/>
          <w:sz w:val="24"/>
          <w:szCs w:val="24"/>
        </w:rPr>
        <w:t xml:space="preserve"> </w:t>
      </w:r>
      <w:r w:rsidRPr="0038407E">
        <w:rPr>
          <w:rFonts w:ascii="Times New Roman" w:hAnsi="Times New Roman"/>
          <w:sz w:val="24"/>
          <w:szCs w:val="24"/>
        </w:rPr>
        <w:t xml:space="preserve">1 на ОПДУ. </w:t>
      </w:r>
      <w:r w:rsidR="00B438BF" w:rsidRPr="007756D7">
        <w:rPr>
          <w:rFonts w:ascii="Times New Roman" w:hAnsi="Times New Roman"/>
          <w:sz w:val="24"/>
          <w:szCs w:val="24"/>
        </w:rPr>
        <w:t xml:space="preserve">По проект </w:t>
      </w:r>
      <w:r w:rsidR="00B438BF" w:rsidRPr="007756D7">
        <w:rPr>
          <w:rFonts w:ascii="Times New Roman" w:hAnsi="Times New Roman"/>
          <w:color w:val="333333"/>
          <w:sz w:val="24"/>
          <w:szCs w:val="24"/>
          <w:shd w:val="clear" w:color="auto" w:fill="FFFFFF"/>
        </w:rPr>
        <w:t>„</w:t>
      </w:r>
      <w:r w:rsidR="00B438BF" w:rsidRPr="007756D7">
        <w:rPr>
          <w:rFonts w:ascii="Times New Roman" w:hAnsi="Times New Roman"/>
          <w:sz w:val="24"/>
          <w:szCs w:val="24"/>
        </w:rPr>
        <w:t xml:space="preserve">Трансформация на модела на административно обслужване” с бенефициент АМС е </w:t>
      </w:r>
      <w:r>
        <w:rPr>
          <w:rFonts w:ascii="Times New Roman" w:hAnsi="Times New Roman"/>
          <w:sz w:val="24"/>
          <w:szCs w:val="24"/>
        </w:rPr>
        <w:t>извършен а</w:t>
      </w:r>
      <w:r w:rsidRPr="0038407E">
        <w:rPr>
          <w:rFonts w:ascii="Times New Roman" w:hAnsi="Times New Roman"/>
          <w:sz w:val="24"/>
          <w:szCs w:val="24"/>
        </w:rPr>
        <w:t>нализ на възможностите за въвеждане на услуги на принципа „Епизоди от живота“ и „Бизнес събития“</w:t>
      </w:r>
      <w:r>
        <w:rPr>
          <w:rFonts w:ascii="Times New Roman" w:hAnsi="Times New Roman"/>
          <w:sz w:val="24"/>
          <w:szCs w:val="24"/>
        </w:rPr>
        <w:t xml:space="preserve"> и е изготвен</w:t>
      </w:r>
      <w:r w:rsidR="00B438BF" w:rsidRPr="007756D7">
        <w:rPr>
          <w:rFonts w:ascii="Times New Roman" w:hAnsi="Times New Roman"/>
          <w:sz w:val="24"/>
          <w:szCs w:val="24"/>
        </w:rPr>
        <w:t xml:space="preserve"> каталог с 10 приоритетни услуги</w:t>
      </w:r>
      <w:r>
        <w:rPr>
          <w:rFonts w:ascii="Times New Roman" w:hAnsi="Times New Roman"/>
          <w:sz w:val="24"/>
          <w:szCs w:val="24"/>
        </w:rPr>
        <w:t>, в съответствие с първата дейност от мярка</w:t>
      </w:r>
      <w:r w:rsidR="0079460F">
        <w:rPr>
          <w:rFonts w:ascii="Times New Roman" w:hAnsi="Times New Roman"/>
          <w:sz w:val="24"/>
          <w:szCs w:val="24"/>
        </w:rPr>
        <w:t xml:space="preserve"> „</w:t>
      </w:r>
      <w:r w:rsidR="0079460F" w:rsidRPr="0079460F">
        <w:rPr>
          <w:rFonts w:ascii="Times New Roman" w:hAnsi="Times New Roman"/>
          <w:sz w:val="24"/>
          <w:szCs w:val="24"/>
        </w:rPr>
        <w:t>Предоставяне на административни услуги на принципа „Епизоди от живота“ и „Бизнес събития“</w:t>
      </w:r>
      <w:r w:rsidR="0079460F">
        <w:rPr>
          <w:rFonts w:ascii="Times New Roman" w:hAnsi="Times New Roman"/>
          <w:sz w:val="24"/>
          <w:szCs w:val="24"/>
        </w:rPr>
        <w:t xml:space="preserve"> от ПКСРДА</w:t>
      </w:r>
      <w:r w:rsidR="00B438BF" w:rsidRPr="007756D7">
        <w:rPr>
          <w:rFonts w:ascii="Times New Roman" w:hAnsi="Times New Roman"/>
          <w:sz w:val="24"/>
          <w:szCs w:val="24"/>
        </w:rPr>
        <w:t xml:space="preserve">. </w:t>
      </w:r>
      <w:r w:rsidR="00285180">
        <w:rPr>
          <w:rFonts w:ascii="Times New Roman" w:hAnsi="Times New Roman"/>
          <w:sz w:val="24"/>
          <w:szCs w:val="24"/>
        </w:rPr>
        <w:t>Поради намаляване на бюджета на ПО</w:t>
      </w:r>
      <w:r w:rsidR="00931FB6">
        <w:rPr>
          <w:rFonts w:ascii="Times New Roman" w:hAnsi="Times New Roman"/>
          <w:sz w:val="24"/>
          <w:szCs w:val="24"/>
        </w:rPr>
        <w:t xml:space="preserve"> </w:t>
      </w:r>
      <w:r w:rsidR="00285180">
        <w:rPr>
          <w:rFonts w:ascii="Times New Roman" w:hAnsi="Times New Roman"/>
          <w:sz w:val="24"/>
          <w:szCs w:val="24"/>
        </w:rPr>
        <w:t xml:space="preserve">1, </w:t>
      </w:r>
      <w:r w:rsidR="00D234B4">
        <w:rPr>
          <w:rFonts w:ascii="Times New Roman" w:hAnsi="Times New Roman"/>
          <w:sz w:val="24"/>
          <w:szCs w:val="24"/>
        </w:rPr>
        <w:t xml:space="preserve">обаче, </w:t>
      </w:r>
      <w:r w:rsidR="00285180">
        <w:rPr>
          <w:rFonts w:ascii="Times New Roman" w:hAnsi="Times New Roman"/>
          <w:sz w:val="24"/>
          <w:szCs w:val="24"/>
        </w:rPr>
        <w:t xml:space="preserve">предвидената в </w:t>
      </w:r>
      <w:r w:rsidR="0079460F">
        <w:rPr>
          <w:rFonts w:ascii="Times New Roman" w:hAnsi="Times New Roman"/>
          <w:sz w:val="24"/>
          <w:szCs w:val="24"/>
        </w:rPr>
        <w:t xml:space="preserve">ПКСРДА </w:t>
      </w:r>
      <w:r w:rsidR="004C401A">
        <w:rPr>
          <w:rFonts w:ascii="Times New Roman" w:hAnsi="Times New Roman"/>
          <w:sz w:val="24"/>
          <w:szCs w:val="24"/>
        </w:rPr>
        <w:t>втора дейност</w:t>
      </w:r>
      <w:r w:rsidR="00285180">
        <w:rPr>
          <w:rFonts w:ascii="Times New Roman" w:hAnsi="Times New Roman"/>
          <w:sz w:val="24"/>
          <w:szCs w:val="24"/>
        </w:rPr>
        <w:t xml:space="preserve"> </w:t>
      </w:r>
      <w:r w:rsidR="004C401A">
        <w:rPr>
          <w:rFonts w:ascii="Times New Roman" w:hAnsi="Times New Roman"/>
          <w:sz w:val="24"/>
          <w:szCs w:val="24"/>
        </w:rPr>
        <w:t xml:space="preserve">от мярката </w:t>
      </w:r>
      <w:r w:rsidR="00285180">
        <w:rPr>
          <w:rFonts w:ascii="Times New Roman" w:hAnsi="Times New Roman"/>
          <w:sz w:val="24"/>
          <w:szCs w:val="24"/>
        </w:rPr>
        <w:t>„</w:t>
      </w:r>
      <w:r w:rsidR="00285180" w:rsidRPr="00285180">
        <w:rPr>
          <w:rFonts w:ascii="Times New Roman" w:hAnsi="Times New Roman"/>
          <w:sz w:val="24"/>
          <w:szCs w:val="24"/>
        </w:rPr>
        <w:t>Внедряване на услуги на принципа „Епизоди от живота“ и „Бизнес събития“</w:t>
      </w:r>
      <w:r w:rsidR="00285180">
        <w:rPr>
          <w:rFonts w:ascii="Times New Roman" w:hAnsi="Times New Roman"/>
          <w:sz w:val="24"/>
          <w:szCs w:val="24"/>
        </w:rPr>
        <w:t xml:space="preserve">, с </w:t>
      </w:r>
      <w:r w:rsidR="00D234B4">
        <w:rPr>
          <w:rFonts w:ascii="Times New Roman" w:hAnsi="Times New Roman"/>
          <w:sz w:val="24"/>
          <w:szCs w:val="24"/>
        </w:rPr>
        <w:t xml:space="preserve">прогнозен бюджет 5 млн. лв., която предвиждаше изпълнението на целевата стойност на индикатор </w:t>
      </w:r>
      <w:r w:rsidR="00D234B4" w:rsidRPr="00D234B4">
        <w:rPr>
          <w:rFonts w:ascii="Times New Roman" w:hAnsi="Times New Roman"/>
          <w:sz w:val="24"/>
          <w:szCs w:val="24"/>
        </w:rPr>
        <w:t>R1-1</w:t>
      </w:r>
      <w:r w:rsidR="00D234B4">
        <w:rPr>
          <w:rFonts w:ascii="Times New Roman" w:hAnsi="Times New Roman"/>
          <w:sz w:val="24"/>
          <w:szCs w:val="24"/>
        </w:rPr>
        <w:t xml:space="preserve">, няма да бъде реализирана </w:t>
      </w:r>
      <w:r w:rsidR="0096099C">
        <w:rPr>
          <w:rFonts w:ascii="Times New Roman" w:hAnsi="Times New Roman"/>
          <w:sz w:val="24"/>
          <w:szCs w:val="24"/>
        </w:rPr>
        <w:t>по</w:t>
      </w:r>
      <w:r w:rsidR="00D234B4">
        <w:rPr>
          <w:rFonts w:ascii="Times New Roman" w:hAnsi="Times New Roman"/>
          <w:sz w:val="24"/>
          <w:szCs w:val="24"/>
        </w:rPr>
        <w:t xml:space="preserve"> ОПДУ. </w:t>
      </w:r>
      <w:r w:rsidR="00B438BF" w:rsidRPr="007756D7">
        <w:rPr>
          <w:rFonts w:ascii="Times New Roman" w:hAnsi="Times New Roman"/>
          <w:sz w:val="24"/>
          <w:szCs w:val="24"/>
        </w:rPr>
        <w:t xml:space="preserve">В тази връзка индикатор R1-1 „Брой внедрени услуги от типа „епизоди от живота“ и „бизнес събития“ следва да отпадне. </w:t>
      </w:r>
    </w:p>
    <w:p w14:paraId="7C45E767" w14:textId="52E1D100" w:rsidR="00B438BF" w:rsidRPr="007756D7" w:rsidRDefault="00945CF2" w:rsidP="003537E8">
      <w:pPr>
        <w:pStyle w:val="ListParagraph"/>
        <w:spacing w:after="120" w:line="240" w:lineRule="auto"/>
        <w:ind w:left="0" w:firstLine="709"/>
        <w:contextualSpacing w:val="0"/>
        <w:jc w:val="both"/>
        <w:rPr>
          <w:rFonts w:ascii="Times New Roman" w:hAnsi="Times New Roman"/>
          <w:sz w:val="24"/>
          <w:szCs w:val="24"/>
        </w:rPr>
      </w:pPr>
      <w:r w:rsidRPr="00945CF2">
        <w:rPr>
          <w:rFonts w:ascii="Times New Roman" w:hAnsi="Times New Roman"/>
          <w:sz w:val="24"/>
          <w:szCs w:val="24"/>
        </w:rPr>
        <w:t>С проект към Службата за подкрепа за структурни реформи на ЕК (SRSS) се очаква на два етапа да бъдат разработени модели за реализиран</w:t>
      </w:r>
      <w:r w:rsidR="00931FB6">
        <w:rPr>
          <w:rFonts w:ascii="Times New Roman" w:hAnsi="Times New Roman"/>
          <w:sz w:val="24"/>
          <w:szCs w:val="24"/>
        </w:rPr>
        <w:t>е на 10-те услуги на принципа „Епизоди от живота“ и „Б</w:t>
      </w:r>
      <w:r w:rsidRPr="00945CF2">
        <w:rPr>
          <w:rFonts w:ascii="Times New Roman" w:hAnsi="Times New Roman"/>
          <w:sz w:val="24"/>
          <w:szCs w:val="24"/>
        </w:rPr>
        <w:t xml:space="preserve">изнес събития“, идентифицирани с подкрепата по ОПДУ. Първият етап се очаква да приключи към средата на 2021 г., а вторият след 2023 г. Интервенциите, насочени към технологичното обезпечаване на процесите и реалното внедряване на тези </w:t>
      </w:r>
      <w:r w:rsidRPr="00945CF2">
        <w:rPr>
          <w:rFonts w:ascii="Times New Roman" w:hAnsi="Times New Roman"/>
          <w:sz w:val="24"/>
          <w:szCs w:val="24"/>
        </w:rPr>
        <w:lastRenderedPageBreak/>
        <w:t>услуги, се предвижда да бъдат подкрепени по Програма „Електронно управление и техническа помощ“ за периода 2021</w:t>
      </w:r>
      <w:r w:rsidR="00931FB6">
        <w:rPr>
          <w:rFonts w:ascii="Times New Roman" w:hAnsi="Times New Roman"/>
          <w:sz w:val="24"/>
          <w:szCs w:val="24"/>
        </w:rPr>
        <w:t>-</w:t>
      </w:r>
      <w:r w:rsidRPr="00945CF2">
        <w:rPr>
          <w:rFonts w:ascii="Times New Roman" w:hAnsi="Times New Roman"/>
          <w:sz w:val="24"/>
          <w:szCs w:val="24"/>
        </w:rPr>
        <w:t>2027 г.</w:t>
      </w:r>
    </w:p>
    <w:p w14:paraId="5883F9FA" w14:textId="4194BDFD" w:rsidR="00A4648C" w:rsidRPr="007756D7" w:rsidRDefault="00FA19EA" w:rsidP="003537E8">
      <w:pPr>
        <w:pStyle w:val="ListParagraph"/>
        <w:numPr>
          <w:ilvl w:val="1"/>
          <w:numId w:val="36"/>
        </w:numPr>
        <w:spacing w:after="120" w:line="240" w:lineRule="auto"/>
        <w:ind w:left="1418" w:hanging="709"/>
        <w:contextualSpacing w:val="0"/>
        <w:jc w:val="both"/>
        <w:rPr>
          <w:rFonts w:ascii="Times New Roman" w:hAnsi="Times New Roman"/>
          <w:b/>
          <w:i/>
          <w:sz w:val="24"/>
          <w:szCs w:val="24"/>
        </w:rPr>
      </w:pPr>
      <w:r w:rsidRPr="007756D7">
        <w:rPr>
          <w:rFonts w:ascii="Times New Roman" w:hAnsi="Times New Roman"/>
          <w:b/>
          <w:sz w:val="24"/>
          <w:szCs w:val="24"/>
          <w:u w:val="single"/>
        </w:rPr>
        <w:t>Намаляване на целеви стойности на индикатори</w:t>
      </w:r>
      <w:r w:rsidR="0096021E">
        <w:rPr>
          <w:rFonts w:ascii="Times New Roman" w:hAnsi="Times New Roman"/>
          <w:b/>
          <w:sz w:val="24"/>
          <w:szCs w:val="24"/>
          <w:u w:val="single"/>
        </w:rPr>
        <w:t xml:space="preserve"> </w:t>
      </w:r>
      <w:r w:rsidR="0096021E">
        <w:rPr>
          <w:rFonts w:ascii="Times New Roman" w:hAnsi="Times New Roman"/>
          <w:b/>
          <w:sz w:val="24"/>
          <w:szCs w:val="24"/>
          <w:u w:val="single"/>
          <w:lang w:val="en-US"/>
        </w:rPr>
        <w:t xml:space="preserve">О1-8 и О1-9 и </w:t>
      </w:r>
      <w:proofErr w:type="spellStart"/>
      <w:r w:rsidR="0096021E">
        <w:rPr>
          <w:rFonts w:ascii="Times New Roman" w:hAnsi="Times New Roman"/>
          <w:b/>
          <w:sz w:val="24"/>
          <w:szCs w:val="24"/>
          <w:u w:val="single"/>
          <w:lang w:val="en-US"/>
        </w:rPr>
        <w:t>трансформиране</w:t>
      </w:r>
      <w:proofErr w:type="spellEnd"/>
      <w:r w:rsidR="0096021E">
        <w:rPr>
          <w:rFonts w:ascii="Times New Roman" w:hAnsi="Times New Roman"/>
          <w:b/>
          <w:sz w:val="24"/>
          <w:szCs w:val="24"/>
          <w:u w:val="single"/>
          <w:lang w:val="en-US"/>
        </w:rPr>
        <w:t xml:space="preserve"> </w:t>
      </w:r>
      <w:proofErr w:type="spellStart"/>
      <w:r w:rsidR="0096021E">
        <w:rPr>
          <w:rFonts w:ascii="Times New Roman" w:hAnsi="Times New Roman"/>
          <w:b/>
          <w:sz w:val="24"/>
          <w:szCs w:val="24"/>
          <w:u w:val="single"/>
          <w:lang w:val="en-US"/>
        </w:rPr>
        <w:t>на</w:t>
      </w:r>
      <w:proofErr w:type="spellEnd"/>
      <w:r w:rsidR="0096021E">
        <w:rPr>
          <w:rFonts w:ascii="Times New Roman" w:hAnsi="Times New Roman"/>
          <w:b/>
          <w:sz w:val="24"/>
          <w:szCs w:val="24"/>
          <w:u w:val="single"/>
          <w:lang w:val="en-US"/>
        </w:rPr>
        <w:t xml:space="preserve"> </w:t>
      </w:r>
      <w:proofErr w:type="spellStart"/>
      <w:r w:rsidR="0096021E">
        <w:rPr>
          <w:rFonts w:ascii="Times New Roman" w:hAnsi="Times New Roman"/>
          <w:b/>
          <w:sz w:val="24"/>
          <w:szCs w:val="24"/>
          <w:u w:val="single"/>
          <w:lang w:val="en-US"/>
        </w:rPr>
        <w:t>индикатор</w:t>
      </w:r>
      <w:proofErr w:type="spellEnd"/>
      <w:r w:rsidR="0096021E">
        <w:rPr>
          <w:rFonts w:ascii="Times New Roman" w:hAnsi="Times New Roman"/>
          <w:b/>
          <w:sz w:val="24"/>
          <w:szCs w:val="24"/>
          <w:u w:val="single"/>
          <w:lang w:val="en-US"/>
        </w:rPr>
        <w:t xml:space="preserve"> </w:t>
      </w:r>
      <w:r w:rsidR="0096021E">
        <w:rPr>
          <w:rFonts w:ascii="Times New Roman" w:hAnsi="Times New Roman"/>
          <w:b/>
          <w:sz w:val="24"/>
          <w:szCs w:val="24"/>
          <w:u w:val="single"/>
        </w:rPr>
        <w:t>R1-3</w:t>
      </w:r>
      <w:r w:rsidR="00C856B5">
        <w:rPr>
          <w:rStyle w:val="FootnoteReference"/>
          <w:rFonts w:ascii="Times New Roman" w:hAnsi="Times New Roman"/>
          <w:b/>
          <w:sz w:val="24"/>
          <w:szCs w:val="24"/>
          <w:u w:val="single"/>
        </w:rPr>
        <w:footnoteReference w:id="8"/>
      </w:r>
      <w:r w:rsidR="00F74E4E" w:rsidRPr="007756D7">
        <w:rPr>
          <w:rFonts w:ascii="Times New Roman" w:hAnsi="Times New Roman"/>
          <w:b/>
          <w:sz w:val="24"/>
          <w:szCs w:val="24"/>
          <w:u w:val="single"/>
        </w:rPr>
        <w:t xml:space="preserve">: </w:t>
      </w:r>
    </w:p>
    <w:p w14:paraId="79CC9469" w14:textId="4B9ECD30" w:rsidR="00F02C3F" w:rsidRPr="007756D7" w:rsidRDefault="00EB04C2" w:rsidP="003537E8">
      <w:pPr>
        <w:pStyle w:val="ListParagraph"/>
        <w:numPr>
          <w:ilvl w:val="0"/>
          <w:numId w:val="23"/>
        </w:numPr>
        <w:spacing w:after="120" w:line="240" w:lineRule="auto"/>
        <w:ind w:left="709" w:hanging="283"/>
        <w:contextualSpacing w:val="0"/>
        <w:jc w:val="both"/>
        <w:rPr>
          <w:rFonts w:ascii="Times New Roman" w:hAnsi="Times New Roman"/>
          <w:b/>
          <w:i/>
          <w:sz w:val="24"/>
          <w:szCs w:val="24"/>
        </w:rPr>
      </w:pPr>
      <w:r w:rsidRPr="007756D7">
        <w:rPr>
          <w:rFonts w:ascii="Times New Roman" w:hAnsi="Times New Roman"/>
          <w:b/>
          <w:i/>
          <w:sz w:val="24"/>
          <w:szCs w:val="24"/>
        </w:rPr>
        <w:t>О1-8 „Подкрепени електронни услуги за предоставянето им в транзакционен режим“</w:t>
      </w:r>
    </w:p>
    <w:p w14:paraId="11F4DC14" w14:textId="48A805A8" w:rsidR="004B1F15" w:rsidRPr="005310A7" w:rsidRDefault="0061655D" w:rsidP="003537E8">
      <w:pPr>
        <w:spacing w:after="120"/>
        <w:ind w:firstLine="709"/>
        <w:jc w:val="both"/>
        <w:rPr>
          <w:szCs w:val="24"/>
          <w:lang w:val="en-US"/>
        </w:rPr>
      </w:pPr>
      <w:r w:rsidRPr="007756D7">
        <w:rPr>
          <w:szCs w:val="24"/>
        </w:rPr>
        <w:t>Предложеното намал</w:t>
      </w:r>
      <w:r w:rsidR="005310A7">
        <w:rPr>
          <w:szCs w:val="24"/>
        </w:rPr>
        <w:t>яване</w:t>
      </w:r>
      <w:r w:rsidRPr="007756D7">
        <w:rPr>
          <w:szCs w:val="24"/>
        </w:rPr>
        <w:t xml:space="preserve"> на целевата стойност на индикатора от 850 на 750 бр. е </w:t>
      </w:r>
      <w:r w:rsidR="00EA107D" w:rsidRPr="00EA107D">
        <w:rPr>
          <w:szCs w:val="24"/>
        </w:rPr>
        <w:t xml:space="preserve"> </w:t>
      </w:r>
      <w:r w:rsidR="004C401A">
        <w:rPr>
          <w:szCs w:val="24"/>
        </w:rPr>
        <w:t>следствие от</w:t>
      </w:r>
      <w:r w:rsidR="00EA107D" w:rsidRPr="00EA107D">
        <w:rPr>
          <w:szCs w:val="24"/>
        </w:rPr>
        <w:t xml:space="preserve"> намаляване на бюджета на ПО</w:t>
      </w:r>
      <w:r w:rsidR="002E00B0">
        <w:rPr>
          <w:szCs w:val="24"/>
        </w:rPr>
        <w:t xml:space="preserve"> </w:t>
      </w:r>
      <w:r w:rsidR="00EA107D" w:rsidRPr="00EA107D">
        <w:rPr>
          <w:szCs w:val="24"/>
        </w:rPr>
        <w:t xml:space="preserve">1 на ОПДУ. </w:t>
      </w:r>
      <w:r w:rsidR="007C68A9" w:rsidRPr="007C68A9">
        <w:rPr>
          <w:szCs w:val="24"/>
        </w:rPr>
        <w:t xml:space="preserve">В съответствие с планираните мерки в актуализираната ПКЕУ по ОПДУ се предвиждаше да бъдат реализирани още около 450 бр. електронни административни услуги (ЕАУ) до края на програмния период. В резултат от намаляването на разполагаемия бюджет по ПО1, наличните средства, свързани с изпълнението на този индикатор намаляват с 16 млн. лв., което няма да позволи електронизирането на приблизително 100 административни услуги. В рамките на ОПДУ няма да бъде финансирана мярка 48 „Реализиране на НЗИС - Етап 3“, с прогнозен бюджет 6 млн. лв. и отговорна институция Министерство на здравеопазването, която предвиждаше реализирането на приблизително 30 ЕАУ, част от които са вътрешно-административни. С 10 млн. лв. ще бъде намален и разполагаемият бюджет по ОПДУ за изпълнението на мерки, съгласно Концепцията за </w:t>
      </w:r>
      <w:proofErr w:type="spellStart"/>
      <w:r w:rsidR="007C68A9" w:rsidRPr="007C68A9">
        <w:rPr>
          <w:szCs w:val="24"/>
        </w:rPr>
        <w:t>регистрова</w:t>
      </w:r>
      <w:proofErr w:type="spellEnd"/>
      <w:r w:rsidR="007C68A9" w:rsidRPr="007C68A9">
        <w:rPr>
          <w:szCs w:val="24"/>
        </w:rPr>
        <w:t xml:space="preserve"> реформа (Мярка 3 от ПКЕУ), като предвидените средства по тази мярка ще бъде редуцирани от 35 млн. лв. на 25 млн. лв. В резултат, част от предвидените за реализация по тази мярка проекти няма да бъдат подкрепени по ОПДУ, което ще намали броят на електронизираните административни услуги по програмата с още 70 бр.</w:t>
      </w:r>
    </w:p>
    <w:p w14:paraId="031FA956" w14:textId="7B3CB562" w:rsidR="00A6484E" w:rsidRPr="007756D7" w:rsidRDefault="00EB04C2" w:rsidP="003537E8">
      <w:pPr>
        <w:pStyle w:val="ListParagraph"/>
        <w:numPr>
          <w:ilvl w:val="0"/>
          <w:numId w:val="23"/>
        </w:numPr>
        <w:spacing w:after="120" w:line="240" w:lineRule="auto"/>
        <w:ind w:left="709" w:hanging="283"/>
        <w:contextualSpacing w:val="0"/>
        <w:jc w:val="both"/>
        <w:rPr>
          <w:rFonts w:ascii="Times New Roman" w:hAnsi="Times New Roman"/>
          <w:b/>
          <w:i/>
          <w:sz w:val="24"/>
          <w:szCs w:val="24"/>
        </w:rPr>
      </w:pPr>
      <w:r w:rsidRPr="007756D7">
        <w:rPr>
          <w:rFonts w:ascii="Times New Roman" w:hAnsi="Times New Roman"/>
          <w:b/>
          <w:i/>
          <w:sz w:val="24"/>
          <w:szCs w:val="24"/>
        </w:rPr>
        <w:t>О1-9 „Брой проекти за развитие на секторните системи на е-управление (е-обществени поръчки, е-здравеопазване, е-митници, е-архивиране, е-осигуряване и др.)“</w:t>
      </w:r>
      <w:r w:rsidR="00FC41C5" w:rsidRPr="007756D7">
        <w:rPr>
          <w:rFonts w:ascii="Times New Roman" w:hAnsi="Times New Roman"/>
          <w:b/>
          <w:i/>
          <w:sz w:val="24"/>
          <w:szCs w:val="24"/>
        </w:rPr>
        <w:t xml:space="preserve"> </w:t>
      </w:r>
    </w:p>
    <w:p w14:paraId="610337FD" w14:textId="43413170" w:rsidR="006D10E2" w:rsidRDefault="006D10E2" w:rsidP="003537E8">
      <w:pPr>
        <w:spacing w:after="120"/>
        <w:ind w:firstLine="708"/>
        <w:jc w:val="both"/>
        <w:rPr>
          <w:szCs w:val="24"/>
        </w:rPr>
      </w:pPr>
      <w:r w:rsidRPr="007756D7">
        <w:rPr>
          <w:szCs w:val="24"/>
        </w:rPr>
        <w:t>Предложеното намал</w:t>
      </w:r>
      <w:r w:rsidR="005310A7">
        <w:rPr>
          <w:szCs w:val="24"/>
        </w:rPr>
        <w:t>яване</w:t>
      </w:r>
      <w:r w:rsidRPr="007756D7">
        <w:rPr>
          <w:szCs w:val="24"/>
        </w:rPr>
        <w:t xml:space="preserve"> на целевата стойност на индикатора на 13 бр. е </w:t>
      </w:r>
      <w:r w:rsidR="009E373A">
        <w:rPr>
          <w:szCs w:val="24"/>
        </w:rPr>
        <w:t>пряко следствие от</w:t>
      </w:r>
      <w:r w:rsidR="00496AFF">
        <w:rPr>
          <w:szCs w:val="24"/>
        </w:rPr>
        <w:t xml:space="preserve"> </w:t>
      </w:r>
      <w:r w:rsidR="00F80987">
        <w:rPr>
          <w:szCs w:val="24"/>
        </w:rPr>
        <w:t>намаляване на бюджета на ПО</w:t>
      </w:r>
      <w:r w:rsidR="002E00B0">
        <w:rPr>
          <w:szCs w:val="24"/>
        </w:rPr>
        <w:t xml:space="preserve"> </w:t>
      </w:r>
      <w:r w:rsidR="00F80987">
        <w:rPr>
          <w:szCs w:val="24"/>
        </w:rPr>
        <w:t>1 на ОПДУ</w:t>
      </w:r>
      <w:r w:rsidR="00FF1AB3">
        <w:rPr>
          <w:szCs w:val="24"/>
        </w:rPr>
        <w:t xml:space="preserve">. </w:t>
      </w:r>
      <w:r w:rsidR="00F80987">
        <w:rPr>
          <w:szCs w:val="24"/>
        </w:rPr>
        <w:t>Д</w:t>
      </w:r>
      <w:r w:rsidR="00BC1C24">
        <w:rPr>
          <w:szCs w:val="24"/>
        </w:rPr>
        <w:t>о този момент по ОПДУ са договорени 9 проекта за развитие на секторните системи за електронно управление</w:t>
      </w:r>
      <w:r w:rsidR="00F80987">
        <w:rPr>
          <w:szCs w:val="24"/>
        </w:rPr>
        <w:t>,</w:t>
      </w:r>
      <w:r w:rsidR="00F80987" w:rsidRPr="00F80987">
        <w:t xml:space="preserve"> </w:t>
      </w:r>
      <w:r w:rsidR="00F80987">
        <w:t>в</w:t>
      </w:r>
      <w:r w:rsidR="00F80987" w:rsidRPr="00F80987">
        <w:rPr>
          <w:szCs w:val="24"/>
        </w:rPr>
        <w:t xml:space="preserve"> </w:t>
      </w:r>
      <w:r w:rsidR="00F80987">
        <w:rPr>
          <w:szCs w:val="24"/>
        </w:rPr>
        <w:t>изпълнение на</w:t>
      </w:r>
      <w:r w:rsidR="00F80987" w:rsidRPr="00F80987">
        <w:rPr>
          <w:szCs w:val="24"/>
        </w:rPr>
        <w:t xml:space="preserve"> </w:t>
      </w:r>
      <w:r w:rsidR="00F80987">
        <w:rPr>
          <w:szCs w:val="24"/>
        </w:rPr>
        <w:t xml:space="preserve">мерките от </w:t>
      </w:r>
      <w:r w:rsidR="00F80987" w:rsidRPr="00F80987">
        <w:rPr>
          <w:szCs w:val="24"/>
        </w:rPr>
        <w:t>ПКЕУ</w:t>
      </w:r>
      <w:r w:rsidR="00BC1C24">
        <w:rPr>
          <w:szCs w:val="24"/>
        </w:rPr>
        <w:t xml:space="preserve">. От предвидените в </w:t>
      </w:r>
      <w:r w:rsidR="009E373A">
        <w:rPr>
          <w:szCs w:val="24"/>
        </w:rPr>
        <w:t xml:space="preserve">актуализираната </w:t>
      </w:r>
      <w:r w:rsidR="00BC1C24">
        <w:rPr>
          <w:szCs w:val="24"/>
        </w:rPr>
        <w:t xml:space="preserve">ПКЕУ допълнителни 6 мерки, свързани със секторните системи, в резултат </w:t>
      </w:r>
      <w:r w:rsidR="009E373A">
        <w:rPr>
          <w:szCs w:val="24"/>
        </w:rPr>
        <w:t>от</w:t>
      </w:r>
      <w:r w:rsidR="00BC1C24">
        <w:rPr>
          <w:szCs w:val="24"/>
        </w:rPr>
        <w:t xml:space="preserve"> </w:t>
      </w:r>
      <w:r w:rsidR="00FF1AB3">
        <w:rPr>
          <w:szCs w:val="24"/>
        </w:rPr>
        <w:t xml:space="preserve">намаляване на разполагаемия бюджет по </w:t>
      </w:r>
      <w:proofErr w:type="spellStart"/>
      <w:r w:rsidR="00FF1AB3">
        <w:rPr>
          <w:szCs w:val="24"/>
        </w:rPr>
        <w:t>ПО</w:t>
      </w:r>
      <w:proofErr w:type="spellEnd"/>
      <w:r w:rsidR="002E00B0">
        <w:rPr>
          <w:szCs w:val="24"/>
        </w:rPr>
        <w:t xml:space="preserve"> </w:t>
      </w:r>
      <w:r w:rsidR="00FF1AB3">
        <w:rPr>
          <w:szCs w:val="24"/>
        </w:rPr>
        <w:t>1 на</w:t>
      </w:r>
      <w:r w:rsidR="00BC1C24">
        <w:rPr>
          <w:szCs w:val="24"/>
        </w:rPr>
        <w:t xml:space="preserve"> ОПДУ</w:t>
      </w:r>
      <w:r w:rsidR="00F80987">
        <w:rPr>
          <w:szCs w:val="24"/>
        </w:rPr>
        <w:t>,</w:t>
      </w:r>
      <w:r w:rsidR="00BC1C24">
        <w:rPr>
          <w:szCs w:val="24"/>
        </w:rPr>
        <w:t xml:space="preserve"> няма да бъдат изпълнени мярка </w:t>
      </w:r>
      <w:r w:rsidR="00FF1AB3">
        <w:rPr>
          <w:szCs w:val="24"/>
        </w:rPr>
        <w:t>42 „</w:t>
      </w:r>
      <w:r w:rsidR="00FF1AB3" w:rsidRPr="00FF1AB3">
        <w:rPr>
          <w:szCs w:val="24"/>
        </w:rPr>
        <w:t>Въвеждане на Електронно фактуриране с предхождащ анализ и оценка на ефекта от въвеждането, включително и анализ на вече направените реализации на електронно фактуриране</w:t>
      </w:r>
      <w:r w:rsidR="00FF1AB3">
        <w:rPr>
          <w:szCs w:val="24"/>
        </w:rPr>
        <w:t>“</w:t>
      </w:r>
      <w:r w:rsidR="00EC4B7F" w:rsidRPr="00EC4B7F">
        <w:t xml:space="preserve"> </w:t>
      </w:r>
      <w:r w:rsidR="00EC4B7F" w:rsidRPr="00EC4B7F">
        <w:rPr>
          <w:szCs w:val="24"/>
        </w:rPr>
        <w:t>(с прогнозен бюджет</w:t>
      </w:r>
      <w:r w:rsidR="00EC4B7F">
        <w:rPr>
          <w:szCs w:val="24"/>
        </w:rPr>
        <w:t xml:space="preserve"> по ОПДУ 7,5</w:t>
      </w:r>
      <w:r w:rsidR="00EC4B7F" w:rsidRPr="00EC4B7F">
        <w:rPr>
          <w:szCs w:val="24"/>
        </w:rPr>
        <w:t xml:space="preserve"> млн.</w:t>
      </w:r>
      <w:r w:rsidR="00EC4B7F">
        <w:rPr>
          <w:szCs w:val="24"/>
        </w:rPr>
        <w:t xml:space="preserve"> лв.</w:t>
      </w:r>
      <w:r w:rsidR="002E00B0">
        <w:rPr>
          <w:szCs w:val="24"/>
        </w:rPr>
        <w:t xml:space="preserve">), </w:t>
      </w:r>
      <w:r w:rsidR="00FF1AB3">
        <w:rPr>
          <w:szCs w:val="24"/>
        </w:rPr>
        <w:t>с отговорна институция Национална агенция по приходите, и мярка 48 „</w:t>
      </w:r>
      <w:r w:rsidR="00FF1AB3" w:rsidRPr="00FF1AB3">
        <w:rPr>
          <w:szCs w:val="24"/>
        </w:rPr>
        <w:t>Реализиране на НЗИС - Етап 3</w:t>
      </w:r>
      <w:r w:rsidR="00FF1AB3">
        <w:rPr>
          <w:szCs w:val="24"/>
        </w:rPr>
        <w:t>“</w:t>
      </w:r>
      <w:r w:rsidR="00EC4B7F">
        <w:rPr>
          <w:szCs w:val="24"/>
        </w:rPr>
        <w:t xml:space="preserve"> (с прогнозен бюджет 6 млн. лв.)</w:t>
      </w:r>
      <w:r w:rsidR="00FF1AB3">
        <w:rPr>
          <w:szCs w:val="24"/>
        </w:rPr>
        <w:t>, с отговорна институция Министерство на здравеопазването.</w:t>
      </w:r>
      <w:r w:rsidR="00F80987">
        <w:rPr>
          <w:szCs w:val="24"/>
        </w:rPr>
        <w:t xml:space="preserve"> Прогнозната обща стойност на двете операции възлиза </w:t>
      </w:r>
      <w:r w:rsidR="00F80987" w:rsidRPr="00E82F0F">
        <w:rPr>
          <w:szCs w:val="24"/>
        </w:rPr>
        <w:t xml:space="preserve">на </w:t>
      </w:r>
      <w:r w:rsidR="009E373A" w:rsidRPr="00E82F0F">
        <w:rPr>
          <w:szCs w:val="24"/>
        </w:rPr>
        <w:t>12,5</w:t>
      </w:r>
      <w:r w:rsidR="00F80987">
        <w:rPr>
          <w:szCs w:val="24"/>
        </w:rPr>
        <w:t xml:space="preserve"> млн. лв.</w:t>
      </w:r>
      <w:r w:rsidR="00634BF7">
        <w:rPr>
          <w:szCs w:val="24"/>
        </w:rPr>
        <w:t xml:space="preserve"> Във връзка с това, целевата стойност на индикатора следва да бъде намалена от 15 на 13 бр.</w:t>
      </w:r>
    </w:p>
    <w:p w14:paraId="33E0E91E" w14:textId="77777777" w:rsidR="00BF4E18" w:rsidRPr="007756D7" w:rsidRDefault="00BF4E18" w:rsidP="003537E8">
      <w:pPr>
        <w:spacing w:after="120"/>
        <w:ind w:firstLine="708"/>
        <w:jc w:val="both"/>
        <w:rPr>
          <w:szCs w:val="24"/>
        </w:rPr>
      </w:pPr>
    </w:p>
    <w:p w14:paraId="04A62669" w14:textId="5C271845" w:rsidR="00EB04C2" w:rsidRPr="00FC5D16" w:rsidRDefault="00EB04C2" w:rsidP="003537E8">
      <w:pPr>
        <w:pStyle w:val="ListParagraph"/>
        <w:numPr>
          <w:ilvl w:val="0"/>
          <w:numId w:val="23"/>
        </w:numPr>
        <w:spacing w:after="120" w:line="240" w:lineRule="auto"/>
        <w:ind w:left="709" w:hanging="283"/>
        <w:contextualSpacing w:val="0"/>
        <w:jc w:val="both"/>
        <w:rPr>
          <w:rFonts w:ascii="Times New Roman" w:hAnsi="Times New Roman"/>
          <w:b/>
          <w:i/>
          <w:sz w:val="24"/>
          <w:szCs w:val="24"/>
        </w:rPr>
      </w:pPr>
      <w:r w:rsidRPr="00FC5D16">
        <w:rPr>
          <w:rFonts w:ascii="Times New Roman" w:hAnsi="Times New Roman"/>
          <w:b/>
          <w:i/>
          <w:sz w:val="24"/>
          <w:szCs w:val="24"/>
        </w:rPr>
        <w:lastRenderedPageBreak/>
        <w:t>R1-3 „Брой на подкрепени приоритетни електронизирани услуги, включително вътрешно-административни, на ниво транзакция</w:t>
      </w:r>
      <w:r w:rsidR="006F10FF" w:rsidRPr="00FC5D16">
        <w:rPr>
          <w:rFonts w:ascii="Times New Roman" w:hAnsi="Times New Roman"/>
          <w:b/>
          <w:i/>
          <w:sz w:val="24"/>
          <w:szCs w:val="24"/>
        </w:rPr>
        <w:t xml:space="preserve"> и/или разплащане</w:t>
      </w:r>
      <w:r w:rsidRPr="00FC5D16">
        <w:rPr>
          <w:rFonts w:ascii="Times New Roman" w:hAnsi="Times New Roman"/>
          <w:b/>
          <w:i/>
          <w:sz w:val="24"/>
          <w:szCs w:val="24"/>
        </w:rPr>
        <w:t xml:space="preserve"> базирани на държавния ХЧО, използвани над 5 000 пъти годишно“</w:t>
      </w:r>
    </w:p>
    <w:p w14:paraId="3086ECEE" w14:textId="2C5DED48" w:rsidR="00173FF0" w:rsidRPr="00FC5D16" w:rsidRDefault="00C60878" w:rsidP="00173FF0">
      <w:pPr>
        <w:ind w:firstLine="720"/>
        <w:jc w:val="both"/>
      </w:pPr>
      <w:r>
        <w:t xml:space="preserve">Наименованието на индикатора предполага кумулативното изпълнение на три условия по отношение на </w:t>
      </w:r>
      <w:r w:rsidR="00173FF0" w:rsidRPr="00FC5D16">
        <w:t xml:space="preserve">услугите: </w:t>
      </w:r>
    </w:p>
    <w:p w14:paraId="6A5ED4E0" w14:textId="106C7D61" w:rsidR="00DD6AC2" w:rsidRDefault="00173FF0" w:rsidP="00173FF0">
      <w:pPr>
        <w:ind w:firstLine="720"/>
        <w:jc w:val="both"/>
      </w:pPr>
      <w:r w:rsidRPr="00FC5D16">
        <w:t xml:space="preserve">1) </w:t>
      </w:r>
      <w:r w:rsidR="00DD6AC2" w:rsidRPr="00FC5D16">
        <w:t>да са из</w:t>
      </w:r>
      <w:r w:rsidR="00DD6AC2">
        <w:t>ползвани над 5 000 пъти годишно;</w:t>
      </w:r>
    </w:p>
    <w:p w14:paraId="433C40E6" w14:textId="6B256493" w:rsidR="00173FF0" w:rsidRPr="00FC5D16" w:rsidRDefault="00DD6AC2" w:rsidP="00173FF0">
      <w:pPr>
        <w:ind w:firstLine="720"/>
        <w:jc w:val="both"/>
      </w:pPr>
      <w:r>
        <w:t xml:space="preserve">2) </w:t>
      </w:r>
      <w:r w:rsidR="00173FF0" w:rsidRPr="00FC5D16">
        <w:t>да са на н</w:t>
      </w:r>
      <w:r>
        <w:t>иво транзакция и/или разплащане и</w:t>
      </w:r>
    </w:p>
    <w:p w14:paraId="08423176" w14:textId="3DE6D81D" w:rsidR="00173FF0" w:rsidRPr="00FC5D16" w:rsidRDefault="00711E60" w:rsidP="00DD6AC2">
      <w:pPr>
        <w:ind w:firstLine="720"/>
        <w:jc w:val="both"/>
      </w:pPr>
      <w:r>
        <w:t>3</w:t>
      </w:r>
      <w:r w:rsidR="00173FF0" w:rsidRPr="00FC5D16">
        <w:t xml:space="preserve">) да са базирани на държавния ХЧО </w:t>
      </w:r>
      <w:r w:rsidR="00DD6AC2">
        <w:t>(ДХЧО).</w:t>
      </w:r>
    </w:p>
    <w:p w14:paraId="6E7026CC" w14:textId="34E8FF5E" w:rsidR="00173FF0" w:rsidRPr="00FC5D16" w:rsidRDefault="00173FF0" w:rsidP="00173FF0">
      <w:pPr>
        <w:pStyle w:val="ListParagraph"/>
        <w:spacing w:after="120" w:line="240" w:lineRule="auto"/>
        <w:ind w:left="0" w:firstLine="567"/>
        <w:contextualSpacing w:val="0"/>
        <w:jc w:val="both"/>
        <w:rPr>
          <w:rFonts w:ascii="Times New Roman" w:hAnsi="Times New Roman"/>
          <w:sz w:val="24"/>
          <w:szCs w:val="24"/>
        </w:rPr>
      </w:pPr>
      <w:r w:rsidRPr="00FC5D16">
        <w:rPr>
          <w:rFonts w:ascii="Times New Roman" w:hAnsi="Times New Roman"/>
          <w:sz w:val="24"/>
          <w:szCs w:val="24"/>
        </w:rPr>
        <w:t xml:space="preserve">При първоначалното планиране на индикатора е използвана информация за вписаните услуги в Списъка на унифицираните наименования на административните услуги (СУНАУ). Данните за наличните в страната режими и услуги до 01.01.2016 г. се генерират от СУНАУ, в който няма ясно разграничение между услуги и режими и поради това е била налице възможност за различна интерпретация. При програмирането на базовата стойност на индикатора към 2014 г. не е взето предвид, че предложените за базова стойност 193 бр. услуги не са били базирани на ДХЧО в съответствие с </w:t>
      </w:r>
      <w:r w:rsidR="00001A36">
        <w:rPr>
          <w:rFonts w:ascii="Times New Roman" w:hAnsi="Times New Roman"/>
          <w:sz w:val="24"/>
          <w:szCs w:val="24"/>
        </w:rPr>
        <w:t xml:space="preserve">наименованието </w:t>
      </w:r>
      <w:r w:rsidRPr="00FC5D16">
        <w:rPr>
          <w:rFonts w:ascii="Times New Roman" w:hAnsi="Times New Roman"/>
          <w:sz w:val="24"/>
          <w:szCs w:val="24"/>
        </w:rPr>
        <w:t xml:space="preserve">на индикатора. Също така за 134 бр. услуги от предложените за базова стойност услуги, към </w:t>
      </w:r>
      <w:r w:rsidR="00001A36">
        <w:rPr>
          <w:rFonts w:ascii="Times New Roman" w:hAnsi="Times New Roman"/>
          <w:sz w:val="24"/>
          <w:szCs w:val="24"/>
        </w:rPr>
        <w:t>онзи</w:t>
      </w:r>
      <w:r w:rsidR="00001A36" w:rsidRPr="00FC5D16">
        <w:rPr>
          <w:rFonts w:ascii="Times New Roman" w:hAnsi="Times New Roman"/>
          <w:sz w:val="24"/>
          <w:szCs w:val="24"/>
        </w:rPr>
        <w:t xml:space="preserve"> </w:t>
      </w:r>
      <w:r w:rsidRPr="00FC5D16">
        <w:rPr>
          <w:rFonts w:ascii="Times New Roman" w:hAnsi="Times New Roman"/>
          <w:sz w:val="24"/>
          <w:szCs w:val="24"/>
        </w:rPr>
        <w:t>момент не е била налична информация за честотата на използването им</w:t>
      </w:r>
      <w:r w:rsidR="00001A36">
        <w:rPr>
          <w:rFonts w:ascii="Times New Roman" w:hAnsi="Times New Roman"/>
          <w:sz w:val="24"/>
          <w:szCs w:val="24"/>
        </w:rPr>
        <w:t xml:space="preserve"> </w:t>
      </w:r>
      <w:r w:rsidR="00861FB4">
        <w:rPr>
          <w:rFonts w:ascii="Times New Roman" w:hAnsi="Times New Roman"/>
          <w:sz w:val="24"/>
          <w:szCs w:val="24"/>
        </w:rPr>
        <w:t>на годишна база, но са били включени в базовата стойност, поради факта, че са били идентифицирани като приоритетни за бизнеса към онзи момент</w:t>
      </w:r>
      <w:r w:rsidRPr="00FC5D16">
        <w:rPr>
          <w:rFonts w:ascii="Times New Roman" w:hAnsi="Times New Roman"/>
          <w:sz w:val="24"/>
          <w:szCs w:val="24"/>
        </w:rPr>
        <w:t>.</w:t>
      </w:r>
    </w:p>
    <w:p w14:paraId="5F8D6362" w14:textId="5F1956CE" w:rsidR="00173FF0" w:rsidRPr="00FC5D16" w:rsidRDefault="00173FF0" w:rsidP="00173FF0">
      <w:pPr>
        <w:ind w:firstLine="567"/>
        <w:jc w:val="both"/>
      </w:pPr>
      <w:r w:rsidRPr="00FC5D16">
        <w:t xml:space="preserve">От началото на 2016 г. </w:t>
      </w:r>
      <w:r w:rsidR="009B6B8F">
        <w:t>административните</w:t>
      </w:r>
      <w:r w:rsidRPr="00FC5D16">
        <w:t xml:space="preserve"> услуги се вписват в Интегрираната информационна система на държавната администрация (ИИСДА). </w:t>
      </w:r>
      <w:r w:rsidR="009B6B8F" w:rsidRPr="00FC5D16">
        <w:t xml:space="preserve">През периода 2014-2019 г. се извършиха и нормативни промени, свързани с дефинирането на понятието „административна услуга“. </w:t>
      </w:r>
      <w:r w:rsidRPr="00FC5D16">
        <w:t xml:space="preserve">След извършването на инвентаризацията и анализа на административните услуги в рамките на проект ”Трансформация на модела на административно обслужване” на АМС се направиха предложения за нормативни промени относно заличаване на услуги от ИИСДА. Вследствие в Приложение № 3 към РМС № 704/ 2018 г. са предложени 322 мерки за заличаване на услуги от Административния регистър. </w:t>
      </w:r>
      <w:r w:rsidR="00C701C6">
        <w:t>Към средата на 2019 г.</w:t>
      </w:r>
      <w:r w:rsidR="00C701C6" w:rsidRPr="00FC5D16">
        <w:t xml:space="preserve"> </w:t>
      </w:r>
      <w:r w:rsidRPr="00FC5D16">
        <w:t xml:space="preserve">120 услуги от базовата стойност (193 бр.) </w:t>
      </w:r>
      <w:r w:rsidR="00C701C6">
        <w:t xml:space="preserve">не са налични в списъка на административните услуги в ИИСДА. </w:t>
      </w:r>
      <w:r w:rsidRPr="00FC5D16">
        <w:t>В</w:t>
      </w:r>
      <w:r w:rsidR="009B6B8F">
        <w:t xml:space="preserve"> допълнение, предстои изменение</w:t>
      </w:r>
      <w:r w:rsidRPr="00FC5D16">
        <w:t xml:space="preserve"> на АПК</w:t>
      </w:r>
      <w:r w:rsidR="009B6B8F">
        <w:t>, в което</w:t>
      </w:r>
      <w:r w:rsidRPr="00FC5D16">
        <w:t xml:space="preserve"> е предвидено разделяне на услугите на административни услуги и на вътрешно административни услуги, което предполага, че голяма част от информацията между административните органи ще се предоставя като </w:t>
      </w:r>
      <w:proofErr w:type="spellStart"/>
      <w:r w:rsidRPr="00FC5D16">
        <w:t>вътрешноадминистративни</w:t>
      </w:r>
      <w:proofErr w:type="spellEnd"/>
      <w:r w:rsidRPr="00FC5D16">
        <w:t xml:space="preserve"> услуги посредством средата за </w:t>
      </w:r>
      <w:proofErr w:type="spellStart"/>
      <w:r w:rsidRPr="00FC5D16">
        <w:t>междурегистров</w:t>
      </w:r>
      <w:proofErr w:type="spellEnd"/>
      <w:r w:rsidRPr="00FC5D16">
        <w:t xml:space="preserve"> обмен “</w:t>
      </w:r>
      <w:proofErr w:type="spellStart"/>
      <w:r w:rsidRPr="00FC5D16">
        <w:t>Regix</w:t>
      </w:r>
      <w:proofErr w:type="spellEnd"/>
      <w:r w:rsidRPr="00FC5D16">
        <w:t xml:space="preserve">”. Предоставената подкрепа </w:t>
      </w:r>
      <w:r w:rsidR="00291677">
        <w:t>по</w:t>
      </w:r>
      <w:r w:rsidRPr="00FC5D16">
        <w:t xml:space="preserve"> ОПДУ </w:t>
      </w:r>
      <w:r w:rsidR="00291677">
        <w:t>за</w:t>
      </w:r>
      <w:r w:rsidRPr="00FC5D16">
        <w:t xml:space="preserve"> </w:t>
      </w:r>
      <w:r w:rsidR="00291677">
        <w:t>надграждане на</w:t>
      </w:r>
      <w:r w:rsidRPr="00FC5D16">
        <w:t xml:space="preserve"> регистри</w:t>
      </w:r>
      <w:r w:rsidR="00291677">
        <w:t xml:space="preserve"> и осигуряване на комплексно административно обслужване</w:t>
      </w:r>
      <w:r w:rsidRPr="00FC5D16">
        <w:t xml:space="preserve"> допринася за осигуряване на </w:t>
      </w:r>
      <w:r w:rsidR="00996E16">
        <w:t>служебен</w:t>
      </w:r>
      <w:r w:rsidRPr="00FC5D16">
        <w:t xml:space="preserve"> обмен на информация между </w:t>
      </w:r>
      <w:r w:rsidR="00996E16">
        <w:t>администрациите</w:t>
      </w:r>
      <w:r w:rsidRPr="00FC5D16">
        <w:t xml:space="preserve">, </w:t>
      </w:r>
      <w:r w:rsidR="00996E16">
        <w:t xml:space="preserve">което </w:t>
      </w:r>
      <w:r w:rsidRPr="00FC5D16">
        <w:t xml:space="preserve">е предпоставка за намаляване на броя </w:t>
      </w:r>
      <w:r w:rsidR="00291677">
        <w:t xml:space="preserve">на </w:t>
      </w:r>
      <w:r w:rsidR="00996E16">
        <w:t xml:space="preserve">административните </w:t>
      </w:r>
      <w:r w:rsidR="00291677">
        <w:t>услуги</w:t>
      </w:r>
      <w:r w:rsidRPr="00FC5D16">
        <w:t xml:space="preserve"> с честота на използване над 5000 пъти годишно.  </w:t>
      </w:r>
    </w:p>
    <w:p w14:paraId="4E2A896E" w14:textId="1B6A42AB" w:rsidR="00173FF0" w:rsidRPr="00FC5D16" w:rsidRDefault="00173FF0" w:rsidP="00173FF0">
      <w:pPr>
        <w:ind w:firstLine="567"/>
        <w:jc w:val="both"/>
      </w:pPr>
      <w:r w:rsidRPr="00FC5D16">
        <w:t>При анализа на данните от Доклада за състоянието на администрацията за 2018 г. е констатирано, че броят на използваните услуги с честота над 5000 пъти е около 25</w:t>
      </w:r>
      <w:r w:rsidR="00BC23E9">
        <w:t>0</w:t>
      </w:r>
      <w:r w:rsidRPr="00FC5D16">
        <w:t>, като за тях няма информация за ниво на предоставяне.</w:t>
      </w:r>
    </w:p>
    <w:p w14:paraId="5EC53664" w14:textId="629E462A" w:rsidR="00173FF0" w:rsidRPr="00FC5D16" w:rsidRDefault="00647A5F" w:rsidP="00647A5F">
      <w:pPr>
        <w:pStyle w:val="NoSpacing"/>
        <w:ind w:firstLine="567"/>
        <w:jc w:val="both"/>
        <w:rPr>
          <w:rFonts w:eastAsiaTheme="minorHAnsi"/>
          <w:lang w:val="bg-BG" w:eastAsia="en-US"/>
        </w:rPr>
      </w:pPr>
      <w:r>
        <w:rPr>
          <w:rFonts w:eastAsiaTheme="minorHAnsi"/>
          <w:lang w:val="bg-BG" w:eastAsia="en-US"/>
        </w:rPr>
        <w:t>П</w:t>
      </w:r>
      <w:r w:rsidR="00574EFE">
        <w:rPr>
          <w:rFonts w:eastAsiaTheme="minorHAnsi"/>
          <w:lang w:val="bg-BG" w:eastAsia="en-US"/>
        </w:rPr>
        <w:t>редлага</w:t>
      </w:r>
      <w:r>
        <w:rPr>
          <w:rFonts w:eastAsiaTheme="minorHAnsi"/>
          <w:lang w:val="bg-BG" w:eastAsia="en-US"/>
        </w:rPr>
        <w:t>ната от УО на ОПДУ промяна</w:t>
      </w:r>
      <w:r w:rsidR="00574EFE">
        <w:rPr>
          <w:rFonts w:eastAsiaTheme="minorHAnsi"/>
          <w:lang w:val="bg-BG" w:eastAsia="en-US"/>
        </w:rPr>
        <w:t xml:space="preserve"> в наименованието и начина на отчитане на </w:t>
      </w:r>
      <w:r w:rsidR="00173FF0" w:rsidRPr="00FC5D16">
        <w:rPr>
          <w:lang w:val="bg-BG"/>
        </w:rPr>
        <w:t>индикатор</w:t>
      </w:r>
      <w:r w:rsidR="00574EFE">
        <w:rPr>
          <w:lang w:val="bg-BG"/>
        </w:rPr>
        <w:t>а</w:t>
      </w:r>
      <w:r w:rsidR="00173FF0" w:rsidRPr="00FC5D16">
        <w:rPr>
          <w:lang w:val="bg-BG"/>
        </w:rPr>
        <w:t xml:space="preserve"> ще </w:t>
      </w:r>
      <w:r w:rsidR="00574EFE">
        <w:rPr>
          <w:lang w:val="bg-BG"/>
        </w:rPr>
        <w:t>отрази в максимална степен съществуващата динамика в броя на</w:t>
      </w:r>
      <w:r w:rsidR="00001A36">
        <w:rPr>
          <w:lang w:val="bg-BG"/>
        </w:rPr>
        <w:t xml:space="preserve"> </w:t>
      </w:r>
      <w:r w:rsidR="00574EFE">
        <w:rPr>
          <w:lang w:val="bg-BG"/>
        </w:rPr>
        <w:t xml:space="preserve">административните </w:t>
      </w:r>
      <w:r w:rsidR="00001A36">
        <w:rPr>
          <w:lang w:val="bg-BG"/>
        </w:rPr>
        <w:t>услуги с честота на използване над 5000 пъти годишно</w:t>
      </w:r>
      <w:r>
        <w:rPr>
          <w:lang w:val="bg-BG"/>
        </w:rPr>
        <w:t xml:space="preserve">. </w:t>
      </w:r>
      <w:r w:rsidR="00173FF0" w:rsidRPr="00FC5D16">
        <w:rPr>
          <w:rFonts w:eastAsiaTheme="minorHAnsi"/>
          <w:lang w:val="bg-BG" w:eastAsia="en-US"/>
        </w:rPr>
        <w:t>В тази връзка предлагаме следните промени:</w:t>
      </w:r>
    </w:p>
    <w:p w14:paraId="61E8A472" w14:textId="3F8498C1" w:rsidR="00173FF0" w:rsidRPr="00FC5D16" w:rsidRDefault="00173FF0" w:rsidP="006F10FF">
      <w:pPr>
        <w:pStyle w:val="ListParagraph"/>
        <w:numPr>
          <w:ilvl w:val="0"/>
          <w:numId w:val="39"/>
        </w:numPr>
        <w:spacing w:after="120" w:line="240" w:lineRule="auto"/>
        <w:ind w:left="709" w:hanging="426"/>
        <w:contextualSpacing w:val="0"/>
        <w:jc w:val="both"/>
        <w:rPr>
          <w:rFonts w:ascii="Times New Roman" w:hAnsi="Times New Roman"/>
          <w:sz w:val="24"/>
          <w:szCs w:val="24"/>
        </w:rPr>
      </w:pPr>
      <w:r w:rsidRPr="00FC5D16">
        <w:rPr>
          <w:rFonts w:ascii="Times New Roman" w:hAnsi="Times New Roman"/>
          <w:sz w:val="24"/>
          <w:szCs w:val="24"/>
        </w:rPr>
        <w:t xml:space="preserve">промяна в наименованието на индикатора, </w:t>
      </w:r>
      <w:r w:rsidR="00DD6AC2">
        <w:rPr>
          <w:rFonts w:ascii="Times New Roman" w:hAnsi="Times New Roman"/>
          <w:sz w:val="24"/>
          <w:szCs w:val="24"/>
        </w:rPr>
        <w:t>както следва:</w:t>
      </w:r>
      <w:r w:rsidRPr="00FC5D16">
        <w:rPr>
          <w:rFonts w:ascii="Times New Roman" w:hAnsi="Times New Roman"/>
          <w:sz w:val="24"/>
          <w:szCs w:val="24"/>
        </w:rPr>
        <w:t xml:space="preserve"> „</w:t>
      </w:r>
      <w:r w:rsidR="000F2B5D">
        <w:rPr>
          <w:rFonts w:ascii="Times New Roman" w:hAnsi="Times New Roman"/>
          <w:sz w:val="24"/>
          <w:szCs w:val="24"/>
        </w:rPr>
        <w:t>Дял</w:t>
      </w:r>
      <w:r w:rsidRPr="00FC5D16">
        <w:rPr>
          <w:rFonts w:ascii="Times New Roman" w:hAnsi="Times New Roman"/>
          <w:sz w:val="24"/>
          <w:szCs w:val="24"/>
        </w:rPr>
        <w:t xml:space="preserve"> на</w:t>
      </w:r>
      <w:r w:rsidR="007551A3">
        <w:rPr>
          <w:rFonts w:ascii="Times New Roman" w:hAnsi="Times New Roman"/>
          <w:sz w:val="24"/>
          <w:szCs w:val="24"/>
        </w:rPr>
        <w:t xml:space="preserve"> административните</w:t>
      </w:r>
      <w:r w:rsidRPr="00FC5D16">
        <w:rPr>
          <w:rFonts w:ascii="Times New Roman" w:hAnsi="Times New Roman"/>
          <w:sz w:val="24"/>
          <w:szCs w:val="24"/>
        </w:rPr>
        <w:t xml:space="preserve"> </w:t>
      </w:r>
      <w:r w:rsidR="007551A3">
        <w:rPr>
          <w:rFonts w:ascii="Times New Roman" w:hAnsi="Times New Roman"/>
          <w:sz w:val="24"/>
          <w:szCs w:val="24"/>
        </w:rPr>
        <w:t>и</w:t>
      </w:r>
      <w:r w:rsidRPr="00FC5D16">
        <w:rPr>
          <w:rFonts w:ascii="Times New Roman" w:hAnsi="Times New Roman"/>
          <w:sz w:val="24"/>
          <w:szCs w:val="24"/>
        </w:rPr>
        <w:t xml:space="preserve"> вътрешно-административни</w:t>
      </w:r>
      <w:r w:rsidR="007551A3" w:rsidRPr="007551A3">
        <w:rPr>
          <w:rFonts w:ascii="Times New Roman" w:hAnsi="Times New Roman"/>
          <w:sz w:val="24"/>
          <w:szCs w:val="24"/>
        </w:rPr>
        <w:t xml:space="preserve"> </w:t>
      </w:r>
      <w:r w:rsidR="007551A3" w:rsidRPr="00FC5D16">
        <w:rPr>
          <w:rFonts w:ascii="Times New Roman" w:hAnsi="Times New Roman"/>
          <w:sz w:val="24"/>
          <w:szCs w:val="24"/>
        </w:rPr>
        <w:t>услуги</w:t>
      </w:r>
      <w:r w:rsidR="000F2B5D">
        <w:rPr>
          <w:rFonts w:ascii="Times New Roman" w:hAnsi="Times New Roman"/>
          <w:sz w:val="24"/>
          <w:szCs w:val="24"/>
        </w:rPr>
        <w:t xml:space="preserve"> използвани над 5000 пъти годишно, които са на</w:t>
      </w:r>
      <w:r w:rsidRPr="00FC5D16">
        <w:rPr>
          <w:rFonts w:ascii="Times New Roman" w:hAnsi="Times New Roman"/>
          <w:sz w:val="24"/>
          <w:szCs w:val="24"/>
        </w:rPr>
        <w:t xml:space="preserve"> ниво </w:t>
      </w:r>
      <w:r w:rsidR="0093063F">
        <w:rPr>
          <w:rFonts w:ascii="Times New Roman" w:hAnsi="Times New Roman"/>
          <w:sz w:val="24"/>
          <w:szCs w:val="24"/>
        </w:rPr>
        <w:t>3 и 4</w:t>
      </w:r>
      <w:r w:rsidR="00DD6AC2">
        <w:rPr>
          <w:rStyle w:val="FootnoteReference"/>
          <w:rFonts w:ascii="Times New Roman" w:hAnsi="Times New Roman"/>
          <w:sz w:val="24"/>
          <w:szCs w:val="24"/>
        </w:rPr>
        <w:footnoteReference w:id="9"/>
      </w:r>
      <w:r w:rsidR="000F2B5D">
        <w:rPr>
          <w:rFonts w:ascii="Times New Roman" w:hAnsi="Times New Roman"/>
          <w:sz w:val="24"/>
          <w:szCs w:val="24"/>
        </w:rPr>
        <w:t xml:space="preserve"> и са</w:t>
      </w:r>
      <w:r w:rsidRPr="00FC5D16">
        <w:rPr>
          <w:rFonts w:ascii="Times New Roman" w:hAnsi="Times New Roman"/>
          <w:sz w:val="24"/>
          <w:szCs w:val="24"/>
        </w:rPr>
        <w:t xml:space="preserve"> </w:t>
      </w:r>
      <w:r w:rsidR="007551A3">
        <w:rPr>
          <w:rFonts w:ascii="Times New Roman" w:hAnsi="Times New Roman"/>
          <w:sz w:val="24"/>
          <w:szCs w:val="24"/>
        </w:rPr>
        <w:t>базирани на държавния ХЧО</w:t>
      </w:r>
      <w:r w:rsidRPr="00FC5D16">
        <w:rPr>
          <w:rFonts w:ascii="Times New Roman" w:hAnsi="Times New Roman"/>
          <w:sz w:val="24"/>
          <w:szCs w:val="24"/>
        </w:rPr>
        <w:t>;</w:t>
      </w:r>
    </w:p>
    <w:p w14:paraId="34F99B3B" w14:textId="24D728BB" w:rsidR="00173FF0" w:rsidRPr="00FC5D16" w:rsidRDefault="00173FF0" w:rsidP="00023661">
      <w:pPr>
        <w:pStyle w:val="ListParagraph"/>
        <w:numPr>
          <w:ilvl w:val="0"/>
          <w:numId w:val="39"/>
        </w:numPr>
        <w:spacing w:after="120" w:line="240" w:lineRule="auto"/>
        <w:ind w:left="709" w:hanging="426"/>
        <w:contextualSpacing w:val="0"/>
        <w:jc w:val="both"/>
        <w:rPr>
          <w:rFonts w:ascii="Times New Roman" w:hAnsi="Times New Roman"/>
          <w:sz w:val="24"/>
          <w:szCs w:val="24"/>
        </w:rPr>
      </w:pPr>
      <w:r w:rsidRPr="00FC5D16">
        <w:rPr>
          <w:rFonts w:ascii="Times New Roman" w:hAnsi="Times New Roman"/>
          <w:sz w:val="24"/>
          <w:szCs w:val="24"/>
        </w:rPr>
        <w:lastRenderedPageBreak/>
        <w:t xml:space="preserve">промяна в начина на отчитане на индикатора, като вместо брой се отчита </w:t>
      </w:r>
      <w:r w:rsidR="00023661">
        <w:rPr>
          <w:rFonts w:ascii="Times New Roman" w:hAnsi="Times New Roman"/>
          <w:sz w:val="24"/>
          <w:szCs w:val="24"/>
        </w:rPr>
        <w:t>дял</w:t>
      </w:r>
      <w:r w:rsidRPr="00FC5D16">
        <w:rPr>
          <w:rFonts w:ascii="Times New Roman" w:hAnsi="Times New Roman"/>
          <w:sz w:val="24"/>
          <w:szCs w:val="24"/>
        </w:rPr>
        <w:t xml:space="preserve"> (%) на услуги</w:t>
      </w:r>
      <w:r w:rsidR="00023661">
        <w:rPr>
          <w:rFonts w:ascii="Times New Roman" w:hAnsi="Times New Roman"/>
          <w:sz w:val="24"/>
          <w:szCs w:val="24"/>
        </w:rPr>
        <w:t>те</w:t>
      </w:r>
      <w:r w:rsidRPr="00FC5D16">
        <w:rPr>
          <w:rFonts w:ascii="Times New Roman" w:hAnsi="Times New Roman"/>
          <w:sz w:val="24"/>
          <w:szCs w:val="24"/>
        </w:rPr>
        <w:t xml:space="preserve"> </w:t>
      </w:r>
      <w:r w:rsidR="00023661" w:rsidRPr="00023661">
        <w:rPr>
          <w:rFonts w:ascii="Times New Roman" w:hAnsi="Times New Roman"/>
          <w:sz w:val="24"/>
          <w:szCs w:val="24"/>
        </w:rPr>
        <w:t>използвани над 5000 пъти годишно, които са на ниво 3 и 4  и са базирани на държавния ХЧО</w:t>
      </w:r>
      <w:r w:rsidRPr="00FC5D16">
        <w:rPr>
          <w:rFonts w:ascii="Times New Roman" w:hAnsi="Times New Roman"/>
          <w:sz w:val="24"/>
          <w:szCs w:val="24"/>
        </w:rPr>
        <w:t>;</w:t>
      </w:r>
    </w:p>
    <w:p w14:paraId="66C4FCE6" w14:textId="0CD66120" w:rsidR="00173FF0" w:rsidRPr="00FC5D16" w:rsidRDefault="00173FF0" w:rsidP="006F10FF">
      <w:pPr>
        <w:pStyle w:val="ListParagraph"/>
        <w:numPr>
          <w:ilvl w:val="0"/>
          <w:numId w:val="39"/>
        </w:numPr>
        <w:spacing w:after="120" w:line="240" w:lineRule="auto"/>
        <w:ind w:left="709" w:hanging="426"/>
        <w:contextualSpacing w:val="0"/>
        <w:jc w:val="both"/>
        <w:rPr>
          <w:rFonts w:ascii="Times New Roman" w:hAnsi="Times New Roman"/>
          <w:sz w:val="24"/>
          <w:szCs w:val="24"/>
        </w:rPr>
      </w:pPr>
      <w:r w:rsidRPr="00FC5D16">
        <w:rPr>
          <w:rFonts w:ascii="Times New Roman" w:hAnsi="Times New Roman"/>
          <w:sz w:val="24"/>
          <w:szCs w:val="24"/>
        </w:rPr>
        <w:t>промяна в базовата стойност на индикатора от 193 бр. на 0</w:t>
      </w:r>
      <w:r w:rsidR="00182710">
        <w:rPr>
          <w:rFonts w:ascii="Times New Roman" w:hAnsi="Times New Roman"/>
          <w:sz w:val="24"/>
          <w:szCs w:val="24"/>
        </w:rPr>
        <w:t xml:space="preserve"> </w:t>
      </w:r>
      <w:r w:rsidRPr="00FC5D16">
        <w:rPr>
          <w:rFonts w:ascii="Times New Roman" w:hAnsi="Times New Roman"/>
          <w:sz w:val="24"/>
          <w:szCs w:val="24"/>
        </w:rPr>
        <w:t xml:space="preserve">%. При </w:t>
      </w:r>
      <w:r w:rsidR="00182710">
        <w:rPr>
          <w:rFonts w:ascii="Times New Roman" w:hAnsi="Times New Roman"/>
          <w:sz w:val="24"/>
          <w:szCs w:val="24"/>
        </w:rPr>
        <w:t xml:space="preserve">планирането </w:t>
      </w:r>
      <w:r w:rsidRPr="00FC5D16">
        <w:rPr>
          <w:rFonts w:ascii="Times New Roman" w:hAnsi="Times New Roman"/>
          <w:sz w:val="24"/>
          <w:szCs w:val="24"/>
        </w:rPr>
        <w:t xml:space="preserve">на базовата стойност на индикатора към 2014 г. не е взето предвид, че предложените за базова стойност 193 бр. услуги не са били базирани на ДХЧО в съответствие с </w:t>
      </w:r>
      <w:r w:rsidR="0093063F">
        <w:rPr>
          <w:rFonts w:ascii="Times New Roman" w:hAnsi="Times New Roman"/>
          <w:sz w:val="24"/>
          <w:szCs w:val="24"/>
        </w:rPr>
        <w:t>наименованието</w:t>
      </w:r>
      <w:r w:rsidR="0093063F" w:rsidRPr="00FC5D16">
        <w:rPr>
          <w:rFonts w:ascii="Times New Roman" w:hAnsi="Times New Roman"/>
          <w:sz w:val="24"/>
          <w:szCs w:val="24"/>
        </w:rPr>
        <w:t xml:space="preserve"> </w:t>
      </w:r>
      <w:r w:rsidRPr="00FC5D16">
        <w:rPr>
          <w:rFonts w:ascii="Times New Roman" w:hAnsi="Times New Roman"/>
          <w:sz w:val="24"/>
          <w:szCs w:val="24"/>
        </w:rPr>
        <w:t xml:space="preserve">на индикатора; </w:t>
      </w:r>
    </w:p>
    <w:p w14:paraId="5BBFD63D" w14:textId="1EF34568" w:rsidR="00173FF0" w:rsidRPr="003B3A40" w:rsidRDefault="00173FF0" w:rsidP="00411A62">
      <w:pPr>
        <w:pStyle w:val="ListParagraph"/>
        <w:numPr>
          <w:ilvl w:val="0"/>
          <w:numId w:val="39"/>
        </w:numPr>
        <w:spacing w:after="120" w:line="240" w:lineRule="auto"/>
        <w:ind w:left="709" w:hanging="426"/>
        <w:contextualSpacing w:val="0"/>
        <w:jc w:val="both"/>
        <w:rPr>
          <w:szCs w:val="24"/>
        </w:rPr>
      </w:pPr>
      <w:r w:rsidRPr="00FC5D16">
        <w:rPr>
          <w:rFonts w:ascii="Times New Roman" w:hAnsi="Times New Roman"/>
          <w:sz w:val="24"/>
          <w:szCs w:val="24"/>
        </w:rPr>
        <w:t>промяна в целевата стойност на индикатора</w:t>
      </w:r>
      <w:r w:rsidR="00182710">
        <w:rPr>
          <w:rFonts w:ascii="Times New Roman" w:hAnsi="Times New Roman"/>
          <w:sz w:val="24"/>
          <w:szCs w:val="24"/>
        </w:rPr>
        <w:t xml:space="preserve"> от</w:t>
      </w:r>
      <w:r w:rsidRPr="00FC5D16">
        <w:rPr>
          <w:rFonts w:ascii="Times New Roman" w:hAnsi="Times New Roman"/>
          <w:sz w:val="24"/>
          <w:szCs w:val="24"/>
        </w:rPr>
        <w:t xml:space="preserve"> 418 бр.</w:t>
      </w:r>
      <w:r w:rsidR="00A57A4E">
        <w:rPr>
          <w:rFonts w:ascii="Times New Roman" w:hAnsi="Times New Roman"/>
          <w:sz w:val="24"/>
          <w:szCs w:val="24"/>
          <w:lang w:val="en-US"/>
        </w:rPr>
        <w:t xml:space="preserve"> </w:t>
      </w:r>
      <w:proofErr w:type="spellStart"/>
      <w:proofErr w:type="gramStart"/>
      <w:r w:rsidR="00A57A4E">
        <w:rPr>
          <w:rFonts w:ascii="Times New Roman" w:hAnsi="Times New Roman"/>
          <w:sz w:val="24"/>
          <w:szCs w:val="24"/>
          <w:lang w:val="en-US"/>
        </w:rPr>
        <w:t>на</w:t>
      </w:r>
      <w:proofErr w:type="spellEnd"/>
      <w:proofErr w:type="gramEnd"/>
      <w:r w:rsidR="00A57A4E">
        <w:rPr>
          <w:rFonts w:ascii="Times New Roman" w:hAnsi="Times New Roman"/>
          <w:sz w:val="24"/>
          <w:szCs w:val="24"/>
          <w:lang w:val="en-US"/>
        </w:rPr>
        <w:t xml:space="preserve"> 225 </w:t>
      </w:r>
      <w:proofErr w:type="spellStart"/>
      <w:r w:rsidR="00A57A4E">
        <w:rPr>
          <w:rFonts w:ascii="Times New Roman" w:hAnsi="Times New Roman"/>
          <w:sz w:val="24"/>
          <w:szCs w:val="24"/>
          <w:lang w:val="en-US"/>
        </w:rPr>
        <w:t>бр</w:t>
      </w:r>
      <w:bookmarkStart w:id="0" w:name="_GoBack"/>
      <w:proofErr w:type="spellEnd"/>
      <w:r w:rsidR="00A57A4E">
        <w:rPr>
          <w:rFonts w:ascii="Times New Roman" w:hAnsi="Times New Roman"/>
          <w:sz w:val="24"/>
          <w:szCs w:val="24"/>
          <w:lang w:val="en-US"/>
        </w:rPr>
        <w:t xml:space="preserve">. </w:t>
      </w:r>
      <w:r w:rsidR="00A57A4E">
        <w:rPr>
          <w:rFonts w:ascii="Times New Roman" w:hAnsi="Times New Roman"/>
          <w:sz w:val="24"/>
          <w:szCs w:val="24"/>
        </w:rPr>
        <w:t>(</w:t>
      </w:r>
      <w:proofErr w:type="spellStart"/>
      <w:r w:rsidR="000520F1">
        <w:rPr>
          <w:rFonts w:ascii="Times New Roman" w:hAnsi="Times New Roman"/>
          <w:sz w:val="24"/>
          <w:szCs w:val="24"/>
          <w:lang w:val="en-US"/>
        </w:rPr>
        <w:t>чрез</w:t>
      </w:r>
      <w:proofErr w:type="spellEnd"/>
      <w:r w:rsidR="000520F1">
        <w:rPr>
          <w:rFonts w:ascii="Times New Roman" w:hAnsi="Times New Roman"/>
          <w:sz w:val="24"/>
          <w:szCs w:val="24"/>
          <w:lang w:val="en-US"/>
        </w:rPr>
        <w:t xml:space="preserve"> </w:t>
      </w:r>
      <w:proofErr w:type="spellStart"/>
      <w:r w:rsidR="00A57A4E">
        <w:rPr>
          <w:rFonts w:ascii="Times New Roman" w:hAnsi="Times New Roman"/>
          <w:sz w:val="24"/>
          <w:szCs w:val="24"/>
          <w:lang w:val="en-US"/>
        </w:rPr>
        <w:t>пр</w:t>
      </w:r>
      <w:proofErr w:type="spellEnd"/>
      <w:r w:rsidR="0039685B">
        <w:rPr>
          <w:rFonts w:ascii="Times New Roman" w:hAnsi="Times New Roman"/>
          <w:sz w:val="24"/>
          <w:szCs w:val="24"/>
        </w:rPr>
        <w:t>и</w:t>
      </w:r>
      <w:proofErr w:type="spellStart"/>
      <w:r w:rsidR="00A57A4E">
        <w:rPr>
          <w:rFonts w:ascii="Times New Roman" w:hAnsi="Times New Roman"/>
          <w:sz w:val="24"/>
          <w:szCs w:val="24"/>
          <w:lang w:val="en-US"/>
        </w:rPr>
        <w:t>спадане</w:t>
      </w:r>
      <w:proofErr w:type="spellEnd"/>
      <w:r w:rsidR="00A57A4E">
        <w:rPr>
          <w:rFonts w:ascii="Times New Roman" w:hAnsi="Times New Roman"/>
          <w:sz w:val="24"/>
          <w:szCs w:val="24"/>
          <w:lang w:val="en-US"/>
        </w:rPr>
        <w:t xml:space="preserve"> </w:t>
      </w:r>
      <w:proofErr w:type="spellStart"/>
      <w:r w:rsidR="00A57A4E">
        <w:rPr>
          <w:rFonts w:ascii="Times New Roman" w:hAnsi="Times New Roman"/>
          <w:sz w:val="24"/>
          <w:szCs w:val="24"/>
          <w:lang w:val="en-US"/>
        </w:rPr>
        <w:t>на</w:t>
      </w:r>
      <w:proofErr w:type="spellEnd"/>
      <w:r w:rsidR="00A57A4E">
        <w:rPr>
          <w:rFonts w:ascii="Times New Roman" w:hAnsi="Times New Roman"/>
          <w:sz w:val="24"/>
          <w:szCs w:val="24"/>
          <w:lang w:val="en-US"/>
        </w:rPr>
        <w:t xml:space="preserve"> </w:t>
      </w:r>
      <w:proofErr w:type="spellStart"/>
      <w:r w:rsidR="00A57A4E">
        <w:rPr>
          <w:rFonts w:ascii="Times New Roman" w:hAnsi="Times New Roman"/>
          <w:sz w:val="24"/>
          <w:szCs w:val="24"/>
          <w:lang w:val="en-US"/>
        </w:rPr>
        <w:t>базовата</w:t>
      </w:r>
      <w:proofErr w:type="spellEnd"/>
      <w:r w:rsidR="00A57A4E">
        <w:rPr>
          <w:rFonts w:ascii="Times New Roman" w:hAnsi="Times New Roman"/>
          <w:sz w:val="24"/>
          <w:szCs w:val="24"/>
          <w:lang w:val="en-US"/>
        </w:rPr>
        <w:t xml:space="preserve"> </w:t>
      </w:r>
      <w:proofErr w:type="spellStart"/>
      <w:r w:rsidR="00A57A4E">
        <w:rPr>
          <w:rFonts w:ascii="Times New Roman" w:hAnsi="Times New Roman"/>
          <w:sz w:val="24"/>
          <w:szCs w:val="24"/>
          <w:lang w:val="en-US"/>
        </w:rPr>
        <w:t>стойност</w:t>
      </w:r>
      <w:proofErr w:type="spellEnd"/>
      <w:r w:rsidR="000520F1">
        <w:rPr>
          <w:rFonts w:ascii="Times New Roman" w:hAnsi="Times New Roman"/>
          <w:sz w:val="24"/>
          <w:szCs w:val="24"/>
          <w:lang w:val="en-US"/>
        </w:rPr>
        <w:t xml:space="preserve">, </w:t>
      </w:r>
      <w:proofErr w:type="spellStart"/>
      <w:r w:rsidR="000520F1">
        <w:rPr>
          <w:rFonts w:ascii="Times New Roman" w:hAnsi="Times New Roman"/>
          <w:sz w:val="24"/>
          <w:szCs w:val="24"/>
          <w:lang w:val="en-US"/>
        </w:rPr>
        <w:t>както</w:t>
      </w:r>
      <w:proofErr w:type="spellEnd"/>
      <w:r w:rsidR="000520F1">
        <w:rPr>
          <w:rFonts w:ascii="Times New Roman" w:hAnsi="Times New Roman"/>
          <w:sz w:val="24"/>
          <w:szCs w:val="24"/>
          <w:lang w:val="en-US"/>
        </w:rPr>
        <w:t xml:space="preserve"> е</w:t>
      </w:r>
      <w:r w:rsidR="00A57A4E">
        <w:rPr>
          <w:rFonts w:ascii="Times New Roman" w:hAnsi="Times New Roman"/>
          <w:sz w:val="24"/>
          <w:szCs w:val="24"/>
          <w:lang w:val="en-US"/>
        </w:rPr>
        <w:t xml:space="preserve"> </w:t>
      </w:r>
      <w:proofErr w:type="spellStart"/>
      <w:r w:rsidR="00A57A4E">
        <w:rPr>
          <w:rFonts w:ascii="Times New Roman" w:hAnsi="Times New Roman"/>
          <w:sz w:val="24"/>
          <w:szCs w:val="24"/>
          <w:lang w:val="en-US"/>
        </w:rPr>
        <w:t>посочено</w:t>
      </w:r>
      <w:proofErr w:type="spellEnd"/>
      <w:r w:rsidR="00A57A4E">
        <w:rPr>
          <w:rFonts w:ascii="Times New Roman" w:hAnsi="Times New Roman"/>
          <w:sz w:val="24"/>
          <w:szCs w:val="24"/>
          <w:lang w:val="en-US"/>
        </w:rPr>
        <w:t xml:space="preserve"> </w:t>
      </w:r>
      <w:proofErr w:type="spellStart"/>
      <w:r w:rsidR="00A57A4E">
        <w:rPr>
          <w:rFonts w:ascii="Times New Roman" w:hAnsi="Times New Roman"/>
          <w:sz w:val="24"/>
          <w:szCs w:val="24"/>
          <w:lang w:val="en-US"/>
        </w:rPr>
        <w:t>по-горе</w:t>
      </w:r>
      <w:proofErr w:type="spellEnd"/>
      <w:r w:rsidR="00A57A4E">
        <w:rPr>
          <w:rFonts w:ascii="Times New Roman" w:hAnsi="Times New Roman"/>
          <w:sz w:val="24"/>
          <w:szCs w:val="24"/>
          <w:lang w:val="en-US"/>
        </w:rPr>
        <w:t xml:space="preserve"> в </w:t>
      </w:r>
      <w:proofErr w:type="spellStart"/>
      <w:r w:rsidR="00A57A4E">
        <w:rPr>
          <w:rFonts w:ascii="Times New Roman" w:hAnsi="Times New Roman"/>
          <w:sz w:val="24"/>
          <w:szCs w:val="24"/>
          <w:lang w:val="en-US"/>
        </w:rPr>
        <w:t>Таблица</w:t>
      </w:r>
      <w:proofErr w:type="spellEnd"/>
      <w:r w:rsidR="00A57A4E">
        <w:rPr>
          <w:rFonts w:ascii="Times New Roman" w:hAnsi="Times New Roman"/>
          <w:sz w:val="24"/>
          <w:szCs w:val="24"/>
          <w:lang w:val="en-US"/>
        </w:rPr>
        <w:t xml:space="preserve"> 1</w:t>
      </w:r>
      <w:r w:rsidR="00A57A4E">
        <w:rPr>
          <w:rFonts w:ascii="Times New Roman" w:hAnsi="Times New Roman"/>
          <w:sz w:val="24"/>
          <w:szCs w:val="24"/>
        </w:rPr>
        <w:t>)</w:t>
      </w:r>
      <w:r w:rsidR="00B35ABE">
        <w:rPr>
          <w:rFonts w:ascii="Times New Roman" w:hAnsi="Times New Roman"/>
          <w:sz w:val="24"/>
          <w:szCs w:val="24"/>
          <w:lang w:val="en-US"/>
        </w:rPr>
        <w:t xml:space="preserve"> и </w:t>
      </w:r>
      <w:proofErr w:type="spellStart"/>
      <w:r w:rsidR="00B35ABE">
        <w:rPr>
          <w:rFonts w:ascii="Times New Roman" w:hAnsi="Times New Roman"/>
          <w:sz w:val="24"/>
          <w:szCs w:val="24"/>
          <w:lang w:val="en-US"/>
        </w:rPr>
        <w:t>промяна</w:t>
      </w:r>
      <w:proofErr w:type="spellEnd"/>
      <w:r w:rsidR="00B35ABE">
        <w:rPr>
          <w:rFonts w:ascii="Times New Roman" w:hAnsi="Times New Roman"/>
          <w:sz w:val="24"/>
          <w:szCs w:val="24"/>
          <w:lang w:val="en-US"/>
        </w:rPr>
        <w:t xml:space="preserve"> </w:t>
      </w:r>
      <w:proofErr w:type="spellStart"/>
      <w:r w:rsidR="00B35ABE">
        <w:rPr>
          <w:rFonts w:ascii="Times New Roman" w:hAnsi="Times New Roman"/>
          <w:sz w:val="24"/>
          <w:szCs w:val="24"/>
          <w:lang w:val="en-US"/>
        </w:rPr>
        <w:t>на</w:t>
      </w:r>
      <w:proofErr w:type="spellEnd"/>
      <w:r w:rsidR="00B35ABE">
        <w:rPr>
          <w:rFonts w:ascii="Times New Roman" w:hAnsi="Times New Roman"/>
          <w:sz w:val="24"/>
          <w:szCs w:val="24"/>
          <w:lang w:val="en-US"/>
        </w:rPr>
        <w:t xml:space="preserve"> </w:t>
      </w:r>
      <w:proofErr w:type="spellStart"/>
      <w:r w:rsidR="00B35ABE">
        <w:rPr>
          <w:rFonts w:ascii="Times New Roman" w:hAnsi="Times New Roman"/>
          <w:sz w:val="24"/>
          <w:szCs w:val="24"/>
          <w:lang w:val="en-US"/>
        </w:rPr>
        <w:t>така</w:t>
      </w:r>
      <w:proofErr w:type="spellEnd"/>
      <w:r w:rsidR="00B35ABE">
        <w:rPr>
          <w:rFonts w:ascii="Times New Roman" w:hAnsi="Times New Roman"/>
          <w:sz w:val="24"/>
          <w:szCs w:val="24"/>
          <w:lang w:val="en-US"/>
        </w:rPr>
        <w:t xml:space="preserve"> </w:t>
      </w:r>
      <w:r w:rsidR="00B35ABE" w:rsidRPr="0000254D">
        <w:rPr>
          <w:rFonts w:ascii="Times New Roman" w:hAnsi="Times New Roman"/>
          <w:sz w:val="24"/>
          <w:szCs w:val="24"/>
        </w:rPr>
        <w:t xml:space="preserve">получената целева стойност на индикатора от 225 бр. </w:t>
      </w:r>
      <w:r w:rsidR="00182710">
        <w:rPr>
          <w:rFonts w:ascii="Times New Roman" w:hAnsi="Times New Roman"/>
          <w:sz w:val="24"/>
          <w:szCs w:val="24"/>
        </w:rPr>
        <w:t xml:space="preserve">на </w:t>
      </w:r>
      <w:r w:rsidRPr="00411A62">
        <w:rPr>
          <w:rFonts w:ascii="Times New Roman" w:hAnsi="Times New Roman"/>
          <w:sz w:val="24"/>
          <w:szCs w:val="24"/>
        </w:rPr>
        <w:t xml:space="preserve">100% от услугите, използвани над 5 000 пъти </w:t>
      </w:r>
      <w:r w:rsidR="00AF347A" w:rsidRPr="00411A62">
        <w:rPr>
          <w:rFonts w:ascii="Times New Roman" w:hAnsi="Times New Roman"/>
          <w:sz w:val="24"/>
          <w:szCs w:val="24"/>
        </w:rPr>
        <w:t xml:space="preserve">през </w:t>
      </w:r>
      <w:r w:rsidRPr="00411A62">
        <w:rPr>
          <w:rFonts w:ascii="Times New Roman" w:hAnsi="Times New Roman"/>
          <w:sz w:val="24"/>
          <w:szCs w:val="24"/>
        </w:rPr>
        <w:t>2020 г.</w:t>
      </w:r>
      <w:r w:rsidR="003B3A40">
        <w:rPr>
          <w:rFonts w:ascii="Times New Roman" w:hAnsi="Times New Roman"/>
          <w:sz w:val="24"/>
          <w:szCs w:val="24"/>
        </w:rPr>
        <w:t>,</w:t>
      </w:r>
      <w:r w:rsidRPr="00411A62">
        <w:rPr>
          <w:rFonts w:ascii="Times New Roman" w:hAnsi="Times New Roman"/>
          <w:sz w:val="24"/>
          <w:szCs w:val="24"/>
        </w:rPr>
        <w:t xml:space="preserve"> </w:t>
      </w:r>
      <w:r w:rsidR="00AF347A" w:rsidRPr="00411A62">
        <w:rPr>
          <w:rFonts w:ascii="Times New Roman" w:hAnsi="Times New Roman"/>
          <w:sz w:val="24"/>
          <w:szCs w:val="24"/>
        </w:rPr>
        <w:t>в съответствие с</w:t>
      </w:r>
      <w:r w:rsidRPr="003B3A40">
        <w:rPr>
          <w:rFonts w:ascii="Times New Roman" w:hAnsi="Times New Roman"/>
          <w:sz w:val="24"/>
          <w:szCs w:val="24"/>
        </w:rPr>
        <w:t xml:space="preserve"> </w:t>
      </w:r>
      <w:r w:rsidR="00086325" w:rsidRPr="003B3A40">
        <w:rPr>
          <w:rFonts w:ascii="Times New Roman" w:hAnsi="Times New Roman"/>
          <w:sz w:val="24"/>
          <w:szCs w:val="24"/>
        </w:rPr>
        <w:t xml:space="preserve">отчетените данни от </w:t>
      </w:r>
      <w:r w:rsidRPr="003B3A40">
        <w:rPr>
          <w:rFonts w:ascii="Times New Roman" w:hAnsi="Times New Roman"/>
          <w:sz w:val="24"/>
          <w:szCs w:val="24"/>
        </w:rPr>
        <w:t xml:space="preserve">администрацията </w:t>
      </w:r>
      <w:r w:rsidR="00086325" w:rsidRPr="003B3A40">
        <w:rPr>
          <w:rFonts w:ascii="Times New Roman" w:hAnsi="Times New Roman"/>
          <w:sz w:val="24"/>
          <w:szCs w:val="24"/>
        </w:rPr>
        <w:t>през</w:t>
      </w:r>
      <w:r w:rsidR="00AF347A" w:rsidRPr="003B3A40">
        <w:rPr>
          <w:rFonts w:ascii="Times New Roman" w:hAnsi="Times New Roman"/>
          <w:sz w:val="24"/>
          <w:szCs w:val="24"/>
        </w:rPr>
        <w:t xml:space="preserve"> 2021 г.</w:t>
      </w:r>
      <w:r w:rsidRPr="003B3A40">
        <w:rPr>
          <w:rFonts w:ascii="Times New Roman" w:hAnsi="Times New Roman"/>
          <w:sz w:val="24"/>
          <w:szCs w:val="24"/>
        </w:rPr>
        <w:t xml:space="preserve">  </w:t>
      </w:r>
    </w:p>
    <w:p w14:paraId="601D8F6F" w14:textId="4A15C84A" w:rsidR="0007298E" w:rsidRDefault="003B3A40" w:rsidP="00411A62">
      <w:pPr>
        <w:spacing w:after="120"/>
        <w:ind w:firstLine="709"/>
        <w:jc w:val="both"/>
      </w:pPr>
      <w:r w:rsidRPr="00FB6C51">
        <w:t xml:space="preserve">Видно от </w:t>
      </w:r>
      <w:r>
        <w:t>наименованието</w:t>
      </w:r>
      <w:r w:rsidRPr="00FB6C51">
        <w:t xml:space="preserve"> на индикатора, </w:t>
      </w:r>
      <w:r w:rsidR="0007298E">
        <w:t xml:space="preserve">базата за отчитането на </w:t>
      </w:r>
      <w:r w:rsidRPr="00FB6C51">
        <w:t xml:space="preserve">изпълнението </w:t>
      </w:r>
      <w:bookmarkEnd w:id="0"/>
      <w:r w:rsidR="0007298E">
        <w:t>е броят на</w:t>
      </w:r>
      <w:r>
        <w:t xml:space="preserve"> админ</w:t>
      </w:r>
      <w:r w:rsidR="007D7C66">
        <w:t>и</w:t>
      </w:r>
      <w:r>
        <w:t>стративните услуги, които се използват</w:t>
      </w:r>
      <w:r w:rsidRPr="00FB6C51">
        <w:t xml:space="preserve"> над 5 000 пъти</w:t>
      </w:r>
      <w:r>
        <w:t xml:space="preserve"> годишно. </w:t>
      </w:r>
      <w:r w:rsidR="0007298E">
        <w:t>Общият брой на административните услуги на национално ниво и честотата на тяхното използване са външни за УО фактори, които в последните години се отличават със значителна динамика и зависят в голяма степен от провежданите административни реформи и нормативни промени в политиката на национално ниво. В този смисъл, и</w:t>
      </w:r>
      <w:r>
        <w:t xml:space="preserve">нтервенциите по ОПДУ са насочени </w:t>
      </w:r>
      <w:r w:rsidR="0007298E">
        <w:t xml:space="preserve">единствено </w:t>
      </w:r>
      <w:r>
        <w:t xml:space="preserve">към електронизиране на </w:t>
      </w:r>
      <w:r w:rsidR="0007298E">
        <w:t>административните услуги, които се използват над 5000 годишно,</w:t>
      </w:r>
      <w:r>
        <w:t xml:space="preserve"> и тяхното присъединяване към </w:t>
      </w:r>
      <w:r w:rsidRPr="00FB6C51">
        <w:t xml:space="preserve">ДХЧО. </w:t>
      </w:r>
    </w:p>
    <w:p w14:paraId="5630AA3F" w14:textId="39D8DF5F" w:rsidR="009E27C5" w:rsidRPr="00FA2E80" w:rsidRDefault="0007298E" w:rsidP="00411A62">
      <w:pPr>
        <w:spacing w:after="120"/>
        <w:ind w:firstLine="709"/>
        <w:jc w:val="both"/>
      </w:pPr>
      <w:r w:rsidRPr="00021346">
        <w:t xml:space="preserve">Съгласно действащата </w:t>
      </w:r>
      <w:r>
        <w:t>нормативна уредба</w:t>
      </w:r>
      <w:r w:rsidRPr="00021346">
        <w:t>, административните структур</w:t>
      </w:r>
      <w:r>
        <w:t>и отчитат</w:t>
      </w:r>
      <w:r w:rsidRPr="00021346">
        <w:t xml:space="preserve"> честотата на използване на </w:t>
      </w:r>
      <w:r>
        <w:t xml:space="preserve">предоставяните от тях </w:t>
      </w:r>
      <w:r w:rsidRPr="00021346">
        <w:t>услуги</w:t>
      </w:r>
      <w:r>
        <w:t xml:space="preserve"> до</w:t>
      </w:r>
      <w:r w:rsidRPr="00021346">
        <w:t xml:space="preserve"> средата на следващата календарна година</w:t>
      </w:r>
      <w:r>
        <w:t>.</w:t>
      </w:r>
      <w:r w:rsidRPr="00FB6C51" w:rsidDel="0007298E">
        <w:t xml:space="preserve"> </w:t>
      </w:r>
      <w:r>
        <w:t>През</w:t>
      </w:r>
      <w:r w:rsidRPr="00AE0762">
        <w:t xml:space="preserve"> 2020 г. се очаква да приключи и изпълнението на мерките</w:t>
      </w:r>
      <w:r>
        <w:t>,</w:t>
      </w:r>
      <w:r w:rsidRPr="00AE0762">
        <w:t xml:space="preserve"> предвидени в РМС 704/2018 г.</w:t>
      </w:r>
      <w:r>
        <w:t>, насочени към</w:t>
      </w:r>
      <w:r w:rsidRPr="00AE0762">
        <w:t xml:space="preserve"> заличаване на </w:t>
      </w:r>
      <w:r>
        <w:t xml:space="preserve">конкретни </w:t>
      </w:r>
      <w:r w:rsidRPr="00AE0762">
        <w:t>услуги</w:t>
      </w:r>
      <w:r>
        <w:t>, предоставяни от администрациите</w:t>
      </w:r>
      <w:r w:rsidRPr="00AE0762">
        <w:t xml:space="preserve">, което </w:t>
      </w:r>
      <w:r>
        <w:t xml:space="preserve">ще се отрази на общия брой на административните услуги, </w:t>
      </w:r>
      <w:r w:rsidRPr="009C5B4B">
        <w:t>вписани в ИИСДА</w:t>
      </w:r>
      <w:r w:rsidRPr="00AE0762">
        <w:t xml:space="preserve">. </w:t>
      </w:r>
      <w:r>
        <w:t>Предложението на УО за залагане на</w:t>
      </w:r>
      <w:r w:rsidR="003B3A40" w:rsidRPr="00FB6C51">
        <w:t xml:space="preserve"> 2020 г. като референт</w:t>
      </w:r>
      <w:r>
        <w:t>н</w:t>
      </w:r>
      <w:r w:rsidR="003B3A40" w:rsidRPr="00FB6C51">
        <w:t xml:space="preserve">а година </w:t>
      </w:r>
      <w:r>
        <w:t xml:space="preserve">за използваните административни услуги над 5000 пъти годишно е свързано с необходимостта от осигуряване на </w:t>
      </w:r>
      <w:r w:rsidR="003B3A40" w:rsidRPr="00FB6C51">
        <w:t xml:space="preserve"> </w:t>
      </w:r>
      <w:r>
        <w:t>необходимото</w:t>
      </w:r>
      <w:r w:rsidR="003B3A40" w:rsidRPr="00FB6C51">
        <w:t xml:space="preserve"> технологично време</w:t>
      </w:r>
      <w:r>
        <w:t xml:space="preserve"> за УО</w:t>
      </w:r>
      <w:r w:rsidR="003B3A40" w:rsidRPr="00FB6C51">
        <w:t xml:space="preserve"> за анализ на отчетената </w:t>
      </w:r>
      <w:r>
        <w:t xml:space="preserve">от администрацията </w:t>
      </w:r>
      <w:r w:rsidR="003B3A40" w:rsidRPr="00FB6C51">
        <w:t xml:space="preserve">информация </w:t>
      </w:r>
      <w:r>
        <w:t>в средата на 2021 г.</w:t>
      </w:r>
      <w:r w:rsidR="003B3A40" w:rsidRPr="00FB6C51">
        <w:t xml:space="preserve">, на база на </w:t>
      </w:r>
      <w:r w:rsidR="009D7089">
        <w:t>коя</w:t>
      </w:r>
      <w:r>
        <w:t>то</w:t>
      </w:r>
      <w:r w:rsidR="003B3A40" w:rsidRPr="00FB6C51">
        <w:t xml:space="preserve"> да </w:t>
      </w:r>
      <w:r>
        <w:t>бъдат планирани</w:t>
      </w:r>
      <w:r w:rsidR="003B3A40" w:rsidRPr="00FB6C51">
        <w:t xml:space="preserve"> и финансир</w:t>
      </w:r>
      <w:r>
        <w:t>ани</w:t>
      </w:r>
      <w:r w:rsidR="003B3A40" w:rsidRPr="00FB6C51">
        <w:t xml:space="preserve"> допълнителни интервенции за електронизиране на </w:t>
      </w:r>
      <w:r>
        <w:t xml:space="preserve">най-често използваните </w:t>
      </w:r>
      <w:r w:rsidR="003B3A40" w:rsidRPr="00FB6C51">
        <w:t xml:space="preserve">административни услуги до ниво 3 и 4, </w:t>
      </w:r>
      <w:r>
        <w:t>и съответно присъединяването им към</w:t>
      </w:r>
      <w:r w:rsidR="003B3A40" w:rsidRPr="00FB6C51">
        <w:t xml:space="preserve"> ДХЧО. </w:t>
      </w:r>
      <w:r>
        <w:t xml:space="preserve">С предложеното изменение, </w:t>
      </w:r>
      <w:r w:rsidR="00142750" w:rsidRPr="00411A62">
        <w:t xml:space="preserve">УО </w:t>
      </w:r>
      <w:r>
        <w:t>цели</w:t>
      </w:r>
      <w:r w:rsidR="00142750" w:rsidRPr="00411A62">
        <w:t xml:space="preserve"> </w:t>
      </w:r>
      <w:r>
        <w:t>до</w:t>
      </w:r>
      <w:r w:rsidR="009E27C5" w:rsidRPr="00FA2E80">
        <w:t xml:space="preserve"> края на 2023 г. </w:t>
      </w:r>
      <w:r w:rsidR="00142750" w:rsidRPr="00411A62">
        <w:t>да</w:t>
      </w:r>
      <w:r w:rsidR="009E27C5" w:rsidRPr="00FA2E80">
        <w:t xml:space="preserve"> </w:t>
      </w:r>
      <w:r>
        <w:t>електронизира и присъедини към ДХЧО всички административни услуги, които са били предоставени</w:t>
      </w:r>
      <w:r w:rsidR="009E27C5" w:rsidRPr="00FA2E80">
        <w:t xml:space="preserve"> </w:t>
      </w:r>
      <w:r w:rsidRPr="00934356">
        <w:t>над 5000 пъти</w:t>
      </w:r>
      <w:r w:rsidRPr="00FA2E80">
        <w:t xml:space="preserve"> </w:t>
      </w:r>
      <w:r w:rsidR="009E27C5" w:rsidRPr="00FA2E80">
        <w:t xml:space="preserve">през 2020 г.  </w:t>
      </w:r>
    </w:p>
    <w:p w14:paraId="58E98709" w14:textId="3318A56D" w:rsidR="00AF5438" w:rsidRPr="00BC2226" w:rsidRDefault="002E3B2D" w:rsidP="008404C3">
      <w:pPr>
        <w:pStyle w:val="ListParagraph"/>
        <w:pBdr>
          <w:between w:val="nil"/>
        </w:pBdr>
        <w:tabs>
          <w:tab w:val="left" w:pos="709"/>
        </w:tabs>
        <w:spacing w:after="240" w:line="240" w:lineRule="auto"/>
        <w:ind w:left="0"/>
        <w:contextualSpacing w:val="0"/>
        <w:jc w:val="both"/>
        <w:rPr>
          <w:rFonts w:ascii="Times New Roman" w:eastAsia="Book Antiqua" w:hAnsi="Times New Roman"/>
          <w:bCs/>
          <w:color w:val="000000"/>
          <w:sz w:val="24"/>
          <w:szCs w:val="24"/>
        </w:rPr>
      </w:pPr>
      <w:r w:rsidRPr="004E5531">
        <w:rPr>
          <w:rFonts w:ascii="Times New Roman" w:eastAsia="Book Antiqua" w:hAnsi="Times New Roman"/>
          <w:bCs/>
          <w:color w:val="000000"/>
          <w:sz w:val="24"/>
          <w:szCs w:val="24"/>
        </w:rPr>
        <w:t xml:space="preserve"> </w:t>
      </w:r>
    </w:p>
    <w:p w14:paraId="6E5BEF9A" w14:textId="66B9B5DF" w:rsidR="00076C77" w:rsidRPr="007756D7" w:rsidRDefault="004B1F15" w:rsidP="008404C3">
      <w:pPr>
        <w:pStyle w:val="ListParagraph"/>
        <w:numPr>
          <w:ilvl w:val="0"/>
          <w:numId w:val="36"/>
        </w:numPr>
        <w:shd w:val="clear" w:color="auto" w:fill="D9D9D9" w:themeFill="background1" w:themeFillShade="D9"/>
        <w:spacing w:before="240" w:after="120"/>
        <w:ind w:left="567" w:right="142" w:hanging="425"/>
        <w:jc w:val="both"/>
        <w:rPr>
          <w:rFonts w:ascii="Times New Roman" w:hAnsi="Times New Roman"/>
          <w:b/>
          <w:sz w:val="24"/>
          <w:szCs w:val="24"/>
        </w:rPr>
      </w:pPr>
      <w:r w:rsidRPr="007756D7">
        <w:rPr>
          <w:rFonts w:ascii="Times New Roman" w:hAnsi="Times New Roman"/>
          <w:b/>
          <w:sz w:val="24"/>
          <w:szCs w:val="24"/>
        </w:rPr>
        <w:t>ПО ПРИОРИТЕТНА ОС 2</w:t>
      </w:r>
    </w:p>
    <w:p w14:paraId="48DD1CDF" w14:textId="34189FE2" w:rsidR="008D477D" w:rsidRPr="007756D7" w:rsidRDefault="0088217D" w:rsidP="008404C3">
      <w:pPr>
        <w:tabs>
          <w:tab w:val="left" w:pos="1134"/>
        </w:tabs>
        <w:spacing w:after="120"/>
        <w:ind w:firstLine="142"/>
        <w:contextualSpacing/>
        <w:jc w:val="both"/>
        <w:rPr>
          <w:b/>
          <w:sz w:val="20"/>
        </w:rPr>
      </w:pPr>
      <w:r w:rsidRPr="007756D7">
        <w:rPr>
          <w:b/>
          <w:sz w:val="20"/>
        </w:rPr>
        <w:t>Таблица 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134"/>
        <w:gridCol w:w="1998"/>
        <w:gridCol w:w="1843"/>
      </w:tblGrid>
      <w:tr w:rsidR="00BD2528" w:rsidRPr="007756D7" w14:paraId="21106785" w14:textId="77777777" w:rsidTr="008404C3">
        <w:trPr>
          <w:trHeight w:val="870"/>
          <w:tblHeader/>
          <w:jc w:val="center"/>
        </w:trPr>
        <w:tc>
          <w:tcPr>
            <w:tcW w:w="1376" w:type="dxa"/>
            <w:shd w:val="clear" w:color="auto" w:fill="A6A6A6" w:themeFill="background1" w:themeFillShade="A6"/>
            <w:hideMark/>
          </w:tcPr>
          <w:p w14:paraId="6A9DA485" w14:textId="6CBC4372" w:rsidR="00BD2528" w:rsidRPr="007756D7" w:rsidRDefault="00BD2528" w:rsidP="00D122DC">
            <w:pPr>
              <w:jc w:val="center"/>
              <w:rPr>
                <w:rFonts w:eastAsia="Times New Roman"/>
                <w:b/>
                <w:bCs/>
                <w:color w:val="000000"/>
                <w:sz w:val="20"/>
              </w:rPr>
            </w:pPr>
            <w:r w:rsidRPr="007756D7">
              <w:rPr>
                <w:rFonts w:eastAsia="Times New Roman"/>
                <w:b/>
                <w:bCs/>
                <w:color w:val="000000"/>
                <w:sz w:val="20"/>
              </w:rPr>
              <w:t>Сигнатура на индикатора</w:t>
            </w:r>
          </w:p>
        </w:tc>
        <w:tc>
          <w:tcPr>
            <w:tcW w:w="4134" w:type="dxa"/>
            <w:shd w:val="clear" w:color="auto" w:fill="A6A6A6" w:themeFill="background1" w:themeFillShade="A6"/>
            <w:hideMark/>
          </w:tcPr>
          <w:p w14:paraId="3CBD7183" w14:textId="77777777" w:rsidR="00BD2528" w:rsidRPr="007756D7" w:rsidRDefault="00BD2528" w:rsidP="00D122DC">
            <w:pPr>
              <w:jc w:val="center"/>
              <w:rPr>
                <w:rFonts w:eastAsia="Times New Roman"/>
                <w:b/>
                <w:bCs/>
                <w:color w:val="000000"/>
                <w:sz w:val="20"/>
              </w:rPr>
            </w:pPr>
            <w:r w:rsidRPr="007756D7">
              <w:rPr>
                <w:rFonts w:eastAsia="Times New Roman"/>
                <w:b/>
                <w:bCs/>
                <w:color w:val="000000"/>
                <w:sz w:val="20"/>
              </w:rPr>
              <w:t>Наименование на индикатора</w:t>
            </w:r>
          </w:p>
        </w:tc>
        <w:tc>
          <w:tcPr>
            <w:tcW w:w="1998" w:type="dxa"/>
            <w:shd w:val="clear" w:color="auto" w:fill="A6A6A6" w:themeFill="background1" w:themeFillShade="A6"/>
            <w:hideMark/>
          </w:tcPr>
          <w:p w14:paraId="4AB87758" w14:textId="302953E5" w:rsidR="00BD2528" w:rsidRPr="007756D7" w:rsidRDefault="00BD2528" w:rsidP="00D122DC">
            <w:pPr>
              <w:jc w:val="center"/>
              <w:rPr>
                <w:rFonts w:eastAsia="Times New Roman"/>
                <w:b/>
                <w:bCs/>
                <w:color w:val="000000"/>
                <w:sz w:val="20"/>
              </w:rPr>
            </w:pPr>
            <w:r w:rsidRPr="007756D7">
              <w:rPr>
                <w:rFonts w:eastAsia="Times New Roman"/>
                <w:b/>
                <w:bCs/>
                <w:color w:val="000000"/>
                <w:sz w:val="20"/>
              </w:rPr>
              <w:t>Целева стойност до 2023</w:t>
            </w:r>
            <w:r w:rsidRPr="007756D7">
              <w:rPr>
                <w:rStyle w:val="FootnoteReference"/>
                <w:rFonts w:eastAsia="Times New Roman"/>
                <w:b/>
                <w:bCs/>
                <w:color w:val="000000"/>
                <w:sz w:val="20"/>
              </w:rPr>
              <w:footnoteReference w:id="10"/>
            </w:r>
          </w:p>
        </w:tc>
        <w:tc>
          <w:tcPr>
            <w:tcW w:w="1843" w:type="dxa"/>
            <w:shd w:val="clear" w:color="auto" w:fill="A6A6A6" w:themeFill="background1" w:themeFillShade="A6"/>
            <w:hideMark/>
          </w:tcPr>
          <w:p w14:paraId="76CC922B" w14:textId="77777777" w:rsidR="00BD2528" w:rsidRPr="007756D7" w:rsidRDefault="00BD2528" w:rsidP="00D122DC">
            <w:pPr>
              <w:jc w:val="center"/>
              <w:rPr>
                <w:rFonts w:eastAsia="Times New Roman"/>
                <w:b/>
                <w:bCs/>
                <w:color w:val="000000"/>
                <w:sz w:val="20"/>
              </w:rPr>
            </w:pPr>
            <w:r w:rsidRPr="007756D7">
              <w:rPr>
                <w:rFonts w:eastAsia="Times New Roman"/>
                <w:b/>
                <w:bCs/>
                <w:color w:val="000000"/>
                <w:sz w:val="20"/>
              </w:rPr>
              <w:t>Предложение за изменение на целевата стойност до 2023</w:t>
            </w:r>
          </w:p>
        </w:tc>
      </w:tr>
      <w:tr w:rsidR="00BD2528" w:rsidRPr="007756D7" w14:paraId="5C91D093" w14:textId="77777777" w:rsidTr="008404C3">
        <w:trPr>
          <w:trHeight w:val="407"/>
          <w:jc w:val="center"/>
        </w:trPr>
        <w:tc>
          <w:tcPr>
            <w:tcW w:w="1376" w:type="dxa"/>
            <w:shd w:val="clear" w:color="auto" w:fill="auto"/>
          </w:tcPr>
          <w:p w14:paraId="54F84801" w14:textId="450F0133" w:rsidR="00BD2528" w:rsidRPr="007756D7" w:rsidRDefault="00BD2528" w:rsidP="00C26534">
            <w:pPr>
              <w:jc w:val="center"/>
              <w:rPr>
                <w:rFonts w:eastAsia="Times New Roman"/>
                <w:b/>
                <w:bCs/>
                <w:color w:val="000000"/>
                <w:sz w:val="18"/>
                <w:szCs w:val="18"/>
              </w:rPr>
            </w:pPr>
            <w:r w:rsidRPr="007756D7">
              <w:rPr>
                <w:b/>
                <w:sz w:val="18"/>
                <w:szCs w:val="18"/>
              </w:rPr>
              <w:t>O2-1</w:t>
            </w:r>
          </w:p>
        </w:tc>
        <w:tc>
          <w:tcPr>
            <w:tcW w:w="4134" w:type="dxa"/>
            <w:shd w:val="clear" w:color="auto" w:fill="auto"/>
          </w:tcPr>
          <w:p w14:paraId="53EF2F65" w14:textId="6BADCAE1" w:rsidR="00BD2528" w:rsidRPr="007756D7" w:rsidRDefault="00BD2528" w:rsidP="00C26534">
            <w:pPr>
              <w:jc w:val="both"/>
              <w:rPr>
                <w:rFonts w:eastAsia="Times New Roman"/>
                <w:color w:val="000000"/>
                <w:sz w:val="18"/>
                <w:szCs w:val="18"/>
              </w:rPr>
            </w:pPr>
            <w:r w:rsidRPr="007756D7">
              <w:rPr>
                <w:sz w:val="18"/>
                <w:szCs w:val="18"/>
              </w:rPr>
              <w:t>Администрации подкрепени за въвеждане на системи за управление на качеството</w:t>
            </w:r>
          </w:p>
        </w:tc>
        <w:tc>
          <w:tcPr>
            <w:tcW w:w="1998" w:type="dxa"/>
            <w:shd w:val="clear" w:color="auto" w:fill="auto"/>
          </w:tcPr>
          <w:p w14:paraId="19FA1826" w14:textId="5131EED3" w:rsidR="00BD2528" w:rsidRPr="007756D7" w:rsidRDefault="00BD2528" w:rsidP="00C26534">
            <w:pPr>
              <w:jc w:val="center"/>
              <w:rPr>
                <w:rFonts w:eastAsia="Times New Roman"/>
                <w:sz w:val="20"/>
              </w:rPr>
            </w:pPr>
            <w:r w:rsidRPr="007756D7">
              <w:rPr>
                <w:rFonts w:eastAsia="Times New Roman"/>
                <w:sz w:val="20"/>
              </w:rPr>
              <w:t>144</w:t>
            </w:r>
          </w:p>
        </w:tc>
        <w:tc>
          <w:tcPr>
            <w:tcW w:w="1843" w:type="dxa"/>
            <w:shd w:val="clear" w:color="auto" w:fill="auto"/>
          </w:tcPr>
          <w:p w14:paraId="20BBB815" w14:textId="47ADE7F3" w:rsidR="00BD2528" w:rsidRPr="00AC7CFB" w:rsidRDefault="00C41BE5">
            <w:pPr>
              <w:jc w:val="center"/>
              <w:rPr>
                <w:rFonts w:eastAsia="Times New Roman"/>
                <w:color w:val="000000"/>
                <w:sz w:val="20"/>
                <w:lang w:val="en-US"/>
              </w:rPr>
            </w:pPr>
            <w:r>
              <w:rPr>
                <w:rFonts w:eastAsia="Times New Roman"/>
                <w:color w:val="000000"/>
                <w:sz w:val="20"/>
                <w:lang w:val="en-US"/>
              </w:rPr>
              <w:t>93</w:t>
            </w:r>
          </w:p>
        </w:tc>
      </w:tr>
      <w:tr w:rsidR="00BD2528" w:rsidRPr="007756D7" w14:paraId="0068635B" w14:textId="77777777" w:rsidTr="008404C3">
        <w:trPr>
          <w:trHeight w:val="399"/>
          <w:jc w:val="center"/>
        </w:trPr>
        <w:tc>
          <w:tcPr>
            <w:tcW w:w="1376" w:type="dxa"/>
            <w:shd w:val="clear" w:color="auto" w:fill="auto"/>
          </w:tcPr>
          <w:p w14:paraId="426504BA" w14:textId="3BEA51DB" w:rsidR="00BD2528" w:rsidRPr="007756D7" w:rsidRDefault="00BD2528" w:rsidP="00C26534">
            <w:pPr>
              <w:jc w:val="center"/>
              <w:rPr>
                <w:rFonts w:eastAsia="Times New Roman"/>
                <w:b/>
                <w:bCs/>
                <w:color w:val="000000"/>
                <w:sz w:val="18"/>
                <w:szCs w:val="18"/>
              </w:rPr>
            </w:pPr>
            <w:r w:rsidRPr="007756D7">
              <w:rPr>
                <w:b/>
                <w:sz w:val="18"/>
                <w:szCs w:val="18"/>
              </w:rPr>
              <w:t>О2-2</w:t>
            </w:r>
          </w:p>
        </w:tc>
        <w:tc>
          <w:tcPr>
            <w:tcW w:w="4134" w:type="dxa"/>
            <w:shd w:val="clear" w:color="auto" w:fill="auto"/>
          </w:tcPr>
          <w:p w14:paraId="38732B2A" w14:textId="2752FF86" w:rsidR="00BD2528" w:rsidRPr="007756D7" w:rsidRDefault="00BD2528" w:rsidP="00C26534">
            <w:pPr>
              <w:jc w:val="both"/>
              <w:rPr>
                <w:rFonts w:eastAsia="Times New Roman"/>
                <w:color w:val="000000"/>
                <w:sz w:val="18"/>
                <w:szCs w:val="18"/>
              </w:rPr>
            </w:pPr>
            <w:r w:rsidRPr="007756D7">
              <w:rPr>
                <w:sz w:val="18"/>
                <w:szCs w:val="18"/>
              </w:rPr>
              <w:t>Брой извършени функционални прегледи по сектори/политики</w:t>
            </w:r>
          </w:p>
        </w:tc>
        <w:tc>
          <w:tcPr>
            <w:tcW w:w="1998" w:type="dxa"/>
            <w:shd w:val="clear" w:color="auto" w:fill="auto"/>
          </w:tcPr>
          <w:p w14:paraId="354BAAB2" w14:textId="2A9231CD" w:rsidR="00BD2528" w:rsidRPr="007756D7" w:rsidRDefault="00BD2528" w:rsidP="00C26534">
            <w:pPr>
              <w:jc w:val="center"/>
              <w:rPr>
                <w:rFonts w:eastAsia="Times New Roman"/>
                <w:sz w:val="20"/>
              </w:rPr>
            </w:pPr>
            <w:r w:rsidRPr="007756D7">
              <w:rPr>
                <w:rFonts w:eastAsia="Times New Roman"/>
                <w:sz w:val="20"/>
              </w:rPr>
              <w:t>10</w:t>
            </w:r>
          </w:p>
        </w:tc>
        <w:tc>
          <w:tcPr>
            <w:tcW w:w="1843" w:type="dxa"/>
            <w:shd w:val="clear" w:color="auto" w:fill="auto"/>
          </w:tcPr>
          <w:p w14:paraId="6280C091" w14:textId="5476B69F" w:rsidR="00BD2528" w:rsidRPr="007756D7" w:rsidRDefault="008C643A" w:rsidP="00C26534">
            <w:pPr>
              <w:jc w:val="center"/>
              <w:rPr>
                <w:rFonts w:eastAsia="Times New Roman"/>
                <w:color w:val="000000"/>
                <w:sz w:val="20"/>
              </w:rPr>
            </w:pPr>
            <w:r>
              <w:rPr>
                <w:rFonts w:eastAsia="Times New Roman"/>
                <w:color w:val="000000"/>
                <w:sz w:val="20"/>
              </w:rPr>
              <w:t>6</w:t>
            </w:r>
          </w:p>
        </w:tc>
      </w:tr>
      <w:tr w:rsidR="00BD2528" w:rsidRPr="007756D7" w14:paraId="097499F8" w14:textId="77777777" w:rsidTr="008404C3">
        <w:trPr>
          <w:trHeight w:val="547"/>
          <w:jc w:val="center"/>
        </w:trPr>
        <w:tc>
          <w:tcPr>
            <w:tcW w:w="1376" w:type="dxa"/>
            <w:shd w:val="clear" w:color="auto" w:fill="auto"/>
          </w:tcPr>
          <w:p w14:paraId="0E3FEF8D" w14:textId="36217DAA" w:rsidR="00BD2528" w:rsidRPr="007756D7" w:rsidRDefault="00BD2528" w:rsidP="00C26534">
            <w:pPr>
              <w:jc w:val="center"/>
              <w:rPr>
                <w:rFonts w:eastAsia="Times New Roman"/>
                <w:b/>
                <w:bCs/>
                <w:color w:val="000000"/>
                <w:sz w:val="18"/>
                <w:szCs w:val="18"/>
              </w:rPr>
            </w:pPr>
            <w:r w:rsidRPr="007756D7">
              <w:rPr>
                <w:b/>
                <w:sz w:val="18"/>
                <w:szCs w:val="18"/>
              </w:rPr>
              <w:t>О2-3</w:t>
            </w:r>
          </w:p>
        </w:tc>
        <w:tc>
          <w:tcPr>
            <w:tcW w:w="4134" w:type="dxa"/>
            <w:shd w:val="clear" w:color="auto" w:fill="auto"/>
          </w:tcPr>
          <w:p w14:paraId="45D59E8F" w14:textId="3DDEAF43" w:rsidR="00BD2528" w:rsidRPr="007756D7" w:rsidRDefault="00BD2528" w:rsidP="00C26534">
            <w:pPr>
              <w:jc w:val="both"/>
              <w:rPr>
                <w:rFonts w:eastAsia="Times New Roman"/>
                <w:color w:val="000000"/>
                <w:sz w:val="18"/>
                <w:szCs w:val="18"/>
              </w:rPr>
            </w:pPr>
            <w:r w:rsidRPr="007756D7">
              <w:rPr>
                <w:sz w:val="18"/>
                <w:szCs w:val="18"/>
              </w:rPr>
              <w:t>Партньорски проекти за разработване и/ или реализация на ключови политики и законодателство</w:t>
            </w:r>
          </w:p>
        </w:tc>
        <w:tc>
          <w:tcPr>
            <w:tcW w:w="1998" w:type="dxa"/>
            <w:shd w:val="clear" w:color="auto" w:fill="auto"/>
          </w:tcPr>
          <w:p w14:paraId="2F309F7A" w14:textId="2DE17908" w:rsidR="00BD2528" w:rsidRPr="007756D7" w:rsidRDefault="00BD2528" w:rsidP="00C26534">
            <w:pPr>
              <w:jc w:val="center"/>
              <w:rPr>
                <w:rFonts w:eastAsia="Times New Roman"/>
                <w:sz w:val="20"/>
              </w:rPr>
            </w:pPr>
            <w:r w:rsidRPr="007756D7">
              <w:rPr>
                <w:rFonts w:eastAsia="Times New Roman"/>
                <w:sz w:val="20"/>
              </w:rPr>
              <w:t>34</w:t>
            </w:r>
          </w:p>
        </w:tc>
        <w:tc>
          <w:tcPr>
            <w:tcW w:w="1843" w:type="dxa"/>
            <w:shd w:val="clear" w:color="auto" w:fill="auto"/>
          </w:tcPr>
          <w:p w14:paraId="2888215C" w14:textId="14680EDC" w:rsidR="00BD2528" w:rsidRPr="007756D7" w:rsidRDefault="005005CF" w:rsidP="00C26534">
            <w:pPr>
              <w:jc w:val="center"/>
              <w:rPr>
                <w:rFonts w:eastAsia="Times New Roman"/>
                <w:color w:val="000000"/>
                <w:sz w:val="20"/>
              </w:rPr>
            </w:pPr>
            <w:r>
              <w:rPr>
                <w:rFonts w:eastAsia="Times New Roman"/>
                <w:color w:val="000000"/>
                <w:sz w:val="20"/>
              </w:rPr>
              <w:t>0</w:t>
            </w:r>
          </w:p>
        </w:tc>
      </w:tr>
      <w:tr w:rsidR="00BD2528" w:rsidRPr="007756D7" w14:paraId="77B2E4CA" w14:textId="77777777" w:rsidTr="008404C3">
        <w:trPr>
          <w:trHeight w:val="485"/>
          <w:jc w:val="center"/>
        </w:trPr>
        <w:tc>
          <w:tcPr>
            <w:tcW w:w="1376" w:type="dxa"/>
            <w:shd w:val="clear" w:color="auto" w:fill="auto"/>
          </w:tcPr>
          <w:p w14:paraId="73D5F37E" w14:textId="22F66247" w:rsidR="00BD2528" w:rsidRPr="007756D7" w:rsidRDefault="00BD2528" w:rsidP="00C26534">
            <w:pPr>
              <w:jc w:val="center"/>
              <w:rPr>
                <w:rFonts w:eastAsia="Times New Roman"/>
                <w:b/>
                <w:bCs/>
                <w:color w:val="000000"/>
                <w:sz w:val="18"/>
                <w:szCs w:val="18"/>
              </w:rPr>
            </w:pPr>
            <w:r w:rsidRPr="007756D7">
              <w:rPr>
                <w:b/>
                <w:sz w:val="18"/>
                <w:szCs w:val="18"/>
              </w:rPr>
              <w:lastRenderedPageBreak/>
              <w:t>O2-4</w:t>
            </w:r>
          </w:p>
        </w:tc>
        <w:tc>
          <w:tcPr>
            <w:tcW w:w="4134" w:type="dxa"/>
            <w:shd w:val="clear" w:color="auto" w:fill="auto"/>
          </w:tcPr>
          <w:p w14:paraId="71EB0E26" w14:textId="6124F577" w:rsidR="00BD2528" w:rsidRPr="007756D7" w:rsidRDefault="00BD2528" w:rsidP="00C26534">
            <w:pPr>
              <w:jc w:val="both"/>
              <w:rPr>
                <w:rFonts w:eastAsia="Times New Roman"/>
                <w:color w:val="000000"/>
                <w:sz w:val="18"/>
                <w:szCs w:val="18"/>
              </w:rPr>
            </w:pPr>
            <w:r w:rsidRPr="007756D7">
              <w:rPr>
                <w:sz w:val="18"/>
                <w:szCs w:val="18"/>
              </w:rPr>
              <w:t xml:space="preserve">Брой администрации, подкрепени за въвеждане на наставнически, менторски и </w:t>
            </w:r>
            <w:proofErr w:type="spellStart"/>
            <w:r w:rsidRPr="007756D7">
              <w:rPr>
                <w:sz w:val="18"/>
                <w:szCs w:val="18"/>
              </w:rPr>
              <w:t>коучинг</w:t>
            </w:r>
            <w:proofErr w:type="spellEnd"/>
            <w:r w:rsidRPr="007756D7">
              <w:rPr>
                <w:sz w:val="18"/>
                <w:szCs w:val="18"/>
              </w:rPr>
              <w:t xml:space="preserve"> програми</w:t>
            </w:r>
          </w:p>
        </w:tc>
        <w:tc>
          <w:tcPr>
            <w:tcW w:w="1998" w:type="dxa"/>
            <w:shd w:val="clear" w:color="auto" w:fill="auto"/>
          </w:tcPr>
          <w:p w14:paraId="618ABEDD" w14:textId="1EBEA0A2" w:rsidR="00BD2528" w:rsidRPr="007756D7" w:rsidRDefault="00BD2528" w:rsidP="00C26534">
            <w:pPr>
              <w:jc w:val="center"/>
              <w:rPr>
                <w:rFonts w:eastAsia="Times New Roman"/>
                <w:sz w:val="20"/>
              </w:rPr>
            </w:pPr>
            <w:r w:rsidRPr="007756D7">
              <w:rPr>
                <w:rFonts w:eastAsia="Times New Roman"/>
                <w:sz w:val="20"/>
              </w:rPr>
              <w:t>50</w:t>
            </w:r>
          </w:p>
        </w:tc>
        <w:tc>
          <w:tcPr>
            <w:tcW w:w="1843" w:type="dxa"/>
            <w:shd w:val="clear" w:color="auto" w:fill="auto"/>
          </w:tcPr>
          <w:p w14:paraId="176779A8" w14:textId="475E634E" w:rsidR="00BD2528" w:rsidRPr="007756D7" w:rsidRDefault="005005CF" w:rsidP="00156381">
            <w:pPr>
              <w:jc w:val="center"/>
              <w:rPr>
                <w:rFonts w:eastAsia="Times New Roman"/>
                <w:color w:val="000000"/>
                <w:sz w:val="20"/>
              </w:rPr>
            </w:pPr>
            <w:r>
              <w:rPr>
                <w:rFonts w:eastAsia="Times New Roman"/>
                <w:color w:val="000000"/>
                <w:sz w:val="20"/>
              </w:rPr>
              <w:t>0</w:t>
            </w:r>
          </w:p>
        </w:tc>
      </w:tr>
      <w:tr w:rsidR="00BD2528" w:rsidRPr="007756D7" w14:paraId="775D7AB9" w14:textId="77777777" w:rsidTr="008404C3">
        <w:trPr>
          <w:trHeight w:val="423"/>
          <w:jc w:val="center"/>
        </w:trPr>
        <w:tc>
          <w:tcPr>
            <w:tcW w:w="1376" w:type="dxa"/>
            <w:shd w:val="clear" w:color="auto" w:fill="auto"/>
          </w:tcPr>
          <w:p w14:paraId="0E27E7B7" w14:textId="0E4F60A0" w:rsidR="00BD2528" w:rsidRPr="00BD2528" w:rsidRDefault="00BD2528" w:rsidP="00C26534">
            <w:pPr>
              <w:jc w:val="center"/>
              <w:rPr>
                <w:rFonts w:eastAsia="Times New Roman"/>
                <w:b/>
                <w:bCs/>
                <w:color w:val="000000"/>
                <w:sz w:val="18"/>
                <w:szCs w:val="18"/>
              </w:rPr>
            </w:pPr>
            <w:r w:rsidRPr="00BD2528">
              <w:rPr>
                <w:b/>
                <w:sz w:val="18"/>
                <w:szCs w:val="18"/>
              </w:rPr>
              <w:t>О2-5</w:t>
            </w:r>
          </w:p>
        </w:tc>
        <w:tc>
          <w:tcPr>
            <w:tcW w:w="4134" w:type="dxa"/>
            <w:shd w:val="clear" w:color="auto" w:fill="auto"/>
          </w:tcPr>
          <w:p w14:paraId="2BF112AD" w14:textId="163A8476" w:rsidR="00BD2528" w:rsidRPr="00BD2528" w:rsidRDefault="00BD2528" w:rsidP="00C26534">
            <w:pPr>
              <w:jc w:val="both"/>
              <w:rPr>
                <w:rFonts w:eastAsia="Times New Roman"/>
                <w:color w:val="000000"/>
                <w:sz w:val="18"/>
                <w:szCs w:val="18"/>
              </w:rPr>
            </w:pPr>
            <w:r w:rsidRPr="00BD2528">
              <w:rPr>
                <w:sz w:val="18"/>
                <w:szCs w:val="18"/>
              </w:rPr>
              <w:t xml:space="preserve">Брой подкрепени нови/осъвременени обучителни модули за администрацията </w:t>
            </w:r>
          </w:p>
        </w:tc>
        <w:tc>
          <w:tcPr>
            <w:tcW w:w="1998" w:type="dxa"/>
            <w:shd w:val="clear" w:color="auto" w:fill="auto"/>
          </w:tcPr>
          <w:p w14:paraId="5A663D5B" w14:textId="6D0F82A7" w:rsidR="00BD2528" w:rsidRPr="00BD2528" w:rsidRDefault="00BD2528" w:rsidP="00C26534">
            <w:pPr>
              <w:jc w:val="center"/>
              <w:rPr>
                <w:rFonts w:eastAsia="Times New Roman"/>
                <w:sz w:val="20"/>
              </w:rPr>
            </w:pPr>
            <w:r w:rsidRPr="00BD2528">
              <w:rPr>
                <w:rFonts w:eastAsia="Times New Roman"/>
                <w:sz w:val="20"/>
              </w:rPr>
              <w:t>100</w:t>
            </w:r>
          </w:p>
        </w:tc>
        <w:tc>
          <w:tcPr>
            <w:tcW w:w="1843" w:type="dxa"/>
            <w:shd w:val="clear" w:color="auto" w:fill="auto"/>
          </w:tcPr>
          <w:p w14:paraId="5A151F45" w14:textId="45F62AA5" w:rsidR="00BD2528" w:rsidRPr="007756D7" w:rsidRDefault="00BD2528" w:rsidP="00C26534">
            <w:pPr>
              <w:jc w:val="center"/>
              <w:rPr>
                <w:rFonts w:eastAsia="Times New Roman"/>
                <w:color w:val="000000"/>
                <w:sz w:val="20"/>
              </w:rPr>
            </w:pPr>
            <w:r w:rsidRPr="00585F0F">
              <w:rPr>
                <w:rFonts w:eastAsia="Times New Roman"/>
                <w:color w:val="000000"/>
                <w:sz w:val="20"/>
              </w:rPr>
              <w:t>НП</w:t>
            </w:r>
          </w:p>
        </w:tc>
      </w:tr>
      <w:tr w:rsidR="00BD2528" w:rsidRPr="007756D7" w14:paraId="669FB80E" w14:textId="77777777" w:rsidTr="008404C3">
        <w:trPr>
          <w:trHeight w:val="259"/>
          <w:jc w:val="center"/>
        </w:trPr>
        <w:tc>
          <w:tcPr>
            <w:tcW w:w="1376" w:type="dxa"/>
            <w:shd w:val="clear" w:color="auto" w:fill="auto"/>
          </w:tcPr>
          <w:p w14:paraId="61CE8836" w14:textId="5DF86E65" w:rsidR="00BD2528" w:rsidRPr="007756D7" w:rsidRDefault="00BD2528" w:rsidP="00C26534">
            <w:pPr>
              <w:jc w:val="center"/>
              <w:rPr>
                <w:rFonts w:eastAsia="Times New Roman"/>
                <w:b/>
                <w:bCs/>
                <w:color w:val="000000"/>
                <w:sz w:val="18"/>
                <w:szCs w:val="18"/>
              </w:rPr>
            </w:pPr>
            <w:r w:rsidRPr="007756D7">
              <w:rPr>
                <w:b/>
                <w:sz w:val="18"/>
                <w:szCs w:val="18"/>
              </w:rPr>
              <w:t>О2-6</w:t>
            </w:r>
          </w:p>
        </w:tc>
        <w:tc>
          <w:tcPr>
            <w:tcW w:w="4134" w:type="dxa"/>
            <w:shd w:val="clear" w:color="auto" w:fill="auto"/>
          </w:tcPr>
          <w:p w14:paraId="4B4C642C" w14:textId="1EAFF621" w:rsidR="00BD2528" w:rsidRPr="007756D7" w:rsidRDefault="00BD2528" w:rsidP="00C26534">
            <w:pPr>
              <w:jc w:val="both"/>
              <w:rPr>
                <w:rFonts w:eastAsia="Times New Roman"/>
                <w:color w:val="000000"/>
                <w:sz w:val="18"/>
                <w:szCs w:val="18"/>
              </w:rPr>
            </w:pPr>
            <w:r w:rsidRPr="007756D7">
              <w:rPr>
                <w:sz w:val="18"/>
                <w:szCs w:val="18"/>
              </w:rPr>
              <w:t>Обучени служители от администрацията</w:t>
            </w:r>
          </w:p>
        </w:tc>
        <w:tc>
          <w:tcPr>
            <w:tcW w:w="1998" w:type="dxa"/>
            <w:shd w:val="clear" w:color="auto" w:fill="auto"/>
          </w:tcPr>
          <w:p w14:paraId="4CABBCAF" w14:textId="263DE5E0" w:rsidR="00BD2528" w:rsidRPr="007756D7" w:rsidRDefault="00BD2528" w:rsidP="00C26534">
            <w:pPr>
              <w:jc w:val="center"/>
              <w:rPr>
                <w:rFonts w:eastAsia="Times New Roman"/>
                <w:sz w:val="20"/>
              </w:rPr>
            </w:pPr>
            <w:r w:rsidRPr="007756D7">
              <w:rPr>
                <w:rFonts w:eastAsia="Times New Roman"/>
                <w:sz w:val="20"/>
              </w:rPr>
              <w:t>175 000</w:t>
            </w:r>
          </w:p>
        </w:tc>
        <w:tc>
          <w:tcPr>
            <w:tcW w:w="1843" w:type="dxa"/>
            <w:shd w:val="clear" w:color="auto" w:fill="auto"/>
          </w:tcPr>
          <w:p w14:paraId="039E2FE3" w14:textId="6948E00E" w:rsidR="00BD2528" w:rsidRPr="007756D7" w:rsidRDefault="00BD2528">
            <w:pPr>
              <w:jc w:val="center"/>
              <w:rPr>
                <w:rFonts w:eastAsia="Times New Roman"/>
                <w:color w:val="000000"/>
                <w:sz w:val="20"/>
              </w:rPr>
            </w:pPr>
            <w:r w:rsidRPr="007756D7">
              <w:rPr>
                <w:rFonts w:eastAsia="Times New Roman"/>
                <w:color w:val="000000"/>
                <w:sz w:val="20"/>
              </w:rPr>
              <w:t>10</w:t>
            </w:r>
            <w:r w:rsidR="00335319">
              <w:rPr>
                <w:rFonts w:eastAsia="Times New Roman"/>
                <w:color w:val="000000"/>
                <w:sz w:val="20"/>
              </w:rPr>
              <w:t>5</w:t>
            </w:r>
            <w:r w:rsidRPr="007756D7">
              <w:rPr>
                <w:rFonts w:eastAsia="Times New Roman"/>
                <w:color w:val="000000"/>
                <w:sz w:val="20"/>
              </w:rPr>
              <w:t xml:space="preserve"> 000</w:t>
            </w:r>
          </w:p>
        </w:tc>
      </w:tr>
      <w:tr w:rsidR="00BD2528" w:rsidRPr="007756D7" w14:paraId="1E88B6CB" w14:textId="77777777" w:rsidTr="008404C3">
        <w:trPr>
          <w:trHeight w:val="574"/>
          <w:jc w:val="center"/>
        </w:trPr>
        <w:tc>
          <w:tcPr>
            <w:tcW w:w="1376" w:type="dxa"/>
            <w:shd w:val="clear" w:color="auto" w:fill="auto"/>
          </w:tcPr>
          <w:p w14:paraId="44C56D94" w14:textId="5F8216DE" w:rsidR="00BD2528" w:rsidRPr="007756D7" w:rsidRDefault="00BD2528" w:rsidP="00C26534">
            <w:pPr>
              <w:jc w:val="center"/>
              <w:rPr>
                <w:rFonts w:eastAsia="Times New Roman"/>
                <w:b/>
                <w:bCs/>
                <w:color w:val="000000"/>
                <w:sz w:val="18"/>
                <w:szCs w:val="18"/>
              </w:rPr>
            </w:pPr>
            <w:r w:rsidRPr="007756D7">
              <w:rPr>
                <w:b/>
                <w:sz w:val="18"/>
                <w:szCs w:val="18"/>
              </w:rPr>
              <w:t>R2-1</w:t>
            </w:r>
          </w:p>
        </w:tc>
        <w:tc>
          <w:tcPr>
            <w:tcW w:w="4134" w:type="dxa"/>
            <w:shd w:val="clear" w:color="auto" w:fill="auto"/>
          </w:tcPr>
          <w:p w14:paraId="6509B129" w14:textId="1CB43C69" w:rsidR="00BD2528" w:rsidRPr="007756D7" w:rsidRDefault="00BD2528" w:rsidP="00C26534">
            <w:pPr>
              <w:jc w:val="both"/>
              <w:rPr>
                <w:rFonts w:eastAsia="Times New Roman"/>
                <w:color w:val="000000"/>
                <w:sz w:val="18"/>
                <w:szCs w:val="18"/>
              </w:rPr>
            </w:pPr>
            <w:r w:rsidRPr="007756D7">
              <w:rPr>
                <w:sz w:val="18"/>
                <w:szCs w:val="18"/>
              </w:rPr>
              <w:t>Брой подкрепени администрации, прилагащи механизми за организационно развитие и управление ориентирано към резултатите</w:t>
            </w:r>
          </w:p>
        </w:tc>
        <w:tc>
          <w:tcPr>
            <w:tcW w:w="1998" w:type="dxa"/>
            <w:shd w:val="clear" w:color="auto" w:fill="auto"/>
          </w:tcPr>
          <w:p w14:paraId="3FDE6F66" w14:textId="3AEB89B1" w:rsidR="00BD2528" w:rsidRPr="007756D7" w:rsidRDefault="00BD2528" w:rsidP="00C26534">
            <w:pPr>
              <w:jc w:val="center"/>
              <w:rPr>
                <w:rFonts w:eastAsia="Times New Roman"/>
                <w:sz w:val="20"/>
              </w:rPr>
            </w:pPr>
            <w:r w:rsidRPr="007756D7">
              <w:rPr>
                <w:rFonts w:eastAsia="Times New Roman"/>
                <w:sz w:val="20"/>
              </w:rPr>
              <w:t>194</w:t>
            </w:r>
          </w:p>
        </w:tc>
        <w:tc>
          <w:tcPr>
            <w:tcW w:w="1843" w:type="dxa"/>
            <w:shd w:val="clear" w:color="auto" w:fill="auto"/>
          </w:tcPr>
          <w:p w14:paraId="5178B370" w14:textId="2BC86150" w:rsidR="00BD2528" w:rsidRPr="007756D7" w:rsidRDefault="00BD2528" w:rsidP="00C26534">
            <w:pPr>
              <w:jc w:val="center"/>
              <w:rPr>
                <w:rFonts w:eastAsia="Times New Roman"/>
                <w:color w:val="000000"/>
                <w:sz w:val="20"/>
              </w:rPr>
            </w:pPr>
            <w:r w:rsidRPr="007756D7">
              <w:rPr>
                <w:rFonts w:eastAsia="Times New Roman"/>
                <w:color w:val="000000"/>
                <w:sz w:val="20"/>
              </w:rPr>
              <w:t>1</w:t>
            </w:r>
            <w:r w:rsidR="00174636">
              <w:rPr>
                <w:rFonts w:eastAsia="Times New Roman"/>
                <w:color w:val="000000"/>
                <w:sz w:val="20"/>
                <w:lang w:val="en-US"/>
              </w:rPr>
              <w:t>75</w:t>
            </w:r>
          </w:p>
        </w:tc>
      </w:tr>
      <w:tr w:rsidR="00BD2528" w:rsidRPr="007756D7" w14:paraId="1AC8B0DC" w14:textId="77777777" w:rsidTr="008404C3">
        <w:trPr>
          <w:trHeight w:val="498"/>
          <w:jc w:val="center"/>
        </w:trPr>
        <w:tc>
          <w:tcPr>
            <w:tcW w:w="1376" w:type="dxa"/>
            <w:shd w:val="clear" w:color="auto" w:fill="auto"/>
          </w:tcPr>
          <w:p w14:paraId="4924A629" w14:textId="62CF3345" w:rsidR="00BD2528" w:rsidRPr="007756D7" w:rsidRDefault="00BD2528" w:rsidP="00C26534">
            <w:pPr>
              <w:jc w:val="center"/>
              <w:rPr>
                <w:rFonts w:eastAsia="Times New Roman"/>
                <w:b/>
                <w:bCs/>
                <w:color w:val="000000"/>
                <w:sz w:val="18"/>
                <w:szCs w:val="18"/>
              </w:rPr>
            </w:pPr>
            <w:r w:rsidRPr="007756D7">
              <w:rPr>
                <w:b/>
                <w:sz w:val="18"/>
                <w:szCs w:val="18"/>
              </w:rPr>
              <w:t>R2-2</w:t>
            </w:r>
          </w:p>
        </w:tc>
        <w:tc>
          <w:tcPr>
            <w:tcW w:w="4134" w:type="dxa"/>
            <w:shd w:val="clear" w:color="auto" w:fill="auto"/>
          </w:tcPr>
          <w:p w14:paraId="1E07525B" w14:textId="41EED760" w:rsidR="00BD2528" w:rsidRPr="007756D7" w:rsidRDefault="00BD2528" w:rsidP="00C26534">
            <w:pPr>
              <w:jc w:val="both"/>
              <w:rPr>
                <w:rFonts w:eastAsia="Times New Roman"/>
                <w:color w:val="000000"/>
                <w:sz w:val="18"/>
                <w:szCs w:val="18"/>
              </w:rPr>
            </w:pPr>
            <w:r w:rsidRPr="007756D7">
              <w:rPr>
                <w:sz w:val="18"/>
                <w:szCs w:val="18"/>
              </w:rPr>
              <w:t xml:space="preserve">Служители от администрацията, успешно преминали обучения с получаване на сертификат </w:t>
            </w:r>
          </w:p>
        </w:tc>
        <w:tc>
          <w:tcPr>
            <w:tcW w:w="1998" w:type="dxa"/>
            <w:shd w:val="clear" w:color="auto" w:fill="auto"/>
          </w:tcPr>
          <w:p w14:paraId="19EF3046" w14:textId="00F22E9A" w:rsidR="00BD2528" w:rsidRPr="007756D7" w:rsidRDefault="00BD2528" w:rsidP="00C26534">
            <w:pPr>
              <w:jc w:val="center"/>
              <w:rPr>
                <w:rFonts w:eastAsia="Times New Roman"/>
                <w:sz w:val="20"/>
              </w:rPr>
            </w:pPr>
            <w:r w:rsidRPr="007756D7">
              <w:rPr>
                <w:rFonts w:eastAsia="Times New Roman"/>
                <w:sz w:val="20"/>
              </w:rPr>
              <w:t>85 %</w:t>
            </w:r>
          </w:p>
        </w:tc>
        <w:tc>
          <w:tcPr>
            <w:tcW w:w="1843" w:type="dxa"/>
            <w:shd w:val="clear" w:color="auto" w:fill="auto"/>
          </w:tcPr>
          <w:p w14:paraId="26941A7B" w14:textId="1F0E6C39" w:rsidR="00BD2528" w:rsidRPr="007756D7" w:rsidRDefault="00BD2528" w:rsidP="00C26534">
            <w:pPr>
              <w:jc w:val="center"/>
              <w:rPr>
                <w:rFonts w:eastAsia="Times New Roman"/>
                <w:color w:val="000000"/>
                <w:sz w:val="20"/>
              </w:rPr>
            </w:pPr>
            <w:r w:rsidRPr="007756D7">
              <w:rPr>
                <w:rFonts w:eastAsia="Times New Roman"/>
                <w:color w:val="000000"/>
                <w:sz w:val="20"/>
              </w:rPr>
              <w:t>НП</w:t>
            </w:r>
          </w:p>
        </w:tc>
      </w:tr>
      <w:tr w:rsidR="00BD2528" w:rsidRPr="007756D7" w14:paraId="3C4E95A2" w14:textId="77777777" w:rsidTr="008404C3">
        <w:trPr>
          <w:trHeight w:val="425"/>
          <w:jc w:val="center"/>
        </w:trPr>
        <w:tc>
          <w:tcPr>
            <w:tcW w:w="1376" w:type="dxa"/>
            <w:shd w:val="clear" w:color="auto" w:fill="auto"/>
          </w:tcPr>
          <w:p w14:paraId="02C6116F" w14:textId="02C95AA4" w:rsidR="00BD2528" w:rsidRPr="007756D7" w:rsidRDefault="00BD2528" w:rsidP="00C26534">
            <w:pPr>
              <w:jc w:val="center"/>
              <w:rPr>
                <w:rFonts w:eastAsia="Times New Roman"/>
                <w:b/>
                <w:bCs/>
                <w:color w:val="000000"/>
                <w:sz w:val="18"/>
                <w:szCs w:val="18"/>
              </w:rPr>
            </w:pPr>
            <w:r w:rsidRPr="007756D7">
              <w:rPr>
                <w:b/>
                <w:sz w:val="18"/>
                <w:szCs w:val="18"/>
              </w:rPr>
              <w:t>R2-3</w:t>
            </w:r>
          </w:p>
        </w:tc>
        <w:tc>
          <w:tcPr>
            <w:tcW w:w="4134" w:type="dxa"/>
            <w:shd w:val="clear" w:color="auto" w:fill="auto"/>
          </w:tcPr>
          <w:p w14:paraId="03977D2F" w14:textId="01A6F41D" w:rsidR="00BD2528" w:rsidRPr="007756D7" w:rsidRDefault="00BD2528" w:rsidP="00C26534">
            <w:pPr>
              <w:jc w:val="both"/>
              <w:rPr>
                <w:rFonts w:eastAsia="Times New Roman"/>
                <w:color w:val="000000"/>
                <w:sz w:val="18"/>
                <w:szCs w:val="18"/>
              </w:rPr>
            </w:pPr>
            <w:r w:rsidRPr="007756D7">
              <w:rPr>
                <w:sz w:val="18"/>
                <w:szCs w:val="18"/>
              </w:rPr>
              <w:t>Брой подкрепени администрации въвели механизми за управление на кариерата</w:t>
            </w:r>
          </w:p>
        </w:tc>
        <w:tc>
          <w:tcPr>
            <w:tcW w:w="1998" w:type="dxa"/>
            <w:shd w:val="clear" w:color="auto" w:fill="auto"/>
          </w:tcPr>
          <w:p w14:paraId="65AA2DD8" w14:textId="514B6FE3" w:rsidR="00BD2528" w:rsidRPr="007756D7" w:rsidRDefault="00BD2528" w:rsidP="00C26534">
            <w:pPr>
              <w:jc w:val="center"/>
              <w:rPr>
                <w:rFonts w:eastAsia="Times New Roman"/>
                <w:sz w:val="20"/>
              </w:rPr>
            </w:pPr>
            <w:r w:rsidRPr="007756D7">
              <w:rPr>
                <w:rFonts w:eastAsia="Times New Roman"/>
                <w:sz w:val="20"/>
              </w:rPr>
              <w:t>50</w:t>
            </w:r>
          </w:p>
        </w:tc>
        <w:tc>
          <w:tcPr>
            <w:tcW w:w="1843" w:type="dxa"/>
            <w:shd w:val="clear" w:color="auto" w:fill="auto"/>
          </w:tcPr>
          <w:p w14:paraId="3D608EAF" w14:textId="4FF90CF6" w:rsidR="00BD2528" w:rsidRPr="007756D7" w:rsidRDefault="005005CF" w:rsidP="00156381">
            <w:pPr>
              <w:jc w:val="center"/>
              <w:rPr>
                <w:rFonts w:eastAsia="Times New Roman"/>
                <w:color w:val="000000"/>
                <w:sz w:val="20"/>
              </w:rPr>
            </w:pPr>
            <w:r>
              <w:rPr>
                <w:rFonts w:eastAsia="Times New Roman"/>
                <w:color w:val="000000"/>
                <w:sz w:val="20"/>
              </w:rPr>
              <w:t>0</w:t>
            </w:r>
          </w:p>
        </w:tc>
      </w:tr>
      <w:tr w:rsidR="00BD2528" w:rsidRPr="007756D7" w14:paraId="77E3CBEF" w14:textId="77777777" w:rsidTr="008404C3">
        <w:trPr>
          <w:trHeight w:val="532"/>
          <w:jc w:val="center"/>
        </w:trPr>
        <w:tc>
          <w:tcPr>
            <w:tcW w:w="1376" w:type="dxa"/>
            <w:shd w:val="clear" w:color="auto" w:fill="auto"/>
          </w:tcPr>
          <w:p w14:paraId="0F2F192B" w14:textId="7CEFA84B" w:rsidR="00BD2528" w:rsidRPr="00BD2528" w:rsidRDefault="00BD2528" w:rsidP="00C26534">
            <w:pPr>
              <w:jc w:val="center"/>
              <w:rPr>
                <w:rFonts w:eastAsia="Times New Roman"/>
                <w:b/>
                <w:bCs/>
                <w:color w:val="000000"/>
                <w:sz w:val="18"/>
                <w:szCs w:val="18"/>
              </w:rPr>
            </w:pPr>
            <w:r w:rsidRPr="00BD2528">
              <w:rPr>
                <w:b/>
                <w:sz w:val="18"/>
                <w:szCs w:val="18"/>
              </w:rPr>
              <w:t>R2-4</w:t>
            </w:r>
          </w:p>
        </w:tc>
        <w:tc>
          <w:tcPr>
            <w:tcW w:w="4134" w:type="dxa"/>
            <w:shd w:val="clear" w:color="auto" w:fill="auto"/>
          </w:tcPr>
          <w:p w14:paraId="1CE53561" w14:textId="11183915" w:rsidR="00BD2528" w:rsidRPr="00BD2528" w:rsidRDefault="00BD2528" w:rsidP="00C26534">
            <w:pPr>
              <w:jc w:val="both"/>
              <w:rPr>
                <w:rFonts w:eastAsia="Times New Roman"/>
                <w:color w:val="000000"/>
                <w:sz w:val="18"/>
                <w:szCs w:val="18"/>
              </w:rPr>
            </w:pPr>
            <w:r w:rsidRPr="00BD2528">
              <w:rPr>
                <w:sz w:val="18"/>
                <w:szCs w:val="18"/>
              </w:rPr>
              <w:t>Отправени препоръки от НПО и мрежи от НПО към процеса на формиране, осъществяване и мониторинг на политики</w:t>
            </w:r>
          </w:p>
        </w:tc>
        <w:tc>
          <w:tcPr>
            <w:tcW w:w="1998" w:type="dxa"/>
            <w:shd w:val="clear" w:color="auto" w:fill="auto"/>
          </w:tcPr>
          <w:p w14:paraId="203D8AE7" w14:textId="0E8EE47E" w:rsidR="00BD2528" w:rsidRPr="00BD2528" w:rsidRDefault="00BD2528" w:rsidP="00C26534">
            <w:pPr>
              <w:jc w:val="center"/>
              <w:rPr>
                <w:rFonts w:eastAsia="Times New Roman"/>
                <w:sz w:val="20"/>
              </w:rPr>
            </w:pPr>
            <w:r w:rsidRPr="00BD2528">
              <w:rPr>
                <w:rFonts w:eastAsia="Times New Roman"/>
                <w:sz w:val="20"/>
              </w:rPr>
              <w:t>370</w:t>
            </w:r>
          </w:p>
        </w:tc>
        <w:tc>
          <w:tcPr>
            <w:tcW w:w="1843" w:type="dxa"/>
            <w:shd w:val="clear" w:color="auto" w:fill="auto"/>
          </w:tcPr>
          <w:p w14:paraId="3ADE2951" w14:textId="1ACFA97B" w:rsidR="00BD2528" w:rsidRPr="007756D7" w:rsidRDefault="00BD2528" w:rsidP="00FA2E96">
            <w:pPr>
              <w:jc w:val="center"/>
              <w:rPr>
                <w:rFonts w:eastAsia="Times New Roman"/>
                <w:color w:val="000000"/>
                <w:sz w:val="20"/>
              </w:rPr>
            </w:pPr>
            <w:r w:rsidRPr="00585F0F">
              <w:rPr>
                <w:rFonts w:eastAsia="Times New Roman"/>
                <w:color w:val="000000"/>
                <w:sz w:val="20"/>
              </w:rPr>
              <w:t>НП</w:t>
            </w:r>
          </w:p>
        </w:tc>
      </w:tr>
      <w:tr w:rsidR="00BD2528" w:rsidRPr="007756D7" w14:paraId="20C0CAC0" w14:textId="77777777" w:rsidTr="008404C3">
        <w:trPr>
          <w:trHeight w:val="598"/>
          <w:jc w:val="center"/>
        </w:trPr>
        <w:tc>
          <w:tcPr>
            <w:tcW w:w="1376" w:type="dxa"/>
            <w:shd w:val="clear" w:color="auto" w:fill="auto"/>
          </w:tcPr>
          <w:p w14:paraId="6922D500" w14:textId="69529A64" w:rsidR="00BD2528" w:rsidRPr="007756D7" w:rsidRDefault="00BD2528" w:rsidP="00C26534">
            <w:pPr>
              <w:jc w:val="center"/>
              <w:rPr>
                <w:rFonts w:eastAsia="Times New Roman"/>
                <w:b/>
                <w:bCs/>
                <w:color w:val="000000"/>
                <w:sz w:val="18"/>
                <w:szCs w:val="18"/>
              </w:rPr>
            </w:pPr>
            <w:r w:rsidRPr="007756D7">
              <w:rPr>
                <w:b/>
                <w:sz w:val="18"/>
                <w:szCs w:val="18"/>
              </w:rPr>
              <w:t>CО20</w:t>
            </w:r>
          </w:p>
        </w:tc>
        <w:tc>
          <w:tcPr>
            <w:tcW w:w="4134" w:type="dxa"/>
            <w:shd w:val="clear" w:color="auto" w:fill="auto"/>
          </w:tcPr>
          <w:p w14:paraId="78525CDA" w14:textId="20F9DE46" w:rsidR="00BD2528" w:rsidRPr="007756D7" w:rsidRDefault="00BD2528" w:rsidP="00C26534">
            <w:pPr>
              <w:jc w:val="both"/>
              <w:rPr>
                <w:rFonts w:eastAsia="Times New Roman"/>
                <w:color w:val="000000"/>
                <w:sz w:val="18"/>
                <w:szCs w:val="18"/>
              </w:rPr>
            </w:pPr>
            <w:r w:rsidRPr="007756D7">
              <w:rPr>
                <w:sz w:val="18"/>
                <w:szCs w:val="18"/>
              </w:rPr>
              <w:t xml:space="preserve">Брой проекти, изцяло или частично изпълнени от социални партньори или неправителствени организации </w:t>
            </w:r>
          </w:p>
        </w:tc>
        <w:tc>
          <w:tcPr>
            <w:tcW w:w="1998" w:type="dxa"/>
            <w:shd w:val="clear" w:color="auto" w:fill="auto"/>
          </w:tcPr>
          <w:p w14:paraId="0AC12111" w14:textId="5F78D18D" w:rsidR="00BD2528" w:rsidRPr="007756D7" w:rsidRDefault="00BD2528" w:rsidP="00C26534">
            <w:pPr>
              <w:jc w:val="center"/>
              <w:rPr>
                <w:rFonts w:eastAsia="Times New Roman"/>
                <w:sz w:val="20"/>
              </w:rPr>
            </w:pPr>
            <w:r w:rsidRPr="007756D7">
              <w:rPr>
                <w:rFonts w:eastAsia="Times New Roman"/>
                <w:sz w:val="20"/>
              </w:rPr>
              <w:t>350</w:t>
            </w:r>
          </w:p>
        </w:tc>
        <w:tc>
          <w:tcPr>
            <w:tcW w:w="1843" w:type="dxa"/>
            <w:shd w:val="clear" w:color="auto" w:fill="auto"/>
          </w:tcPr>
          <w:p w14:paraId="5A4B95DB" w14:textId="72C833D7" w:rsidR="00BD2528" w:rsidRPr="007756D7" w:rsidRDefault="00BD2528" w:rsidP="00C26534">
            <w:pPr>
              <w:jc w:val="center"/>
              <w:rPr>
                <w:rFonts w:eastAsia="Times New Roman"/>
                <w:color w:val="000000"/>
                <w:sz w:val="20"/>
              </w:rPr>
            </w:pPr>
            <w:r w:rsidRPr="007756D7">
              <w:rPr>
                <w:rFonts w:eastAsia="Times New Roman"/>
                <w:color w:val="000000"/>
                <w:sz w:val="20"/>
              </w:rPr>
              <w:t>НП</w:t>
            </w:r>
          </w:p>
        </w:tc>
      </w:tr>
    </w:tbl>
    <w:p w14:paraId="583A75E3" w14:textId="052752D1" w:rsidR="008D477D" w:rsidRPr="007756D7" w:rsidRDefault="008D477D" w:rsidP="008D477D">
      <w:pPr>
        <w:rPr>
          <w:b/>
        </w:rPr>
      </w:pPr>
    </w:p>
    <w:p w14:paraId="244CEB92" w14:textId="427EA087" w:rsidR="008D477D" w:rsidRPr="007756D7" w:rsidRDefault="00BA3B00" w:rsidP="00376EFF">
      <w:pPr>
        <w:pStyle w:val="ListParagraph"/>
        <w:numPr>
          <w:ilvl w:val="1"/>
          <w:numId w:val="35"/>
        </w:numPr>
        <w:spacing w:after="120" w:line="240" w:lineRule="auto"/>
        <w:ind w:left="993" w:hanging="284"/>
        <w:contextualSpacing w:val="0"/>
        <w:jc w:val="both"/>
        <w:rPr>
          <w:rFonts w:ascii="Times New Roman" w:hAnsi="Times New Roman"/>
          <w:b/>
          <w:sz w:val="24"/>
          <w:szCs w:val="24"/>
          <w:u w:val="single"/>
        </w:rPr>
      </w:pPr>
      <w:r w:rsidRPr="007756D7">
        <w:rPr>
          <w:rFonts w:ascii="Times New Roman" w:hAnsi="Times New Roman"/>
          <w:b/>
          <w:sz w:val="24"/>
          <w:szCs w:val="24"/>
          <w:u w:val="single"/>
        </w:rPr>
        <w:t>Отпадане на индикатори:</w:t>
      </w:r>
    </w:p>
    <w:p w14:paraId="4927D890" w14:textId="0BAE3656" w:rsidR="00A4648C" w:rsidRDefault="00A4648C" w:rsidP="00376EFF">
      <w:pPr>
        <w:pStyle w:val="ListParagraph"/>
        <w:numPr>
          <w:ilvl w:val="0"/>
          <w:numId w:val="23"/>
        </w:numPr>
        <w:spacing w:after="120" w:line="240" w:lineRule="auto"/>
        <w:ind w:left="709" w:hanging="294"/>
        <w:contextualSpacing w:val="0"/>
        <w:jc w:val="both"/>
        <w:rPr>
          <w:rFonts w:ascii="Times New Roman" w:hAnsi="Times New Roman"/>
          <w:b/>
          <w:i/>
          <w:sz w:val="24"/>
          <w:szCs w:val="24"/>
        </w:rPr>
      </w:pPr>
      <w:r w:rsidRPr="007756D7">
        <w:rPr>
          <w:rFonts w:ascii="Times New Roman" w:hAnsi="Times New Roman"/>
          <w:b/>
          <w:i/>
          <w:sz w:val="24"/>
          <w:szCs w:val="24"/>
        </w:rPr>
        <w:t xml:space="preserve">О2-3 „Партньорски проекти за разработване и/ или реализация на ключови политики и законодателство“ </w:t>
      </w:r>
    </w:p>
    <w:p w14:paraId="17669585" w14:textId="77777777" w:rsidR="00247537" w:rsidRDefault="006B42B5" w:rsidP="006B42B5">
      <w:pPr>
        <w:ind w:firstLine="709"/>
        <w:jc w:val="both"/>
      </w:pPr>
      <w:r w:rsidRPr="009D0BDA">
        <w:t xml:space="preserve">При програмирането на ОПДУ индикаторът О2-3 е включен в рамките на ПО 2 с цел чрез подкрепа от програмата да се </w:t>
      </w:r>
      <w:r w:rsidR="00CC6F72">
        <w:t>насърчат</w:t>
      </w:r>
      <w:r w:rsidRPr="009D0BDA">
        <w:t xml:space="preserve"> партньорствата, осъществявани между две или повече администрации, за реализирането на ключови политики и законодателство. </w:t>
      </w:r>
      <w:r w:rsidR="00156381" w:rsidRPr="00156381">
        <w:t>Съгласно метаданните на индикатора чрез него се измерва броят на проектите, осъществявани в партньорство между две или повече администрации, подпомагащи орган на изпълнителната власт, както и проекти, осъществявани в партньорство между администрации, подпомагащи орган на изпълнителната власт и администрации, подпомагащи други държавни органи, създадени със закон, които имат споделени функции при разработването и/ или реализацията на определена ключова политика или нормативен акт.</w:t>
      </w:r>
      <w:r w:rsidR="00156381">
        <w:t xml:space="preserve"> </w:t>
      </w:r>
      <w:r w:rsidR="00247537">
        <w:t>В метаданните на индикатора има няколко съществени условия, които трябва да са изпълнени, за да се приобщи индикаторът към съответен проект, а именно:</w:t>
      </w:r>
    </w:p>
    <w:p w14:paraId="29F481F3" w14:textId="50B658CE" w:rsidR="00247537" w:rsidRPr="009E116F" w:rsidRDefault="00247537" w:rsidP="0054042A">
      <w:pPr>
        <w:pStyle w:val="ListParagraph"/>
        <w:numPr>
          <w:ilvl w:val="0"/>
          <w:numId w:val="44"/>
        </w:numPr>
        <w:spacing w:after="0" w:line="240" w:lineRule="auto"/>
        <w:ind w:left="1134" w:hanging="425"/>
        <w:jc w:val="both"/>
        <w:rPr>
          <w:szCs w:val="24"/>
        </w:rPr>
      </w:pPr>
      <w:r w:rsidRPr="00411A62">
        <w:rPr>
          <w:rFonts w:ascii="Times New Roman" w:hAnsi="Times New Roman"/>
          <w:sz w:val="24"/>
          <w:szCs w:val="24"/>
        </w:rPr>
        <w:t>проектът да се осъществява в партньорство между две или повече администрации;</w:t>
      </w:r>
    </w:p>
    <w:p w14:paraId="60A5BF5B" w14:textId="53880838" w:rsidR="00247537" w:rsidRPr="009E116F" w:rsidRDefault="00247537" w:rsidP="0054042A">
      <w:pPr>
        <w:pStyle w:val="ListParagraph"/>
        <w:numPr>
          <w:ilvl w:val="0"/>
          <w:numId w:val="44"/>
        </w:numPr>
        <w:spacing w:after="0" w:line="240" w:lineRule="auto"/>
        <w:ind w:left="1134" w:hanging="425"/>
        <w:jc w:val="both"/>
        <w:rPr>
          <w:szCs w:val="24"/>
        </w:rPr>
      </w:pPr>
      <w:r w:rsidRPr="00411A62">
        <w:rPr>
          <w:rFonts w:ascii="Times New Roman" w:hAnsi="Times New Roman"/>
          <w:sz w:val="24"/>
          <w:szCs w:val="24"/>
        </w:rPr>
        <w:t>партньорът/</w:t>
      </w:r>
      <w:proofErr w:type="spellStart"/>
      <w:r w:rsidRPr="00411A62">
        <w:rPr>
          <w:rFonts w:ascii="Times New Roman" w:hAnsi="Times New Roman"/>
          <w:sz w:val="24"/>
          <w:szCs w:val="24"/>
        </w:rPr>
        <w:t>ите</w:t>
      </w:r>
      <w:proofErr w:type="spellEnd"/>
      <w:r w:rsidRPr="00411A62">
        <w:rPr>
          <w:rFonts w:ascii="Times New Roman" w:hAnsi="Times New Roman"/>
          <w:sz w:val="24"/>
          <w:szCs w:val="24"/>
        </w:rPr>
        <w:t xml:space="preserve"> да отговаря/т за изпълнението на поне една от дейностите по проекта</w:t>
      </w:r>
      <w:r w:rsidR="00A77E47">
        <w:rPr>
          <w:rFonts w:ascii="Times New Roman" w:hAnsi="Times New Roman"/>
          <w:sz w:val="24"/>
          <w:szCs w:val="24"/>
        </w:rPr>
        <w:t xml:space="preserve"> (респективно да извършват разходите за изпълнението ѝ)</w:t>
      </w:r>
      <w:r w:rsidRPr="00411A62">
        <w:rPr>
          <w:rFonts w:ascii="Times New Roman" w:hAnsi="Times New Roman"/>
          <w:sz w:val="24"/>
          <w:szCs w:val="24"/>
        </w:rPr>
        <w:t xml:space="preserve">; </w:t>
      </w:r>
    </w:p>
    <w:p w14:paraId="2FB627A5" w14:textId="4601AB6E" w:rsidR="00247537" w:rsidRPr="009E116F" w:rsidRDefault="00247537" w:rsidP="0054042A">
      <w:pPr>
        <w:pStyle w:val="ListParagraph"/>
        <w:numPr>
          <w:ilvl w:val="0"/>
          <w:numId w:val="44"/>
        </w:numPr>
        <w:spacing w:after="0" w:line="240" w:lineRule="auto"/>
        <w:ind w:left="1134" w:hanging="425"/>
        <w:jc w:val="both"/>
        <w:rPr>
          <w:szCs w:val="24"/>
        </w:rPr>
      </w:pPr>
      <w:r w:rsidRPr="00411A62">
        <w:rPr>
          <w:rFonts w:ascii="Times New Roman" w:hAnsi="Times New Roman"/>
          <w:sz w:val="24"/>
          <w:szCs w:val="24"/>
        </w:rPr>
        <w:t>администрациите да са подпомагащи орган</w:t>
      </w:r>
      <w:r w:rsidR="00876A97">
        <w:rPr>
          <w:rFonts w:ascii="Times New Roman" w:hAnsi="Times New Roman"/>
          <w:sz w:val="24"/>
          <w:szCs w:val="24"/>
        </w:rPr>
        <w:t>и</w:t>
      </w:r>
      <w:r w:rsidRPr="00411A62">
        <w:rPr>
          <w:rFonts w:ascii="Times New Roman" w:hAnsi="Times New Roman"/>
          <w:sz w:val="24"/>
          <w:szCs w:val="24"/>
        </w:rPr>
        <w:t xml:space="preserve"> на изпълнителната власт или други държавни органи, създадени със закон;</w:t>
      </w:r>
    </w:p>
    <w:p w14:paraId="7C67B53F" w14:textId="14309DD3" w:rsidR="00247537" w:rsidRPr="009E116F" w:rsidRDefault="00247537" w:rsidP="0054042A">
      <w:pPr>
        <w:pStyle w:val="ListParagraph"/>
        <w:numPr>
          <w:ilvl w:val="0"/>
          <w:numId w:val="44"/>
        </w:numPr>
        <w:spacing w:after="0" w:line="240" w:lineRule="auto"/>
        <w:ind w:left="1134" w:hanging="425"/>
        <w:jc w:val="both"/>
        <w:rPr>
          <w:szCs w:val="24"/>
        </w:rPr>
      </w:pPr>
      <w:r w:rsidRPr="00411A62">
        <w:rPr>
          <w:rFonts w:ascii="Times New Roman" w:hAnsi="Times New Roman"/>
          <w:sz w:val="24"/>
          <w:szCs w:val="24"/>
        </w:rPr>
        <w:t>администрациите да имат споделени функции при разработването и/или реализацията на определена ключова политика или нормативен акт;</w:t>
      </w:r>
    </w:p>
    <w:p w14:paraId="6013C9ED" w14:textId="060A4675" w:rsidR="00697E9C" w:rsidRPr="00BA14B5" w:rsidRDefault="00A77E47" w:rsidP="0054042A">
      <w:pPr>
        <w:pStyle w:val="ListParagraph"/>
        <w:numPr>
          <w:ilvl w:val="0"/>
          <w:numId w:val="44"/>
        </w:numPr>
        <w:spacing w:after="0" w:line="240" w:lineRule="auto"/>
        <w:ind w:left="1134" w:hanging="425"/>
        <w:jc w:val="both"/>
        <w:rPr>
          <w:szCs w:val="24"/>
        </w:rPr>
      </w:pPr>
      <w:r>
        <w:rPr>
          <w:rFonts w:ascii="Times New Roman" w:hAnsi="Times New Roman"/>
          <w:sz w:val="24"/>
          <w:szCs w:val="24"/>
        </w:rPr>
        <w:t>к</w:t>
      </w:r>
      <w:r w:rsidR="00247537" w:rsidRPr="00411A62">
        <w:rPr>
          <w:rFonts w:ascii="Times New Roman" w:hAnsi="Times New Roman"/>
          <w:sz w:val="24"/>
          <w:szCs w:val="24"/>
        </w:rPr>
        <w:t xml:space="preserve">лючовите политики </w:t>
      </w:r>
      <w:r>
        <w:rPr>
          <w:rFonts w:ascii="Times New Roman" w:hAnsi="Times New Roman"/>
          <w:sz w:val="24"/>
          <w:szCs w:val="24"/>
        </w:rPr>
        <w:t xml:space="preserve">да са в </w:t>
      </w:r>
      <w:r w:rsidR="00247537" w:rsidRPr="00411A62">
        <w:rPr>
          <w:rFonts w:ascii="Times New Roman" w:hAnsi="Times New Roman"/>
          <w:sz w:val="24"/>
          <w:szCs w:val="24"/>
        </w:rPr>
        <w:t>приоритетни направления на административната реформа, определени с решения на Съвета за административната реформа</w:t>
      </w:r>
      <w:r w:rsidR="00876A97">
        <w:rPr>
          <w:rFonts w:ascii="Times New Roman" w:hAnsi="Times New Roman"/>
          <w:sz w:val="24"/>
          <w:szCs w:val="24"/>
        </w:rPr>
        <w:t xml:space="preserve"> (САР)</w:t>
      </w:r>
      <w:r w:rsidR="00247537" w:rsidRPr="00411A62">
        <w:rPr>
          <w:rFonts w:ascii="Times New Roman" w:hAnsi="Times New Roman"/>
          <w:sz w:val="24"/>
          <w:szCs w:val="24"/>
        </w:rPr>
        <w:t>, Стратегията за развитие на държавната администрация 2014-2020 г., Пътната карта за нейното изпълнение</w:t>
      </w:r>
      <w:r w:rsidR="00876A97">
        <w:rPr>
          <w:rFonts w:ascii="Times New Roman" w:hAnsi="Times New Roman"/>
          <w:sz w:val="24"/>
          <w:szCs w:val="24"/>
        </w:rPr>
        <w:t xml:space="preserve"> (ПКСРДА)</w:t>
      </w:r>
      <w:r w:rsidR="00247537" w:rsidRPr="00411A62">
        <w:rPr>
          <w:rFonts w:ascii="Times New Roman" w:hAnsi="Times New Roman"/>
          <w:sz w:val="24"/>
          <w:szCs w:val="24"/>
        </w:rPr>
        <w:t>, Стратегията за електронно управление и други релевантни стратегически документи.</w:t>
      </w:r>
    </w:p>
    <w:p w14:paraId="0995B218" w14:textId="28D44CBD" w:rsidR="006B42B5" w:rsidRPr="009D0BDA" w:rsidRDefault="006B42B5" w:rsidP="006B42B5">
      <w:pPr>
        <w:ind w:firstLine="709"/>
        <w:jc w:val="both"/>
      </w:pPr>
      <w:r w:rsidRPr="009D0BDA">
        <w:t xml:space="preserve">Индикаторът е предвиден в пет, обявени до момента процедури по </w:t>
      </w:r>
      <w:proofErr w:type="spellStart"/>
      <w:r w:rsidRPr="009D0BDA">
        <w:t>ПО</w:t>
      </w:r>
      <w:proofErr w:type="spellEnd"/>
      <w:r w:rsidRPr="009D0BDA">
        <w:t xml:space="preserve"> 2, но кандидатите не са го включили в проектите си</w:t>
      </w:r>
      <w:r w:rsidR="00A77E47">
        <w:t>, тъй като</w:t>
      </w:r>
      <w:r w:rsidRPr="009D0BDA">
        <w:t xml:space="preserve"> </w:t>
      </w:r>
      <w:r w:rsidR="00A77E47">
        <w:t xml:space="preserve">за нито един от тях не е било налице съответствие едновременно с  всички от изброените по-горе условия. </w:t>
      </w:r>
      <w:r w:rsidRPr="009D0BDA">
        <w:t xml:space="preserve">Това доведе до липса на договорени проекти, които да имат принос към изпълнението </w:t>
      </w:r>
      <w:r w:rsidR="00A77E47">
        <w:t>на индикатора</w:t>
      </w:r>
      <w:r w:rsidRPr="009D0BDA">
        <w:t xml:space="preserve">. </w:t>
      </w:r>
    </w:p>
    <w:p w14:paraId="7BF35256" w14:textId="7D3806EC" w:rsidR="00791CDA" w:rsidRDefault="006B42B5" w:rsidP="006B42B5">
      <w:pPr>
        <w:ind w:firstLine="709"/>
        <w:jc w:val="both"/>
      </w:pPr>
      <w:r w:rsidRPr="009D0BDA">
        <w:t xml:space="preserve">В същото време по ОПДУ са договорени и изпълнени/се изпълняват проекти, в които администрации си партнират с бенефициента по различни начини, макар и да не са поставени </w:t>
      </w:r>
      <w:r w:rsidRPr="009D0BDA">
        <w:lastRenderedPageBreak/>
        <w:t>в отношения бенефициент-пар</w:t>
      </w:r>
      <w:r w:rsidR="00BD2528">
        <w:t>тньор по тези проекти (</w:t>
      </w:r>
      <w:r w:rsidR="00791CDA">
        <w:t>конкретни</w:t>
      </w:r>
      <w:r w:rsidR="00BD2528">
        <w:t xml:space="preserve"> администрации да са определени в проекта като партньори, отговорни за изпълнението на отделни дейности, респективно </w:t>
      </w:r>
      <w:r w:rsidR="00737BE6">
        <w:t>да извършват</w:t>
      </w:r>
      <w:r w:rsidR="00BD2528">
        <w:t xml:space="preserve"> разходи за тях).</w:t>
      </w:r>
      <w:r w:rsidRPr="009D0BDA">
        <w:t xml:space="preserve"> </w:t>
      </w:r>
    </w:p>
    <w:p w14:paraId="4EDE0448" w14:textId="73EE0D40" w:rsidR="006B42B5" w:rsidRDefault="006B42B5" w:rsidP="006B42B5">
      <w:pPr>
        <w:ind w:firstLine="709"/>
        <w:jc w:val="both"/>
      </w:pPr>
      <w:r w:rsidRPr="009D0BDA">
        <w:t xml:space="preserve">Като пример за </w:t>
      </w:r>
      <w:r w:rsidR="00791CDA">
        <w:t>партньорства извън обхвата на индикатора</w:t>
      </w:r>
      <w:r w:rsidRPr="009D0BDA">
        <w:t xml:space="preserve"> могат да бъдат посочени общинските администрации, които са целева група на проекта на Министерство на финансите за ефективно прилагане на правилата на ЕС при предоставяне на услуги от общ икономически интерес. Партньорството между националния орган, осъществяващ наблюдението и координацията на държавните помощи, и прилагащите правилата общински администрации е ключово както за успешното реализиране на проекта, така и за изпълнението на конкретните политики. По проекта на АМС за въвеждането на модела на споделените услуги – без партньорството на МЗ и БАБХ проектът не би могъл да се изпълни. Проектите на ИПА за въвеждане на CAF на практика се изпълняват в сътрудничество с общинските, областните, специализираните териториални и централните администрации, в които се внедрява моделът. Посочените примери свидетелства</w:t>
      </w:r>
      <w:r w:rsidR="0056003F">
        <w:t>т</w:t>
      </w:r>
      <w:r w:rsidRPr="009D0BDA">
        <w:t xml:space="preserve">, че по проекти по </w:t>
      </w:r>
      <w:proofErr w:type="spellStart"/>
      <w:r w:rsidRPr="009D0BDA">
        <w:t>ПО</w:t>
      </w:r>
      <w:proofErr w:type="spellEnd"/>
      <w:r w:rsidRPr="009D0BDA">
        <w:t xml:space="preserve"> 2 на ОПДУ администрациите си партнират, макар и неформално. </w:t>
      </w:r>
    </w:p>
    <w:p w14:paraId="2C0424F2" w14:textId="2CCE2C7B" w:rsidR="000C2550" w:rsidRPr="00C81BC4" w:rsidRDefault="006B1256" w:rsidP="000C2550">
      <w:pPr>
        <w:ind w:firstLine="708"/>
        <w:jc w:val="both"/>
      </w:pPr>
      <w:r w:rsidRPr="00C81BC4">
        <w:t>Целевата стойност на индикатора е определена въз основа на мерките в ПКСРДА, за които е предвидено да се реализират</w:t>
      </w:r>
      <w:r w:rsidR="00CC2724" w:rsidRPr="00C81BC4">
        <w:t xml:space="preserve"> с финансиране по ОПДУ и за изпълнението на които</w:t>
      </w:r>
      <w:r w:rsidRPr="00C81BC4">
        <w:t xml:space="preserve"> освен </w:t>
      </w:r>
      <w:r w:rsidR="007D2A82">
        <w:t>отговорна институция</w:t>
      </w:r>
      <w:r w:rsidRPr="00C81BC4">
        <w:t xml:space="preserve">, са определени и </w:t>
      </w:r>
      <w:r w:rsidR="00961718" w:rsidRPr="00C81BC4">
        <w:t xml:space="preserve">потенциални </w:t>
      </w:r>
      <w:r w:rsidRPr="00C81BC4">
        <w:t>партньори. Повече от половината от тези мерки са вече изпълнени или</w:t>
      </w:r>
      <w:r w:rsidR="007D2A82">
        <w:t xml:space="preserve"> са</w:t>
      </w:r>
      <w:r w:rsidRPr="00C81BC4">
        <w:t xml:space="preserve"> в процес на изпълнение</w:t>
      </w:r>
      <w:r w:rsidR="00961718" w:rsidRPr="00C81BC4">
        <w:t xml:space="preserve"> по проекти по</w:t>
      </w:r>
      <w:r w:rsidRPr="00C81BC4">
        <w:t xml:space="preserve"> ОПДУ, </w:t>
      </w:r>
      <w:r w:rsidR="00CC2724" w:rsidRPr="00C81BC4">
        <w:t>в които</w:t>
      </w:r>
      <w:r w:rsidRPr="00C81BC4">
        <w:t xml:space="preserve">, както е посочено по-горе, </w:t>
      </w:r>
      <w:r w:rsidR="00CC2724" w:rsidRPr="00C81BC4">
        <w:t xml:space="preserve">не са включени администрации – партньори. Целта на индикатора е да насърчи партньорството между администрациите с цел постигане на по-голяма ефективност на политиките, с реализирането на които са ангажирани. </w:t>
      </w:r>
      <w:r w:rsidR="00C06987" w:rsidRPr="00C81BC4">
        <w:t>В</w:t>
      </w:r>
      <w:r w:rsidR="00B770D0" w:rsidRPr="00C81BC4">
        <w:t>ключване на потенциалните партньори в проектите</w:t>
      </w:r>
      <w:r w:rsidR="0054042A">
        <w:t>,</w:t>
      </w:r>
      <w:r w:rsidR="00B770D0" w:rsidRPr="00C81BC4">
        <w:t xml:space="preserve"> обаче</w:t>
      </w:r>
      <w:r w:rsidR="0054042A">
        <w:t>,</w:t>
      </w:r>
      <w:r w:rsidR="00B770D0" w:rsidRPr="00C81BC4">
        <w:t xml:space="preserve"> не е задължително условие за тяхното успешно реализиране, което се доказва и от практиката. </w:t>
      </w:r>
      <w:r w:rsidR="00961718" w:rsidRPr="00C81BC4">
        <w:t>В тази връзка считаме, че при програмирането на ОПДУ са направени грешни допускания</w:t>
      </w:r>
      <w:r w:rsidR="00FD4DB4">
        <w:t xml:space="preserve"> по смисъла на </w:t>
      </w:r>
      <w:r w:rsidR="004A6809" w:rsidRPr="004A6809">
        <w:t>чл. 5, параграф 6 от Регламента за изпълнение (ЕС) 215/2014</w:t>
      </w:r>
      <w:r w:rsidR="004A6809">
        <w:t xml:space="preserve"> </w:t>
      </w:r>
      <w:r w:rsidR="00961718" w:rsidRPr="00C81BC4">
        <w:t xml:space="preserve">при </w:t>
      </w:r>
      <w:r w:rsidR="001D10F8" w:rsidRPr="00C81BC4">
        <w:t>залагането</w:t>
      </w:r>
      <w:r w:rsidR="00B0577A" w:rsidRPr="00C81BC4">
        <w:t xml:space="preserve"> </w:t>
      </w:r>
      <w:r w:rsidR="0054042A">
        <w:t>на индикатора</w:t>
      </w:r>
      <w:r w:rsidR="001D10F8" w:rsidRPr="00C81BC4">
        <w:t xml:space="preserve"> в системата за наблюдение по </w:t>
      </w:r>
      <w:r w:rsidR="0054042A">
        <w:t>програмата</w:t>
      </w:r>
      <w:r w:rsidR="00961718" w:rsidRPr="00C81BC4">
        <w:t>.</w:t>
      </w:r>
      <w:r w:rsidR="00251DDE" w:rsidRPr="00C81BC4">
        <w:t xml:space="preserve"> </w:t>
      </w:r>
      <w:r w:rsidR="000C2550" w:rsidRPr="00C81BC4">
        <w:t xml:space="preserve">Отчитайки този факт, преформулирането и изменението на метаданните му като възможен вариант за действие не би било удачно решение, тъй като: </w:t>
      </w:r>
    </w:p>
    <w:p w14:paraId="360A1FEC" w14:textId="0F8B8630" w:rsidR="000C2550" w:rsidRPr="00C81BC4" w:rsidRDefault="000C2550" w:rsidP="00542200">
      <w:pPr>
        <w:pStyle w:val="ListParagraph"/>
        <w:numPr>
          <w:ilvl w:val="0"/>
          <w:numId w:val="43"/>
        </w:numPr>
        <w:spacing w:after="0" w:line="240" w:lineRule="auto"/>
        <w:ind w:left="851" w:hanging="425"/>
        <w:jc w:val="both"/>
        <w:rPr>
          <w:rFonts w:ascii="Times New Roman" w:hAnsi="Times New Roman"/>
          <w:sz w:val="24"/>
          <w:szCs w:val="24"/>
        </w:rPr>
      </w:pPr>
      <w:r w:rsidRPr="00C81BC4">
        <w:rPr>
          <w:rFonts w:ascii="Times New Roman" w:hAnsi="Times New Roman"/>
          <w:sz w:val="24"/>
          <w:szCs w:val="24"/>
        </w:rPr>
        <w:t xml:space="preserve">партниращите си администрации в рамките на проектите нямат качеството на партньори по тях; </w:t>
      </w:r>
    </w:p>
    <w:p w14:paraId="3D776991" w14:textId="61D2FF1D" w:rsidR="000C2550" w:rsidRPr="00C81BC4" w:rsidRDefault="000C2550" w:rsidP="00542200">
      <w:pPr>
        <w:pStyle w:val="ListParagraph"/>
        <w:numPr>
          <w:ilvl w:val="0"/>
          <w:numId w:val="43"/>
        </w:numPr>
        <w:spacing w:after="0" w:line="240" w:lineRule="auto"/>
        <w:ind w:left="851" w:hanging="425"/>
        <w:jc w:val="both"/>
        <w:rPr>
          <w:rFonts w:ascii="Times New Roman" w:hAnsi="Times New Roman"/>
          <w:sz w:val="24"/>
          <w:szCs w:val="24"/>
        </w:rPr>
      </w:pPr>
      <w:r w:rsidRPr="00C81BC4">
        <w:rPr>
          <w:rFonts w:ascii="Times New Roman" w:hAnsi="Times New Roman"/>
          <w:sz w:val="24"/>
          <w:szCs w:val="24"/>
        </w:rPr>
        <w:t xml:space="preserve">много проекти са вече приключили, което възпрепятства отчитането на индикатора по тях; </w:t>
      </w:r>
    </w:p>
    <w:p w14:paraId="2919A86F" w14:textId="4C5CA362" w:rsidR="000C2550" w:rsidRPr="00C81BC4" w:rsidRDefault="000C2550" w:rsidP="00542200">
      <w:pPr>
        <w:pStyle w:val="ListParagraph"/>
        <w:numPr>
          <w:ilvl w:val="0"/>
          <w:numId w:val="43"/>
        </w:numPr>
        <w:spacing w:after="0" w:line="240" w:lineRule="auto"/>
        <w:ind w:left="851" w:hanging="425"/>
        <w:jc w:val="both"/>
        <w:rPr>
          <w:rFonts w:ascii="Times New Roman" w:hAnsi="Times New Roman"/>
          <w:sz w:val="24"/>
          <w:szCs w:val="24"/>
        </w:rPr>
      </w:pPr>
      <w:r w:rsidRPr="00C81BC4">
        <w:rPr>
          <w:rFonts w:ascii="Times New Roman" w:hAnsi="Times New Roman"/>
          <w:sz w:val="24"/>
          <w:szCs w:val="24"/>
        </w:rPr>
        <w:t xml:space="preserve">предвид същественото намаляване на бюджета по </w:t>
      </w:r>
      <w:proofErr w:type="spellStart"/>
      <w:r w:rsidRPr="00C81BC4">
        <w:rPr>
          <w:rFonts w:ascii="Times New Roman" w:hAnsi="Times New Roman"/>
          <w:sz w:val="24"/>
          <w:szCs w:val="24"/>
        </w:rPr>
        <w:t>ПО</w:t>
      </w:r>
      <w:proofErr w:type="spellEnd"/>
      <w:r w:rsidR="0054042A">
        <w:rPr>
          <w:rFonts w:ascii="Times New Roman" w:hAnsi="Times New Roman"/>
          <w:sz w:val="24"/>
          <w:szCs w:val="24"/>
        </w:rPr>
        <w:t xml:space="preserve"> </w:t>
      </w:r>
      <w:r w:rsidRPr="00C81BC4">
        <w:rPr>
          <w:rFonts w:ascii="Times New Roman" w:hAnsi="Times New Roman"/>
          <w:sz w:val="24"/>
          <w:szCs w:val="24"/>
        </w:rPr>
        <w:t>2 не се предвижда договаряне на проекти, чрез които да се обе</w:t>
      </w:r>
      <w:r w:rsidR="00D073C2" w:rsidRPr="00C81BC4">
        <w:rPr>
          <w:rFonts w:ascii="Times New Roman" w:hAnsi="Times New Roman"/>
          <w:sz w:val="24"/>
          <w:szCs w:val="24"/>
        </w:rPr>
        <w:t>зпечи постигането на индикатора</w:t>
      </w:r>
      <w:r w:rsidRPr="00C81BC4">
        <w:rPr>
          <w:rFonts w:ascii="Times New Roman" w:hAnsi="Times New Roman"/>
          <w:sz w:val="24"/>
          <w:szCs w:val="24"/>
        </w:rPr>
        <w:t>;</w:t>
      </w:r>
    </w:p>
    <w:p w14:paraId="07721FD6" w14:textId="6FB83DB0" w:rsidR="009029B0" w:rsidRPr="00C81BC4" w:rsidRDefault="000C2550" w:rsidP="00542200">
      <w:pPr>
        <w:pStyle w:val="ListParagraph"/>
        <w:numPr>
          <w:ilvl w:val="0"/>
          <w:numId w:val="43"/>
        </w:numPr>
        <w:spacing w:after="0" w:line="240" w:lineRule="auto"/>
        <w:ind w:left="851" w:hanging="425"/>
        <w:jc w:val="both"/>
        <w:rPr>
          <w:rFonts w:ascii="Times New Roman" w:hAnsi="Times New Roman"/>
          <w:sz w:val="24"/>
          <w:szCs w:val="24"/>
        </w:rPr>
      </w:pPr>
      <w:r w:rsidRPr="00C81BC4">
        <w:rPr>
          <w:rFonts w:ascii="Times New Roman" w:hAnsi="Times New Roman"/>
          <w:sz w:val="24"/>
          <w:szCs w:val="24"/>
        </w:rPr>
        <w:t xml:space="preserve">промяна в посока изключване на формалното партньорство </w:t>
      </w:r>
      <w:r w:rsidR="009029B0" w:rsidRPr="00C81BC4">
        <w:rPr>
          <w:rFonts w:ascii="Times New Roman" w:hAnsi="Times New Roman"/>
          <w:sz w:val="24"/>
          <w:szCs w:val="24"/>
        </w:rPr>
        <w:t xml:space="preserve">от обхвата на индикатора </w:t>
      </w:r>
      <w:r w:rsidRPr="00C81BC4">
        <w:rPr>
          <w:rFonts w:ascii="Times New Roman" w:hAnsi="Times New Roman"/>
          <w:sz w:val="24"/>
          <w:szCs w:val="24"/>
        </w:rPr>
        <w:t xml:space="preserve">би била самоцелно решение на проблема с невъзможността за изпълнението му. По начало мерките, които се </w:t>
      </w:r>
      <w:r w:rsidR="009029B0" w:rsidRPr="00C81BC4">
        <w:rPr>
          <w:rFonts w:ascii="Times New Roman" w:hAnsi="Times New Roman"/>
          <w:sz w:val="24"/>
          <w:szCs w:val="24"/>
        </w:rPr>
        <w:t>изпълняват</w:t>
      </w:r>
      <w:r w:rsidRPr="00C81BC4">
        <w:rPr>
          <w:rFonts w:ascii="Times New Roman" w:hAnsi="Times New Roman"/>
          <w:sz w:val="24"/>
          <w:szCs w:val="24"/>
        </w:rPr>
        <w:t xml:space="preserve"> посредством проекти</w:t>
      </w:r>
      <w:r w:rsidR="008723A4" w:rsidRPr="00C81BC4">
        <w:rPr>
          <w:rFonts w:ascii="Times New Roman" w:hAnsi="Times New Roman"/>
          <w:sz w:val="24"/>
          <w:szCs w:val="24"/>
        </w:rPr>
        <w:t xml:space="preserve"> по </w:t>
      </w:r>
      <w:proofErr w:type="spellStart"/>
      <w:r w:rsidR="008723A4" w:rsidRPr="00C81BC4">
        <w:rPr>
          <w:rFonts w:ascii="Times New Roman" w:hAnsi="Times New Roman"/>
          <w:sz w:val="24"/>
          <w:szCs w:val="24"/>
        </w:rPr>
        <w:t>ПО</w:t>
      </w:r>
      <w:proofErr w:type="spellEnd"/>
      <w:r w:rsidR="0054042A">
        <w:rPr>
          <w:rFonts w:ascii="Times New Roman" w:hAnsi="Times New Roman"/>
          <w:sz w:val="24"/>
          <w:szCs w:val="24"/>
        </w:rPr>
        <w:t xml:space="preserve"> </w:t>
      </w:r>
      <w:r w:rsidR="008723A4" w:rsidRPr="00C81BC4">
        <w:rPr>
          <w:rFonts w:ascii="Times New Roman" w:hAnsi="Times New Roman"/>
          <w:sz w:val="24"/>
          <w:szCs w:val="24"/>
        </w:rPr>
        <w:t xml:space="preserve">2, </w:t>
      </w:r>
      <w:r w:rsidR="009029B0" w:rsidRPr="00C81BC4">
        <w:rPr>
          <w:rFonts w:ascii="Times New Roman" w:hAnsi="Times New Roman"/>
          <w:sz w:val="24"/>
          <w:szCs w:val="24"/>
        </w:rPr>
        <w:t>предполагат и се реализират при различни форми на</w:t>
      </w:r>
      <w:r w:rsidR="008723A4" w:rsidRPr="00C81BC4">
        <w:rPr>
          <w:rFonts w:ascii="Times New Roman" w:hAnsi="Times New Roman"/>
          <w:sz w:val="24"/>
          <w:szCs w:val="24"/>
        </w:rPr>
        <w:t xml:space="preserve"> партньорство</w:t>
      </w:r>
      <w:r w:rsidR="009029B0" w:rsidRPr="00C81BC4">
        <w:rPr>
          <w:rFonts w:ascii="Times New Roman" w:hAnsi="Times New Roman"/>
          <w:sz w:val="24"/>
          <w:szCs w:val="24"/>
        </w:rPr>
        <w:t>, макар и не в обхвата</w:t>
      </w:r>
      <w:r w:rsidR="00D41681" w:rsidRPr="00C81BC4">
        <w:rPr>
          <w:rFonts w:ascii="Times New Roman" w:hAnsi="Times New Roman"/>
          <w:sz w:val="24"/>
          <w:szCs w:val="24"/>
        </w:rPr>
        <w:t xml:space="preserve"> на</w:t>
      </w:r>
      <w:r w:rsidR="009029B0" w:rsidRPr="00C81BC4">
        <w:rPr>
          <w:rFonts w:ascii="Times New Roman" w:hAnsi="Times New Roman"/>
          <w:sz w:val="24"/>
          <w:szCs w:val="24"/>
        </w:rPr>
        <w:t xml:space="preserve"> дефиницията и метода на изчисление на индикатора;</w:t>
      </w:r>
    </w:p>
    <w:p w14:paraId="39BB317B" w14:textId="62F2B4FA" w:rsidR="000C2550" w:rsidRPr="00C81BC4" w:rsidRDefault="000C2550" w:rsidP="00542200">
      <w:pPr>
        <w:pStyle w:val="ListParagraph"/>
        <w:numPr>
          <w:ilvl w:val="0"/>
          <w:numId w:val="43"/>
        </w:numPr>
        <w:spacing w:after="0" w:line="240" w:lineRule="auto"/>
        <w:ind w:left="851" w:hanging="425"/>
        <w:jc w:val="both"/>
        <w:rPr>
          <w:rFonts w:ascii="Times New Roman" w:hAnsi="Times New Roman"/>
          <w:sz w:val="24"/>
          <w:szCs w:val="24"/>
        </w:rPr>
      </w:pPr>
      <w:r w:rsidRPr="00C81BC4">
        <w:rPr>
          <w:rFonts w:ascii="Times New Roman" w:hAnsi="Times New Roman"/>
          <w:sz w:val="24"/>
          <w:szCs w:val="24"/>
        </w:rPr>
        <w:t xml:space="preserve">промяна в посока изключване на партньорството </w:t>
      </w:r>
      <w:r w:rsidR="004C1ADE" w:rsidRPr="00C81BC4">
        <w:rPr>
          <w:rFonts w:ascii="Times New Roman" w:hAnsi="Times New Roman"/>
          <w:sz w:val="24"/>
          <w:szCs w:val="24"/>
        </w:rPr>
        <w:t xml:space="preserve">от обхвата на индикатора </w:t>
      </w:r>
      <w:r w:rsidRPr="00C81BC4">
        <w:rPr>
          <w:rFonts w:ascii="Times New Roman" w:hAnsi="Times New Roman"/>
          <w:sz w:val="24"/>
          <w:szCs w:val="24"/>
        </w:rPr>
        <w:t>ще доведе до сходство на специфичния по програмата индикатор с общия индикатор за изпълнение по Регламент (ЕС) 1304/2013 “Брой проекти, насочени към публичните администрации и публичните услуги на национално, регионално и местно равнище“.</w:t>
      </w:r>
    </w:p>
    <w:p w14:paraId="1415B543" w14:textId="77777777" w:rsidR="00542200" w:rsidRPr="00C81BC4" w:rsidRDefault="00542200" w:rsidP="00542200">
      <w:pPr>
        <w:pStyle w:val="ListParagraph"/>
        <w:spacing w:after="0" w:line="240" w:lineRule="auto"/>
        <w:ind w:left="851"/>
        <w:jc w:val="both"/>
        <w:rPr>
          <w:rFonts w:ascii="Times New Roman" w:hAnsi="Times New Roman"/>
          <w:sz w:val="24"/>
          <w:szCs w:val="24"/>
        </w:rPr>
      </w:pPr>
    </w:p>
    <w:p w14:paraId="45E18794" w14:textId="4FA93C2F" w:rsidR="006B42B5" w:rsidRPr="00C81BC4" w:rsidRDefault="001D10F8" w:rsidP="00542200">
      <w:pPr>
        <w:ind w:firstLine="708"/>
        <w:jc w:val="both"/>
      </w:pPr>
      <w:r w:rsidRPr="00C81BC4">
        <w:t>Предвид изложеното</w:t>
      </w:r>
      <w:r w:rsidR="006B42B5" w:rsidRPr="00C81BC4" w:rsidDel="00D37244">
        <w:t xml:space="preserve"> предлагаме изключване</w:t>
      </w:r>
      <w:r w:rsidRPr="00C81BC4">
        <w:t>то на индикатора</w:t>
      </w:r>
      <w:r w:rsidR="006B42B5" w:rsidRPr="00C81BC4" w:rsidDel="00D37244">
        <w:t xml:space="preserve"> от системата за наблюдение на ОПДУ. </w:t>
      </w:r>
      <w:r w:rsidR="006B42B5" w:rsidRPr="00C81BC4">
        <w:t>Последното няма да се отрази негативно на постигането на резултатите по програмата, тъй като, както е посочено по-горе, мерки за подобряване на работата на администрацията в различни направления се изпълняват, макар и в неформално партньорство и сътрудничество между бенефициентите и отделни</w:t>
      </w:r>
      <w:r w:rsidR="00DE2873" w:rsidRPr="00C81BC4">
        <w:t>те</w:t>
      </w:r>
      <w:r w:rsidR="006B42B5" w:rsidRPr="00C81BC4">
        <w:t xml:space="preserve"> администрации, което като краен резултат носи позитиви за развитието на съответните политики и администрацията като цяло. </w:t>
      </w:r>
    </w:p>
    <w:p w14:paraId="35673C70" w14:textId="137145A7" w:rsidR="006B42B5" w:rsidRDefault="006B42B5" w:rsidP="006B42B5">
      <w:pPr>
        <w:pStyle w:val="ListParagraph"/>
        <w:spacing w:after="120" w:line="240" w:lineRule="auto"/>
        <w:ind w:left="709"/>
        <w:contextualSpacing w:val="0"/>
        <w:jc w:val="both"/>
        <w:rPr>
          <w:rFonts w:ascii="Times New Roman" w:hAnsi="Times New Roman"/>
          <w:b/>
          <w:i/>
          <w:sz w:val="24"/>
          <w:szCs w:val="24"/>
        </w:rPr>
      </w:pPr>
    </w:p>
    <w:p w14:paraId="7B89CAD7" w14:textId="77777777" w:rsidR="0054042A" w:rsidRPr="007756D7" w:rsidRDefault="0054042A" w:rsidP="006B42B5">
      <w:pPr>
        <w:pStyle w:val="ListParagraph"/>
        <w:spacing w:after="120" w:line="240" w:lineRule="auto"/>
        <w:ind w:left="709"/>
        <w:contextualSpacing w:val="0"/>
        <w:jc w:val="both"/>
        <w:rPr>
          <w:rFonts w:ascii="Times New Roman" w:hAnsi="Times New Roman"/>
          <w:b/>
          <w:i/>
          <w:sz w:val="24"/>
          <w:szCs w:val="24"/>
        </w:rPr>
      </w:pPr>
    </w:p>
    <w:p w14:paraId="64D23E82" w14:textId="402AB523" w:rsidR="00A4648C" w:rsidRDefault="00A4648C" w:rsidP="00376EFF">
      <w:pPr>
        <w:pStyle w:val="ListParagraph"/>
        <w:numPr>
          <w:ilvl w:val="0"/>
          <w:numId w:val="26"/>
        </w:numPr>
        <w:spacing w:after="120" w:line="240" w:lineRule="auto"/>
        <w:ind w:left="714" w:hanging="357"/>
        <w:contextualSpacing w:val="0"/>
        <w:jc w:val="both"/>
        <w:rPr>
          <w:rFonts w:ascii="Times New Roman" w:hAnsi="Times New Roman"/>
          <w:b/>
          <w:i/>
          <w:sz w:val="24"/>
          <w:szCs w:val="24"/>
        </w:rPr>
      </w:pPr>
      <w:r w:rsidRPr="007756D7">
        <w:rPr>
          <w:rFonts w:ascii="Times New Roman" w:hAnsi="Times New Roman"/>
          <w:b/>
          <w:i/>
          <w:sz w:val="24"/>
          <w:szCs w:val="24"/>
        </w:rPr>
        <w:t>O2-4 „Брой администрации, подкрепени за въвеждане на наставнически,</w:t>
      </w:r>
      <w:r w:rsidR="00BA3B00" w:rsidRPr="007756D7">
        <w:rPr>
          <w:rFonts w:ascii="Times New Roman" w:hAnsi="Times New Roman"/>
          <w:b/>
          <w:i/>
          <w:sz w:val="24"/>
          <w:szCs w:val="24"/>
        </w:rPr>
        <w:t xml:space="preserve"> менторски и </w:t>
      </w:r>
      <w:proofErr w:type="spellStart"/>
      <w:r w:rsidR="00BA3B00" w:rsidRPr="007756D7">
        <w:rPr>
          <w:rFonts w:ascii="Times New Roman" w:hAnsi="Times New Roman"/>
          <w:b/>
          <w:i/>
          <w:sz w:val="24"/>
          <w:szCs w:val="24"/>
        </w:rPr>
        <w:t>коучинг</w:t>
      </w:r>
      <w:proofErr w:type="spellEnd"/>
      <w:r w:rsidR="00BA3B00" w:rsidRPr="007756D7">
        <w:rPr>
          <w:rFonts w:ascii="Times New Roman" w:hAnsi="Times New Roman"/>
          <w:b/>
          <w:i/>
          <w:sz w:val="24"/>
          <w:szCs w:val="24"/>
        </w:rPr>
        <w:t xml:space="preserve"> програми“ </w:t>
      </w:r>
    </w:p>
    <w:p w14:paraId="25A538ED" w14:textId="2073292A" w:rsidR="009E31C3" w:rsidRDefault="006B42B5" w:rsidP="006B42B5">
      <w:pPr>
        <w:ind w:firstLine="709"/>
        <w:jc w:val="both"/>
      </w:pPr>
      <w:r w:rsidRPr="007756D7">
        <w:t xml:space="preserve">Изпълнението на индикатора е пряко обвързано с реализацията на мярка „Въвеждане на политики за планиране и управление на кариерата“, дейност „Въвеждане на програми за ориентация, за адаптация и за приемственост в администрацията“ </w:t>
      </w:r>
      <w:r>
        <w:t>към</w:t>
      </w:r>
      <w:r w:rsidRPr="007756D7">
        <w:t xml:space="preserve"> Специфична цел 4.3 „Политики за кариерно развитие“ от ПКСРДА. </w:t>
      </w:r>
    </w:p>
    <w:p w14:paraId="7CAD5CCC" w14:textId="1DA38800" w:rsidR="006B42B5" w:rsidRDefault="006B42B5" w:rsidP="006B42B5">
      <w:pPr>
        <w:ind w:firstLine="709"/>
        <w:jc w:val="both"/>
      </w:pPr>
      <w:r w:rsidRPr="007756D7">
        <w:t xml:space="preserve">До началото на 2018 г., водеща роля по тази мярка </w:t>
      </w:r>
      <w:r>
        <w:t>имаше</w:t>
      </w:r>
      <w:r w:rsidRPr="007756D7">
        <w:t xml:space="preserve"> дирекция „Модернизация на администрацията“ (ДМА) в АМС</w:t>
      </w:r>
      <w:r w:rsidRPr="00A555F8">
        <w:rPr>
          <w:lang w:val="ru-RU"/>
        </w:rPr>
        <w:t xml:space="preserve"> в качеството ѝ на звено,</w:t>
      </w:r>
      <w:r w:rsidRPr="00A408DE">
        <w:t xml:space="preserve"> предлага</w:t>
      </w:r>
      <w:r w:rsidRPr="00A555F8">
        <w:rPr>
          <w:lang w:val="ru-RU"/>
        </w:rPr>
        <w:t>що</w:t>
      </w:r>
      <w:r w:rsidRPr="00A408DE">
        <w:t xml:space="preserve"> инициативи и мерки, свързани със статута на държавния служител, назначаването, освобождаването, длъжностите, подбора, кариерното развитие, оценяването и заплащането на служителите в държавната </w:t>
      </w:r>
      <w:r w:rsidRPr="007433CB">
        <w:t xml:space="preserve">администрация. </w:t>
      </w:r>
      <w:r w:rsidRPr="007433CB">
        <w:rPr>
          <w:lang w:val="ru-RU"/>
        </w:rPr>
        <w:t>С</w:t>
      </w:r>
      <w:r w:rsidRPr="002B4109">
        <w:t xml:space="preserve"> измененията в Закона за държавния служител от 2016 г. е институционализиран механизъм за приемственост в администрацията чрез споделено изпълнение на ключови длъжности.</w:t>
      </w:r>
      <w:r w:rsidRPr="007756D7">
        <w:t xml:space="preserve"> С приемането на нормативната рамка са създадени необходимите условия да се реализират вътрешноорганизационните политики за планиране и управление на кариерата на служителите, както и да се осъществяват програми за приемственост в съответствие с конкретните нужди на съответната администрация. </w:t>
      </w:r>
      <w:r w:rsidRPr="00A555F8">
        <w:rPr>
          <w:lang w:val="ru-RU"/>
        </w:rPr>
        <w:t>В тази връзка с</w:t>
      </w:r>
      <w:r w:rsidRPr="007756D7">
        <w:t xml:space="preserve"> последната промяна на ПКСРДА от м. април 2018 г., отговорността за разработването на подобни програми</w:t>
      </w:r>
      <w:r w:rsidRPr="00A555F8">
        <w:rPr>
          <w:lang w:val="ru-RU"/>
        </w:rPr>
        <w:t xml:space="preserve"> се децентрализира и</w:t>
      </w:r>
      <w:r w:rsidRPr="007756D7">
        <w:t xml:space="preserve"> вече е на отделните администрации</w:t>
      </w:r>
      <w:r w:rsidRPr="007433CB">
        <w:t xml:space="preserve">. По </w:t>
      </w:r>
      <w:r w:rsidRPr="007433CB">
        <w:rPr>
          <w:lang w:val="ru-RU"/>
        </w:rPr>
        <w:t>информация</w:t>
      </w:r>
      <w:r w:rsidRPr="007433CB">
        <w:t xml:space="preserve"> от ДМА, към момента повечето администрации са разработили и прилагат програми за новоназначени служители, съдържащи мерки за ориентацията и адаптацията им</w:t>
      </w:r>
      <w:r w:rsidRPr="002B4109">
        <w:t xml:space="preserve"> към новата работна среда, поради което </w:t>
      </w:r>
      <w:r w:rsidRPr="002B4109">
        <w:rPr>
          <w:lang w:val="ru-RU"/>
        </w:rPr>
        <w:t>отпада</w:t>
      </w:r>
      <w:r w:rsidRPr="002B4109">
        <w:t xml:space="preserve"> необходимост</w:t>
      </w:r>
      <w:r w:rsidRPr="00E458AB">
        <w:rPr>
          <w:lang w:val="ru-RU"/>
        </w:rPr>
        <w:t>та</w:t>
      </w:r>
      <w:r w:rsidRPr="00670F63">
        <w:t xml:space="preserve"> от реализирането на мярка с такава насоченост.</w:t>
      </w:r>
      <w:r w:rsidRPr="007756D7">
        <w:t xml:space="preserve"> </w:t>
      </w:r>
    </w:p>
    <w:p w14:paraId="21CE019C" w14:textId="6FC4C0F6" w:rsidR="006B42B5" w:rsidRPr="00F76D8B" w:rsidRDefault="006B42B5" w:rsidP="006B42B5">
      <w:pPr>
        <w:ind w:firstLine="709"/>
        <w:jc w:val="both"/>
      </w:pPr>
      <w:r w:rsidRPr="00F76D8B">
        <w:t xml:space="preserve">Създадената в нормативната уредба регламентация на процеса на развитие в кариерата на държавните служители до голяма степен решава проблемите, които мерките от ПКСРДА адресират. Настъпилите нормативни промени, очертаващи рамката на процесите по планиране и управление на кариерата на държавните служители, определят политиката в тази област. На тази база множество администрации вече са установили собствена организация относно управлението на тези процеси. Това води до отпадането на необходимостта от осигуряване на финансиране по ОПДУ за реализиране на конкретни проекти с подобна насоченост. </w:t>
      </w:r>
    </w:p>
    <w:p w14:paraId="4173D728" w14:textId="77777777" w:rsidR="006B42B5" w:rsidRPr="00F76D8B" w:rsidRDefault="006B42B5" w:rsidP="006B42B5">
      <w:pPr>
        <w:pStyle w:val="ListParagraph"/>
        <w:spacing w:after="120" w:line="240" w:lineRule="auto"/>
        <w:ind w:left="714"/>
        <w:contextualSpacing w:val="0"/>
        <w:jc w:val="both"/>
        <w:rPr>
          <w:rFonts w:ascii="Times New Roman" w:hAnsi="Times New Roman"/>
          <w:b/>
          <w:i/>
          <w:sz w:val="24"/>
          <w:szCs w:val="24"/>
        </w:rPr>
      </w:pPr>
    </w:p>
    <w:p w14:paraId="4354EF32" w14:textId="29E8E3B1" w:rsidR="00A4648C" w:rsidRDefault="00A4648C" w:rsidP="00376EFF">
      <w:pPr>
        <w:pStyle w:val="ListParagraph"/>
        <w:numPr>
          <w:ilvl w:val="0"/>
          <w:numId w:val="27"/>
        </w:numPr>
        <w:spacing w:after="120" w:line="240" w:lineRule="auto"/>
        <w:contextualSpacing w:val="0"/>
        <w:jc w:val="both"/>
        <w:rPr>
          <w:rFonts w:ascii="Times New Roman" w:hAnsi="Times New Roman"/>
          <w:b/>
          <w:i/>
          <w:sz w:val="24"/>
          <w:szCs w:val="24"/>
        </w:rPr>
      </w:pPr>
      <w:r w:rsidRPr="007756D7">
        <w:rPr>
          <w:rFonts w:ascii="Times New Roman" w:hAnsi="Times New Roman"/>
          <w:b/>
          <w:i/>
          <w:sz w:val="24"/>
          <w:szCs w:val="24"/>
        </w:rPr>
        <w:t xml:space="preserve">R2-3 „Брой подкрепени администрации въвели механизми за управление на кариерата“ </w:t>
      </w:r>
    </w:p>
    <w:p w14:paraId="4166DBD9" w14:textId="269D1097" w:rsidR="009E31C3" w:rsidRDefault="006B42B5" w:rsidP="006B42B5">
      <w:pPr>
        <w:ind w:firstLine="709"/>
        <w:jc w:val="both"/>
      </w:pPr>
      <w:r w:rsidRPr="007756D7">
        <w:t>Този индикатор за резултат е директно свързан с индикатора за изпълнение О2-4 в системата за наблюдение по ОПДУ</w:t>
      </w:r>
      <w:r w:rsidR="009E31C3">
        <w:t>, съответно с изпълнението на</w:t>
      </w:r>
      <w:r w:rsidRPr="007756D7">
        <w:t xml:space="preserve"> мярка „Въвеждане на политики за планиране и управление на кариерата“</w:t>
      </w:r>
      <w:r>
        <w:t xml:space="preserve"> към </w:t>
      </w:r>
      <w:r w:rsidRPr="007756D7">
        <w:t xml:space="preserve">Специфична цел 4.3 „Политики за кариерно развитие“  от ПКСРДА.  </w:t>
      </w:r>
    </w:p>
    <w:p w14:paraId="4BE49552" w14:textId="78BAD03D" w:rsidR="00283DFD" w:rsidRDefault="006B42B5" w:rsidP="006B42B5">
      <w:pPr>
        <w:ind w:firstLine="709"/>
        <w:jc w:val="both"/>
      </w:pPr>
      <w:r w:rsidRPr="00283DFD">
        <w:t xml:space="preserve">Невъзможността за изпълнението на индикатори O2-4 и R2-3 </w:t>
      </w:r>
      <w:r w:rsidR="009E31C3">
        <w:t>е</w:t>
      </w:r>
      <w:r w:rsidRPr="00283DFD">
        <w:t xml:space="preserve"> свързан</w:t>
      </w:r>
      <w:r w:rsidR="009E31C3">
        <w:t>а</w:t>
      </w:r>
      <w:r w:rsidRPr="00283DFD">
        <w:t xml:space="preserve"> с настъпилите промени в нормативната рамка, които водят до промяна на политиката в областта на управление на човешките ресурси в публичната администрация, а оттам и до отпадането на необходимостта от изпълнението на съответните мерки и дейности от ПКСРДА. Следва да се отбележи, че в тази връзка </w:t>
      </w:r>
      <w:r w:rsidR="00CA0F57">
        <w:t>е планирано</w:t>
      </w:r>
      <w:r w:rsidRPr="00283DFD">
        <w:t xml:space="preserve"> изменение на ПКСРДА, в което </w:t>
      </w:r>
      <w:proofErr w:type="spellStart"/>
      <w:r w:rsidR="009E31C3">
        <w:t>относимата</w:t>
      </w:r>
      <w:proofErr w:type="spellEnd"/>
      <w:r w:rsidR="009E31C3">
        <w:t xml:space="preserve"> към двата индикатора</w:t>
      </w:r>
      <w:r w:rsidR="009E31C3" w:rsidRPr="00283DFD">
        <w:t xml:space="preserve"> </w:t>
      </w:r>
      <w:r w:rsidRPr="00283DFD">
        <w:t>м</w:t>
      </w:r>
      <w:r w:rsidR="009E31C3">
        <w:t>ярка</w:t>
      </w:r>
      <w:r w:rsidRPr="00283DFD">
        <w:t xml:space="preserve"> да отпадн</w:t>
      </w:r>
      <w:r w:rsidR="009E31C3">
        <w:t>е</w:t>
      </w:r>
      <w:r w:rsidRPr="00283DFD">
        <w:t xml:space="preserve">. </w:t>
      </w:r>
    </w:p>
    <w:p w14:paraId="667A0384" w14:textId="51D83CBE" w:rsidR="006B42B5" w:rsidRPr="00283DFD" w:rsidRDefault="006B42B5" w:rsidP="006B42B5">
      <w:pPr>
        <w:ind w:firstLine="709"/>
        <w:jc w:val="both"/>
      </w:pPr>
      <w:r w:rsidRPr="00283DFD">
        <w:t>Предвид изложеното по-горе предлагаме индикаторите O2-4 и R2-3 да отпаднат от системата за наблюдение на ОПДУ.</w:t>
      </w:r>
      <w:r w:rsidR="004962AB">
        <w:t xml:space="preserve"> </w:t>
      </w:r>
      <w:r w:rsidR="009E31C3" w:rsidRPr="003C6D28">
        <w:t xml:space="preserve">Във връзка с направеното предложение в текста на </w:t>
      </w:r>
      <w:r w:rsidR="009E31C3" w:rsidRPr="003C6D28">
        <w:lastRenderedPageBreak/>
        <w:t>оперативната програма</w:t>
      </w:r>
      <w:r w:rsidR="003C6D28" w:rsidRPr="00411A62">
        <w:rPr>
          <w:rStyle w:val="FootnoteReference"/>
        </w:rPr>
        <w:footnoteReference w:id="11"/>
      </w:r>
      <w:r w:rsidR="009E31C3" w:rsidRPr="003C6D28">
        <w:t xml:space="preserve"> </w:t>
      </w:r>
      <w:r w:rsidR="004962AB" w:rsidRPr="003C6D28">
        <w:t>са заличени текстове, отнасящи се до интервенциите в областта на управлението на човешките ресурси в държавната администрация.</w:t>
      </w:r>
    </w:p>
    <w:p w14:paraId="6673BC04" w14:textId="77777777" w:rsidR="006B42B5" w:rsidRPr="007756D7" w:rsidRDefault="006B42B5" w:rsidP="006B42B5">
      <w:pPr>
        <w:pStyle w:val="ListParagraph"/>
        <w:spacing w:after="120" w:line="240" w:lineRule="auto"/>
        <w:contextualSpacing w:val="0"/>
        <w:jc w:val="both"/>
        <w:rPr>
          <w:rFonts w:ascii="Times New Roman" w:hAnsi="Times New Roman"/>
          <w:b/>
          <w:i/>
          <w:sz w:val="24"/>
          <w:szCs w:val="24"/>
        </w:rPr>
      </w:pPr>
    </w:p>
    <w:p w14:paraId="60D8B7D0" w14:textId="621A155F" w:rsidR="00486819" w:rsidRPr="007756D7" w:rsidRDefault="00486819" w:rsidP="009C3352">
      <w:pPr>
        <w:pStyle w:val="ListParagraph"/>
        <w:numPr>
          <w:ilvl w:val="1"/>
          <w:numId w:val="35"/>
        </w:numPr>
        <w:spacing w:after="120" w:line="240" w:lineRule="auto"/>
        <w:ind w:left="993" w:hanging="284"/>
        <w:contextualSpacing w:val="0"/>
        <w:jc w:val="both"/>
        <w:rPr>
          <w:rFonts w:ascii="Times New Roman" w:hAnsi="Times New Roman"/>
          <w:b/>
          <w:sz w:val="24"/>
          <w:szCs w:val="24"/>
          <w:u w:val="single"/>
        </w:rPr>
      </w:pPr>
      <w:r w:rsidRPr="007756D7">
        <w:rPr>
          <w:rFonts w:ascii="Times New Roman" w:hAnsi="Times New Roman"/>
          <w:b/>
          <w:sz w:val="24"/>
          <w:szCs w:val="24"/>
          <w:u w:val="single"/>
        </w:rPr>
        <w:t>Намаляване на целеви стойности на индикатори:</w:t>
      </w:r>
    </w:p>
    <w:p w14:paraId="1E2174BD" w14:textId="77777777" w:rsidR="00486819" w:rsidRPr="007756D7" w:rsidRDefault="00486819" w:rsidP="009C3352">
      <w:pPr>
        <w:pStyle w:val="ListParagraph"/>
        <w:numPr>
          <w:ilvl w:val="0"/>
          <w:numId w:val="30"/>
        </w:numPr>
        <w:spacing w:after="120" w:line="240" w:lineRule="auto"/>
        <w:contextualSpacing w:val="0"/>
        <w:jc w:val="both"/>
        <w:rPr>
          <w:rFonts w:ascii="Times New Roman" w:eastAsia="Book Antiqua" w:hAnsi="Times New Roman"/>
          <w:sz w:val="24"/>
          <w:szCs w:val="24"/>
        </w:rPr>
      </w:pPr>
      <w:r w:rsidRPr="007756D7">
        <w:rPr>
          <w:rFonts w:ascii="Times New Roman" w:hAnsi="Times New Roman"/>
          <w:b/>
          <w:sz w:val="24"/>
          <w:szCs w:val="24"/>
        </w:rPr>
        <w:t>О2-1 „Администрации подкрепени за въвеждане на системи за управление на качеството“</w:t>
      </w:r>
      <w:r w:rsidRPr="007756D7">
        <w:rPr>
          <w:rFonts w:ascii="Times New Roman" w:hAnsi="Times New Roman"/>
          <w:sz w:val="24"/>
          <w:szCs w:val="24"/>
        </w:rPr>
        <w:t xml:space="preserve"> </w:t>
      </w:r>
    </w:p>
    <w:p w14:paraId="4F9B37E6" w14:textId="30AD69EE" w:rsidR="00466416" w:rsidRPr="009427DB" w:rsidRDefault="006B42B5" w:rsidP="006B42B5">
      <w:pPr>
        <w:ind w:firstLine="709"/>
        <w:jc w:val="both"/>
        <w:rPr>
          <w:szCs w:val="24"/>
        </w:rPr>
      </w:pPr>
      <w:r w:rsidRPr="009427DB">
        <w:rPr>
          <w:szCs w:val="24"/>
        </w:rPr>
        <w:t xml:space="preserve">Изпълнението на индикатора е обвързано с изпълнението на мярка „Поетапно въвеждане на системи за управление на качеството в цялата администрация“, дейност „Подобряване на ефективността и резултатите в организациите в публичния сектор чрез въвеждане на системи за управление на качеството“ към Специфична цел 1.7 „Въвеждане на системи за управление и контрол на качеството в централната и местната администрация“ от ПКСРДА. </w:t>
      </w:r>
    </w:p>
    <w:p w14:paraId="3C903537" w14:textId="3602C3F8" w:rsidR="006B42B5" w:rsidRPr="009427DB" w:rsidRDefault="00466416" w:rsidP="00E82B0F">
      <w:pPr>
        <w:ind w:firstLine="709"/>
        <w:jc w:val="both"/>
        <w:rPr>
          <w:rFonts w:eastAsia="Book Antiqua"/>
          <w:szCs w:val="24"/>
        </w:rPr>
      </w:pPr>
      <w:r w:rsidRPr="009427DB">
        <w:t>П</w:t>
      </w:r>
      <w:r w:rsidR="006B42B5" w:rsidRPr="009427DB">
        <w:t>оради същественото намаляване на бюджета по оста</w:t>
      </w:r>
      <w:r w:rsidRPr="009427DB">
        <w:t>,</w:t>
      </w:r>
      <w:r w:rsidR="006B42B5" w:rsidRPr="009427DB">
        <w:t xml:space="preserve"> УО на ОПДУ е изправен пред невъзможност за осигуряването на финансов ресурс</w:t>
      </w:r>
      <w:r w:rsidR="00930FCE" w:rsidRPr="009427DB">
        <w:t xml:space="preserve"> </w:t>
      </w:r>
      <w:r w:rsidR="006B42B5" w:rsidRPr="009427DB">
        <w:t>за следващ</w:t>
      </w:r>
      <w:r w:rsidR="007F6461" w:rsidRPr="009427DB">
        <w:t>а</w:t>
      </w:r>
      <w:r w:rsidR="006B42B5" w:rsidRPr="009427DB">
        <w:t xml:space="preserve"> процедура, респективно проект</w:t>
      </w:r>
      <w:r w:rsidR="00172C94" w:rsidRPr="009427DB">
        <w:t>,</w:t>
      </w:r>
      <w:r w:rsidR="006B42B5" w:rsidRPr="009427DB">
        <w:rPr>
          <w:rFonts w:eastAsia="Book Antiqua"/>
          <w:szCs w:val="24"/>
        </w:rPr>
        <w:t xml:space="preserve"> с цел договаряне и постигане на целевата стойност на индикатора </w:t>
      </w:r>
      <w:r w:rsidR="006A2BA5" w:rsidRPr="009427DB">
        <w:rPr>
          <w:rFonts w:eastAsia="Book Antiqua"/>
          <w:szCs w:val="24"/>
        </w:rPr>
        <w:t>д</w:t>
      </w:r>
      <w:r w:rsidR="006B42B5" w:rsidRPr="009427DB">
        <w:rPr>
          <w:rFonts w:eastAsia="Book Antiqua"/>
          <w:szCs w:val="24"/>
        </w:rPr>
        <w:t>о края на 2023 г.</w:t>
      </w:r>
      <w:r w:rsidR="00930FCE" w:rsidRPr="009427DB">
        <w:rPr>
          <w:rFonts w:eastAsia="Book Antiqua"/>
          <w:szCs w:val="24"/>
        </w:rPr>
        <w:t xml:space="preserve"> В условията на новата обективна обстановка разчетите показват, че оставащите по оста средства обезпечават постигането на едва 64 % от целевата стойност на индикатора.  Изчислението е</w:t>
      </w:r>
      <w:r w:rsidR="00667FEA" w:rsidRPr="009427DB">
        <w:rPr>
          <w:rFonts w:eastAsia="Book Antiqua"/>
          <w:szCs w:val="24"/>
        </w:rPr>
        <w:t xml:space="preserve"> извършено при съпоставка на наличния ресурс и необходимия, калкулиран</w:t>
      </w:r>
      <w:r w:rsidR="00930FCE" w:rsidRPr="009427DB">
        <w:rPr>
          <w:rFonts w:eastAsia="Book Antiqua"/>
          <w:szCs w:val="24"/>
        </w:rPr>
        <w:t xml:space="preserve"> въз основа на среден разход за въвеждане на модела в една администрация. </w:t>
      </w:r>
      <w:r w:rsidR="00861B90" w:rsidRPr="009427DB">
        <w:rPr>
          <w:rFonts w:eastAsia="Book Antiqua"/>
          <w:szCs w:val="24"/>
        </w:rPr>
        <w:t>В</w:t>
      </w:r>
      <w:r w:rsidR="006B42B5" w:rsidRPr="009427DB">
        <w:rPr>
          <w:rFonts w:eastAsia="Book Antiqua"/>
          <w:szCs w:val="24"/>
        </w:rPr>
        <w:t xml:space="preserve"> тази връзка предлагаме намаление на целевата стойност на индикатора за 2023 г. </w:t>
      </w:r>
    </w:p>
    <w:p w14:paraId="241EC515" w14:textId="77777777" w:rsidR="006B42B5" w:rsidRDefault="006B42B5" w:rsidP="006B42B5">
      <w:pPr>
        <w:ind w:firstLine="709"/>
        <w:jc w:val="both"/>
        <w:rPr>
          <w:rFonts w:eastAsia="Book Antiqua"/>
          <w:szCs w:val="24"/>
        </w:rPr>
      </w:pPr>
    </w:p>
    <w:p w14:paraId="30830343" w14:textId="3AED8331" w:rsidR="008C643A" w:rsidRPr="0043059A" w:rsidRDefault="008C643A" w:rsidP="008C643A">
      <w:pPr>
        <w:pStyle w:val="ListParagraph"/>
        <w:numPr>
          <w:ilvl w:val="0"/>
          <w:numId w:val="30"/>
        </w:numPr>
        <w:spacing w:after="120" w:line="240" w:lineRule="auto"/>
        <w:contextualSpacing w:val="0"/>
        <w:jc w:val="both"/>
        <w:rPr>
          <w:rFonts w:ascii="Times New Roman" w:hAnsi="Times New Roman"/>
          <w:b/>
          <w:sz w:val="24"/>
          <w:szCs w:val="24"/>
        </w:rPr>
      </w:pPr>
      <w:r w:rsidRPr="0043059A">
        <w:rPr>
          <w:rFonts w:ascii="Times New Roman" w:hAnsi="Times New Roman"/>
          <w:b/>
          <w:sz w:val="24"/>
          <w:szCs w:val="24"/>
        </w:rPr>
        <w:t>О2-2 „Брой извършени функционални прегледи по сектори/политики“</w:t>
      </w:r>
    </w:p>
    <w:p w14:paraId="026EE8B7" w14:textId="77777777" w:rsidR="00172C94" w:rsidRDefault="001F433F" w:rsidP="001F433F">
      <w:pPr>
        <w:ind w:firstLine="709"/>
        <w:jc w:val="both"/>
        <w:rPr>
          <w:rFonts w:eastAsia="Book Antiqua"/>
          <w:szCs w:val="24"/>
        </w:rPr>
      </w:pPr>
      <w:r w:rsidRPr="001F433F">
        <w:rPr>
          <w:rFonts w:eastAsia="Book Antiqua"/>
          <w:szCs w:val="24"/>
        </w:rPr>
        <w:t>Изпълнението на индикатора е обвързано с изпълнението на мярка „Установяване на нов модел на извършване на функционален преглед на структурите и прилагането на хоризонталните политики“, дейност „Практическо приложение на изменената Единна методология за функционален анализ“ към специфична цел 1.4. „Подобряване на институционалната среда“  от ПКСРДА. В ИГРП 2020 е предвидена процедура чрез директно предоставяне на безвъзмездна финансова помощ с наименование „Извършване на функционални анализи по хоризонтални и секторни политики“, с изпълнението на която УО на ОПДУ очакваше да бъде постигната заложената целева стойност на индикатора за 2023</w:t>
      </w:r>
      <w:r w:rsidR="00174636" w:rsidRPr="00BA14B5">
        <w:rPr>
          <w:rFonts w:eastAsia="Book Antiqua"/>
          <w:szCs w:val="24"/>
        </w:rPr>
        <w:t xml:space="preserve"> г</w:t>
      </w:r>
      <w:r w:rsidRPr="001F433F">
        <w:rPr>
          <w:rFonts w:eastAsia="Book Antiqua"/>
          <w:szCs w:val="24"/>
        </w:rPr>
        <w:t>. Процедурата е разработена изцяло в съответствие с решение</w:t>
      </w:r>
      <w:r w:rsidR="00174636" w:rsidRPr="00BA14B5">
        <w:rPr>
          <w:rFonts w:eastAsia="Book Antiqua"/>
          <w:szCs w:val="24"/>
        </w:rPr>
        <w:t>то</w:t>
      </w:r>
      <w:r w:rsidRPr="001F433F">
        <w:rPr>
          <w:rFonts w:eastAsia="Book Antiqua"/>
          <w:szCs w:val="24"/>
        </w:rPr>
        <w:t xml:space="preserve"> по т. 5 от Протокол № 52 от заседанието на САР, проведено на 16 септември 2019</w:t>
      </w:r>
      <w:r w:rsidR="00174636" w:rsidRPr="00BA14B5">
        <w:rPr>
          <w:rFonts w:eastAsia="Book Antiqua"/>
          <w:szCs w:val="24"/>
        </w:rPr>
        <w:t xml:space="preserve"> г.</w:t>
      </w:r>
      <w:r w:rsidRPr="001F433F">
        <w:rPr>
          <w:rFonts w:eastAsia="Book Antiqua"/>
          <w:szCs w:val="24"/>
        </w:rPr>
        <w:t>, с което е одобрен списък от 8 администрации</w:t>
      </w:r>
      <w:r w:rsidR="00C1721F">
        <w:rPr>
          <w:rFonts w:eastAsia="Book Antiqua"/>
          <w:szCs w:val="24"/>
        </w:rPr>
        <w:t xml:space="preserve">, </w:t>
      </w:r>
      <w:r w:rsidRPr="001F433F">
        <w:rPr>
          <w:rFonts w:eastAsia="Book Antiqua"/>
          <w:szCs w:val="24"/>
        </w:rPr>
        <w:t xml:space="preserve">които да бъдат финансирани като конкретни бенефициенти по ОПДУ за извършване на функционални анализи на секторни и хоризонтални политики.  </w:t>
      </w:r>
      <w:r w:rsidR="00C1721F">
        <w:rPr>
          <w:rFonts w:eastAsia="Book Antiqua"/>
          <w:szCs w:val="24"/>
        </w:rPr>
        <w:t xml:space="preserve">В същото решение са определени и 10 области на политики, които </w:t>
      </w:r>
      <w:r w:rsidR="00F34F43">
        <w:rPr>
          <w:rFonts w:eastAsia="Book Antiqua"/>
          <w:szCs w:val="24"/>
        </w:rPr>
        <w:t>д</w:t>
      </w:r>
      <w:r w:rsidR="00C1721F">
        <w:rPr>
          <w:rFonts w:eastAsia="Book Antiqua"/>
          <w:szCs w:val="24"/>
        </w:rPr>
        <w:t>а бъдат обект на функционален анализ.</w:t>
      </w:r>
      <w:r w:rsidR="00F34F43">
        <w:rPr>
          <w:rFonts w:eastAsia="Book Antiqua"/>
          <w:szCs w:val="24"/>
        </w:rPr>
        <w:t xml:space="preserve"> </w:t>
      </w:r>
    </w:p>
    <w:p w14:paraId="33F87441" w14:textId="5FCE2C3D" w:rsidR="00372549" w:rsidRDefault="00F34F43" w:rsidP="001F433F">
      <w:pPr>
        <w:ind w:firstLine="709"/>
        <w:jc w:val="both"/>
        <w:rPr>
          <w:rFonts w:eastAsia="Book Antiqua"/>
          <w:szCs w:val="24"/>
        </w:rPr>
      </w:pPr>
      <w:r>
        <w:rPr>
          <w:rFonts w:eastAsia="Book Antiqua"/>
          <w:szCs w:val="24"/>
        </w:rPr>
        <w:t xml:space="preserve">На 3.6.2020 г. </w:t>
      </w:r>
      <w:r w:rsidR="001F433F" w:rsidRPr="001F433F">
        <w:rPr>
          <w:rFonts w:eastAsia="Book Antiqua"/>
          <w:szCs w:val="24"/>
        </w:rPr>
        <w:t>е прието ново решение на САР, с което се отмен</w:t>
      </w:r>
      <w:r>
        <w:rPr>
          <w:rFonts w:eastAsia="Book Antiqua"/>
          <w:szCs w:val="24"/>
        </w:rPr>
        <w:t>я решението по т. 5 от</w:t>
      </w:r>
      <w:r w:rsidR="001F433F" w:rsidRPr="001F433F">
        <w:rPr>
          <w:rFonts w:eastAsia="Book Antiqua"/>
          <w:szCs w:val="24"/>
        </w:rPr>
        <w:t xml:space="preserve"> </w:t>
      </w:r>
      <w:r w:rsidR="00541235" w:rsidRPr="00BA14B5">
        <w:rPr>
          <w:rFonts w:eastAsia="Book Antiqua"/>
          <w:szCs w:val="24"/>
        </w:rPr>
        <w:t>предходното</w:t>
      </w:r>
      <w:r w:rsidR="001F433F" w:rsidRPr="001F433F">
        <w:rPr>
          <w:rFonts w:eastAsia="Book Antiqua"/>
          <w:szCs w:val="24"/>
        </w:rPr>
        <w:t xml:space="preserve">, с което </w:t>
      </w:r>
      <w:r w:rsidR="00174636" w:rsidRPr="00BA14B5">
        <w:rPr>
          <w:rFonts w:eastAsia="Book Antiqua"/>
          <w:szCs w:val="24"/>
        </w:rPr>
        <w:t>са</w:t>
      </w:r>
      <w:r w:rsidR="001F433F" w:rsidRPr="001F433F">
        <w:rPr>
          <w:rFonts w:eastAsia="Book Antiqua"/>
          <w:szCs w:val="24"/>
        </w:rPr>
        <w:t xml:space="preserve"> одобрен</w:t>
      </w:r>
      <w:r w:rsidR="00174636" w:rsidRPr="00BA14B5">
        <w:rPr>
          <w:rFonts w:eastAsia="Book Antiqua"/>
          <w:szCs w:val="24"/>
        </w:rPr>
        <w:t>и</w:t>
      </w:r>
      <w:r w:rsidR="001F433F" w:rsidRPr="001F433F">
        <w:rPr>
          <w:rFonts w:eastAsia="Book Antiqua"/>
          <w:szCs w:val="24"/>
        </w:rPr>
        <w:t xml:space="preserve"> администрации</w:t>
      </w:r>
      <w:r w:rsidR="00174636" w:rsidRPr="00BA14B5">
        <w:rPr>
          <w:rFonts w:eastAsia="Book Antiqua"/>
          <w:szCs w:val="24"/>
        </w:rPr>
        <w:t>те</w:t>
      </w:r>
      <w:r w:rsidR="00372549" w:rsidRPr="00BA14B5">
        <w:rPr>
          <w:rFonts w:eastAsia="Book Antiqua"/>
          <w:szCs w:val="24"/>
        </w:rPr>
        <w:t xml:space="preserve"> за</w:t>
      </w:r>
      <w:r w:rsidR="001F433F" w:rsidRPr="001F433F">
        <w:rPr>
          <w:rFonts w:eastAsia="Book Antiqua"/>
          <w:szCs w:val="24"/>
        </w:rPr>
        <w:t xml:space="preserve"> финансиран</w:t>
      </w:r>
      <w:r w:rsidR="00372549" w:rsidRPr="00BA14B5">
        <w:rPr>
          <w:rFonts w:eastAsia="Book Antiqua"/>
          <w:szCs w:val="24"/>
        </w:rPr>
        <w:t>е</w:t>
      </w:r>
      <w:r w:rsidR="001F433F" w:rsidRPr="001F433F">
        <w:rPr>
          <w:rFonts w:eastAsia="Book Antiqua"/>
          <w:szCs w:val="24"/>
        </w:rPr>
        <w:t xml:space="preserve"> като конкретни бенефициенти по ОПДУ за извършване на функционални</w:t>
      </w:r>
      <w:r w:rsidR="00372549" w:rsidRPr="00BA14B5">
        <w:rPr>
          <w:rFonts w:eastAsia="Book Antiqua"/>
          <w:szCs w:val="24"/>
        </w:rPr>
        <w:t>те</w:t>
      </w:r>
      <w:r w:rsidR="001F433F" w:rsidRPr="001F433F">
        <w:rPr>
          <w:rFonts w:eastAsia="Book Antiqua"/>
          <w:szCs w:val="24"/>
        </w:rPr>
        <w:t xml:space="preserve"> анализи</w:t>
      </w:r>
      <w:r w:rsidR="00372549" w:rsidRPr="00BA14B5">
        <w:rPr>
          <w:rFonts w:eastAsia="Book Antiqua"/>
          <w:szCs w:val="24"/>
        </w:rPr>
        <w:t>.</w:t>
      </w:r>
      <w:r w:rsidR="001F433F" w:rsidRPr="001F433F">
        <w:rPr>
          <w:rFonts w:eastAsia="Book Antiqua"/>
          <w:szCs w:val="24"/>
        </w:rPr>
        <w:t xml:space="preserve"> </w:t>
      </w:r>
      <w:r w:rsidR="00541235" w:rsidRPr="00BA14B5">
        <w:rPr>
          <w:rFonts w:eastAsia="Book Antiqua"/>
          <w:szCs w:val="24"/>
        </w:rPr>
        <w:t>Мотивите за решение</w:t>
      </w:r>
      <w:r w:rsidR="00172C94">
        <w:rPr>
          <w:rFonts w:eastAsia="Book Antiqua"/>
          <w:szCs w:val="24"/>
        </w:rPr>
        <w:t>то</w:t>
      </w:r>
      <w:r w:rsidR="00541235" w:rsidRPr="00BA14B5">
        <w:rPr>
          <w:rFonts w:eastAsia="Book Antiqua"/>
          <w:szCs w:val="24"/>
        </w:rPr>
        <w:t xml:space="preserve"> са свързани с това, че</w:t>
      </w:r>
      <w:r w:rsidR="001F433F" w:rsidRPr="001F433F">
        <w:rPr>
          <w:rFonts w:eastAsia="Book Antiqua"/>
          <w:szCs w:val="24"/>
        </w:rPr>
        <w:t xml:space="preserve"> извършването на функционални анализи не е приоритетно предвид създала</w:t>
      </w:r>
      <w:r w:rsidR="00541235" w:rsidRPr="00BA14B5">
        <w:rPr>
          <w:rFonts w:eastAsia="Book Antiqua"/>
          <w:szCs w:val="24"/>
        </w:rPr>
        <w:t>та</w:t>
      </w:r>
      <w:r w:rsidR="001F433F" w:rsidRPr="001F433F">
        <w:rPr>
          <w:rFonts w:eastAsia="Book Antiqua"/>
          <w:szCs w:val="24"/>
        </w:rPr>
        <w:t xml:space="preserve"> се социалн</w:t>
      </w:r>
      <w:r w:rsidR="00541235" w:rsidRPr="00BA14B5">
        <w:rPr>
          <w:rFonts w:eastAsia="Book Antiqua"/>
          <w:szCs w:val="24"/>
        </w:rPr>
        <w:t>о-</w:t>
      </w:r>
      <w:r w:rsidR="001F433F" w:rsidRPr="001F433F">
        <w:rPr>
          <w:rFonts w:eastAsia="Book Antiqua"/>
          <w:szCs w:val="24"/>
        </w:rPr>
        <w:t>икономическа обстановка в резултат на разпространението на COVID-</w:t>
      </w:r>
      <w:r w:rsidR="001F433F" w:rsidRPr="001F433F">
        <w:rPr>
          <w:rFonts w:eastAsia="Book Antiqua"/>
          <w:szCs w:val="24"/>
        </w:rPr>
        <w:lastRenderedPageBreak/>
        <w:t>19</w:t>
      </w:r>
      <w:r w:rsidR="00541235" w:rsidRPr="00BA14B5">
        <w:rPr>
          <w:rFonts w:eastAsia="Book Antiqua"/>
          <w:szCs w:val="24"/>
        </w:rPr>
        <w:t xml:space="preserve"> и крайно негативните последици от това</w:t>
      </w:r>
      <w:r w:rsidR="001F433F" w:rsidRPr="001F433F">
        <w:rPr>
          <w:rFonts w:eastAsia="Book Antiqua"/>
          <w:szCs w:val="24"/>
        </w:rPr>
        <w:t xml:space="preserve">. </w:t>
      </w:r>
      <w:r w:rsidR="00C90628">
        <w:rPr>
          <w:rFonts w:eastAsia="Book Antiqua"/>
          <w:szCs w:val="24"/>
        </w:rPr>
        <w:t>В резултат на това планираните 10 функционални прегледа отпад</w:t>
      </w:r>
      <w:r w:rsidR="00A95F44">
        <w:rPr>
          <w:rFonts w:eastAsia="Book Antiqua"/>
          <w:szCs w:val="24"/>
        </w:rPr>
        <w:t>а</w:t>
      </w:r>
      <w:r w:rsidR="00C90628">
        <w:rPr>
          <w:rFonts w:eastAsia="Book Antiqua"/>
          <w:szCs w:val="24"/>
        </w:rPr>
        <w:t>т.</w:t>
      </w:r>
    </w:p>
    <w:p w14:paraId="4454DB52" w14:textId="546001E5" w:rsidR="001F433F" w:rsidRPr="001F433F" w:rsidRDefault="001F433F" w:rsidP="001F433F">
      <w:pPr>
        <w:ind w:firstLine="709"/>
        <w:jc w:val="both"/>
        <w:rPr>
          <w:rFonts w:eastAsia="Book Antiqua"/>
          <w:szCs w:val="24"/>
        </w:rPr>
      </w:pPr>
      <w:r w:rsidRPr="001F433F">
        <w:rPr>
          <w:rFonts w:eastAsia="Book Antiqua"/>
          <w:szCs w:val="24"/>
        </w:rPr>
        <w:t>САР е консултативен орган на Министерския съвет</w:t>
      </w:r>
      <w:r w:rsidR="00541235" w:rsidRPr="00BA14B5">
        <w:rPr>
          <w:rFonts w:eastAsia="Book Antiqua"/>
          <w:szCs w:val="24"/>
        </w:rPr>
        <w:t>, отговорен за</w:t>
      </w:r>
      <w:r w:rsidRPr="001F433F">
        <w:rPr>
          <w:rFonts w:eastAsia="Book Antiqua"/>
          <w:szCs w:val="24"/>
        </w:rPr>
        <w:t xml:space="preserve"> </w:t>
      </w:r>
      <w:r w:rsidR="00541235" w:rsidRPr="00541235">
        <w:rPr>
          <w:rFonts w:eastAsia="Book Antiqua"/>
          <w:szCs w:val="24"/>
        </w:rPr>
        <w:t>координацията на правителствената политика в областта на държавната администрация</w:t>
      </w:r>
      <w:r w:rsidR="005456B4" w:rsidRPr="00BA14B5">
        <w:rPr>
          <w:rFonts w:eastAsia="Book Antiqua"/>
          <w:szCs w:val="24"/>
        </w:rPr>
        <w:t xml:space="preserve">. Една от функциите му е да прави преглед на структурата, дейността и организационното състояние на администрациите в изпълнителната власт и да предлага стратегически насоки и политики за тяхното развитие и усъвършенстване. В този смисъл САР </w:t>
      </w:r>
      <w:r w:rsidRPr="001F433F">
        <w:rPr>
          <w:rFonts w:eastAsia="Book Antiqua"/>
          <w:szCs w:val="24"/>
        </w:rPr>
        <w:t xml:space="preserve">е органът, който следва да определи </w:t>
      </w:r>
      <w:r w:rsidR="005456B4" w:rsidRPr="00BA14B5">
        <w:rPr>
          <w:rFonts w:eastAsia="Book Antiqua"/>
          <w:szCs w:val="24"/>
        </w:rPr>
        <w:t>има ли области на</w:t>
      </w:r>
      <w:r w:rsidR="005456B4" w:rsidRPr="005456B4">
        <w:rPr>
          <w:rFonts w:eastAsia="Book Antiqua"/>
          <w:szCs w:val="24"/>
        </w:rPr>
        <w:t xml:space="preserve"> </w:t>
      </w:r>
      <w:r w:rsidR="005456B4" w:rsidRPr="001F433F">
        <w:rPr>
          <w:rFonts w:eastAsia="Book Antiqua"/>
          <w:szCs w:val="24"/>
        </w:rPr>
        <w:t>политик</w:t>
      </w:r>
      <w:r w:rsidR="005456B4" w:rsidRPr="00BA14B5">
        <w:rPr>
          <w:rFonts w:eastAsia="Book Antiqua"/>
          <w:szCs w:val="24"/>
        </w:rPr>
        <w:t>а/сектори, на които</w:t>
      </w:r>
      <w:r w:rsidRPr="001F433F">
        <w:rPr>
          <w:rFonts w:eastAsia="Book Antiqua"/>
          <w:szCs w:val="24"/>
        </w:rPr>
        <w:t xml:space="preserve"> да бъде извършен функционален анализ и </w:t>
      </w:r>
      <w:r w:rsidR="005456B4" w:rsidRPr="00BA14B5">
        <w:rPr>
          <w:rFonts w:eastAsia="Book Antiqua"/>
          <w:szCs w:val="24"/>
        </w:rPr>
        <w:t>кои конкретно са приоритетните.</w:t>
      </w:r>
    </w:p>
    <w:p w14:paraId="6C7E11C9" w14:textId="18E23AD6" w:rsidR="008C643A" w:rsidRDefault="008C2ACA" w:rsidP="00BB0E84">
      <w:pPr>
        <w:ind w:firstLine="709"/>
        <w:jc w:val="both"/>
        <w:rPr>
          <w:rFonts w:eastAsia="Book Antiqua"/>
          <w:szCs w:val="24"/>
        </w:rPr>
      </w:pPr>
      <w:r>
        <w:rPr>
          <w:rFonts w:eastAsia="Book Antiqua"/>
          <w:szCs w:val="24"/>
        </w:rPr>
        <w:t xml:space="preserve">С </w:t>
      </w:r>
      <w:r w:rsidR="005456B4" w:rsidRPr="00BA14B5">
        <w:rPr>
          <w:rFonts w:eastAsia="Book Antiqua"/>
          <w:szCs w:val="24"/>
        </w:rPr>
        <w:t>решение</w:t>
      </w:r>
      <w:r>
        <w:rPr>
          <w:rFonts w:eastAsia="Book Antiqua"/>
          <w:szCs w:val="24"/>
        </w:rPr>
        <w:t>то</w:t>
      </w:r>
      <w:r w:rsidR="005456B4" w:rsidRPr="00BA14B5">
        <w:rPr>
          <w:rFonts w:eastAsia="Book Antiqua"/>
          <w:szCs w:val="24"/>
        </w:rPr>
        <w:t xml:space="preserve"> на САР </w:t>
      </w:r>
      <w:r>
        <w:rPr>
          <w:rFonts w:eastAsia="Book Antiqua"/>
          <w:szCs w:val="24"/>
        </w:rPr>
        <w:t>с</w:t>
      </w:r>
      <w:r w:rsidR="005456B4" w:rsidRPr="00BA14B5">
        <w:rPr>
          <w:rFonts w:eastAsia="Book Antiqua"/>
          <w:szCs w:val="24"/>
        </w:rPr>
        <w:t xml:space="preserve">е </w:t>
      </w:r>
      <w:proofErr w:type="spellStart"/>
      <w:r w:rsidR="005456B4" w:rsidRPr="00BA14B5">
        <w:rPr>
          <w:rFonts w:eastAsia="Book Antiqua"/>
          <w:szCs w:val="24"/>
        </w:rPr>
        <w:t>обективира</w:t>
      </w:r>
      <w:proofErr w:type="spellEnd"/>
      <w:r w:rsidR="005456B4" w:rsidRPr="00BA14B5">
        <w:rPr>
          <w:rFonts w:eastAsia="Book Antiqua"/>
          <w:szCs w:val="24"/>
        </w:rPr>
        <w:t xml:space="preserve"> промяна в политиката по отно</w:t>
      </w:r>
      <w:r w:rsidR="00C90628">
        <w:rPr>
          <w:rFonts w:eastAsia="Book Antiqua"/>
          <w:szCs w:val="24"/>
        </w:rPr>
        <w:t>ш</w:t>
      </w:r>
      <w:r w:rsidR="005456B4" w:rsidRPr="00BA14B5">
        <w:rPr>
          <w:rFonts w:eastAsia="Book Antiqua"/>
          <w:szCs w:val="24"/>
        </w:rPr>
        <w:t xml:space="preserve">ение на организационното развитие на администрацията, наложена от възникналите непредвидени обстоятелства. </w:t>
      </w:r>
      <w:r w:rsidR="005456B4" w:rsidRPr="001F433F">
        <w:rPr>
          <w:rFonts w:eastAsia="Book Antiqua"/>
          <w:szCs w:val="24"/>
        </w:rPr>
        <w:t xml:space="preserve">Това </w:t>
      </w:r>
      <w:r>
        <w:rPr>
          <w:rFonts w:eastAsia="Book Antiqua"/>
          <w:szCs w:val="24"/>
        </w:rPr>
        <w:t>води</w:t>
      </w:r>
      <w:r w:rsidR="005456B4" w:rsidRPr="001F433F">
        <w:rPr>
          <w:rFonts w:eastAsia="Book Antiqua"/>
          <w:szCs w:val="24"/>
        </w:rPr>
        <w:t xml:space="preserve"> до отпадане на необходимостта от изпълнението на съответн</w:t>
      </w:r>
      <w:r w:rsidR="006474A2" w:rsidRPr="00BA14B5">
        <w:rPr>
          <w:rFonts w:eastAsia="Book Antiqua"/>
          <w:szCs w:val="24"/>
        </w:rPr>
        <w:t>ата</w:t>
      </w:r>
      <w:r w:rsidR="005456B4" w:rsidRPr="001F433F">
        <w:rPr>
          <w:rFonts w:eastAsia="Book Antiqua"/>
          <w:szCs w:val="24"/>
        </w:rPr>
        <w:t xml:space="preserve"> м</w:t>
      </w:r>
      <w:r w:rsidR="006474A2" w:rsidRPr="00BA14B5">
        <w:rPr>
          <w:rFonts w:eastAsia="Book Antiqua"/>
          <w:szCs w:val="24"/>
        </w:rPr>
        <w:t>ярка</w:t>
      </w:r>
      <w:r w:rsidR="005456B4" w:rsidRPr="001F433F">
        <w:rPr>
          <w:rFonts w:eastAsia="Book Antiqua"/>
          <w:szCs w:val="24"/>
        </w:rPr>
        <w:t xml:space="preserve"> в ПКСРДА</w:t>
      </w:r>
      <w:r w:rsidR="006474A2" w:rsidRPr="006474A2">
        <w:rPr>
          <w:rFonts w:eastAsia="Book Antiqua"/>
          <w:szCs w:val="24"/>
        </w:rPr>
        <w:t xml:space="preserve"> </w:t>
      </w:r>
      <w:r w:rsidR="006474A2" w:rsidRPr="00BA14B5">
        <w:rPr>
          <w:rFonts w:eastAsia="Book Antiqua"/>
          <w:szCs w:val="24"/>
        </w:rPr>
        <w:t>(</w:t>
      </w:r>
      <w:r>
        <w:rPr>
          <w:rFonts w:eastAsia="Book Antiqua"/>
          <w:szCs w:val="24"/>
        </w:rPr>
        <w:t xml:space="preserve">в тази връзка е </w:t>
      </w:r>
      <w:r w:rsidR="006474A2" w:rsidRPr="001F433F">
        <w:rPr>
          <w:rFonts w:eastAsia="Book Antiqua"/>
          <w:szCs w:val="24"/>
        </w:rPr>
        <w:t>планирано</w:t>
      </w:r>
      <w:r w:rsidR="006474A2" w:rsidRPr="00BA14B5">
        <w:rPr>
          <w:rFonts w:eastAsia="Book Antiqua"/>
          <w:szCs w:val="24"/>
        </w:rPr>
        <w:t xml:space="preserve"> </w:t>
      </w:r>
      <w:r>
        <w:rPr>
          <w:rFonts w:eastAsia="Book Antiqua"/>
          <w:szCs w:val="24"/>
        </w:rPr>
        <w:t xml:space="preserve">и нейното </w:t>
      </w:r>
      <w:r w:rsidR="006474A2" w:rsidRPr="001F433F">
        <w:rPr>
          <w:rFonts w:eastAsia="Book Antiqua"/>
          <w:szCs w:val="24"/>
        </w:rPr>
        <w:t>изменение</w:t>
      </w:r>
      <w:r w:rsidR="006474A2">
        <w:rPr>
          <w:rFonts w:eastAsia="Book Antiqua"/>
          <w:szCs w:val="24"/>
        </w:rPr>
        <w:t>)</w:t>
      </w:r>
      <w:r w:rsidR="006474A2" w:rsidRPr="00BA14B5">
        <w:rPr>
          <w:rFonts w:eastAsia="Book Antiqua"/>
          <w:szCs w:val="24"/>
        </w:rPr>
        <w:t>, респективно –</w:t>
      </w:r>
      <w:r w:rsidR="005456B4" w:rsidRPr="00BA14B5">
        <w:rPr>
          <w:rFonts w:eastAsia="Book Antiqua"/>
          <w:szCs w:val="24"/>
        </w:rPr>
        <w:t xml:space="preserve"> до н</w:t>
      </w:r>
      <w:r w:rsidR="001F433F" w:rsidRPr="001F433F">
        <w:rPr>
          <w:rFonts w:eastAsia="Book Antiqua"/>
          <w:szCs w:val="24"/>
        </w:rPr>
        <w:t>евъзможност за изпълнението на индикатор O2-2</w:t>
      </w:r>
      <w:r w:rsidR="005456B4" w:rsidRPr="00BA14B5">
        <w:rPr>
          <w:rFonts w:eastAsia="Book Antiqua"/>
          <w:szCs w:val="24"/>
        </w:rPr>
        <w:t xml:space="preserve">. </w:t>
      </w:r>
      <w:r w:rsidR="001F433F" w:rsidRPr="001F433F">
        <w:rPr>
          <w:rFonts w:eastAsia="Book Antiqua"/>
          <w:szCs w:val="24"/>
        </w:rPr>
        <w:t>В тази връзка предлагаме намаление на целевата стойност на индикатора за 2023 г.</w:t>
      </w:r>
    </w:p>
    <w:p w14:paraId="58FC39B3" w14:textId="77777777" w:rsidR="006474A2" w:rsidRPr="001F433F" w:rsidRDefault="006474A2" w:rsidP="00BB0E84">
      <w:pPr>
        <w:ind w:firstLine="709"/>
        <w:jc w:val="both"/>
        <w:rPr>
          <w:rFonts w:eastAsia="Book Antiqua"/>
          <w:szCs w:val="24"/>
        </w:rPr>
      </w:pPr>
    </w:p>
    <w:p w14:paraId="7A20CBB7" w14:textId="2A2C257C" w:rsidR="00486819" w:rsidRDefault="0008104D" w:rsidP="009C3352">
      <w:pPr>
        <w:pStyle w:val="ListParagraph"/>
        <w:numPr>
          <w:ilvl w:val="0"/>
          <w:numId w:val="31"/>
        </w:numPr>
        <w:spacing w:after="120" w:line="240" w:lineRule="auto"/>
        <w:contextualSpacing w:val="0"/>
        <w:jc w:val="both"/>
        <w:rPr>
          <w:rFonts w:ascii="Times New Roman" w:eastAsia="Book Antiqua" w:hAnsi="Times New Roman"/>
          <w:sz w:val="24"/>
          <w:szCs w:val="24"/>
        </w:rPr>
      </w:pPr>
      <w:r>
        <w:rPr>
          <w:rFonts w:ascii="Times New Roman" w:eastAsia="Book Antiqua" w:hAnsi="Times New Roman"/>
          <w:b/>
          <w:sz w:val="24"/>
          <w:szCs w:val="24"/>
        </w:rPr>
        <w:t>О2-6 „</w:t>
      </w:r>
      <w:r w:rsidR="00486819" w:rsidRPr="007756D7">
        <w:rPr>
          <w:rFonts w:ascii="Times New Roman" w:eastAsia="Book Antiqua" w:hAnsi="Times New Roman"/>
          <w:b/>
          <w:sz w:val="24"/>
          <w:szCs w:val="24"/>
        </w:rPr>
        <w:t>Обучени служители от администрацията”</w:t>
      </w:r>
      <w:r w:rsidR="00486819" w:rsidRPr="007756D7">
        <w:rPr>
          <w:rFonts w:ascii="Times New Roman" w:eastAsia="Book Antiqua" w:hAnsi="Times New Roman"/>
          <w:sz w:val="24"/>
          <w:szCs w:val="24"/>
        </w:rPr>
        <w:t xml:space="preserve"> </w:t>
      </w:r>
    </w:p>
    <w:p w14:paraId="48998715" w14:textId="77777777" w:rsidR="0023656D" w:rsidRDefault="006B42B5" w:rsidP="008E7997">
      <w:pPr>
        <w:ind w:firstLine="709"/>
        <w:jc w:val="both"/>
      </w:pPr>
      <w:r w:rsidRPr="007756D7">
        <w:rPr>
          <w:szCs w:val="24"/>
        </w:rPr>
        <w:t>Изпълнението на ин</w:t>
      </w:r>
      <w:r>
        <w:rPr>
          <w:szCs w:val="24"/>
        </w:rPr>
        <w:t>дикатора е обвързано с</w:t>
      </w:r>
      <w:r w:rsidRPr="007756D7">
        <w:rPr>
          <w:szCs w:val="24"/>
        </w:rPr>
        <w:t xml:space="preserve"> м</w:t>
      </w:r>
      <w:r w:rsidR="0054248F">
        <w:rPr>
          <w:szCs w:val="24"/>
        </w:rPr>
        <w:t>ерки</w:t>
      </w:r>
      <w:r>
        <w:rPr>
          <w:szCs w:val="24"/>
        </w:rPr>
        <w:t xml:space="preserve"> към </w:t>
      </w:r>
      <w:r w:rsidR="0054248F">
        <w:t>Специфични</w:t>
      </w:r>
      <w:r w:rsidRPr="00E47FAF">
        <w:t xml:space="preserve"> цел</w:t>
      </w:r>
      <w:r w:rsidR="0054248F">
        <w:t>и</w:t>
      </w:r>
      <w:r w:rsidRPr="00E47FAF">
        <w:t xml:space="preserve"> 4.4 „Подобряване на ум</w:t>
      </w:r>
      <w:r w:rsidRPr="00443C13">
        <w:t>енията“</w:t>
      </w:r>
      <w:r w:rsidR="0054248F">
        <w:t xml:space="preserve"> и 4.5 „</w:t>
      </w:r>
      <w:r w:rsidR="0054248F" w:rsidRPr="0054248F">
        <w:t>Подобряване на капацитета за участие в процеса на вземане на решения в ЕС и изпълнение на ангажиментите на България</w:t>
      </w:r>
      <w:r w:rsidR="0054248F">
        <w:t>“</w:t>
      </w:r>
      <w:r w:rsidRPr="00443C13">
        <w:t xml:space="preserve"> от ПКСРДА.</w:t>
      </w:r>
      <w:r w:rsidR="00C30FB5">
        <w:t xml:space="preserve"> </w:t>
      </w:r>
    </w:p>
    <w:p w14:paraId="4ED348C0" w14:textId="4B21E23B" w:rsidR="00FF7CC2" w:rsidRPr="00BA14B5" w:rsidRDefault="0023656D" w:rsidP="008E7997">
      <w:pPr>
        <w:ind w:firstLine="709"/>
        <w:jc w:val="both"/>
      </w:pPr>
      <w:r w:rsidRPr="0023656D">
        <w:t xml:space="preserve">Целевата стойност на индикатора от 175 хил. е определена на базата на опита от предходния програмен период по ОПАК, без да се отчетат спецификите на ОПДУ като нов подход и философия на провеждането на обучения по програмата. За разлика от ОПАК, по която са финансирани и обучения по общи компетенции като общи езикови обучения, обучения за базова компютърна грамотност и </w:t>
      </w:r>
      <w:proofErr w:type="spellStart"/>
      <w:r w:rsidRPr="0023656D">
        <w:t>тийм</w:t>
      </w:r>
      <w:proofErr w:type="spellEnd"/>
      <w:r w:rsidRPr="0023656D">
        <w:t xml:space="preserve"> билдинг дейности (преобладаващо по проекти на </w:t>
      </w:r>
      <w:r>
        <w:t>отделни</w:t>
      </w:r>
      <w:r w:rsidRPr="0023656D">
        <w:t xml:space="preserve"> администрации на общинско, областно и централно ниво), през този програмен период се въведе концептуално нов подход при предоставяне на БФП за обучения. Обученията се предоставят основно от обучителни институции, които покриват определени категории служители от администрацията на база на идентифицирани конкретни потребности. Това съществено ограничава както броя на потенциалните бенефициенти по ОПДУ, така и броя на обучаемите. </w:t>
      </w:r>
      <w:r w:rsidR="00C20D75">
        <w:t>С</w:t>
      </w:r>
      <w:r w:rsidRPr="0023656D">
        <w:t>ледва да се отбележи</w:t>
      </w:r>
      <w:r w:rsidR="00C20D75">
        <w:t xml:space="preserve"> и фактът, че по ОПАК при над 600 проекти</w:t>
      </w:r>
      <w:r w:rsidRPr="0023656D">
        <w:t xml:space="preserve"> за обучения по </w:t>
      </w:r>
      <w:proofErr w:type="spellStart"/>
      <w:r w:rsidRPr="0023656D">
        <w:t>ПО</w:t>
      </w:r>
      <w:proofErr w:type="spellEnd"/>
      <w:r w:rsidR="00172C94">
        <w:t xml:space="preserve"> </w:t>
      </w:r>
      <w:r w:rsidRPr="0023656D">
        <w:t xml:space="preserve">2, </w:t>
      </w:r>
      <w:proofErr w:type="spellStart"/>
      <w:r w:rsidRPr="0023656D">
        <w:t>подприоритет</w:t>
      </w:r>
      <w:proofErr w:type="spellEnd"/>
      <w:r w:rsidRPr="0023656D">
        <w:t xml:space="preserve"> </w:t>
      </w:r>
      <w:r w:rsidR="00817C23">
        <w:t>„</w:t>
      </w:r>
      <w:r w:rsidRPr="0023656D">
        <w:t>Компетентна и ефективна държавна администрация”, общо обучените служители в администрацията (</w:t>
      </w:r>
      <w:proofErr w:type="spellStart"/>
      <w:r w:rsidRPr="0023656D">
        <w:t>човекообученията</w:t>
      </w:r>
      <w:proofErr w:type="spellEnd"/>
      <w:r w:rsidRPr="0023656D">
        <w:t>) са малко над 146 хил.</w:t>
      </w:r>
      <w:r w:rsidR="00C20D75">
        <w:t xml:space="preserve"> </w:t>
      </w:r>
      <w:r w:rsidR="00FF7CC2" w:rsidRPr="00BA14B5">
        <w:t>Не е налице и тенденция към нарастване на числеността на адм</w:t>
      </w:r>
      <w:r w:rsidR="00172C94">
        <w:t>инистрацията, коя</w:t>
      </w:r>
      <w:r w:rsidR="00FF7CC2" w:rsidRPr="00BA14B5">
        <w:t xml:space="preserve">то да налага по-голям брой на обучените. </w:t>
      </w:r>
    </w:p>
    <w:p w14:paraId="11A2C3ED" w14:textId="754D3F6C" w:rsidR="0023656D" w:rsidRDefault="00C20D75" w:rsidP="008E7997">
      <w:pPr>
        <w:ind w:firstLine="709"/>
        <w:jc w:val="both"/>
      </w:pPr>
      <w:r>
        <w:t xml:space="preserve">Изложеното свидетелства за това, че целевата стойност на индикатор О2-6 не е съобразена с натрупания към момента на </w:t>
      </w:r>
      <w:r w:rsidR="009E116F">
        <w:t>програмирането на ОПДУ</w:t>
      </w:r>
      <w:r>
        <w:t xml:space="preserve"> опит</w:t>
      </w:r>
      <w:r w:rsidR="00A825AC" w:rsidRPr="00BA14B5">
        <w:t xml:space="preserve"> по предходната програма</w:t>
      </w:r>
      <w:r>
        <w:t xml:space="preserve">, както и с </w:t>
      </w:r>
      <w:r w:rsidR="009D6C21">
        <w:t xml:space="preserve">качествено новата </w:t>
      </w:r>
      <w:r>
        <w:t xml:space="preserve">концепция за финансиране на проекти за обучения по </w:t>
      </w:r>
      <w:r w:rsidR="009E116F">
        <w:t>програмата</w:t>
      </w:r>
      <w:r>
        <w:t>.</w:t>
      </w:r>
      <w:r w:rsidR="00F20D13">
        <w:t xml:space="preserve"> </w:t>
      </w:r>
      <w:r w:rsidR="00F20D13" w:rsidRPr="00F20D13">
        <w:t xml:space="preserve">В тази връзка считаме, че при </w:t>
      </w:r>
      <w:r w:rsidR="00F20D13">
        <w:t>определянето на целевата стойност на индикатора</w:t>
      </w:r>
      <w:r w:rsidR="00F20D13" w:rsidRPr="00F20D13">
        <w:t xml:space="preserve"> са направени грешни допускания по смисъла на чл. 5, параграф 6 от Регламента за изпълнение (ЕС) 215/2014</w:t>
      </w:r>
      <w:r w:rsidR="00F20D13">
        <w:t>.</w:t>
      </w:r>
    </w:p>
    <w:p w14:paraId="09B40F93" w14:textId="77777777" w:rsidR="0023656D" w:rsidRDefault="0023656D" w:rsidP="008E7997">
      <w:pPr>
        <w:ind w:firstLine="709"/>
        <w:jc w:val="both"/>
      </w:pPr>
    </w:p>
    <w:p w14:paraId="29C32CCC" w14:textId="0E955B7D" w:rsidR="004E3883" w:rsidRDefault="008E7997" w:rsidP="008E7997">
      <w:pPr>
        <w:ind w:firstLine="709"/>
        <w:jc w:val="both"/>
        <w:rPr>
          <w:rFonts w:eastAsia="Book Antiqua"/>
          <w:szCs w:val="24"/>
        </w:rPr>
      </w:pPr>
      <w:r>
        <w:rPr>
          <w:rFonts w:eastAsia="Book Antiqua"/>
          <w:szCs w:val="24"/>
        </w:rPr>
        <w:t>За изпълнение</w:t>
      </w:r>
      <w:r w:rsidR="00817C23">
        <w:rPr>
          <w:rFonts w:eastAsia="Book Antiqua"/>
          <w:szCs w:val="24"/>
        </w:rPr>
        <w:t>то на мерките по Специфични цели 4.4 и 4.5 от ПКС</w:t>
      </w:r>
      <w:r w:rsidR="000C7245">
        <w:rPr>
          <w:rFonts w:eastAsia="Book Antiqua"/>
          <w:szCs w:val="24"/>
        </w:rPr>
        <w:t>Р</w:t>
      </w:r>
      <w:r w:rsidR="00817C23">
        <w:rPr>
          <w:rFonts w:eastAsia="Book Antiqua"/>
          <w:szCs w:val="24"/>
        </w:rPr>
        <w:t xml:space="preserve">ДА </w:t>
      </w:r>
      <w:r>
        <w:rPr>
          <w:rFonts w:eastAsia="Book Antiqua"/>
          <w:szCs w:val="24"/>
        </w:rPr>
        <w:t xml:space="preserve">по ОПДУ са предвидени </w:t>
      </w:r>
      <w:r w:rsidR="0054248F">
        <w:rPr>
          <w:rFonts w:eastAsia="Book Antiqua"/>
          <w:szCs w:val="24"/>
        </w:rPr>
        <w:t>64</w:t>
      </w:r>
      <w:r>
        <w:rPr>
          <w:rFonts w:eastAsia="Book Antiqua"/>
          <w:szCs w:val="24"/>
        </w:rPr>
        <w:t>,</w:t>
      </w:r>
      <w:r w:rsidR="0054248F">
        <w:rPr>
          <w:rFonts w:eastAsia="Book Antiqua"/>
          <w:szCs w:val="24"/>
        </w:rPr>
        <w:t>4</w:t>
      </w:r>
      <w:r>
        <w:rPr>
          <w:rFonts w:eastAsia="Book Antiqua"/>
          <w:szCs w:val="24"/>
        </w:rPr>
        <w:t xml:space="preserve"> млн. лева. </w:t>
      </w:r>
      <w:r w:rsidR="005E7E62">
        <w:rPr>
          <w:rFonts w:eastAsia="Book Antiqua"/>
          <w:szCs w:val="24"/>
        </w:rPr>
        <w:t>П</w:t>
      </w:r>
      <w:r w:rsidR="006B42B5" w:rsidRPr="00E47FAF">
        <w:t>ринос към индикатора имат проектите на обучителните</w:t>
      </w:r>
      <w:r w:rsidR="006B42B5" w:rsidRPr="00443C13">
        <w:rPr>
          <w:rFonts w:eastAsia="Book Antiqua"/>
          <w:szCs w:val="24"/>
        </w:rPr>
        <w:t xml:space="preserve"> институции – конкретни бенефициенти по ОПДУ (ИПА, НСОРБ, Института по психология към МВР и Дипломатическия институт към МВнР), както и проектите за специализирани обучения на администрация</w:t>
      </w:r>
      <w:r w:rsidR="000C7245">
        <w:rPr>
          <w:rFonts w:eastAsia="Book Antiqua"/>
          <w:szCs w:val="24"/>
        </w:rPr>
        <w:t>та</w:t>
      </w:r>
      <w:r w:rsidR="006B42B5" w:rsidRPr="00443C13">
        <w:rPr>
          <w:rFonts w:eastAsia="Book Antiqua"/>
          <w:szCs w:val="24"/>
        </w:rPr>
        <w:t xml:space="preserve">. </w:t>
      </w:r>
    </w:p>
    <w:p w14:paraId="5528334E" w14:textId="17D39E6A" w:rsidR="000263B7" w:rsidRDefault="006B42B5" w:rsidP="008E7997">
      <w:pPr>
        <w:ind w:firstLine="709"/>
        <w:jc w:val="both"/>
        <w:rPr>
          <w:rFonts w:eastAsia="Book Antiqua"/>
          <w:szCs w:val="24"/>
        </w:rPr>
      </w:pPr>
      <w:r w:rsidRPr="00443C13">
        <w:rPr>
          <w:rFonts w:eastAsia="Book Antiqua"/>
          <w:szCs w:val="24"/>
        </w:rPr>
        <w:t>Верифицираните разходи по приключили</w:t>
      </w:r>
      <w:r w:rsidR="00D51227">
        <w:rPr>
          <w:rFonts w:eastAsia="Book Antiqua"/>
          <w:szCs w:val="24"/>
        </w:rPr>
        <w:t>те</w:t>
      </w:r>
      <w:r w:rsidR="004E3883">
        <w:rPr>
          <w:rFonts w:eastAsia="Book Antiqua"/>
          <w:szCs w:val="24"/>
        </w:rPr>
        <w:t xml:space="preserve"> обучителни</w:t>
      </w:r>
      <w:r w:rsidRPr="00443C13">
        <w:rPr>
          <w:rFonts w:eastAsia="Book Antiqua"/>
          <w:szCs w:val="24"/>
        </w:rPr>
        <w:t xml:space="preserve"> проекти възлизат общо на </w:t>
      </w:r>
      <w:r w:rsidR="00844570">
        <w:rPr>
          <w:rFonts w:eastAsia="Book Antiqua"/>
          <w:szCs w:val="24"/>
        </w:rPr>
        <w:t>13,7</w:t>
      </w:r>
      <w:r w:rsidRPr="00443C13">
        <w:rPr>
          <w:rFonts w:eastAsia="Book Antiqua"/>
          <w:szCs w:val="24"/>
        </w:rPr>
        <w:t xml:space="preserve"> млн. лева. Бюджетът на проектите в изпълнение, както и на тези които са изтекли, но не са приключили с окончателно плащане, е общо в размер на 1</w:t>
      </w:r>
      <w:r w:rsidR="00844570">
        <w:rPr>
          <w:rFonts w:eastAsia="Book Antiqua"/>
          <w:szCs w:val="24"/>
        </w:rPr>
        <w:t>4</w:t>
      </w:r>
      <w:r w:rsidRPr="00443C13">
        <w:rPr>
          <w:rFonts w:eastAsia="Book Antiqua"/>
          <w:szCs w:val="24"/>
        </w:rPr>
        <w:t>,</w:t>
      </w:r>
      <w:r w:rsidR="00844570">
        <w:rPr>
          <w:rFonts w:eastAsia="Book Antiqua"/>
          <w:szCs w:val="24"/>
        </w:rPr>
        <w:t>9</w:t>
      </w:r>
      <w:r w:rsidRPr="00443C13">
        <w:rPr>
          <w:rFonts w:eastAsia="Book Antiqua"/>
          <w:szCs w:val="24"/>
        </w:rPr>
        <w:t xml:space="preserve"> млн. лева.</w:t>
      </w:r>
      <w:r w:rsidR="007C3F59">
        <w:rPr>
          <w:rFonts w:eastAsia="Book Antiqua"/>
          <w:szCs w:val="24"/>
        </w:rPr>
        <w:t xml:space="preserve"> </w:t>
      </w:r>
      <w:r w:rsidR="00F20D13">
        <w:rPr>
          <w:rFonts w:eastAsia="Book Antiqua"/>
          <w:szCs w:val="24"/>
        </w:rPr>
        <w:t xml:space="preserve">Към момента в процес на договаряне са проекти за </w:t>
      </w:r>
      <w:r w:rsidR="000C7245">
        <w:rPr>
          <w:rFonts w:eastAsia="Book Antiqua"/>
          <w:szCs w:val="24"/>
        </w:rPr>
        <w:t>приблизително</w:t>
      </w:r>
      <w:r w:rsidR="007D7AC0">
        <w:rPr>
          <w:rFonts w:eastAsia="Book Antiqua"/>
          <w:szCs w:val="24"/>
        </w:rPr>
        <w:t xml:space="preserve"> </w:t>
      </w:r>
      <w:r w:rsidR="00F20D13">
        <w:rPr>
          <w:rFonts w:eastAsia="Book Antiqua"/>
          <w:szCs w:val="24"/>
        </w:rPr>
        <w:t xml:space="preserve">10 млн. лева. </w:t>
      </w:r>
      <w:r w:rsidRPr="00443C13">
        <w:rPr>
          <w:rFonts w:eastAsia="Book Antiqua"/>
          <w:szCs w:val="24"/>
        </w:rPr>
        <w:t xml:space="preserve">Кумулиран, този финансов </w:t>
      </w:r>
      <w:r w:rsidRPr="00443C13">
        <w:rPr>
          <w:rFonts w:eastAsia="Book Antiqua"/>
          <w:szCs w:val="24"/>
        </w:rPr>
        <w:lastRenderedPageBreak/>
        <w:t>ресурс</w:t>
      </w:r>
      <w:r w:rsidR="004E3883">
        <w:rPr>
          <w:rFonts w:eastAsia="Book Antiqua"/>
          <w:szCs w:val="24"/>
        </w:rPr>
        <w:t xml:space="preserve"> </w:t>
      </w:r>
      <w:r w:rsidR="00F20D13">
        <w:rPr>
          <w:rFonts w:eastAsia="Book Antiqua"/>
          <w:szCs w:val="24"/>
        </w:rPr>
        <w:t xml:space="preserve">от </w:t>
      </w:r>
      <w:r w:rsidR="000C7245">
        <w:rPr>
          <w:rFonts w:eastAsia="Book Antiqua"/>
          <w:szCs w:val="24"/>
        </w:rPr>
        <w:t xml:space="preserve">общо </w:t>
      </w:r>
      <w:r w:rsidR="009F78DB">
        <w:rPr>
          <w:rFonts w:eastAsia="Book Antiqua"/>
          <w:szCs w:val="24"/>
        </w:rPr>
        <w:t>38,6</w:t>
      </w:r>
      <w:r w:rsidR="004E3883">
        <w:rPr>
          <w:rFonts w:eastAsia="Book Antiqua"/>
          <w:szCs w:val="24"/>
        </w:rPr>
        <w:t xml:space="preserve"> млн. лева</w:t>
      </w:r>
      <w:r w:rsidR="009F78DB">
        <w:rPr>
          <w:rFonts w:eastAsia="Book Antiqua"/>
          <w:szCs w:val="24"/>
        </w:rPr>
        <w:t>, съпоставен със заложените</w:t>
      </w:r>
      <w:r w:rsidR="000C7245">
        <w:rPr>
          <w:rFonts w:eastAsia="Book Antiqua"/>
          <w:szCs w:val="24"/>
        </w:rPr>
        <w:t xml:space="preserve"> в ПКСРДА</w:t>
      </w:r>
      <w:r w:rsidR="009F78DB">
        <w:rPr>
          <w:rFonts w:eastAsia="Book Antiqua"/>
          <w:szCs w:val="24"/>
        </w:rPr>
        <w:t xml:space="preserve"> 64,4 млн. лева,</w:t>
      </w:r>
      <w:r w:rsidRPr="00443C13">
        <w:rPr>
          <w:rFonts w:eastAsia="Book Antiqua"/>
          <w:szCs w:val="24"/>
        </w:rPr>
        <w:t xml:space="preserve"> се отнася за </w:t>
      </w:r>
      <w:r w:rsidR="00F20D13">
        <w:rPr>
          <w:rFonts w:eastAsia="Book Antiqua"/>
          <w:szCs w:val="24"/>
        </w:rPr>
        <w:t>6</w:t>
      </w:r>
      <w:r w:rsidR="007D7AC0">
        <w:rPr>
          <w:rFonts w:eastAsia="Book Antiqua"/>
          <w:szCs w:val="24"/>
        </w:rPr>
        <w:t>0</w:t>
      </w:r>
      <w:r w:rsidRPr="00443C13">
        <w:rPr>
          <w:rFonts w:eastAsia="Book Antiqua"/>
          <w:szCs w:val="24"/>
        </w:rPr>
        <w:t xml:space="preserve"> % от целевата стойност на индикатора. </w:t>
      </w:r>
    </w:p>
    <w:p w14:paraId="7F6FCFDC" w14:textId="6D9584C5" w:rsidR="006B42B5" w:rsidRDefault="005E7E62" w:rsidP="006B42B5">
      <w:pPr>
        <w:ind w:firstLine="708"/>
        <w:jc w:val="both"/>
        <w:rPr>
          <w:rFonts w:eastAsia="Book Antiqua"/>
          <w:szCs w:val="24"/>
        </w:rPr>
      </w:pPr>
      <w:r>
        <w:rPr>
          <w:rFonts w:eastAsia="Book Antiqua"/>
          <w:szCs w:val="24"/>
        </w:rPr>
        <w:t>Н</w:t>
      </w:r>
      <w:r w:rsidRPr="00443C13">
        <w:rPr>
          <w:rFonts w:eastAsia="Book Antiqua"/>
          <w:szCs w:val="24"/>
        </w:rPr>
        <w:t>амаляване</w:t>
      </w:r>
      <w:r>
        <w:rPr>
          <w:rFonts w:eastAsia="Book Antiqua"/>
          <w:szCs w:val="24"/>
        </w:rPr>
        <w:t>то</w:t>
      </w:r>
      <w:r w:rsidRPr="00443C13">
        <w:rPr>
          <w:rFonts w:eastAsia="Book Antiqua"/>
          <w:szCs w:val="24"/>
        </w:rPr>
        <w:t xml:space="preserve"> на бюджета по оста</w:t>
      </w:r>
      <w:r>
        <w:rPr>
          <w:rFonts w:eastAsia="Book Antiqua"/>
          <w:szCs w:val="24"/>
        </w:rPr>
        <w:t xml:space="preserve"> </w:t>
      </w:r>
      <w:r w:rsidRPr="00443C13">
        <w:rPr>
          <w:rFonts w:eastAsia="Book Antiqua"/>
          <w:szCs w:val="24"/>
        </w:rPr>
        <w:t>води до невъзможност за обявяване в бъдеще на нови процедури за проекти за обучения, които биха довели до прираст в изпълнението на индикатора</w:t>
      </w:r>
      <w:r>
        <w:rPr>
          <w:rFonts w:eastAsia="Book Antiqua"/>
          <w:szCs w:val="24"/>
        </w:rPr>
        <w:t>.</w:t>
      </w:r>
      <w:r w:rsidRPr="00A555F8">
        <w:rPr>
          <w:rFonts w:eastAsia="Book Antiqua"/>
          <w:szCs w:val="24"/>
          <w:lang w:val="ru-RU"/>
        </w:rPr>
        <w:t xml:space="preserve"> </w:t>
      </w:r>
      <w:r w:rsidR="006B42B5">
        <w:rPr>
          <w:rFonts w:eastAsia="Book Antiqua"/>
          <w:szCs w:val="24"/>
        </w:rPr>
        <w:t>Предвид</w:t>
      </w:r>
      <w:r w:rsidR="006B42B5" w:rsidRPr="00A555F8">
        <w:rPr>
          <w:rFonts w:eastAsia="Book Antiqua"/>
          <w:szCs w:val="24"/>
          <w:lang w:val="ru-RU"/>
        </w:rPr>
        <w:t xml:space="preserve"> </w:t>
      </w:r>
      <w:r w:rsidR="006B42B5">
        <w:rPr>
          <w:rFonts w:eastAsia="Book Antiqua"/>
          <w:szCs w:val="24"/>
        </w:rPr>
        <w:t xml:space="preserve">изложеното по-горе </w:t>
      </w:r>
      <w:r w:rsidR="006B42B5" w:rsidRPr="00A555F8">
        <w:rPr>
          <w:rFonts w:eastAsia="Book Antiqua"/>
          <w:szCs w:val="24"/>
          <w:lang w:val="ru-RU"/>
        </w:rPr>
        <w:t>п</w:t>
      </w:r>
      <w:proofErr w:type="spellStart"/>
      <w:r w:rsidR="006B42B5" w:rsidRPr="007756D7">
        <w:rPr>
          <w:rFonts w:eastAsia="Book Antiqua"/>
          <w:szCs w:val="24"/>
        </w:rPr>
        <w:t>редл</w:t>
      </w:r>
      <w:r w:rsidR="006B42B5">
        <w:rPr>
          <w:rFonts w:eastAsia="Book Antiqua"/>
          <w:szCs w:val="24"/>
        </w:rPr>
        <w:t>агаме</w:t>
      </w:r>
      <w:proofErr w:type="spellEnd"/>
      <w:r w:rsidR="006B42B5" w:rsidRPr="007756D7">
        <w:rPr>
          <w:rFonts w:eastAsia="Book Antiqua"/>
          <w:szCs w:val="24"/>
        </w:rPr>
        <w:t xml:space="preserve"> намаление на целевата стойност на индикатора за 2023 г. </w:t>
      </w:r>
      <w:r w:rsidR="000C7245">
        <w:rPr>
          <w:rFonts w:eastAsia="Book Antiqua"/>
          <w:szCs w:val="24"/>
        </w:rPr>
        <w:t>пропорционално на намаления бюджет.</w:t>
      </w:r>
    </w:p>
    <w:p w14:paraId="395BA588" w14:textId="77777777" w:rsidR="006B42B5" w:rsidRPr="007756D7" w:rsidRDefault="006B42B5" w:rsidP="006B42B5">
      <w:pPr>
        <w:pStyle w:val="ListParagraph"/>
        <w:spacing w:after="120" w:line="240" w:lineRule="auto"/>
        <w:contextualSpacing w:val="0"/>
        <w:jc w:val="both"/>
        <w:rPr>
          <w:rFonts w:ascii="Times New Roman" w:eastAsia="Book Antiqua" w:hAnsi="Times New Roman"/>
          <w:sz w:val="24"/>
          <w:szCs w:val="24"/>
        </w:rPr>
      </w:pPr>
    </w:p>
    <w:p w14:paraId="2496D06F" w14:textId="12D92FF6" w:rsidR="00486819" w:rsidRDefault="00486819" w:rsidP="009C3352">
      <w:pPr>
        <w:pStyle w:val="ListParagraph"/>
        <w:numPr>
          <w:ilvl w:val="0"/>
          <w:numId w:val="31"/>
        </w:numPr>
        <w:spacing w:after="120" w:line="240" w:lineRule="auto"/>
        <w:contextualSpacing w:val="0"/>
        <w:jc w:val="both"/>
        <w:rPr>
          <w:rFonts w:ascii="Times New Roman" w:eastAsia="Book Antiqua" w:hAnsi="Times New Roman"/>
          <w:sz w:val="24"/>
          <w:szCs w:val="24"/>
        </w:rPr>
      </w:pPr>
      <w:r w:rsidRPr="007756D7">
        <w:rPr>
          <w:rFonts w:ascii="Times New Roman" w:eastAsia="Book Antiqua" w:hAnsi="Times New Roman"/>
          <w:b/>
          <w:sz w:val="24"/>
          <w:szCs w:val="24"/>
        </w:rPr>
        <w:t>R2-1 „Брой подкрепени администрации, прилагащи механизми за организационно развитие и управление ориентирано към резултатите“</w:t>
      </w:r>
      <w:r w:rsidRPr="007756D7">
        <w:rPr>
          <w:rFonts w:ascii="Times New Roman" w:eastAsia="Book Antiqua" w:hAnsi="Times New Roman"/>
          <w:sz w:val="24"/>
          <w:szCs w:val="24"/>
        </w:rPr>
        <w:t xml:space="preserve"> </w:t>
      </w:r>
    </w:p>
    <w:p w14:paraId="2AFDD675" w14:textId="0081F19B" w:rsidR="00AB55DE" w:rsidRDefault="001C46A2" w:rsidP="00542200">
      <w:pPr>
        <w:pStyle w:val="ListParagraph"/>
        <w:spacing w:after="0" w:line="240" w:lineRule="auto"/>
        <w:ind w:left="0" w:firstLine="708"/>
        <w:contextualSpacing w:val="0"/>
        <w:jc w:val="both"/>
        <w:rPr>
          <w:rFonts w:ascii="Times New Roman" w:eastAsia="Book Antiqua" w:hAnsi="Times New Roman"/>
          <w:sz w:val="24"/>
          <w:szCs w:val="24"/>
        </w:rPr>
      </w:pPr>
      <w:r>
        <w:rPr>
          <w:rFonts w:ascii="Times New Roman" w:eastAsia="Book Antiqua" w:hAnsi="Times New Roman"/>
          <w:sz w:val="24"/>
          <w:szCs w:val="24"/>
        </w:rPr>
        <w:t>УО п</w:t>
      </w:r>
      <w:r w:rsidR="00BF4D89">
        <w:rPr>
          <w:rFonts w:ascii="Times New Roman" w:eastAsia="Book Antiqua" w:hAnsi="Times New Roman"/>
          <w:sz w:val="24"/>
          <w:szCs w:val="24"/>
        </w:rPr>
        <w:t xml:space="preserve">ланираше </w:t>
      </w:r>
      <w:r>
        <w:rPr>
          <w:rFonts w:ascii="Times New Roman" w:eastAsia="Book Antiqua" w:hAnsi="Times New Roman"/>
          <w:sz w:val="24"/>
          <w:szCs w:val="24"/>
        </w:rPr>
        <w:t>индикаторът</w:t>
      </w:r>
      <w:r w:rsidR="00182936">
        <w:rPr>
          <w:rFonts w:ascii="Times New Roman" w:eastAsia="Book Antiqua" w:hAnsi="Times New Roman"/>
          <w:sz w:val="24"/>
          <w:szCs w:val="24"/>
        </w:rPr>
        <w:t xml:space="preserve"> да бъде заложен</w:t>
      </w:r>
      <w:r w:rsidR="005263D5">
        <w:rPr>
          <w:rFonts w:ascii="Times New Roman" w:eastAsia="Book Antiqua" w:hAnsi="Times New Roman"/>
          <w:sz w:val="24"/>
          <w:szCs w:val="24"/>
        </w:rPr>
        <w:t xml:space="preserve"> </w:t>
      </w:r>
      <w:proofErr w:type="spellStart"/>
      <w:r w:rsidR="00182936">
        <w:rPr>
          <w:rFonts w:ascii="Times New Roman" w:eastAsia="Book Antiqua" w:hAnsi="Times New Roman"/>
          <w:sz w:val="24"/>
          <w:szCs w:val="24"/>
          <w:lang w:val="en-US"/>
        </w:rPr>
        <w:t>по</w:t>
      </w:r>
      <w:proofErr w:type="spellEnd"/>
      <w:r w:rsidR="00182936">
        <w:rPr>
          <w:rFonts w:ascii="Times New Roman" w:eastAsia="Book Antiqua" w:hAnsi="Times New Roman"/>
          <w:sz w:val="24"/>
          <w:szCs w:val="24"/>
          <w:lang w:val="en-US"/>
        </w:rPr>
        <w:t xml:space="preserve"> </w:t>
      </w:r>
      <w:proofErr w:type="spellStart"/>
      <w:r w:rsidR="00182936">
        <w:rPr>
          <w:rFonts w:ascii="Times New Roman" w:eastAsia="Book Antiqua" w:hAnsi="Times New Roman"/>
          <w:sz w:val="24"/>
          <w:szCs w:val="24"/>
          <w:lang w:val="en-US"/>
        </w:rPr>
        <w:t>предстоящи</w:t>
      </w:r>
      <w:proofErr w:type="spellEnd"/>
      <w:r w:rsidR="00AB55DE">
        <w:rPr>
          <w:rFonts w:ascii="Times New Roman" w:eastAsia="Book Antiqua" w:hAnsi="Times New Roman"/>
          <w:sz w:val="24"/>
          <w:szCs w:val="24"/>
        </w:rPr>
        <w:t xml:space="preserve"> процедури</w:t>
      </w:r>
      <w:r w:rsidR="00BF4D89">
        <w:rPr>
          <w:rFonts w:ascii="Times New Roman" w:eastAsia="Book Antiqua" w:hAnsi="Times New Roman"/>
          <w:sz w:val="24"/>
          <w:szCs w:val="24"/>
        </w:rPr>
        <w:t>, свързани</w:t>
      </w:r>
      <w:r w:rsidR="00182936">
        <w:rPr>
          <w:rFonts w:ascii="Times New Roman" w:eastAsia="Book Antiqua" w:hAnsi="Times New Roman"/>
          <w:sz w:val="24"/>
          <w:szCs w:val="24"/>
          <w:lang w:val="en-US"/>
        </w:rPr>
        <w:t xml:space="preserve"> </w:t>
      </w:r>
      <w:r w:rsidR="00BF4D89">
        <w:rPr>
          <w:rFonts w:ascii="Times New Roman" w:eastAsia="Book Antiqua" w:hAnsi="Times New Roman"/>
          <w:sz w:val="24"/>
          <w:szCs w:val="24"/>
        </w:rPr>
        <w:t>с</w:t>
      </w:r>
      <w:r w:rsidR="00182936">
        <w:rPr>
          <w:rFonts w:ascii="Times New Roman" w:eastAsia="Book Antiqua" w:hAnsi="Times New Roman"/>
          <w:sz w:val="24"/>
          <w:szCs w:val="24"/>
          <w:lang w:val="en-US"/>
        </w:rPr>
        <w:t xml:space="preserve"> </w:t>
      </w:r>
      <w:proofErr w:type="spellStart"/>
      <w:r w:rsidR="00182936">
        <w:rPr>
          <w:rFonts w:ascii="Times New Roman" w:eastAsia="Book Antiqua" w:hAnsi="Times New Roman"/>
          <w:sz w:val="24"/>
          <w:szCs w:val="24"/>
          <w:lang w:val="en-US"/>
        </w:rPr>
        <w:t>въвеждане</w:t>
      </w:r>
      <w:proofErr w:type="spellEnd"/>
      <w:r w:rsidR="005263D5">
        <w:rPr>
          <w:rFonts w:ascii="Times New Roman" w:eastAsia="Book Antiqua" w:hAnsi="Times New Roman"/>
          <w:sz w:val="24"/>
          <w:szCs w:val="24"/>
        </w:rPr>
        <w:t>то</w:t>
      </w:r>
      <w:r w:rsidR="00182936">
        <w:rPr>
          <w:rFonts w:ascii="Times New Roman" w:eastAsia="Book Antiqua" w:hAnsi="Times New Roman"/>
          <w:sz w:val="24"/>
          <w:szCs w:val="24"/>
          <w:lang w:val="en-US"/>
        </w:rPr>
        <w:t xml:space="preserve"> </w:t>
      </w:r>
      <w:proofErr w:type="spellStart"/>
      <w:r w:rsidR="00182936">
        <w:rPr>
          <w:rFonts w:ascii="Times New Roman" w:eastAsia="Book Antiqua" w:hAnsi="Times New Roman"/>
          <w:sz w:val="24"/>
          <w:szCs w:val="24"/>
          <w:lang w:val="en-US"/>
        </w:rPr>
        <w:t>на</w:t>
      </w:r>
      <w:proofErr w:type="spellEnd"/>
      <w:r w:rsidR="00182936">
        <w:rPr>
          <w:rFonts w:ascii="Times New Roman" w:eastAsia="Book Antiqua" w:hAnsi="Times New Roman"/>
          <w:sz w:val="24"/>
          <w:szCs w:val="24"/>
          <w:lang w:val="en-US"/>
        </w:rPr>
        <w:t xml:space="preserve"> </w:t>
      </w:r>
      <w:proofErr w:type="spellStart"/>
      <w:r w:rsidR="00182936">
        <w:rPr>
          <w:rFonts w:ascii="Times New Roman" w:eastAsia="Book Antiqua" w:hAnsi="Times New Roman"/>
          <w:sz w:val="24"/>
          <w:szCs w:val="24"/>
          <w:lang w:val="en-US"/>
        </w:rPr>
        <w:t>модела</w:t>
      </w:r>
      <w:proofErr w:type="spellEnd"/>
      <w:r w:rsidR="00182936">
        <w:rPr>
          <w:rFonts w:ascii="Times New Roman" w:eastAsia="Book Antiqua" w:hAnsi="Times New Roman"/>
          <w:sz w:val="24"/>
          <w:szCs w:val="24"/>
          <w:lang w:val="en-US"/>
        </w:rPr>
        <w:t xml:space="preserve"> </w:t>
      </w:r>
      <w:r w:rsidR="00182936">
        <w:rPr>
          <w:rFonts w:ascii="Times New Roman" w:eastAsia="Book Antiqua" w:hAnsi="Times New Roman"/>
          <w:sz w:val="24"/>
          <w:szCs w:val="24"/>
        </w:rPr>
        <w:t>CAF</w:t>
      </w:r>
      <w:r w:rsidR="00182936">
        <w:rPr>
          <w:rFonts w:ascii="Times New Roman" w:eastAsia="Book Antiqua" w:hAnsi="Times New Roman"/>
          <w:sz w:val="24"/>
          <w:szCs w:val="24"/>
          <w:lang w:val="en-US"/>
        </w:rPr>
        <w:t xml:space="preserve"> </w:t>
      </w:r>
      <w:r w:rsidR="00182936">
        <w:rPr>
          <w:rFonts w:ascii="Times New Roman" w:eastAsia="Book Antiqua" w:hAnsi="Times New Roman"/>
          <w:sz w:val="24"/>
          <w:szCs w:val="24"/>
        </w:rPr>
        <w:t>в администрацията и за извършването на функционални прегледи на сектори/политики</w:t>
      </w:r>
      <w:r>
        <w:rPr>
          <w:rFonts w:ascii="Times New Roman" w:eastAsia="Book Antiqua" w:hAnsi="Times New Roman"/>
          <w:sz w:val="24"/>
          <w:szCs w:val="24"/>
        </w:rPr>
        <w:t>, тъй като кореспондира с индикаторите за изпълнение О2-1 и О2-2</w:t>
      </w:r>
      <w:r w:rsidR="00182936">
        <w:rPr>
          <w:rFonts w:ascii="Times New Roman" w:eastAsia="Book Antiqua" w:hAnsi="Times New Roman"/>
          <w:sz w:val="24"/>
          <w:szCs w:val="24"/>
        </w:rPr>
        <w:t>.</w:t>
      </w:r>
      <w:r w:rsidR="00182936">
        <w:rPr>
          <w:rFonts w:ascii="Times New Roman" w:eastAsia="Book Antiqua" w:hAnsi="Times New Roman"/>
          <w:sz w:val="24"/>
          <w:szCs w:val="24"/>
          <w:lang w:val="en-US"/>
        </w:rPr>
        <w:t xml:space="preserve"> </w:t>
      </w:r>
      <w:r w:rsidR="00BF4D89">
        <w:rPr>
          <w:rFonts w:ascii="Times New Roman" w:eastAsia="Book Antiqua" w:hAnsi="Times New Roman"/>
          <w:sz w:val="24"/>
          <w:szCs w:val="24"/>
        </w:rPr>
        <w:t xml:space="preserve">От една страна изпълнението </w:t>
      </w:r>
      <w:r w:rsidR="00107D64">
        <w:rPr>
          <w:rFonts w:ascii="Times New Roman" w:eastAsia="Book Antiqua" w:hAnsi="Times New Roman"/>
          <w:sz w:val="24"/>
          <w:szCs w:val="24"/>
        </w:rPr>
        <w:t xml:space="preserve">на индикатора е </w:t>
      </w:r>
      <w:r w:rsidR="007938C4">
        <w:rPr>
          <w:rFonts w:ascii="Times New Roman" w:eastAsia="Book Antiqua" w:hAnsi="Times New Roman"/>
          <w:sz w:val="24"/>
          <w:szCs w:val="24"/>
        </w:rPr>
        <w:t>функция</w:t>
      </w:r>
      <w:r w:rsidR="00107D64">
        <w:rPr>
          <w:rFonts w:ascii="Times New Roman" w:eastAsia="Book Antiqua" w:hAnsi="Times New Roman"/>
          <w:sz w:val="24"/>
          <w:szCs w:val="24"/>
        </w:rPr>
        <w:t xml:space="preserve"> от намаляването на бюджета по оста, тъй като то води до о</w:t>
      </w:r>
      <w:r w:rsidR="006B42B5" w:rsidRPr="005F01A8">
        <w:rPr>
          <w:rFonts w:ascii="Times New Roman" w:eastAsia="Book Antiqua" w:hAnsi="Times New Roman"/>
          <w:sz w:val="24"/>
          <w:szCs w:val="24"/>
        </w:rPr>
        <w:t xml:space="preserve">бективна невъзможност за бъдещо договаряне, съответно постигане на </w:t>
      </w:r>
      <w:r w:rsidR="00BF4D89">
        <w:rPr>
          <w:rFonts w:ascii="Times New Roman" w:eastAsia="Book Antiqua" w:hAnsi="Times New Roman"/>
          <w:sz w:val="24"/>
          <w:szCs w:val="24"/>
        </w:rPr>
        <w:t>целевата стойност</w:t>
      </w:r>
      <w:r w:rsidR="005263D5">
        <w:rPr>
          <w:rFonts w:ascii="Times New Roman" w:eastAsia="Book Antiqua" w:hAnsi="Times New Roman"/>
          <w:sz w:val="24"/>
          <w:szCs w:val="24"/>
        </w:rPr>
        <w:t xml:space="preserve"> на индикатор</w:t>
      </w:r>
      <w:r w:rsidR="006B42B5">
        <w:rPr>
          <w:rFonts w:ascii="Times New Roman" w:eastAsia="Book Antiqua" w:hAnsi="Times New Roman"/>
          <w:sz w:val="24"/>
          <w:szCs w:val="24"/>
        </w:rPr>
        <w:t xml:space="preserve"> О2-1 (коментиран по-горе)</w:t>
      </w:r>
      <w:r w:rsidR="006B42B5" w:rsidRPr="005F01A8">
        <w:rPr>
          <w:rFonts w:ascii="Times New Roman" w:eastAsia="Book Antiqua" w:hAnsi="Times New Roman"/>
          <w:sz w:val="24"/>
          <w:szCs w:val="24"/>
        </w:rPr>
        <w:t xml:space="preserve">. </w:t>
      </w:r>
      <w:r w:rsidR="00BF4D89">
        <w:rPr>
          <w:rFonts w:ascii="Times New Roman" w:eastAsia="Book Antiqua" w:hAnsi="Times New Roman"/>
          <w:sz w:val="24"/>
          <w:szCs w:val="24"/>
        </w:rPr>
        <w:t>От друга страна негативно на изпълнението му се отразява и промяната в политиката, отнасяща се до организационното развитие на администрацията посредством извършването на функционални анализи</w:t>
      </w:r>
      <w:r w:rsidR="005263D5">
        <w:rPr>
          <w:rFonts w:ascii="Times New Roman" w:eastAsia="Book Antiqua" w:hAnsi="Times New Roman"/>
          <w:sz w:val="24"/>
          <w:szCs w:val="24"/>
        </w:rPr>
        <w:t xml:space="preserve"> (коментирана по-горе при индикатор О2-2)</w:t>
      </w:r>
      <w:r w:rsidR="00BF4D89">
        <w:rPr>
          <w:rFonts w:ascii="Times New Roman" w:eastAsia="Book Antiqua" w:hAnsi="Times New Roman"/>
          <w:sz w:val="24"/>
          <w:szCs w:val="24"/>
        </w:rPr>
        <w:t xml:space="preserve">. </w:t>
      </w:r>
    </w:p>
    <w:p w14:paraId="1632E6B7" w14:textId="5B1FD440" w:rsidR="006B42B5" w:rsidRDefault="006B42B5" w:rsidP="00542200">
      <w:pPr>
        <w:pStyle w:val="ListParagraph"/>
        <w:spacing w:after="0" w:line="240" w:lineRule="auto"/>
        <w:ind w:left="0" w:firstLine="708"/>
        <w:contextualSpacing w:val="0"/>
        <w:jc w:val="both"/>
        <w:rPr>
          <w:rFonts w:ascii="Times New Roman" w:eastAsia="Book Antiqua" w:hAnsi="Times New Roman"/>
          <w:sz w:val="24"/>
          <w:szCs w:val="24"/>
        </w:rPr>
      </w:pPr>
      <w:r>
        <w:rPr>
          <w:rFonts w:ascii="Times New Roman" w:eastAsia="Book Antiqua" w:hAnsi="Times New Roman"/>
          <w:sz w:val="24"/>
          <w:szCs w:val="24"/>
        </w:rPr>
        <w:t>Във връзка с</w:t>
      </w:r>
      <w:r w:rsidR="005263D5">
        <w:rPr>
          <w:rFonts w:ascii="Times New Roman" w:eastAsia="Book Antiqua" w:hAnsi="Times New Roman"/>
          <w:sz w:val="24"/>
          <w:szCs w:val="24"/>
        </w:rPr>
        <w:t xml:space="preserve"> изложеното</w:t>
      </w:r>
      <w:r>
        <w:rPr>
          <w:rFonts w:ascii="Times New Roman" w:eastAsia="Book Antiqua" w:hAnsi="Times New Roman"/>
          <w:sz w:val="24"/>
          <w:szCs w:val="24"/>
        </w:rPr>
        <w:t xml:space="preserve"> предлагаме</w:t>
      </w:r>
      <w:r w:rsidRPr="007756D7">
        <w:rPr>
          <w:rFonts w:ascii="Times New Roman" w:eastAsia="Book Antiqua" w:hAnsi="Times New Roman"/>
          <w:sz w:val="24"/>
          <w:szCs w:val="24"/>
        </w:rPr>
        <w:t xml:space="preserve"> намаление на целевата стойност на индикатора за 2023 г.</w:t>
      </w:r>
      <w:r w:rsidRPr="00951501">
        <w:rPr>
          <w:rFonts w:ascii="Times New Roman" w:eastAsia="Book Antiqua" w:hAnsi="Times New Roman"/>
          <w:sz w:val="24"/>
          <w:szCs w:val="24"/>
        </w:rPr>
        <w:t xml:space="preserve"> </w:t>
      </w:r>
      <w:r w:rsidR="00AB55DE" w:rsidRPr="00AB55DE">
        <w:rPr>
          <w:rFonts w:ascii="Times New Roman" w:eastAsia="Book Antiqua" w:hAnsi="Times New Roman"/>
          <w:sz w:val="24"/>
          <w:szCs w:val="24"/>
        </w:rPr>
        <w:t xml:space="preserve">Прогнозите за изпълнението му, правени преди настъпването на извънредната обстановка, свързана с разпространението на COVID-19, очертаваха </w:t>
      </w:r>
      <w:r w:rsidR="00AB55DE">
        <w:rPr>
          <w:rFonts w:ascii="Times New Roman" w:eastAsia="Book Antiqua" w:hAnsi="Times New Roman"/>
          <w:sz w:val="24"/>
          <w:szCs w:val="24"/>
        </w:rPr>
        <w:t>неговото преизпълнение</w:t>
      </w:r>
      <w:r w:rsidR="001C46A2">
        <w:rPr>
          <w:rFonts w:ascii="Times New Roman" w:eastAsia="Book Antiqua" w:hAnsi="Times New Roman"/>
          <w:sz w:val="24"/>
          <w:szCs w:val="24"/>
        </w:rPr>
        <w:t>. Причината е, че до момента</w:t>
      </w:r>
      <w:r w:rsidR="00AB55DE">
        <w:rPr>
          <w:rFonts w:ascii="Times New Roman" w:eastAsia="Book Antiqua" w:hAnsi="Times New Roman"/>
          <w:sz w:val="24"/>
          <w:szCs w:val="24"/>
        </w:rPr>
        <w:t xml:space="preserve"> УО</w:t>
      </w:r>
      <w:r w:rsidR="001C46A2">
        <w:rPr>
          <w:rFonts w:ascii="Times New Roman" w:eastAsia="Book Antiqua" w:hAnsi="Times New Roman"/>
          <w:sz w:val="24"/>
          <w:szCs w:val="24"/>
        </w:rPr>
        <w:t xml:space="preserve"> </w:t>
      </w:r>
      <w:r w:rsidR="00AB55DE">
        <w:rPr>
          <w:rFonts w:ascii="Times New Roman" w:eastAsia="Book Antiqua" w:hAnsi="Times New Roman"/>
          <w:sz w:val="24"/>
          <w:szCs w:val="24"/>
        </w:rPr>
        <w:t>го обвърз</w:t>
      </w:r>
      <w:r w:rsidR="001C46A2">
        <w:rPr>
          <w:rFonts w:ascii="Times New Roman" w:eastAsia="Book Antiqua" w:hAnsi="Times New Roman"/>
          <w:sz w:val="24"/>
          <w:szCs w:val="24"/>
        </w:rPr>
        <w:t>ваше</w:t>
      </w:r>
      <w:r w:rsidR="00AB55DE">
        <w:rPr>
          <w:rFonts w:ascii="Times New Roman" w:eastAsia="Book Antiqua" w:hAnsi="Times New Roman"/>
          <w:sz w:val="24"/>
          <w:szCs w:val="24"/>
        </w:rPr>
        <w:t xml:space="preserve"> с всяка процедура, </w:t>
      </w:r>
      <w:r w:rsidR="001C46A2">
        <w:rPr>
          <w:rFonts w:ascii="Times New Roman" w:eastAsia="Book Antiqua" w:hAnsi="Times New Roman"/>
          <w:sz w:val="24"/>
          <w:szCs w:val="24"/>
        </w:rPr>
        <w:t xml:space="preserve">съответно проект, </w:t>
      </w:r>
      <w:r w:rsidR="004D3309">
        <w:rPr>
          <w:rFonts w:ascii="Times New Roman" w:eastAsia="Book Antiqua" w:hAnsi="Times New Roman"/>
          <w:sz w:val="24"/>
          <w:szCs w:val="24"/>
        </w:rPr>
        <w:t>отговарящи на метаданните му, а не само</w:t>
      </w:r>
      <w:r w:rsidR="001C46A2">
        <w:rPr>
          <w:rFonts w:ascii="Times New Roman" w:eastAsia="Book Antiqua" w:hAnsi="Times New Roman"/>
          <w:sz w:val="24"/>
          <w:szCs w:val="24"/>
        </w:rPr>
        <w:t xml:space="preserve"> с тези,</w:t>
      </w:r>
      <w:r w:rsidR="00C74B37">
        <w:rPr>
          <w:rFonts w:ascii="Times New Roman" w:eastAsia="Book Antiqua" w:hAnsi="Times New Roman"/>
          <w:sz w:val="24"/>
          <w:szCs w:val="24"/>
        </w:rPr>
        <w:t xml:space="preserve"> по които са предвидени индикаторите О2-1 и О2-2. </w:t>
      </w:r>
      <w:r w:rsidR="00AB55DE">
        <w:rPr>
          <w:rFonts w:ascii="Times New Roman" w:eastAsia="Book Antiqua" w:hAnsi="Times New Roman"/>
          <w:sz w:val="24"/>
          <w:szCs w:val="24"/>
        </w:rPr>
        <w:t xml:space="preserve">Поради това предложеното намаление на целевата стойност не съвпада със стойностите на </w:t>
      </w:r>
      <w:r w:rsidR="001C46A2">
        <w:rPr>
          <w:rFonts w:ascii="Times New Roman" w:eastAsia="Book Antiqua" w:hAnsi="Times New Roman"/>
          <w:sz w:val="24"/>
          <w:szCs w:val="24"/>
        </w:rPr>
        <w:t xml:space="preserve">предложеното </w:t>
      </w:r>
      <w:r w:rsidR="00AB55DE">
        <w:rPr>
          <w:rFonts w:ascii="Times New Roman" w:eastAsia="Book Antiqua" w:hAnsi="Times New Roman"/>
          <w:sz w:val="24"/>
          <w:szCs w:val="24"/>
        </w:rPr>
        <w:t xml:space="preserve">намаление </w:t>
      </w:r>
      <w:r w:rsidR="001C46A2">
        <w:rPr>
          <w:rFonts w:ascii="Times New Roman" w:eastAsia="Book Antiqua" w:hAnsi="Times New Roman"/>
          <w:sz w:val="24"/>
          <w:szCs w:val="24"/>
        </w:rPr>
        <w:t>на целевите стойности на индикатори</w:t>
      </w:r>
      <w:r w:rsidR="00AB55DE">
        <w:rPr>
          <w:rFonts w:ascii="Times New Roman" w:eastAsia="Book Antiqua" w:hAnsi="Times New Roman"/>
          <w:sz w:val="24"/>
          <w:szCs w:val="24"/>
        </w:rPr>
        <w:t xml:space="preserve"> О2-1 и О2-2. </w:t>
      </w:r>
    </w:p>
    <w:p w14:paraId="0B5D86AA" w14:textId="77777777" w:rsidR="00905F63" w:rsidRDefault="00905F63" w:rsidP="00542200">
      <w:pPr>
        <w:pStyle w:val="ListParagraph"/>
        <w:spacing w:after="0" w:line="240" w:lineRule="auto"/>
        <w:ind w:left="0" w:firstLine="708"/>
        <w:contextualSpacing w:val="0"/>
        <w:jc w:val="both"/>
        <w:rPr>
          <w:rFonts w:ascii="Times New Roman" w:eastAsia="Book Antiqua" w:hAnsi="Times New Roman"/>
          <w:sz w:val="24"/>
          <w:szCs w:val="24"/>
        </w:rPr>
      </w:pPr>
    </w:p>
    <w:p w14:paraId="3459A4C1" w14:textId="50E1A621" w:rsidR="001535AA" w:rsidRPr="001535AA" w:rsidRDefault="001535AA" w:rsidP="00542200">
      <w:pPr>
        <w:pStyle w:val="ListParagraph"/>
        <w:numPr>
          <w:ilvl w:val="0"/>
          <w:numId w:val="35"/>
        </w:numPr>
        <w:spacing w:after="0"/>
        <w:jc w:val="both"/>
        <w:rPr>
          <w:rFonts w:ascii="Times New Roman" w:hAnsi="Times New Roman"/>
          <w:b/>
          <w:i/>
          <w:sz w:val="24"/>
          <w:szCs w:val="24"/>
        </w:rPr>
      </w:pPr>
      <w:r w:rsidRPr="001535AA">
        <w:rPr>
          <w:rFonts w:ascii="Times New Roman" w:hAnsi="Times New Roman"/>
          <w:b/>
          <w:i/>
          <w:sz w:val="24"/>
          <w:szCs w:val="24"/>
        </w:rPr>
        <w:t>Актуализиране на текстове по Приоритетна ос 4 (ПО 4)</w:t>
      </w:r>
    </w:p>
    <w:p w14:paraId="74D4ED6E" w14:textId="20BAABB3" w:rsidR="001850AE" w:rsidRPr="001535AA" w:rsidRDefault="00CC1B02" w:rsidP="00542200">
      <w:pPr>
        <w:ind w:firstLine="708"/>
        <w:jc w:val="both"/>
        <w:rPr>
          <w:szCs w:val="24"/>
        </w:rPr>
      </w:pPr>
      <w:r w:rsidRPr="001535AA">
        <w:rPr>
          <w:szCs w:val="24"/>
        </w:rPr>
        <w:t>Предлага се</w:t>
      </w:r>
      <w:r w:rsidR="006E4E7C" w:rsidRPr="001535AA">
        <w:rPr>
          <w:szCs w:val="24"/>
        </w:rPr>
        <w:t xml:space="preserve"> редакция на използваната до момента формулировка при посочване на конкретните бенефициенти по </w:t>
      </w:r>
      <w:proofErr w:type="spellStart"/>
      <w:r w:rsidR="006E4E7C" w:rsidRPr="001535AA">
        <w:rPr>
          <w:szCs w:val="24"/>
        </w:rPr>
        <w:t>ПО</w:t>
      </w:r>
      <w:proofErr w:type="spellEnd"/>
      <w:r w:rsidR="006E4E7C" w:rsidRPr="001535AA">
        <w:rPr>
          <w:szCs w:val="24"/>
        </w:rPr>
        <w:t xml:space="preserve"> 4, </w:t>
      </w:r>
      <w:r w:rsidRPr="001535AA">
        <w:rPr>
          <w:szCs w:val="24"/>
        </w:rPr>
        <w:t xml:space="preserve">с която се </w:t>
      </w:r>
      <w:r w:rsidR="006E4E7C" w:rsidRPr="001535AA">
        <w:rPr>
          <w:szCs w:val="24"/>
        </w:rPr>
        <w:t>уточн</w:t>
      </w:r>
      <w:r w:rsidRPr="001535AA">
        <w:rPr>
          <w:szCs w:val="24"/>
        </w:rPr>
        <w:t>ява</w:t>
      </w:r>
      <w:r w:rsidR="006E4E7C" w:rsidRPr="001535AA">
        <w:rPr>
          <w:szCs w:val="24"/>
        </w:rPr>
        <w:t xml:space="preserve">, че същите са примерни и са добавени идентифицираните към момента </w:t>
      </w:r>
      <w:r w:rsidR="00B96EB0" w:rsidRPr="001535AA">
        <w:rPr>
          <w:szCs w:val="24"/>
        </w:rPr>
        <w:t xml:space="preserve">бенефициенти </w:t>
      </w:r>
      <w:r w:rsidR="006E4E7C" w:rsidRPr="001535AA">
        <w:rPr>
          <w:szCs w:val="24"/>
        </w:rPr>
        <w:t xml:space="preserve">ДАЕУ и </w:t>
      </w:r>
      <w:r w:rsidR="00645A36" w:rsidRPr="001535AA">
        <w:rPr>
          <w:szCs w:val="24"/>
        </w:rPr>
        <w:t>Изпълнителна агенция „Сертификационен одит на средствата от европейските земеделски фондове“</w:t>
      </w:r>
      <w:r w:rsidR="006E4E7C" w:rsidRPr="001535AA">
        <w:rPr>
          <w:szCs w:val="24"/>
        </w:rPr>
        <w:t>. В тази връзка с</w:t>
      </w:r>
      <w:r w:rsidRPr="001535AA">
        <w:rPr>
          <w:szCs w:val="24"/>
        </w:rPr>
        <w:t xml:space="preserve">е предлага и </w:t>
      </w:r>
      <w:r w:rsidR="006E4E7C" w:rsidRPr="001535AA">
        <w:rPr>
          <w:szCs w:val="24"/>
        </w:rPr>
        <w:t>актуализиран</w:t>
      </w:r>
      <w:r w:rsidRPr="001535AA">
        <w:rPr>
          <w:szCs w:val="24"/>
        </w:rPr>
        <w:t>е на</w:t>
      </w:r>
      <w:r w:rsidR="006E4E7C" w:rsidRPr="001535AA">
        <w:rPr>
          <w:szCs w:val="24"/>
        </w:rPr>
        <w:t xml:space="preserve"> примерните действия, които се подкрепят по тази ос.</w:t>
      </w:r>
    </w:p>
    <w:p w14:paraId="67980B6C" w14:textId="77777777" w:rsidR="00172C94" w:rsidRDefault="00172C94" w:rsidP="002D6554">
      <w:pPr>
        <w:spacing w:after="120"/>
        <w:ind w:firstLine="709"/>
        <w:jc w:val="both"/>
        <w:rPr>
          <w:szCs w:val="24"/>
        </w:rPr>
      </w:pPr>
    </w:p>
    <w:p w14:paraId="32BFF91B" w14:textId="77777777" w:rsidR="00172C94" w:rsidRDefault="00172C94" w:rsidP="002D6554">
      <w:pPr>
        <w:spacing w:after="120"/>
        <w:ind w:firstLine="709"/>
        <w:jc w:val="both"/>
        <w:rPr>
          <w:szCs w:val="24"/>
        </w:rPr>
      </w:pPr>
    </w:p>
    <w:p w14:paraId="3410496F" w14:textId="13D6CE95" w:rsidR="00997727" w:rsidRPr="007756D7" w:rsidRDefault="00997727" w:rsidP="002D6554">
      <w:pPr>
        <w:spacing w:after="120"/>
        <w:ind w:firstLine="709"/>
        <w:jc w:val="both"/>
        <w:rPr>
          <w:szCs w:val="24"/>
        </w:rPr>
      </w:pPr>
      <w:r w:rsidRPr="007756D7">
        <w:rPr>
          <w:szCs w:val="24"/>
        </w:rPr>
        <w:t>Предложеното изменение на ОПДУ изисква одобрение с решение на Европейската комисия (ЕК), тъй като не попада в хипотезите за олекотена процедура съгласно Регламент (ЕС) 2020/460 на Европейския парламент и на Съвета от 30 март 2020 година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w:t>
      </w:r>
    </w:p>
    <w:p w14:paraId="24035DD0" w14:textId="31F598CF" w:rsidR="00B24650" w:rsidRPr="007756D7" w:rsidRDefault="00997727" w:rsidP="002D6554">
      <w:pPr>
        <w:spacing w:after="120"/>
        <w:ind w:firstLine="709"/>
        <w:jc w:val="both"/>
        <w:rPr>
          <w:szCs w:val="24"/>
        </w:rPr>
      </w:pPr>
      <w:r w:rsidRPr="007756D7">
        <w:rPr>
          <w:szCs w:val="24"/>
        </w:rPr>
        <w:t>На основание чл. 21, ал. 4 от Закона за мерките и действията по време на извънредното положение, обявено с решение на Народното събрание от 13 март 2020 г., предложението за изменение на ОПДУ се предлага да бъде одобрено от Комитета за наблюдение чрез процедура за неприсъствено вземане на решение.</w:t>
      </w:r>
    </w:p>
    <w:sectPr w:rsidR="00B24650" w:rsidRPr="007756D7" w:rsidSect="00D3696F">
      <w:headerReference w:type="even" r:id="rId8"/>
      <w:headerReference w:type="default" r:id="rId9"/>
      <w:footerReference w:type="even" r:id="rId10"/>
      <w:footerReference w:type="default" r:id="rId11"/>
      <w:headerReference w:type="first" r:id="rId12"/>
      <w:footerReference w:type="first" r:id="rId13"/>
      <w:pgSz w:w="11906" w:h="16838"/>
      <w:pgMar w:top="1135"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2424" w14:textId="77777777" w:rsidR="00466416" w:rsidRDefault="00466416" w:rsidP="00CC059C">
      <w:r>
        <w:separator/>
      </w:r>
    </w:p>
  </w:endnote>
  <w:endnote w:type="continuationSeparator" w:id="0">
    <w:p w14:paraId="2A1B823B" w14:textId="77777777" w:rsidR="00466416" w:rsidRDefault="00466416" w:rsidP="00CC059C">
      <w:r>
        <w:continuationSeparator/>
      </w:r>
    </w:p>
  </w:endnote>
  <w:endnote w:type="continuationNotice" w:id="1">
    <w:p w14:paraId="06F42C8E" w14:textId="77777777" w:rsidR="00466416" w:rsidRDefault="0046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EUAlbertina">
    <w:altName w:val="Arial"/>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43FD" w14:textId="77777777" w:rsidR="00466416" w:rsidRDefault="0046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79376"/>
      <w:docPartObj>
        <w:docPartGallery w:val="Page Numbers (Bottom of Page)"/>
        <w:docPartUnique/>
      </w:docPartObj>
    </w:sdtPr>
    <w:sdtEndPr>
      <w:rPr>
        <w:noProof/>
      </w:rPr>
    </w:sdtEndPr>
    <w:sdtContent>
      <w:p w14:paraId="72AD4042" w14:textId="350600FB" w:rsidR="00466416" w:rsidRDefault="00466416">
        <w:pPr>
          <w:pStyle w:val="Footer"/>
          <w:jc w:val="right"/>
        </w:pPr>
        <w:r>
          <w:fldChar w:fldCharType="begin"/>
        </w:r>
        <w:r>
          <w:instrText xml:space="preserve"> PAGE   \* MERGEFORMAT </w:instrText>
        </w:r>
        <w:r>
          <w:fldChar w:fldCharType="separate"/>
        </w:r>
        <w:r w:rsidR="0039685B">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35FF" w14:textId="77777777" w:rsidR="00466416" w:rsidRDefault="0046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A962" w14:textId="77777777" w:rsidR="00466416" w:rsidRDefault="00466416" w:rsidP="00CC059C">
      <w:r>
        <w:separator/>
      </w:r>
    </w:p>
  </w:footnote>
  <w:footnote w:type="continuationSeparator" w:id="0">
    <w:p w14:paraId="26B10B28" w14:textId="77777777" w:rsidR="00466416" w:rsidRDefault="00466416" w:rsidP="00CC059C">
      <w:r>
        <w:continuationSeparator/>
      </w:r>
    </w:p>
  </w:footnote>
  <w:footnote w:type="continuationNotice" w:id="1">
    <w:p w14:paraId="07EAABC6" w14:textId="77777777" w:rsidR="00466416" w:rsidRDefault="00466416"/>
  </w:footnote>
  <w:footnote w:id="2">
    <w:p w14:paraId="0DE35FED" w14:textId="2E4FAA07" w:rsidR="00466416" w:rsidRDefault="00466416">
      <w:pPr>
        <w:pStyle w:val="FootnoteText"/>
      </w:pPr>
      <w:r>
        <w:rPr>
          <w:rStyle w:val="FootnoteReference"/>
        </w:rPr>
        <w:footnoteRef/>
      </w:r>
      <w:r>
        <w:t xml:space="preserve"> </w:t>
      </w:r>
      <w:hyperlink r:id="rId1" w:history="1">
        <w:r w:rsidRPr="008361B5">
          <w:rPr>
            <w:rStyle w:val="Hyperlink"/>
          </w:rPr>
          <w:t>https://ec.europa.eu/commission/presscorner/detail/en/qanda_20_574</w:t>
        </w:r>
      </w:hyperlink>
      <w:r>
        <w:t xml:space="preserve"> </w:t>
      </w:r>
    </w:p>
  </w:footnote>
  <w:footnote w:id="3">
    <w:p w14:paraId="51906FC2" w14:textId="7FB2181F" w:rsidR="00466416" w:rsidRDefault="00466416" w:rsidP="00185428">
      <w:pPr>
        <w:pStyle w:val="FootnoteText"/>
        <w:jc w:val="both"/>
      </w:pPr>
      <w:r>
        <w:rPr>
          <w:rStyle w:val="FootnoteReference"/>
        </w:rPr>
        <w:footnoteRef/>
      </w:r>
      <w:r>
        <w:t xml:space="preserve"> Посочените средства са закръглени и представляват 100% </w:t>
      </w:r>
      <w:r w:rsidRPr="00FE4E33">
        <w:t>БФП</w:t>
      </w:r>
      <w:r>
        <w:t xml:space="preserve"> (85% </w:t>
      </w:r>
      <w:r w:rsidRPr="00D446EB">
        <w:rPr>
          <w:lang w:val="ru-RU"/>
        </w:rPr>
        <w:t>ЕСФ</w:t>
      </w:r>
      <w:r>
        <w:t xml:space="preserve"> + 15% национално съфинансиране). При въвеждането на проекта на изменение на ОП</w:t>
      </w:r>
      <w:r w:rsidRPr="00D446EB">
        <w:rPr>
          <w:lang w:val="ru-RU"/>
        </w:rPr>
        <w:t>ДУ</w:t>
      </w:r>
      <w:r>
        <w:t xml:space="preserve"> в системата </w:t>
      </w:r>
      <w:r>
        <w:rPr>
          <w:lang w:val="en-US"/>
        </w:rPr>
        <w:t>SFC</w:t>
      </w:r>
      <w:r w:rsidRPr="0000269B">
        <w:rPr>
          <w:lang w:val="ru-RU"/>
        </w:rPr>
        <w:t xml:space="preserve">2014 </w:t>
      </w:r>
      <w:r>
        <w:t xml:space="preserve">и официалното изпращане към службите на ЕК са възможни незначителни отклонения, дължащи се на конвертирането от левове към евро и на техническите специфики на системата (автоматични изчисления, закръгляния и формули). </w:t>
      </w:r>
    </w:p>
  </w:footnote>
  <w:footnote w:id="4">
    <w:p w14:paraId="63542846" w14:textId="7445076F" w:rsidR="00466416" w:rsidRDefault="00466416" w:rsidP="00DF1802">
      <w:pPr>
        <w:pStyle w:val="FootnoteText"/>
        <w:jc w:val="both"/>
      </w:pPr>
      <w:r>
        <w:rPr>
          <w:rStyle w:val="FootnoteReference"/>
        </w:rPr>
        <w:footnoteRef/>
      </w:r>
      <w:r>
        <w:t xml:space="preserve"> Доклад от извършена междинна оценка на напредъка по изпълнението на приоритетни оси 1, 2 и 3 на Оперативна програма „Добро управление“, април 2020 г.</w:t>
      </w:r>
    </w:p>
  </w:footnote>
  <w:footnote w:id="5">
    <w:p w14:paraId="6716EBCB" w14:textId="76BCBBEF" w:rsidR="00466416" w:rsidRPr="00B628CE" w:rsidRDefault="00466416" w:rsidP="00D93140">
      <w:pPr>
        <w:pStyle w:val="FootnoteText"/>
        <w:jc w:val="both"/>
      </w:pPr>
      <w:r w:rsidRPr="009C3DD8">
        <w:rPr>
          <w:rStyle w:val="FootnoteReference"/>
          <w:lang w:val="en-GB"/>
        </w:rPr>
        <w:footnoteRef/>
      </w:r>
      <w:r w:rsidRPr="00A555F8">
        <w:t xml:space="preserve"> </w:t>
      </w:r>
      <w:r w:rsidRPr="00B628CE">
        <w:rPr>
          <w:lang w:val="en-GB"/>
        </w:rPr>
        <w:t>Monitoring</w:t>
      </w:r>
      <w:r w:rsidRPr="00A555F8">
        <w:t xml:space="preserve"> </w:t>
      </w:r>
      <w:r w:rsidRPr="00B628CE">
        <w:rPr>
          <w:lang w:val="en-GB"/>
        </w:rPr>
        <w:t>and</w:t>
      </w:r>
      <w:r w:rsidRPr="00A555F8">
        <w:t xml:space="preserve"> </w:t>
      </w:r>
      <w:r w:rsidRPr="00B628CE">
        <w:rPr>
          <w:lang w:val="en-GB"/>
        </w:rPr>
        <w:t>Evaluation</w:t>
      </w:r>
      <w:r w:rsidRPr="00A555F8">
        <w:t xml:space="preserve"> </w:t>
      </w:r>
      <w:r w:rsidRPr="00B628CE">
        <w:rPr>
          <w:lang w:val="en-GB"/>
        </w:rPr>
        <w:t>of</w:t>
      </w:r>
      <w:r w:rsidRPr="00A555F8">
        <w:t xml:space="preserve"> </w:t>
      </w:r>
      <w:r w:rsidRPr="00B628CE">
        <w:rPr>
          <w:lang w:val="en-GB"/>
        </w:rPr>
        <w:t>European</w:t>
      </w:r>
      <w:r w:rsidRPr="00A555F8">
        <w:t xml:space="preserve"> </w:t>
      </w:r>
      <w:r w:rsidRPr="00B628CE">
        <w:rPr>
          <w:lang w:val="en-GB"/>
        </w:rPr>
        <w:t>Cohesion</w:t>
      </w:r>
      <w:r w:rsidRPr="00A555F8">
        <w:t xml:space="preserve"> </w:t>
      </w:r>
      <w:r w:rsidRPr="00B628CE">
        <w:rPr>
          <w:lang w:val="en-GB"/>
        </w:rPr>
        <w:t>Policy</w:t>
      </w:r>
      <w:r w:rsidRPr="00A555F8">
        <w:t xml:space="preserve">, </w:t>
      </w:r>
      <w:r w:rsidRPr="00B628CE">
        <w:rPr>
          <w:lang w:val="en-GB"/>
        </w:rPr>
        <w:t>European</w:t>
      </w:r>
      <w:r w:rsidRPr="00A555F8">
        <w:t xml:space="preserve"> </w:t>
      </w:r>
      <w:r w:rsidRPr="00B628CE">
        <w:rPr>
          <w:lang w:val="en-GB"/>
        </w:rPr>
        <w:t>Social</w:t>
      </w:r>
      <w:r w:rsidRPr="00A555F8">
        <w:t xml:space="preserve"> </w:t>
      </w:r>
      <w:r w:rsidRPr="00B628CE">
        <w:rPr>
          <w:lang w:val="en-GB"/>
        </w:rPr>
        <w:t>Fund</w:t>
      </w:r>
      <w:r w:rsidRPr="00A555F8">
        <w:t xml:space="preserve">, </w:t>
      </w:r>
      <w:r w:rsidRPr="00B628CE">
        <w:rPr>
          <w:lang w:val="en-GB"/>
        </w:rPr>
        <w:t>Guidance</w:t>
      </w:r>
      <w:r w:rsidRPr="00A555F8">
        <w:t xml:space="preserve"> </w:t>
      </w:r>
      <w:r w:rsidRPr="00B628CE">
        <w:rPr>
          <w:lang w:val="en-GB"/>
        </w:rPr>
        <w:t>document</w:t>
      </w:r>
      <w:r w:rsidRPr="00A555F8">
        <w:t xml:space="preserve">, </w:t>
      </w:r>
      <w:r w:rsidRPr="00B628CE">
        <w:rPr>
          <w:lang w:val="en-GB"/>
        </w:rPr>
        <w:t>June</w:t>
      </w:r>
      <w:r w:rsidRPr="00A555F8">
        <w:t xml:space="preserve"> 2015</w:t>
      </w:r>
      <w:r w:rsidRPr="00B628CE">
        <w:t xml:space="preserve"> [стр. 15] </w:t>
      </w:r>
      <w:r w:rsidRPr="00B628CE">
        <w:rPr>
          <w:b/>
          <w:i/>
        </w:rPr>
        <w:t>Забележка:</w:t>
      </w:r>
      <w:r w:rsidRPr="00B628CE">
        <w:t xml:space="preserve"> Следва да се има предвид, че ОПДУ е одобрена през февруари 2015 г., докато</w:t>
      </w:r>
      <w:r>
        <w:t xml:space="preserve"> </w:t>
      </w:r>
      <w:r w:rsidRPr="00B628CE">
        <w:t>Насоките са публикувани едва през юни същата година.</w:t>
      </w:r>
    </w:p>
  </w:footnote>
  <w:footnote w:id="6">
    <w:p w14:paraId="3CA40CD0" w14:textId="3593A098" w:rsidR="00466416" w:rsidRPr="00A3382F" w:rsidRDefault="00466416" w:rsidP="00481557">
      <w:pPr>
        <w:pStyle w:val="FootnoteText"/>
        <w:jc w:val="both"/>
        <w:rPr>
          <w:lang w:val="ru-RU"/>
        </w:rPr>
      </w:pPr>
      <w:r>
        <w:rPr>
          <w:rStyle w:val="FootnoteReference"/>
        </w:rPr>
        <w:footnoteRef/>
      </w:r>
      <w:r>
        <w:t xml:space="preserve"> </w:t>
      </w:r>
      <w:r w:rsidRPr="00FF0DBC">
        <w:t>Целевите стойности на индикаторите за резултат в таблица 2 не включват базови стойности</w:t>
      </w:r>
      <w:r>
        <w:t>, т.е. са променени в съответствие с техническата корекция, отразена в Таблица 1.</w:t>
      </w:r>
    </w:p>
  </w:footnote>
  <w:footnote w:id="7">
    <w:p w14:paraId="39F11ADB" w14:textId="090AEA17" w:rsidR="00466416" w:rsidRPr="003C5CED" w:rsidRDefault="00466416" w:rsidP="003C5CED">
      <w:pPr>
        <w:keepNext/>
        <w:keepLines/>
        <w:suppressAutoHyphens/>
        <w:jc w:val="both"/>
        <w:rPr>
          <w:sz w:val="16"/>
          <w:szCs w:val="16"/>
        </w:rPr>
      </w:pPr>
      <w:r>
        <w:rPr>
          <w:rStyle w:val="FootnoteReference"/>
        </w:rPr>
        <w:footnoteRef/>
      </w:r>
      <w:r>
        <w:t xml:space="preserve"> </w:t>
      </w:r>
      <w:r w:rsidRPr="001B7378">
        <w:rPr>
          <w:sz w:val="20"/>
        </w:rPr>
        <w:t>Предложеното отпадане е отразено в текстовете по програмата</w:t>
      </w:r>
      <w:r w:rsidR="001B7378">
        <w:rPr>
          <w:sz w:val="20"/>
        </w:rPr>
        <w:t xml:space="preserve">, </w:t>
      </w:r>
      <w:r w:rsidRPr="001B7378">
        <w:rPr>
          <w:sz w:val="20"/>
        </w:rPr>
        <w:t>Раздел 1 “Стратегия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 Раздел 2.А.1 Приоритетна ос 1“Административ</w:t>
      </w:r>
      <w:r w:rsidR="00A05E36">
        <w:rPr>
          <w:sz w:val="20"/>
        </w:rPr>
        <w:t>но обслужване и е-управление”, Р</w:t>
      </w:r>
      <w:r w:rsidRPr="001B7378">
        <w:rPr>
          <w:sz w:val="20"/>
        </w:rPr>
        <w:t xml:space="preserve">аздел 2.А.5 Специфични цели, съответстващи на инвестиционния приоритет, и очаквани резултати, Таблица 4: 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 (за </w:t>
      </w:r>
      <w:r w:rsidR="00A05E36">
        <w:rPr>
          <w:sz w:val="20"/>
        </w:rPr>
        <w:t>ЕСФ); Р</w:t>
      </w:r>
      <w:r w:rsidRPr="001B7378">
        <w:rPr>
          <w:sz w:val="20"/>
        </w:rPr>
        <w:t>аздел 2А8, Таблица 6: Рамка на изпълнението на приоритетната ос (по фондове и, за ЕФРР и ЕСФ, по категории региони), раздел 12.2, Таблица 28: Рамка на изпълнението по фонд и категория регион (обобщена таблица)</w:t>
      </w:r>
    </w:p>
  </w:footnote>
  <w:footnote w:id="8">
    <w:p w14:paraId="1D18DE56" w14:textId="175870A1" w:rsidR="00466416" w:rsidRDefault="00466416" w:rsidP="00AC7CFB">
      <w:pPr>
        <w:keepNext/>
        <w:keepLines/>
        <w:jc w:val="both"/>
        <w:rPr>
          <w:b/>
        </w:rPr>
      </w:pPr>
      <w:r>
        <w:rPr>
          <w:rStyle w:val="FootnoteReference"/>
        </w:rPr>
        <w:footnoteRef/>
      </w:r>
      <w:r>
        <w:t xml:space="preserve"> </w:t>
      </w:r>
      <w:r w:rsidRPr="00BA14B5">
        <w:rPr>
          <w:sz w:val="16"/>
          <w:szCs w:val="16"/>
        </w:rPr>
        <w:t xml:space="preserve">Предложеното намаление в стойността на индикаторите е отразено в текстовете по програмата -  </w:t>
      </w:r>
      <w:r w:rsidRPr="002B0CBE">
        <w:rPr>
          <w:sz w:val="16"/>
          <w:szCs w:val="16"/>
        </w:rPr>
        <w:t>Раздел 1 “Стратегия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 Раздел 2.А.1 Приори</w:t>
      </w:r>
      <w:r w:rsidRPr="00BA14B5">
        <w:rPr>
          <w:sz w:val="16"/>
          <w:szCs w:val="16"/>
        </w:rPr>
        <w:t>тет</w:t>
      </w:r>
      <w:r w:rsidRPr="002B0CBE">
        <w:rPr>
          <w:sz w:val="16"/>
          <w:szCs w:val="16"/>
        </w:rPr>
        <w:t>на ос</w:t>
      </w:r>
      <w:r w:rsidRPr="00BA14B5">
        <w:rPr>
          <w:sz w:val="16"/>
          <w:szCs w:val="16"/>
        </w:rPr>
        <w:t xml:space="preserve"> 1</w:t>
      </w:r>
      <w:r w:rsidRPr="002B0CBE">
        <w:rPr>
          <w:sz w:val="16"/>
          <w:szCs w:val="16"/>
        </w:rPr>
        <w:t xml:space="preserve"> </w:t>
      </w:r>
      <w:r w:rsidRPr="00BA14B5">
        <w:rPr>
          <w:sz w:val="16"/>
          <w:szCs w:val="16"/>
        </w:rPr>
        <w:t xml:space="preserve">“Административно обслужване и е-управление”, раздел 2А5, таблици: Таблица 4: 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 (за ЕСФ), раздел 2А6.5,Таблица 5: Общи и специфични за програмата показатели за изпълнението (по инвестиционни приоритети, разпределени по категории региони за ЕСФ и когато е уместно — за ЕФРР), раздел 2А8, </w:t>
      </w:r>
      <w:r w:rsidRPr="005E667A">
        <w:rPr>
          <w:noProof/>
          <w:sz w:val="16"/>
          <w:szCs w:val="16"/>
        </w:rPr>
        <w:t>Таблица 6: Рамка на изпълнението на приоритетната ос (по фондове и, за ЕФРР и ЕСФ, по категории региони)</w:t>
      </w:r>
      <w:r w:rsidRPr="00BA14B5">
        <w:rPr>
          <w:noProof/>
          <w:sz w:val="16"/>
          <w:szCs w:val="16"/>
        </w:rPr>
        <w:t xml:space="preserve">, </w:t>
      </w:r>
      <w:r w:rsidRPr="00BA14B5">
        <w:rPr>
          <w:sz w:val="16"/>
          <w:szCs w:val="16"/>
        </w:rPr>
        <w:t>раздел 12.2, Таблица 28: Рамка на изпълнението по фонд и категория регион (обобщена таблица)</w:t>
      </w:r>
    </w:p>
    <w:p w14:paraId="1C92BA7F" w14:textId="65CF3740" w:rsidR="00466416" w:rsidRPr="005A486A" w:rsidRDefault="00466416" w:rsidP="005E667A">
      <w:pPr>
        <w:keepNext/>
        <w:keepLines/>
        <w:suppressAutoHyphens/>
        <w:jc w:val="both"/>
        <w:rPr>
          <w:noProof/>
          <w:sz w:val="16"/>
          <w:szCs w:val="16"/>
        </w:rPr>
      </w:pPr>
    </w:p>
    <w:p w14:paraId="3B557E11" w14:textId="05CA453E" w:rsidR="00466416" w:rsidRPr="00BA14B5" w:rsidRDefault="00466416" w:rsidP="00C856B5">
      <w:pPr>
        <w:keepNext/>
        <w:keepLines/>
        <w:rPr>
          <w:sz w:val="16"/>
          <w:szCs w:val="16"/>
        </w:rPr>
      </w:pPr>
    </w:p>
    <w:p w14:paraId="050A7CCF" w14:textId="7F157B9A" w:rsidR="00466416" w:rsidRPr="00BA14B5" w:rsidRDefault="00466416">
      <w:pPr>
        <w:pStyle w:val="FootnoteText"/>
        <w:rPr>
          <w:sz w:val="24"/>
        </w:rPr>
      </w:pPr>
    </w:p>
  </w:footnote>
  <w:footnote w:id="9">
    <w:p w14:paraId="5CE4E84C" w14:textId="77777777" w:rsidR="00466416" w:rsidRDefault="00466416" w:rsidP="00023661">
      <w:pPr>
        <w:pStyle w:val="FootnoteText"/>
        <w:jc w:val="both"/>
      </w:pPr>
      <w:r>
        <w:rPr>
          <w:rStyle w:val="FootnoteReference"/>
        </w:rPr>
        <w:footnoteRef/>
      </w:r>
      <w:r>
        <w:t xml:space="preserve"> Ниво на предоставяне съгласно Наредбата за административния регистър. За всяка административна услуга вписана в ИИСДА се посочва ниво на предоставяне. </w:t>
      </w:r>
    </w:p>
  </w:footnote>
  <w:footnote w:id="10">
    <w:p w14:paraId="3C84575A" w14:textId="4F55EE36" w:rsidR="00466416" w:rsidRPr="00A555F8" w:rsidRDefault="00466416">
      <w:pPr>
        <w:pStyle w:val="FootnoteText"/>
        <w:rPr>
          <w:lang w:val="ru-RU"/>
        </w:rPr>
      </w:pPr>
      <w:r>
        <w:rPr>
          <w:rStyle w:val="FootnoteReference"/>
        </w:rPr>
        <w:footnoteRef/>
      </w:r>
      <w:r>
        <w:t xml:space="preserve"> </w:t>
      </w:r>
      <w:r w:rsidRPr="00761411">
        <w:t>Целевите стойности на инди</w:t>
      </w:r>
      <w:r>
        <w:t>каторите за резултат в таблица 3</w:t>
      </w:r>
      <w:r w:rsidRPr="00761411">
        <w:t xml:space="preserve"> не включват базови стойности</w:t>
      </w:r>
    </w:p>
  </w:footnote>
  <w:footnote w:id="11">
    <w:p w14:paraId="2ADA3C2A" w14:textId="003E4D2B" w:rsidR="00466416" w:rsidRPr="00172C94" w:rsidRDefault="00466416" w:rsidP="00411A62">
      <w:pPr>
        <w:pStyle w:val="FootnoteText"/>
        <w:jc w:val="both"/>
      </w:pPr>
      <w:r>
        <w:rPr>
          <w:rStyle w:val="FootnoteReference"/>
        </w:rPr>
        <w:footnoteRef/>
      </w:r>
      <w:r>
        <w:t xml:space="preserve"> </w:t>
      </w:r>
      <w:r w:rsidRPr="00172C94">
        <w:t xml:space="preserve">Раздел 1 “Стратегия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 Раздел 2.А.1 </w:t>
      </w:r>
      <w:proofErr w:type="spellStart"/>
      <w:r w:rsidRPr="00172C94">
        <w:t>Приориетна</w:t>
      </w:r>
      <w:proofErr w:type="spellEnd"/>
      <w:r w:rsidRPr="00172C94">
        <w:t xml:space="preserve"> ос 2 “Ефективно и професионално управление в партньорство с гражданското общество и бизнеса”, 2.А.5 Специфични цели, съответстващи на инвестиционния приоритет, и очаквани резултати, специфична цел 2 “Подобряване на специализираните знания и умения на служителите в администрацията и развитие на механизми за кариерно развитие”; Раздел 2.А.6 “Действия, които ще получат подкрепа в рамките на инвестиционния приоритет”, 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172C94">
        <w:t>бенефициери</w:t>
      </w:r>
      <w:proofErr w:type="spellEnd"/>
      <w:r w:rsidRPr="00172C94">
        <w:t>” по приоритетна ос 2</w:t>
      </w:r>
      <w:r w:rsidRPr="00172C94">
        <w:rPr>
          <w:lang w:val="ru-RU"/>
        </w:rPr>
        <w:t>.</w:t>
      </w:r>
      <w:r w:rsidRPr="00172C9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B31E" w14:textId="77777777" w:rsidR="00466416" w:rsidRDefault="00466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FD6E" w14:textId="77777777" w:rsidR="00466416" w:rsidRDefault="0046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10AA" w14:textId="77777777" w:rsidR="00466416" w:rsidRDefault="0046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6A8"/>
    <w:multiLevelType w:val="hybridMultilevel"/>
    <w:tmpl w:val="35A68A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E864A4"/>
    <w:multiLevelType w:val="hybridMultilevel"/>
    <w:tmpl w:val="C96E0D56"/>
    <w:lvl w:ilvl="0" w:tplc="4AEEF934">
      <w:start w:val="1"/>
      <w:numFmt w:val="decimal"/>
      <w:lvlText w:val="I.%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6F2E5F"/>
    <w:multiLevelType w:val="multilevel"/>
    <w:tmpl w:val="CCE40552"/>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3" w15:restartNumberingAfterBreak="0">
    <w:nsid w:val="0BB852F8"/>
    <w:multiLevelType w:val="hybridMultilevel"/>
    <w:tmpl w:val="7A78D16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10111ACD"/>
    <w:multiLevelType w:val="hybridMultilevel"/>
    <w:tmpl w:val="89424C2E"/>
    <w:lvl w:ilvl="0" w:tplc="56F2E7A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72F2C03"/>
    <w:multiLevelType w:val="hybridMultilevel"/>
    <w:tmpl w:val="45E4C20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15:restartNumberingAfterBreak="0">
    <w:nsid w:val="18F51F61"/>
    <w:multiLevelType w:val="multilevel"/>
    <w:tmpl w:val="9E1057DC"/>
    <w:lvl w:ilvl="0">
      <w:start w:val="1"/>
      <w:numFmt w:val="decimal"/>
      <w:lvlText w:val="%1."/>
      <w:lvlJc w:val="left"/>
      <w:pPr>
        <w:ind w:left="26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7" w15:restartNumberingAfterBreak="0">
    <w:nsid w:val="1D22685B"/>
    <w:multiLevelType w:val="hybridMultilevel"/>
    <w:tmpl w:val="2838771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954107"/>
    <w:multiLevelType w:val="hybridMultilevel"/>
    <w:tmpl w:val="D7F42B38"/>
    <w:lvl w:ilvl="0" w:tplc="4FB0680E">
      <w:start w:val="1"/>
      <w:numFmt w:val="decimal"/>
      <w:lvlText w:val="II.%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67A55D3"/>
    <w:multiLevelType w:val="multilevel"/>
    <w:tmpl w:val="1DC2DE06"/>
    <w:lvl w:ilvl="0">
      <w:start w:val="1"/>
      <w:numFmt w:val="upperRoman"/>
      <w:lvlText w:val="%1."/>
      <w:lvlJc w:val="left"/>
      <w:pPr>
        <w:ind w:left="1571" w:hanging="72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436" w:hanging="1080"/>
      </w:pPr>
      <w:rPr>
        <w:rFonts w:hint="default"/>
      </w:rPr>
    </w:lvl>
    <w:lvl w:ilvl="5">
      <w:start w:val="1"/>
      <w:numFmt w:val="decimal"/>
      <w:isLgl/>
      <w:lvlText w:val="%1.%2.%3.%4.%5.%6"/>
      <w:lvlJc w:val="left"/>
      <w:pPr>
        <w:ind w:left="3845" w:hanging="1080"/>
      </w:pPr>
      <w:rPr>
        <w:rFonts w:hint="default"/>
      </w:rPr>
    </w:lvl>
    <w:lvl w:ilvl="6">
      <w:start w:val="1"/>
      <w:numFmt w:val="decimal"/>
      <w:isLgl/>
      <w:lvlText w:val="%1.%2.%3.%4.%5.%6.%7"/>
      <w:lvlJc w:val="left"/>
      <w:pPr>
        <w:ind w:left="4614" w:hanging="1440"/>
      </w:pPr>
      <w:rPr>
        <w:rFonts w:hint="default"/>
      </w:rPr>
    </w:lvl>
    <w:lvl w:ilvl="7">
      <w:start w:val="1"/>
      <w:numFmt w:val="decimal"/>
      <w:isLgl/>
      <w:lvlText w:val="%1.%2.%3.%4.%5.%6.%7.%8"/>
      <w:lvlJc w:val="left"/>
      <w:pPr>
        <w:ind w:left="5023" w:hanging="1440"/>
      </w:pPr>
      <w:rPr>
        <w:rFonts w:hint="default"/>
      </w:rPr>
    </w:lvl>
    <w:lvl w:ilvl="8">
      <w:start w:val="1"/>
      <w:numFmt w:val="decimal"/>
      <w:isLgl/>
      <w:lvlText w:val="%1.%2.%3.%4.%5.%6.%7.%8.%9"/>
      <w:lvlJc w:val="left"/>
      <w:pPr>
        <w:ind w:left="5792" w:hanging="1800"/>
      </w:pPr>
      <w:rPr>
        <w:rFonts w:hint="default"/>
      </w:rPr>
    </w:lvl>
  </w:abstractNum>
  <w:abstractNum w:abstractNumId="10" w15:restartNumberingAfterBreak="0">
    <w:nsid w:val="276574CC"/>
    <w:multiLevelType w:val="hybridMultilevel"/>
    <w:tmpl w:val="C43CECC2"/>
    <w:lvl w:ilvl="0" w:tplc="F4CA6DE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28463B63"/>
    <w:multiLevelType w:val="hybridMultilevel"/>
    <w:tmpl w:val="4EA8F11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2" w15:restartNumberingAfterBreak="0">
    <w:nsid w:val="2AA548BB"/>
    <w:multiLevelType w:val="hybridMultilevel"/>
    <w:tmpl w:val="F33AB0B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BFB6491"/>
    <w:multiLevelType w:val="hybridMultilevel"/>
    <w:tmpl w:val="B7E8EAD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2C590B34"/>
    <w:multiLevelType w:val="hybridMultilevel"/>
    <w:tmpl w:val="E188C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EFD5288"/>
    <w:multiLevelType w:val="multilevel"/>
    <w:tmpl w:val="E6B667A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3B31B0"/>
    <w:multiLevelType w:val="hybridMultilevel"/>
    <w:tmpl w:val="4C12D1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1AF56B0"/>
    <w:multiLevelType w:val="hybridMultilevel"/>
    <w:tmpl w:val="D074A0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3DE7D09"/>
    <w:multiLevelType w:val="hybridMultilevel"/>
    <w:tmpl w:val="21BC80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3455718A"/>
    <w:multiLevelType w:val="hybridMultilevel"/>
    <w:tmpl w:val="0EE245D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373529E2"/>
    <w:multiLevelType w:val="hybridMultilevel"/>
    <w:tmpl w:val="E452CA2E"/>
    <w:lvl w:ilvl="0" w:tplc="5FE41A7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3A841634"/>
    <w:multiLevelType w:val="hybridMultilevel"/>
    <w:tmpl w:val="01F0ACA0"/>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B444EEE"/>
    <w:multiLevelType w:val="hybridMultilevel"/>
    <w:tmpl w:val="9EBE594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3FB552C4"/>
    <w:multiLevelType w:val="hybridMultilevel"/>
    <w:tmpl w:val="DA440A46"/>
    <w:lvl w:ilvl="0" w:tplc="5FE41A7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15:restartNumberingAfterBreak="0">
    <w:nsid w:val="4199576E"/>
    <w:multiLevelType w:val="hybridMultilevel"/>
    <w:tmpl w:val="D9ECD03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90F0A11"/>
    <w:multiLevelType w:val="hybridMultilevel"/>
    <w:tmpl w:val="5998AF90"/>
    <w:lvl w:ilvl="0" w:tplc="0402000B">
      <w:start w:val="1"/>
      <w:numFmt w:val="bullet"/>
      <w:lvlText w:val=""/>
      <w:lvlJc w:val="left"/>
      <w:pPr>
        <w:ind w:left="1849" w:hanging="360"/>
      </w:pPr>
      <w:rPr>
        <w:rFonts w:ascii="Wingdings" w:hAnsi="Wingdings" w:hint="default"/>
      </w:rPr>
    </w:lvl>
    <w:lvl w:ilvl="1" w:tplc="04020003" w:tentative="1">
      <w:start w:val="1"/>
      <w:numFmt w:val="bullet"/>
      <w:lvlText w:val="o"/>
      <w:lvlJc w:val="left"/>
      <w:pPr>
        <w:ind w:left="2569" w:hanging="360"/>
      </w:pPr>
      <w:rPr>
        <w:rFonts w:ascii="Courier New" w:hAnsi="Courier New" w:cs="Courier New" w:hint="default"/>
      </w:rPr>
    </w:lvl>
    <w:lvl w:ilvl="2" w:tplc="04020005" w:tentative="1">
      <w:start w:val="1"/>
      <w:numFmt w:val="bullet"/>
      <w:lvlText w:val=""/>
      <w:lvlJc w:val="left"/>
      <w:pPr>
        <w:ind w:left="3289" w:hanging="360"/>
      </w:pPr>
      <w:rPr>
        <w:rFonts w:ascii="Wingdings" w:hAnsi="Wingdings" w:hint="default"/>
      </w:rPr>
    </w:lvl>
    <w:lvl w:ilvl="3" w:tplc="04020001" w:tentative="1">
      <w:start w:val="1"/>
      <w:numFmt w:val="bullet"/>
      <w:lvlText w:val=""/>
      <w:lvlJc w:val="left"/>
      <w:pPr>
        <w:ind w:left="4009" w:hanging="360"/>
      </w:pPr>
      <w:rPr>
        <w:rFonts w:ascii="Symbol" w:hAnsi="Symbol" w:hint="default"/>
      </w:rPr>
    </w:lvl>
    <w:lvl w:ilvl="4" w:tplc="04020003" w:tentative="1">
      <w:start w:val="1"/>
      <w:numFmt w:val="bullet"/>
      <w:lvlText w:val="o"/>
      <w:lvlJc w:val="left"/>
      <w:pPr>
        <w:ind w:left="4729" w:hanging="360"/>
      </w:pPr>
      <w:rPr>
        <w:rFonts w:ascii="Courier New" w:hAnsi="Courier New" w:cs="Courier New" w:hint="default"/>
      </w:rPr>
    </w:lvl>
    <w:lvl w:ilvl="5" w:tplc="04020005" w:tentative="1">
      <w:start w:val="1"/>
      <w:numFmt w:val="bullet"/>
      <w:lvlText w:val=""/>
      <w:lvlJc w:val="left"/>
      <w:pPr>
        <w:ind w:left="5449" w:hanging="360"/>
      </w:pPr>
      <w:rPr>
        <w:rFonts w:ascii="Wingdings" w:hAnsi="Wingdings" w:hint="default"/>
      </w:rPr>
    </w:lvl>
    <w:lvl w:ilvl="6" w:tplc="04020001" w:tentative="1">
      <w:start w:val="1"/>
      <w:numFmt w:val="bullet"/>
      <w:lvlText w:val=""/>
      <w:lvlJc w:val="left"/>
      <w:pPr>
        <w:ind w:left="6169" w:hanging="360"/>
      </w:pPr>
      <w:rPr>
        <w:rFonts w:ascii="Symbol" w:hAnsi="Symbol" w:hint="default"/>
      </w:rPr>
    </w:lvl>
    <w:lvl w:ilvl="7" w:tplc="04020003" w:tentative="1">
      <w:start w:val="1"/>
      <w:numFmt w:val="bullet"/>
      <w:lvlText w:val="o"/>
      <w:lvlJc w:val="left"/>
      <w:pPr>
        <w:ind w:left="6889" w:hanging="360"/>
      </w:pPr>
      <w:rPr>
        <w:rFonts w:ascii="Courier New" w:hAnsi="Courier New" w:cs="Courier New" w:hint="default"/>
      </w:rPr>
    </w:lvl>
    <w:lvl w:ilvl="8" w:tplc="04020005" w:tentative="1">
      <w:start w:val="1"/>
      <w:numFmt w:val="bullet"/>
      <w:lvlText w:val=""/>
      <w:lvlJc w:val="left"/>
      <w:pPr>
        <w:ind w:left="7609" w:hanging="360"/>
      </w:pPr>
      <w:rPr>
        <w:rFonts w:ascii="Wingdings" w:hAnsi="Wingdings" w:hint="default"/>
      </w:rPr>
    </w:lvl>
  </w:abstractNum>
  <w:abstractNum w:abstractNumId="26" w15:restartNumberingAfterBreak="0">
    <w:nsid w:val="4C047855"/>
    <w:multiLevelType w:val="hybridMultilevel"/>
    <w:tmpl w:val="3BC8DAE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4C2E3FBD"/>
    <w:multiLevelType w:val="hybridMultilevel"/>
    <w:tmpl w:val="2946CAE0"/>
    <w:lvl w:ilvl="0" w:tplc="69F8D5AA">
      <w:start w:val="1"/>
      <w:numFmt w:val="decimal"/>
      <w:lvlText w:val="I.%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E022DC"/>
    <w:multiLevelType w:val="hybridMultilevel"/>
    <w:tmpl w:val="FCB8C9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253087E"/>
    <w:multiLevelType w:val="hybridMultilevel"/>
    <w:tmpl w:val="D98A277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0" w15:restartNumberingAfterBreak="0">
    <w:nsid w:val="53813601"/>
    <w:multiLevelType w:val="hybridMultilevel"/>
    <w:tmpl w:val="54023A12"/>
    <w:lvl w:ilvl="0" w:tplc="DA78B8D4">
      <w:start w:val="2"/>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98763DB"/>
    <w:multiLevelType w:val="hybridMultilevel"/>
    <w:tmpl w:val="035C264A"/>
    <w:lvl w:ilvl="0" w:tplc="ED7E99F6">
      <w:numFmt w:val="bullet"/>
      <w:lvlText w:val="-"/>
      <w:lvlJc w:val="left"/>
      <w:pPr>
        <w:ind w:left="1134" w:hanging="360"/>
      </w:pPr>
      <w:rPr>
        <w:rFonts w:ascii="Times New Roman" w:eastAsiaTheme="minorHAnsi" w:hAnsi="Times New Roman" w:cs="Times New Roman" w:hint="default"/>
      </w:rPr>
    </w:lvl>
    <w:lvl w:ilvl="1" w:tplc="04020003" w:tentative="1">
      <w:start w:val="1"/>
      <w:numFmt w:val="bullet"/>
      <w:lvlText w:val="o"/>
      <w:lvlJc w:val="left"/>
      <w:pPr>
        <w:ind w:left="1854" w:hanging="360"/>
      </w:pPr>
      <w:rPr>
        <w:rFonts w:ascii="Courier New" w:hAnsi="Courier New" w:cs="Courier New" w:hint="default"/>
      </w:rPr>
    </w:lvl>
    <w:lvl w:ilvl="2" w:tplc="04020005" w:tentative="1">
      <w:start w:val="1"/>
      <w:numFmt w:val="bullet"/>
      <w:lvlText w:val=""/>
      <w:lvlJc w:val="left"/>
      <w:pPr>
        <w:ind w:left="2574" w:hanging="360"/>
      </w:pPr>
      <w:rPr>
        <w:rFonts w:ascii="Wingdings" w:hAnsi="Wingdings" w:hint="default"/>
      </w:rPr>
    </w:lvl>
    <w:lvl w:ilvl="3" w:tplc="04020001" w:tentative="1">
      <w:start w:val="1"/>
      <w:numFmt w:val="bullet"/>
      <w:lvlText w:val=""/>
      <w:lvlJc w:val="left"/>
      <w:pPr>
        <w:ind w:left="3294" w:hanging="360"/>
      </w:pPr>
      <w:rPr>
        <w:rFonts w:ascii="Symbol" w:hAnsi="Symbol" w:hint="default"/>
      </w:rPr>
    </w:lvl>
    <w:lvl w:ilvl="4" w:tplc="04020003" w:tentative="1">
      <w:start w:val="1"/>
      <w:numFmt w:val="bullet"/>
      <w:lvlText w:val="o"/>
      <w:lvlJc w:val="left"/>
      <w:pPr>
        <w:ind w:left="4014" w:hanging="360"/>
      </w:pPr>
      <w:rPr>
        <w:rFonts w:ascii="Courier New" w:hAnsi="Courier New" w:cs="Courier New" w:hint="default"/>
      </w:rPr>
    </w:lvl>
    <w:lvl w:ilvl="5" w:tplc="04020005" w:tentative="1">
      <w:start w:val="1"/>
      <w:numFmt w:val="bullet"/>
      <w:lvlText w:val=""/>
      <w:lvlJc w:val="left"/>
      <w:pPr>
        <w:ind w:left="4734" w:hanging="360"/>
      </w:pPr>
      <w:rPr>
        <w:rFonts w:ascii="Wingdings" w:hAnsi="Wingdings" w:hint="default"/>
      </w:rPr>
    </w:lvl>
    <w:lvl w:ilvl="6" w:tplc="04020001" w:tentative="1">
      <w:start w:val="1"/>
      <w:numFmt w:val="bullet"/>
      <w:lvlText w:val=""/>
      <w:lvlJc w:val="left"/>
      <w:pPr>
        <w:ind w:left="5454" w:hanging="360"/>
      </w:pPr>
      <w:rPr>
        <w:rFonts w:ascii="Symbol" w:hAnsi="Symbol" w:hint="default"/>
      </w:rPr>
    </w:lvl>
    <w:lvl w:ilvl="7" w:tplc="04020003" w:tentative="1">
      <w:start w:val="1"/>
      <w:numFmt w:val="bullet"/>
      <w:lvlText w:val="o"/>
      <w:lvlJc w:val="left"/>
      <w:pPr>
        <w:ind w:left="6174" w:hanging="360"/>
      </w:pPr>
      <w:rPr>
        <w:rFonts w:ascii="Courier New" w:hAnsi="Courier New" w:cs="Courier New" w:hint="default"/>
      </w:rPr>
    </w:lvl>
    <w:lvl w:ilvl="8" w:tplc="04020005" w:tentative="1">
      <w:start w:val="1"/>
      <w:numFmt w:val="bullet"/>
      <w:lvlText w:val=""/>
      <w:lvlJc w:val="left"/>
      <w:pPr>
        <w:ind w:left="6894" w:hanging="360"/>
      </w:pPr>
      <w:rPr>
        <w:rFonts w:ascii="Wingdings" w:hAnsi="Wingdings" w:hint="default"/>
      </w:rPr>
    </w:lvl>
  </w:abstractNum>
  <w:abstractNum w:abstractNumId="32" w15:restartNumberingAfterBreak="0">
    <w:nsid w:val="59AD1C21"/>
    <w:multiLevelType w:val="hybridMultilevel"/>
    <w:tmpl w:val="8E5E11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9EE4F0D"/>
    <w:multiLevelType w:val="hybridMultilevel"/>
    <w:tmpl w:val="D5F483F4"/>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4" w15:restartNumberingAfterBreak="0">
    <w:nsid w:val="5AEA1B18"/>
    <w:multiLevelType w:val="hybridMultilevel"/>
    <w:tmpl w:val="42DEBC32"/>
    <w:lvl w:ilvl="0" w:tplc="04090001">
      <w:start w:val="1"/>
      <w:numFmt w:val="bullet"/>
      <w:lvlText w:val=""/>
      <w:lvlJc w:val="left"/>
      <w:pPr>
        <w:ind w:left="1429" w:hanging="360"/>
      </w:pPr>
      <w:rPr>
        <w:rFonts w:ascii="Symbol" w:hAnsi="Symbol"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5" w15:restartNumberingAfterBreak="0">
    <w:nsid w:val="5B300637"/>
    <w:multiLevelType w:val="hybridMultilevel"/>
    <w:tmpl w:val="40183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53030EC"/>
    <w:multiLevelType w:val="hybridMultilevel"/>
    <w:tmpl w:val="668EAB7A"/>
    <w:lvl w:ilvl="0" w:tplc="ABE6497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684173E"/>
    <w:multiLevelType w:val="hybridMultilevel"/>
    <w:tmpl w:val="7E3078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6B61141"/>
    <w:multiLevelType w:val="hybridMultilevel"/>
    <w:tmpl w:val="81B8DF2E"/>
    <w:lvl w:ilvl="0" w:tplc="C59C8E66">
      <w:start w:val="1"/>
      <w:numFmt w:val="decimal"/>
      <w:lvlText w:val="%1."/>
      <w:lvlJc w:val="left"/>
      <w:pPr>
        <w:ind w:left="1129" w:hanging="4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15:restartNumberingAfterBreak="0">
    <w:nsid w:val="694669D5"/>
    <w:multiLevelType w:val="multilevel"/>
    <w:tmpl w:val="E49A7A36"/>
    <w:lvl w:ilvl="0">
      <w:start w:val="3"/>
      <w:numFmt w:val="decimal"/>
      <w:lvlText w:val="%1"/>
      <w:lvlJc w:val="left"/>
      <w:pPr>
        <w:ind w:left="360" w:hanging="360"/>
      </w:pPr>
      <w:rPr>
        <w:rFonts w:eastAsia="Calibri" w:hint="default"/>
        <w:u w:val="none"/>
      </w:rPr>
    </w:lvl>
    <w:lvl w:ilvl="1">
      <w:start w:val="3"/>
      <w:numFmt w:val="decimal"/>
      <w:lvlText w:val="%1.%2"/>
      <w:lvlJc w:val="left"/>
      <w:pPr>
        <w:ind w:left="1080" w:hanging="360"/>
      </w:pPr>
      <w:rPr>
        <w:rFonts w:eastAsia="Calibri" w:hint="default"/>
        <w:b/>
        <w:u w:val="none"/>
      </w:rPr>
    </w:lvl>
    <w:lvl w:ilvl="2">
      <w:start w:val="1"/>
      <w:numFmt w:val="decimal"/>
      <w:lvlText w:val="%1.%2.%3"/>
      <w:lvlJc w:val="left"/>
      <w:pPr>
        <w:ind w:left="2160" w:hanging="720"/>
      </w:pPr>
      <w:rPr>
        <w:rFonts w:eastAsia="Calibri" w:hint="default"/>
        <w:u w:val="none"/>
      </w:rPr>
    </w:lvl>
    <w:lvl w:ilvl="3">
      <w:start w:val="1"/>
      <w:numFmt w:val="decimal"/>
      <w:lvlText w:val="%1.%2.%3.%4"/>
      <w:lvlJc w:val="left"/>
      <w:pPr>
        <w:ind w:left="2880" w:hanging="720"/>
      </w:pPr>
      <w:rPr>
        <w:rFonts w:eastAsia="Calibri" w:hint="default"/>
        <w:u w:val="none"/>
      </w:rPr>
    </w:lvl>
    <w:lvl w:ilvl="4">
      <w:start w:val="1"/>
      <w:numFmt w:val="decimal"/>
      <w:lvlText w:val="%1.%2.%3.%4.%5"/>
      <w:lvlJc w:val="left"/>
      <w:pPr>
        <w:ind w:left="3960" w:hanging="1080"/>
      </w:pPr>
      <w:rPr>
        <w:rFonts w:eastAsia="Calibri" w:hint="default"/>
        <w:u w:val="none"/>
      </w:rPr>
    </w:lvl>
    <w:lvl w:ilvl="5">
      <w:start w:val="1"/>
      <w:numFmt w:val="decimal"/>
      <w:lvlText w:val="%1.%2.%3.%4.%5.%6"/>
      <w:lvlJc w:val="left"/>
      <w:pPr>
        <w:ind w:left="4680" w:hanging="1080"/>
      </w:pPr>
      <w:rPr>
        <w:rFonts w:eastAsia="Calibri" w:hint="default"/>
        <w:u w:val="none"/>
      </w:rPr>
    </w:lvl>
    <w:lvl w:ilvl="6">
      <w:start w:val="1"/>
      <w:numFmt w:val="decimal"/>
      <w:lvlText w:val="%1.%2.%3.%4.%5.%6.%7"/>
      <w:lvlJc w:val="left"/>
      <w:pPr>
        <w:ind w:left="5760" w:hanging="1440"/>
      </w:pPr>
      <w:rPr>
        <w:rFonts w:eastAsia="Calibri" w:hint="default"/>
        <w:u w:val="none"/>
      </w:rPr>
    </w:lvl>
    <w:lvl w:ilvl="7">
      <w:start w:val="1"/>
      <w:numFmt w:val="decimal"/>
      <w:lvlText w:val="%1.%2.%3.%4.%5.%6.%7.%8"/>
      <w:lvlJc w:val="left"/>
      <w:pPr>
        <w:ind w:left="6480" w:hanging="1440"/>
      </w:pPr>
      <w:rPr>
        <w:rFonts w:eastAsia="Calibri" w:hint="default"/>
        <w:u w:val="none"/>
      </w:rPr>
    </w:lvl>
    <w:lvl w:ilvl="8">
      <w:start w:val="1"/>
      <w:numFmt w:val="decimal"/>
      <w:lvlText w:val="%1.%2.%3.%4.%5.%6.%7.%8.%9"/>
      <w:lvlJc w:val="left"/>
      <w:pPr>
        <w:ind w:left="7560" w:hanging="1800"/>
      </w:pPr>
      <w:rPr>
        <w:rFonts w:eastAsia="Calibri" w:hint="default"/>
        <w:u w:val="none"/>
      </w:rPr>
    </w:lvl>
  </w:abstractNum>
  <w:abstractNum w:abstractNumId="40" w15:restartNumberingAfterBreak="0">
    <w:nsid w:val="7A6A02CF"/>
    <w:multiLevelType w:val="hybridMultilevel"/>
    <w:tmpl w:val="CA6E957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C5D4D85"/>
    <w:multiLevelType w:val="hybridMultilevel"/>
    <w:tmpl w:val="4E7C6D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7DDD5647"/>
    <w:multiLevelType w:val="hybridMultilevel"/>
    <w:tmpl w:val="3F1EBDB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10"/>
  </w:num>
  <w:num w:numId="2">
    <w:abstractNumId w:val="27"/>
  </w:num>
  <w:num w:numId="3">
    <w:abstractNumId w:val="1"/>
  </w:num>
  <w:num w:numId="4">
    <w:abstractNumId w:val="14"/>
  </w:num>
  <w:num w:numId="5">
    <w:abstractNumId w:val="20"/>
  </w:num>
  <w:num w:numId="6">
    <w:abstractNumId w:val="31"/>
  </w:num>
  <w:num w:numId="7">
    <w:abstractNumId w:val="1"/>
    <w:lvlOverride w:ilvl="0">
      <w:lvl w:ilvl="0" w:tplc="4AEEF934">
        <w:start w:val="1"/>
        <w:numFmt w:val="decimal"/>
        <w:lvlText w:val="I.%1."/>
        <w:lvlJc w:val="left"/>
        <w:pPr>
          <w:ind w:left="720" w:hanging="360"/>
        </w:pPr>
        <w:rPr>
          <w:rFonts w:hint="default"/>
        </w:rPr>
      </w:lvl>
    </w:lvlOverride>
    <w:lvlOverride w:ilvl="1">
      <w:lvl w:ilvl="1" w:tplc="04020019" w:tentative="1">
        <w:start w:val="1"/>
        <w:numFmt w:val="lowerLetter"/>
        <w:lvlText w:val="%2."/>
        <w:lvlJc w:val="left"/>
        <w:pPr>
          <w:ind w:left="1440" w:hanging="360"/>
        </w:pPr>
      </w:lvl>
    </w:lvlOverride>
    <w:lvlOverride w:ilvl="2">
      <w:lvl w:ilvl="2" w:tplc="0402001B" w:tentative="1">
        <w:start w:val="1"/>
        <w:numFmt w:val="lowerRoman"/>
        <w:lvlText w:val="%3."/>
        <w:lvlJc w:val="right"/>
        <w:pPr>
          <w:ind w:left="2160" w:hanging="180"/>
        </w:pPr>
      </w:lvl>
    </w:lvlOverride>
    <w:lvlOverride w:ilvl="3">
      <w:lvl w:ilvl="3" w:tplc="0402000F" w:tentative="1">
        <w:start w:val="1"/>
        <w:numFmt w:val="decimal"/>
        <w:lvlText w:val="%4."/>
        <w:lvlJc w:val="left"/>
        <w:pPr>
          <w:ind w:left="2880" w:hanging="360"/>
        </w:pPr>
      </w:lvl>
    </w:lvlOverride>
    <w:lvlOverride w:ilvl="4">
      <w:lvl w:ilvl="4" w:tplc="04020019" w:tentative="1">
        <w:start w:val="1"/>
        <w:numFmt w:val="lowerLetter"/>
        <w:lvlText w:val="%5."/>
        <w:lvlJc w:val="left"/>
        <w:pPr>
          <w:ind w:left="3600" w:hanging="360"/>
        </w:pPr>
      </w:lvl>
    </w:lvlOverride>
    <w:lvlOverride w:ilvl="5">
      <w:lvl w:ilvl="5" w:tplc="0402001B" w:tentative="1">
        <w:start w:val="1"/>
        <w:numFmt w:val="lowerRoman"/>
        <w:lvlText w:val="%6."/>
        <w:lvlJc w:val="right"/>
        <w:pPr>
          <w:ind w:left="4320" w:hanging="180"/>
        </w:pPr>
      </w:lvl>
    </w:lvlOverride>
    <w:lvlOverride w:ilvl="6">
      <w:lvl w:ilvl="6" w:tplc="0402000F" w:tentative="1">
        <w:start w:val="1"/>
        <w:numFmt w:val="decimal"/>
        <w:lvlText w:val="%7."/>
        <w:lvlJc w:val="left"/>
        <w:pPr>
          <w:ind w:left="5040" w:hanging="360"/>
        </w:pPr>
      </w:lvl>
    </w:lvlOverride>
    <w:lvlOverride w:ilvl="7">
      <w:lvl w:ilvl="7" w:tplc="04020019" w:tentative="1">
        <w:start w:val="1"/>
        <w:numFmt w:val="lowerLetter"/>
        <w:lvlText w:val="%8."/>
        <w:lvlJc w:val="left"/>
        <w:pPr>
          <w:ind w:left="5760" w:hanging="360"/>
        </w:pPr>
      </w:lvl>
    </w:lvlOverride>
    <w:lvlOverride w:ilvl="8">
      <w:lvl w:ilvl="8" w:tplc="0402001B" w:tentative="1">
        <w:start w:val="1"/>
        <w:numFmt w:val="lowerRoman"/>
        <w:lvlText w:val="%9."/>
        <w:lvlJc w:val="right"/>
        <w:pPr>
          <w:ind w:left="6480" w:hanging="180"/>
        </w:pPr>
      </w:lvl>
    </w:lvlOverride>
  </w:num>
  <w:num w:numId="8">
    <w:abstractNumId w:val="8"/>
  </w:num>
  <w:num w:numId="9">
    <w:abstractNumId w:val="12"/>
  </w:num>
  <w:num w:numId="10">
    <w:abstractNumId w:val="18"/>
  </w:num>
  <w:num w:numId="11">
    <w:abstractNumId w:val="23"/>
  </w:num>
  <w:num w:numId="12">
    <w:abstractNumId w:val="13"/>
  </w:num>
  <w:num w:numId="13">
    <w:abstractNumId w:val="33"/>
  </w:num>
  <w:num w:numId="14">
    <w:abstractNumId w:val="2"/>
  </w:num>
  <w:num w:numId="15">
    <w:abstractNumId w:val="22"/>
  </w:num>
  <w:num w:numId="16">
    <w:abstractNumId w:val="16"/>
  </w:num>
  <w:num w:numId="17">
    <w:abstractNumId w:val="40"/>
  </w:num>
  <w:num w:numId="18">
    <w:abstractNumId w:val="15"/>
  </w:num>
  <w:num w:numId="19">
    <w:abstractNumId w:val="41"/>
  </w:num>
  <w:num w:numId="20">
    <w:abstractNumId w:val="30"/>
  </w:num>
  <w:num w:numId="21">
    <w:abstractNumId w:val="26"/>
  </w:num>
  <w:num w:numId="22">
    <w:abstractNumId w:val="11"/>
  </w:num>
  <w:num w:numId="23">
    <w:abstractNumId w:val="19"/>
  </w:num>
  <w:num w:numId="24">
    <w:abstractNumId w:val="4"/>
  </w:num>
  <w:num w:numId="25">
    <w:abstractNumId w:val="38"/>
  </w:num>
  <w:num w:numId="26">
    <w:abstractNumId w:val="0"/>
  </w:num>
  <w:num w:numId="27">
    <w:abstractNumId w:val="24"/>
  </w:num>
  <w:num w:numId="28">
    <w:abstractNumId w:val="42"/>
  </w:num>
  <w:num w:numId="29">
    <w:abstractNumId w:val="25"/>
  </w:num>
  <w:num w:numId="30">
    <w:abstractNumId w:val="28"/>
  </w:num>
  <w:num w:numId="31">
    <w:abstractNumId w:val="7"/>
  </w:num>
  <w:num w:numId="32">
    <w:abstractNumId w:val="32"/>
  </w:num>
  <w:num w:numId="33">
    <w:abstractNumId w:val="21"/>
  </w:num>
  <w:num w:numId="34">
    <w:abstractNumId w:val="17"/>
  </w:num>
  <w:num w:numId="35">
    <w:abstractNumId w:val="9"/>
  </w:num>
  <w:num w:numId="36">
    <w:abstractNumId w:val="6"/>
  </w:num>
  <w:num w:numId="37">
    <w:abstractNumId w:val="39"/>
  </w:num>
  <w:num w:numId="38">
    <w:abstractNumId w:val="29"/>
  </w:num>
  <w:num w:numId="39">
    <w:abstractNumId w:val="34"/>
  </w:num>
  <w:num w:numId="40">
    <w:abstractNumId w:val="36"/>
  </w:num>
  <w:num w:numId="41">
    <w:abstractNumId w:val="35"/>
  </w:num>
  <w:num w:numId="42">
    <w:abstractNumId w:val="37"/>
  </w:num>
  <w:num w:numId="43">
    <w:abstractNumId w:val="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909AF"/>
    <w:rsid w:val="00001501"/>
    <w:rsid w:val="00001A36"/>
    <w:rsid w:val="0000254D"/>
    <w:rsid w:val="0000269B"/>
    <w:rsid w:val="00006384"/>
    <w:rsid w:val="0001476B"/>
    <w:rsid w:val="00014A67"/>
    <w:rsid w:val="00021907"/>
    <w:rsid w:val="000219BB"/>
    <w:rsid w:val="00022B92"/>
    <w:rsid w:val="00023661"/>
    <w:rsid w:val="00023A17"/>
    <w:rsid w:val="00025AC1"/>
    <w:rsid w:val="000263B7"/>
    <w:rsid w:val="00032F0B"/>
    <w:rsid w:val="00035442"/>
    <w:rsid w:val="000359D2"/>
    <w:rsid w:val="000375D9"/>
    <w:rsid w:val="00040209"/>
    <w:rsid w:val="000420DB"/>
    <w:rsid w:val="000427E3"/>
    <w:rsid w:val="000427F6"/>
    <w:rsid w:val="000429EB"/>
    <w:rsid w:val="00043B8C"/>
    <w:rsid w:val="00043F33"/>
    <w:rsid w:val="000456AA"/>
    <w:rsid w:val="00045D8F"/>
    <w:rsid w:val="00047D50"/>
    <w:rsid w:val="0005133A"/>
    <w:rsid w:val="000520F1"/>
    <w:rsid w:val="00054DBA"/>
    <w:rsid w:val="00056A12"/>
    <w:rsid w:val="00057324"/>
    <w:rsid w:val="00062D88"/>
    <w:rsid w:val="0006311C"/>
    <w:rsid w:val="000632DA"/>
    <w:rsid w:val="00063A81"/>
    <w:rsid w:val="00063B06"/>
    <w:rsid w:val="00064710"/>
    <w:rsid w:val="00065566"/>
    <w:rsid w:val="000661C2"/>
    <w:rsid w:val="00066B2B"/>
    <w:rsid w:val="0007298E"/>
    <w:rsid w:val="00074871"/>
    <w:rsid w:val="00074C21"/>
    <w:rsid w:val="00075379"/>
    <w:rsid w:val="000765D1"/>
    <w:rsid w:val="00076C77"/>
    <w:rsid w:val="000778DE"/>
    <w:rsid w:val="00077971"/>
    <w:rsid w:val="00077A74"/>
    <w:rsid w:val="00080F70"/>
    <w:rsid w:val="0008104D"/>
    <w:rsid w:val="00081B31"/>
    <w:rsid w:val="00084466"/>
    <w:rsid w:val="00084B6A"/>
    <w:rsid w:val="00086325"/>
    <w:rsid w:val="00086BA0"/>
    <w:rsid w:val="000905FC"/>
    <w:rsid w:val="00090A00"/>
    <w:rsid w:val="00091C5E"/>
    <w:rsid w:val="00092CBC"/>
    <w:rsid w:val="000939A3"/>
    <w:rsid w:val="0009564F"/>
    <w:rsid w:val="000957FA"/>
    <w:rsid w:val="000A08BE"/>
    <w:rsid w:val="000A1F86"/>
    <w:rsid w:val="000A2945"/>
    <w:rsid w:val="000A2C87"/>
    <w:rsid w:val="000A2E71"/>
    <w:rsid w:val="000A4AFC"/>
    <w:rsid w:val="000A7108"/>
    <w:rsid w:val="000A7D87"/>
    <w:rsid w:val="000B1C1E"/>
    <w:rsid w:val="000B2F4C"/>
    <w:rsid w:val="000B323F"/>
    <w:rsid w:val="000B3AC3"/>
    <w:rsid w:val="000C166C"/>
    <w:rsid w:val="000C2550"/>
    <w:rsid w:val="000C2978"/>
    <w:rsid w:val="000C345C"/>
    <w:rsid w:val="000C35DB"/>
    <w:rsid w:val="000C4C45"/>
    <w:rsid w:val="000C4F40"/>
    <w:rsid w:val="000C7245"/>
    <w:rsid w:val="000C7418"/>
    <w:rsid w:val="000C794B"/>
    <w:rsid w:val="000D09D5"/>
    <w:rsid w:val="000D1A5A"/>
    <w:rsid w:val="000D1B54"/>
    <w:rsid w:val="000D2656"/>
    <w:rsid w:val="000D5F9E"/>
    <w:rsid w:val="000E454F"/>
    <w:rsid w:val="000E4CD1"/>
    <w:rsid w:val="000E5C31"/>
    <w:rsid w:val="000E6A6B"/>
    <w:rsid w:val="000E7237"/>
    <w:rsid w:val="000E7AF0"/>
    <w:rsid w:val="000E7D47"/>
    <w:rsid w:val="000F0AED"/>
    <w:rsid w:val="000F1987"/>
    <w:rsid w:val="000F2B5D"/>
    <w:rsid w:val="000F3F32"/>
    <w:rsid w:val="000F449D"/>
    <w:rsid w:val="000F4963"/>
    <w:rsid w:val="000F55C5"/>
    <w:rsid w:val="000F5B61"/>
    <w:rsid w:val="001020CB"/>
    <w:rsid w:val="00102986"/>
    <w:rsid w:val="00103ADD"/>
    <w:rsid w:val="00105FDB"/>
    <w:rsid w:val="001065A1"/>
    <w:rsid w:val="00107540"/>
    <w:rsid w:val="00107D64"/>
    <w:rsid w:val="0011005B"/>
    <w:rsid w:val="001114AD"/>
    <w:rsid w:val="00112745"/>
    <w:rsid w:val="001141C9"/>
    <w:rsid w:val="00114CEF"/>
    <w:rsid w:val="0012040C"/>
    <w:rsid w:val="00120900"/>
    <w:rsid w:val="00126328"/>
    <w:rsid w:val="00126B4D"/>
    <w:rsid w:val="001270FC"/>
    <w:rsid w:val="00127557"/>
    <w:rsid w:val="00127823"/>
    <w:rsid w:val="00132F1D"/>
    <w:rsid w:val="00133872"/>
    <w:rsid w:val="00134C59"/>
    <w:rsid w:val="0013575C"/>
    <w:rsid w:val="00135CD9"/>
    <w:rsid w:val="00136241"/>
    <w:rsid w:val="001369A6"/>
    <w:rsid w:val="00140CAF"/>
    <w:rsid w:val="00142750"/>
    <w:rsid w:val="00144136"/>
    <w:rsid w:val="00144371"/>
    <w:rsid w:val="00145AF6"/>
    <w:rsid w:val="001461DE"/>
    <w:rsid w:val="001465FE"/>
    <w:rsid w:val="00146AA6"/>
    <w:rsid w:val="0015094B"/>
    <w:rsid w:val="00153510"/>
    <w:rsid w:val="001535AA"/>
    <w:rsid w:val="001559EC"/>
    <w:rsid w:val="00156381"/>
    <w:rsid w:val="001601F9"/>
    <w:rsid w:val="0016234B"/>
    <w:rsid w:val="00162A3D"/>
    <w:rsid w:val="00163820"/>
    <w:rsid w:val="00163E48"/>
    <w:rsid w:val="0016586C"/>
    <w:rsid w:val="00165E9E"/>
    <w:rsid w:val="00170CF0"/>
    <w:rsid w:val="00171593"/>
    <w:rsid w:val="00172254"/>
    <w:rsid w:val="00172B08"/>
    <w:rsid w:val="00172C94"/>
    <w:rsid w:val="001736CB"/>
    <w:rsid w:val="00173FF0"/>
    <w:rsid w:val="00174284"/>
    <w:rsid w:val="0017453D"/>
    <w:rsid w:val="00174636"/>
    <w:rsid w:val="00177570"/>
    <w:rsid w:val="00182710"/>
    <w:rsid w:val="00182936"/>
    <w:rsid w:val="00182ED8"/>
    <w:rsid w:val="001844D4"/>
    <w:rsid w:val="001850AE"/>
    <w:rsid w:val="00185428"/>
    <w:rsid w:val="0019311B"/>
    <w:rsid w:val="00197C23"/>
    <w:rsid w:val="001A4869"/>
    <w:rsid w:val="001A4C8C"/>
    <w:rsid w:val="001A708B"/>
    <w:rsid w:val="001A774E"/>
    <w:rsid w:val="001B09DA"/>
    <w:rsid w:val="001B0BEA"/>
    <w:rsid w:val="001B15C8"/>
    <w:rsid w:val="001B1FFB"/>
    <w:rsid w:val="001B2721"/>
    <w:rsid w:val="001B4B7C"/>
    <w:rsid w:val="001B4C49"/>
    <w:rsid w:val="001B6173"/>
    <w:rsid w:val="001B7378"/>
    <w:rsid w:val="001C2900"/>
    <w:rsid w:val="001C33D6"/>
    <w:rsid w:val="001C46A2"/>
    <w:rsid w:val="001C5EDB"/>
    <w:rsid w:val="001D0709"/>
    <w:rsid w:val="001D10F8"/>
    <w:rsid w:val="001D160D"/>
    <w:rsid w:val="001D2136"/>
    <w:rsid w:val="001D699B"/>
    <w:rsid w:val="001D6A1E"/>
    <w:rsid w:val="001D7559"/>
    <w:rsid w:val="001D7EF1"/>
    <w:rsid w:val="001E0409"/>
    <w:rsid w:val="001E0AAB"/>
    <w:rsid w:val="001E0E21"/>
    <w:rsid w:val="001E23E9"/>
    <w:rsid w:val="001E3243"/>
    <w:rsid w:val="001E6913"/>
    <w:rsid w:val="001E7F3C"/>
    <w:rsid w:val="001F210D"/>
    <w:rsid w:val="001F433F"/>
    <w:rsid w:val="001F4535"/>
    <w:rsid w:val="00200202"/>
    <w:rsid w:val="0020021A"/>
    <w:rsid w:val="00201699"/>
    <w:rsid w:val="0020189A"/>
    <w:rsid w:val="00202426"/>
    <w:rsid w:val="00203126"/>
    <w:rsid w:val="00205158"/>
    <w:rsid w:val="00205630"/>
    <w:rsid w:val="00206AC1"/>
    <w:rsid w:val="00206D7F"/>
    <w:rsid w:val="0021203C"/>
    <w:rsid w:val="002132C8"/>
    <w:rsid w:val="00215EB6"/>
    <w:rsid w:val="002162A7"/>
    <w:rsid w:val="00221686"/>
    <w:rsid w:val="002216DD"/>
    <w:rsid w:val="00221D5F"/>
    <w:rsid w:val="0022247C"/>
    <w:rsid w:val="002247F5"/>
    <w:rsid w:val="00226688"/>
    <w:rsid w:val="0022670B"/>
    <w:rsid w:val="00230A47"/>
    <w:rsid w:val="00231F08"/>
    <w:rsid w:val="00231F99"/>
    <w:rsid w:val="00235E3A"/>
    <w:rsid w:val="0023656D"/>
    <w:rsid w:val="00236B2F"/>
    <w:rsid w:val="00240114"/>
    <w:rsid w:val="002407A0"/>
    <w:rsid w:val="0024157A"/>
    <w:rsid w:val="00241610"/>
    <w:rsid w:val="00247537"/>
    <w:rsid w:val="00251DDE"/>
    <w:rsid w:val="00253563"/>
    <w:rsid w:val="00254908"/>
    <w:rsid w:val="00254B7D"/>
    <w:rsid w:val="002550E7"/>
    <w:rsid w:val="0025608A"/>
    <w:rsid w:val="00256781"/>
    <w:rsid w:val="00260BBF"/>
    <w:rsid w:val="00261029"/>
    <w:rsid w:val="00261516"/>
    <w:rsid w:val="00262CEA"/>
    <w:rsid w:val="00264BC2"/>
    <w:rsid w:val="00270FD1"/>
    <w:rsid w:val="00271856"/>
    <w:rsid w:val="00272BAC"/>
    <w:rsid w:val="0027400B"/>
    <w:rsid w:val="002747B5"/>
    <w:rsid w:val="00275061"/>
    <w:rsid w:val="00276B39"/>
    <w:rsid w:val="0027758B"/>
    <w:rsid w:val="00277882"/>
    <w:rsid w:val="002803CA"/>
    <w:rsid w:val="00282CCB"/>
    <w:rsid w:val="00282F10"/>
    <w:rsid w:val="00283DFD"/>
    <w:rsid w:val="00285180"/>
    <w:rsid w:val="002909F5"/>
    <w:rsid w:val="00291677"/>
    <w:rsid w:val="0029250E"/>
    <w:rsid w:val="00292D95"/>
    <w:rsid w:val="00296AE4"/>
    <w:rsid w:val="002971ED"/>
    <w:rsid w:val="002A114A"/>
    <w:rsid w:val="002A1658"/>
    <w:rsid w:val="002A5F6B"/>
    <w:rsid w:val="002A6964"/>
    <w:rsid w:val="002A7CF0"/>
    <w:rsid w:val="002A7DF0"/>
    <w:rsid w:val="002B0CBE"/>
    <w:rsid w:val="002B16A8"/>
    <w:rsid w:val="002B17D4"/>
    <w:rsid w:val="002B19B9"/>
    <w:rsid w:val="002B2381"/>
    <w:rsid w:val="002B4109"/>
    <w:rsid w:val="002B41CC"/>
    <w:rsid w:val="002B58AB"/>
    <w:rsid w:val="002B75B2"/>
    <w:rsid w:val="002B7F01"/>
    <w:rsid w:val="002C10BB"/>
    <w:rsid w:val="002C23C5"/>
    <w:rsid w:val="002C5A7C"/>
    <w:rsid w:val="002C7F11"/>
    <w:rsid w:val="002D0FE9"/>
    <w:rsid w:val="002D1696"/>
    <w:rsid w:val="002D36BF"/>
    <w:rsid w:val="002D3A23"/>
    <w:rsid w:val="002D4479"/>
    <w:rsid w:val="002D4B4B"/>
    <w:rsid w:val="002D5A55"/>
    <w:rsid w:val="002D6554"/>
    <w:rsid w:val="002D6EDD"/>
    <w:rsid w:val="002E00B0"/>
    <w:rsid w:val="002E017E"/>
    <w:rsid w:val="002E08A0"/>
    <w:rsid w:val="002E1EA1"/>
    <w:rsid w:val="002E383B"/>
    <w:rsid w:val="002E3B2D"/>
    <w:rsid w:val="002E56BD"/>
    <w:rsid w:val="002E56D7"/>
    <w:rsid w:val="002E648A"/>
    <w:rsid w:val="002E6DA0"/>
    <w:rsid w:val="002E7C7C"/>
    <w:rsid w:val="002F116D"/>
    <w:rsid w:val="002F147E"/>
    <w:rsid w:val="002F6E7A"/>
    <w:rsid w:val="002F6F12"/>
    <w:rsid w:val="002F79C9"/>
    <w:rsid w:val="002F79E0"/>
    <w:rsid w:val="003005F2"/>
    <w:rsid w:val="003010C4"/>
    <w:rsid w:val="00303185"/>
    <w:rsid w:val="00306C7B"/>
    <w:rsid w:val="003115DF"/>
    <w:rsid w:val="00312523"/>
    <w:rsid w:val="00312C1C"/>
    <w:rsid w:val="0031311B"/>
    <w:rsid w:val="003142F7"/>
    <w:rsid w:val="00314515"/>
    <w:rsid w:val="00315A14"/>
    <w:rsid w:val="00316FFD"/>
    <w:rsid w:val="00317E7C"/>
    <w:rsid w:val="00320074"/>
    <w:rsid w:val="00320C82"/>
    <w:rsid w:val="00321464"/>
    <w:rsid w:val="0032151B"/>
    <w:rsid w:val="00322CF3"/>
    <w:rsid w:val="00324D8D"/>
    <w:rsid w:val="00325322"/>
    <w:rsid w:val="00325D41"/>
    <w:rsid w:val="003276B2"/>
    <w:rsid w:val="00327F06"/>
    <w:rsid w:val="00330211"/>
    <w:rsid w:val="00330213"/>
    <w:rsid w:val="003316A9"/>
    <w:rsid w:val="00332E85"/>
    <w:rsid w:val="00333664"/>
    <w:rsid w:val="003341F3"/>
    <w:rsid w:val="00335319"/>
    <w:rsid w:val="0033602D"/>
    <w:rsid w:val="0033626D"/>
    <w:rsid w:val="00336354"/>
    <w:rsid w:val="003366B9"/>
    <w:rsid w:val="003367D0"/>
    <w:rsid w:val="00337139"/>
    <w:rsid w:val="003409A9"/>
    <w:rsid w:val="0034191A"/>
    <w:rsid w:val="00345F85"/>
    <w:rsid w:val="003460EB"/>
    <w:rsid w:val="00350A6A"/>
    <w:rsid w:val="003537E8"/>
    <w:rsid w:val="003571EB"/>
    <w:rsid w:val="003600F8"/>
    <w:rsid w:val="003603C5"/>
    <w:rsid w:val="00360DA4"/>
    <w:rsid w:val="00362956"/>
    <w:rsid w:val="0036334B"/>
    <w:rsid w:val="00364E4A"/>
    <w:rsid w:val="00372549"/>
    <w:rsid w:val="00376EFF"/>
    <w:rsid w:val="00380926"/>
    <w:rsid w:val="00381D73"/>
    <w:rsid w:val="00383B18"/>
    <w:rsid w:val="0038407E"/>
    <w:rsid w:val="003849E0"/>
    <w:rsid w:val="00384F24"/>
    <w:rsid w:val="00386F38"/>
    <w:rsid w:val="0039029E"/>
    <w:rsid w:val="003920E8"/>
    <w:rsid w:val="00392932"/>
    <w:rsid w:val="00393D57"/>
    <w:rsid w:val="00393F9A"/>
    <w:rsid w:val="00395010"/>
    <w:rsid w:val="0039685B"/>
    <w:rsid w:val="00397CE9"/>
    <w:rsid w:val="003A0FEE"/>
    <w:rsid w:val="003A2EDF"/>
    <w:rsid w:val="003A47F9"/>
    <w:rsid w:val="003A5DC2"/>
    <w:rsid w:val="003A7785"/>
    <w:rsid w:val="003B0E0B"/>
    <w:rsid w:val="003B1378"/>
    <w:rsid w:val="003B13E1"/>
    <w:rsid w:val="003B3362"/>
    <w:rsid w:val="003B3A40"/>
    <w:rsid w:val="003B4088"/>
    <w:rsid w:val="003B6517"/>
    <w:rsid w:val="003B6C7A"/>
    <w:rsid w:val="003B6E3E"/>
    <w:rsid w:val="003C214E"/>
    <w:rsid w:val="003C2577"/>
    <w:rsid w:val="003C5CED"/>
    <w:rsid w:val="003C5FEA"/>
    <w:rsid w:val="003C68B0"/>
    <w:rsid w:val="003C6D28"/>
    <w:rsid w:val="003C7515"/>
    <w:rsid w:val="003D04AB"/>
    <w:rsid w:val="003D301A"/>
    <w:rsid w:val="003D5C9C"/>
    <w:rsid w:val="003D712D"/>
    <w:rsid w:val="003E2D75"/>
    <w:rsid w:val="003E5166"/>
    <w:rsid w:val="003E7F53"/>
    <w:rsid w:val="003F0DE1"/>
    <w:rsid w:val="003F1984"/>
    <w:rsid w:val="003F2F08"/>
    <w:rsid w:val="003F38C8"/>
    <w:rsid w:val="003F5A80"/>
    <w:rsid w:val="003F5B8D"/>
    <w:rsid w:val="003F60D9"/>
    <w:rsid w:val="003F7DF6"/>
    <w:rsid w:val="004025B3"/>
    <w:rsid w:val="00403751"/>
    <w:rsid w:val="0040433E"/>
    <w:rsid w:val="00405BB5"/>
    <w:rsid w:val="00406318"/>
    <w:rsid w:val="0040743E"/>
    <w:rsid w:val="00407659"/>
    <w:rsid w:val="00411A62"/>
    <w:rsid w:val="004141F5"/>
    <w:rsid w:val="00415E31"/>
    <w:rsid w:val="00416A1A"/>
    <w:rsid w:val="0041773A"/>
    <w:rsid w:val="0042028D"/>
    <w:rsid w:val="004204FF"/>
    <w:rsid w:val="00422486"/>
    <w:rsid w:val="00422745"/>
    <w:rsid w:val="00422816"/>
    <w:rsid w:val="00422979"/>
    <w:rsid w:val="00423CFF"/>
    <w:rsid w:val="00426BD8"/>
    <w:rsid w:val="0043059A"/>
    <w:rsid w:val="004368B9"/>
    <w:rsid w:val="00437292"/>
    <w:rsid w:val="00440313"/>
    <w:rsid w:val="0044592C"/>
    <w:rsid w:val="00445B4D"/>
    <w:rsid w:val="00445C0E"/>
    <w:rsid w:val="00445FA9"/>
    <w:rsid w:val="00446F07"/>
    <w:rsid w:val="004508EB"/>
    <w:rsid w:val="00450929"/>
    <w:rsid w:val="004516B6"/>
    <w:rsid w:val="004543A4"/>
    <w:rsid w:val="00454648"/>
    <w:rsid w:val="00455DEB"/>
    <w:rsid w:val="00456A97"/>
    <w:rsid w:val="0046285E"/>
    <w:rsid w:val="004641D2"/>
    <w:rsid w:val="00466416"/>
    <w:rsid w:val="00470B12"/>
    <w:rsid w:val="00471F78"/>
    <w:rsid w:val="00473486"/>
    <w:rsid w:val="00474B96"/>
    <w:rsid w:val="00474F0E"/>
    <w:rsid w:val="004752EA"/>
    <w:rsid w:val="00480259"/>
    <w:rsid w:val="00480782"/>
    <w:rsid w:val="00480977"/>
    <w:rsid w:val="00481557"/>
    <w:rsid w:val="00481772"/>
    <w:rsid w:val="00483507"/>
    <w:rsid w:val="004840DE"/>
    <w:rsid w:val="00485999"/>
    <w:rsid w:val="00486819"/>
    <w:rsid w:val="00487856"/>
    <w:rsid w:val="00487CBE"/>
    <w:rsid w:val="004913FF"/>
    <w:rsid w:val="00491504"/>
    <w:rsid w:val="00491ACB"/>
    <w:rsid w:val="004920A2"/>
    <w:rsid w:val="004959DE"/>
    <w:rsid w:val="004962AB"/>
    <w:rsid w:val="00496AFF"/>
    <w:rsid w:val="0049709D"/>
    <w:rsid w:val="004979BE"/>
    <w:rsid w:val="004A1AFD"/>
    <w:rsid w:val="004A24BB"/>
    <w:rsid w:val="004A360F"/>
    <w:rsid w:val="004A3949"/>
    <w:rsid w:val="004A5E5D"/>
    <w:rsid w:val="004A65D8"/>
    <w:rsid w:val="004A6712"/>
    <w:rsid w:val="004A6809"/>
    <w:rsid w:val="004A6CA5"/>
    <w:rsid w:val="004A7513"/>
    <w:rsid w:val="004A7D48"/>
    <w:rsid w:val="004B1115"/>
    <w:rsid w:val="004B1F15"/>
    <w:rsid w:val="004B2582"/>
    <w:rsid w:val="004B377C"/>
    <w:rsid w:val="004B3B5F"/>
    <w:rsid w:val="004B4B62"/>
    <w:rsid w:val="004B580B"/>
    <w:rsid w:val="004B5A9E"/>
    <w:rsid w:val="004B6FBA"/>
    <w:rsid w:val="004B75D5"/>
    <w:rsid w:val="004B760F"/>
    <w:rsid w:val="004C073A"/>
    <w:rsid w:val="004C1731"/>
    <w:rsid w:val="004C1ADE"/>
    <w:rsid w:val="004C1EEB"/>
    <w:rsid w:val="004C2783"/>
    <w:rsid w:val="004C3102"/>
    <w:rsid w:val="004C401A"/>
    <w:rsid w:val="004C4FF0"/>
    <w:rsid w:val="004C60A3"/>
    <w:rsid w:val="004C6105"/>
    <w:rsid w:val="004D1EC8"/>
    <w:rsid w:val="004D301D"/>
    <w:rsid w:val="004D3309"/>
    <w:rsid w:val="004D4354"/>
    <w:rsid w:val="004D4590"/>
    <w:rsid w:val="004D6040"/>
    <w:rsid w:val="004E0A6E"/>
    <w:rsid w:val="004E1AA5"/>
    <w:rsid w:val="004E24FE"/>
    <w:rsid w:val="004E2AE9"/>
    <w:rsid w:val="004E3883"/>
    <w:rsid w:val="004E43AD"/>
    <w:rsid w:val="004E53F5"/>
    <w:rsid w:val="004E5531"/>
    <w:rsid w:val="004E64A0"/>
    <w:rsid w:val="004E6E97"/>
    <w:rsid w:val="004E6EDB"/>
    <w:rsid w:val="004E7E8C"/>
    <w:rsid w:val="004F1846"/>
    <w:rsid w:val="004F274D"/>
    <w:rsid w:val="004F2823"/>
    <w:rsid w:val="004F3D97"/>
    <w:rsid w:val="004F3F89"/>
    <w:rsid w:val="004F41A4"/>
    <w:rsid w:val="004F450B"/>
    <w:rsid w:val="004F6602"/>
    <w:rsid w:val="004F6804"/>
    <w:rsid w:val="004F687F"/>
    <w:rsid w:val="004F69BE"/>
    <w:rsid w:val="004F741D"/>
    <w:rsid w:val="004F7820"/>
    <w:rsid w:val="005005CF"/>
    <w:rsid w:val="005011BE"/>
    <w:rsid w:val="00501E41"/>
    <w:rsid w:val="005020C6"/>
    <w:rsid w:val="00502556"/>
    <w:rsid w:val="00502624"/>
    <w:rsid w:val="00505086"/>
    <w:rsid w:val="00506AC9"/>
    <w:rsid w:val="00511859"/>
    <w:rsid w:val="00512EBF"/>
    <w:rsid w:val="0051746C"/>
    <w:rsid w:val="00517FDC"/>
    <w:rsid w:val="00522519"/>
    <w:rsid w:val="00522CC2"/>
    <w:rsid w:val="005263D5"/>
    <w:rsid w:val="005279C8"/>
    <w:rsid w:val="00530EBF"/>
    <w:rsid w:val="005310A7"/>
    <w:rsid w:val="005332F6"/>
    <w:rsid w:val="00536B86"/>
    <w:rsid w:val="00537C9A"/>
    <w:rsid w:val="00537DAB"/>
    <w:rsid w:val="0054042A"/>
    <w:rsid w:val="00541235"/>
    <w:rsid w:val="00541C18"/>
    <w:rsid w:val="00542200"/>
    <w:rsid w:val="0054248F"/>
    <w:rsid w:val="005456B4"/>
    <w:rsid w:val="005460FB"/>
    <w:rsid w:val="00546A04"/>
    <w:rsid w:val="005476EA"/>
    <w:rsid w:val="00547887"/>
    <w:rsid w:val="005524F0"/>
    <w:rsid w:val="00554ED1"/>
    <w:rsid w:val="00557F9F"/>
    <w:rsid w:val="0056003F"/>
    <w:rsid w:val="0056132D"/>
    <w:rsid w:val="00564EAB"/>
    <w:rsid w:val="0056548B"/>
    <w:rsid w:val="00565938"/>
    <w:rsid w:val="00567307"/>
    <w:rsid w:val="00567C09"/>
    <w:rsid w:val="00567FF7"/>
    <w:rsid w:val="00574EFE"/>
    <w:rsid w:val="005806E2"/>
    <w:rsid w:val="005813F2"/>
    <w:rsid w:val="0058184C"/>
    <w:rsid w:val="00582C58"/>
    <w:rsid w:val="00584E07"/>
    <w:rsid w:val="00585F0F"/>
    <w:rsid w:val="00587678"/>
    <w:rsid w:val="00587CEB"/>
    <w:rsid w:val="005909AF"/>
    <w:rsid w:val="00590D54"/>
    <w:rsid w:val="0059107D"/>
    <w:rsid w:val="00591A5B"/>
    <w:rsid w:val="0059247E"/>
    <w:rsid w:val="005945D2"/>
    <w:rsid w:val="00594CD2"/>
    <w:rsid w:val="00595171"/>
    <w:rsid w:val="005959E8"/>
    <w:rsid w:val="00597BE4"/>
    <w:rsid w:val="005A01C7"/>
    <w:rsid w:val="005A0F12"/>
    <w:rsid w:val="005A28AD"/>
    <w:rsid w:val="005A35FE"/>
    <w:rsid w:val="005A3F23"/>
    <w:rsid w:val="005A486A"/>
    <w:rsid w:val="005A5B78"/>
    <w:rsid w:val="005A62D2"/>
    <w:rsid w:val="005A6300"/>
    <w:rsid w:val="005A6D2D"/>
    <w:rsid w:val="005B506C"/>
    <w:rsid w:val="005B63FB"/>
    <w:rsid w:val="005C132E"/>
    <w:rsid w:val="005C21ED"/>
    <w:rsid w:val="005C263F"/>
    <w:rsid w:val="005C2CBF"/>
    <w:rsid w:val="005C3E19"/>
    <w:rsid w:val="005C443E"/>
    <w:rsid w:val="005C7612"/>
    <w:rsid w:val="005D0946"/>
    <w:rsid w:val="005D11C0"/>
    <w:rsid w:val="005D1686"/>
    <w:rsid w:val="005D2CFA"/>
    <w:rsid w:val="005D43D0"/>
    <w:rsid w:val="005D7F4A"/>
    <w:rsid w:val="005E02D0"/>
    <w:rsid w:val="005E1DD8"/>
    <w:rsid w:val="005E2AC1"/>
    <w:rsid w:val="005E3D2A"/>
    <w:rsid w:val="005E52B1"/>
    <w:rsid w:val="005E56FD"/>
    <w:rsid w:val="005E667A"/>
    <w:rsid w:val="005E6A44"/>
    <w:rsid w:val="005E7E62"/>
    <w:rsid w:val="005F13AA"/>
    <w:rsid w:val="005F1B45"/>
    <w:rsid w:val="005F1F79"/>
    <w:rsid w:val="005F6878"/>
    <w:rsid w:val="005F714E"/>
    <w:rsid w:val="00601EC6"/>
    <w:rsid w:val="0060347D"/>
    <w:rsid w:val="006038C6"/>
    <w:rsid w:val="006039B2"/>
    <w:rsid w:val="00604EFE"/>
    <w:rsid w:val="00606AAA"/>
    <w:rsid w:val="00610E4B"/>
    <w:rsid w:val="00613A55"/>
    <w:rsid w:val="006147DE"/>
    <w:rsid w:val="006157DB"/>
    <w:rsid w:val="0061585A"/>
    <w:rsid w:val="00615B6A"/>
    <w:rsid w:val="0061655D"/>
    <w:rsid w:val="00617B62"/>
    <w:rsid w:val="00621332"/>
    <w:rsid w:val="00621976"/>
    <w:rsid w:val="006220FD"/>
    <w:rsid w:val="00624AC1"/>
    <w:rsid w:val="00625A05"/>
    <w:rsid w:val="00626464"/>
    <w:rsid w:val="00626848"/>
    <w:rsid w:val="00626CDE"/>
    <w:rsid w:val="0062786E"/>
    <w:rsid w:val="006315E9"/>
    <w:rsid w:val="00631FB3"/>
    <w:rsid w:val="0063366B"/>
    <w:rsid w:val="00633EC1"/>
    <w:rsid w:val="00634BF7"/>
    <w:rsid w:val="00634C2D"/>
    <w:rsid w:val="0063708C"/>
    <w:rsid w:val="006375DE"/>
    <w:rsid w:val="006406E0"/>
    <w:rsid w:val="0064217F"/>
    <w:rsid w:val="006429D1"/>
    <w:rsid w:val="00645A36"/>
    <w:rsid w:val="006474A2"/>
    <w:rsid w:val="00647A5F"/>
    <w:rsid w:val="00650857"/>
    <w:rsid w:val="00650F0B"/>
    <w:rsid w:val="00651746"/>
    <w:rsid w:val="00651841"/>
    <w:rsid w:val="006534E4"/>
    <w:rsid w:val="00653536"/>
    <w:rsid w:val="00653F93"/>
    <w:rsid w:val="00654230"/>
    <w:rsid w:val="00654A3A"/>
    <w:rsid w:val="006550EF"/>
    <w:rsid w:val="00661F15"/>
    <w:rsid w:val="0066210F"/>
    <w:rsid w:val="0066417F"/>
    <w:rsid w:val="00667FEA"/>
    <w:rsid w:val="00670F63"/>
    <w:rsid w:val="006714CD"/>
    <w:rsid w:val="00671979"/>
    <w:rsid w:val="00671C8C"/>
    <w:rsid w:val="00671D8B"/>
    <w:rsid w:val="006738A1"/>
    <w:rsid w:val="006739F6"/>
    <w:rsid w:val="0067686E"/>
    <w:rsid w:val="00677BD9"/>
    <w:rsid w:val="006801B1"/>
    <w:rsid w:val="00680B57"/>
    <w:rsid w:val="0068382E"/>
    <w:rsid w:val="00683A5F"/>
    <w:rsid w:val="006858BD"/>
    <w:rsid w:val="00690D8B"/>
    <w:rsid w:val="00691301"/>
    <w:rsid w:val="006937FA"/>
    <w:rsid w:val="006948C2"/>
    <w:rsid w:val="00696273"/>
    <w:rsid w:val="00697E9C"/>
    <w:rsid w:val="006A09B0"/>
    <w:rsid w:val="006A12C2"/>
    <w:rsid w:val="006A197C"/>
    <w:rsid w:val="006A2BA5"/>
    <w:rsid w:val="006A3B9A"/>
    <w:rsid w:val="006A4D86"/>
    <w:rsid w:val="006A62CC"/>
    <w:rsid w:val="006A7EE0"/>
    <w:rsid w:val="006B1256"/>
    <w:rsid w:val="006B194D"/>
    <w:rsid w:val="006B405C"/>
    <w:rsid w:val="006B42B5"/>
    <w:rsid w:val="006B4BD1"/>
    <w:rsid w:val="006B6E9B"/>
    <w:rsid w:val="006B7FA4"/>
    <w:rsid w:val="006C3F39"/>
    <w:rsid w:val="006C4116"/>
    <w:rsid w:val="006C48B2"/>
    <w:rsid w:val="006C4B82"/>
    <w:rsid w:val="006C4F7D"/>
    <w:rsid w:val="006C7F31"/>
    <w:rsid w:val="006D0345"/>
    <w:rsid w:val="006D10E2"/>
    <w:rsid w:val="006D37E8"/>
    <w:rsid w:val="006D3B8F"/>
    <w:rsid w:val="006D5968"/>
    <w:rsid w:val="006D5F15"/>
    <w:rsid w:val="006D73FB"/>
    <w:rsid w:val="006D77DE"/>
    <w:rsid w:val="006E1870"/>
    <w:rsid w:val="006E287A"/>
    <w:rsid w:val="006E2EBE"/>
    <w:rsid w:val="006E32C0"/>
    <w:rsid w:val="006E4E7C"/>
    <w:rsid w:val="006E5C93"/>
    <w:rsid w:val="006E61BB"/>
    <w:rsid w:val="006E6B4A"/>
    <w:rsid w:val="006E6C36"/>
    <w:rsid w:val="006F0A06"/>
    <w:rsid w:val="006F0F20"/>
    <w:rsid w:val="006F10FF"/>
    <w:rsid w:val="006F1B60"/>
    <w:rsid w:val="006F3421"/>
    <w:rsid w:val="006F7B62"/>
    <w:rsid w:val="00701B95"/>
    <w:rsid w:val="00702618"/>
    <w:rsid w:val="007058B9"/>
    <w:rsid w:val="00705C7E"/>
    <w:rsid w:val="00706A40"/>
    <w:rsid w:val="00711E60"/>
    <w:rsid w:val="007125CD"/>
    <w:rsid w:val="007130CE"/>
    <w:rsid w:val="00714073"/>
    <w:rsid w:val="00715016"/>
    <w:rsid w:val="007157BA"/>
    <w:rsid w:val="0072038D"/>
    <w:rsid w:val="00720549"/>
    <w:rsid w:val="00723466"/>
    <w:rsid w:val="00725F41"/>
    <w:rsid w:val="00731BBC"/>
    <w:rsid w:val="00731DA6"/>
    <w:rsid w:val="0073390E"/>
    <w:rsid w:val="00734204"/>
    <w:rsid w:val="00734D86"/>
    <w:rsid w:val="007361BA"/>
    <w:rsid w:val="007362CA"/>
    <w:rsid w:val="00736F48"/>
    <w:rsid w:val="00737BE6"/>
    <w:rsid w:val="007422A5"/>
    <w:rsid w:val="007433CB"/>
    <w:rsid w:val="007435A3"/>
    <w:rsid w:val="00745199"/>
    <w:rsid w:val="00746B1B"/>
    <w:rsid w:val="00746E89"/>
    <w:rsid w:val="0075075C"/>
    <w:rsid w:val="007507A8"/>
    <w:rsid w:val="007518F5"/>
    <w:rsid w:val="00751953"/>
    <w:rsid w:val="00751B8E"/>
    <w:rsid w:val="007526A7"/>
    <w:rsid w:val="007533BB"/>
    <w:rsid w:val="00754EA5"/>
    <w:rsid w:val="00755120"/>
    <w:rsid w:val="007551A3"/>
    <w:rsid w:val="00755DC6"/>
    <w:rsid w:val="00756D95"/>
    <w:rsid w:val="00756F41"/>
    <w:rsid w:val="00757CD0"/>
    <w:rsid w:val="00760815"/>
    <w:rsid w:val="00761411"/>
    <w:rsid w:val="0076264B"/>
    <w:rsid w:val="0076276C"/>
    <w:rsid w:val="0076289F"/>
    <w:rsid w:val="00762DE6"/>
    <w:rsid w:val="0076354E"/>
    <w:rsid w:val="007638A5"/>
    <w:rsid w:val="00763E2D"/>
    <w:rsid w:val="00763F8F"/>
    <w:rsid w:val="007652CB"/>
    <w:rsid w:val="007675FB"/>
    <w:rsid w:val="007707F7"/>
    <w:rsid w:val="007724B1"/>
    <w:rsid w:val="0077399B"/>
    <w:rsid w:val="007756D7"/>
    <w:rsid w:val="00777B47"/>
    <w:rsid w:val="007802CF"/>
    <w:rsid w:val="007820B0"/>
    <w:rsid w:val="0078325E"/>
    <w:rsid w:val="00783E1E"/>
    <w:rsid w:val="0078418B"/>
    <w:rsid w:val="0078463D"/>
    <w:rsid w:val="007847A7"/>
    <w:rsid w:val="00785848"/>
    <w:rsid w:val="00790F7E"/>
    <w:rsid w:val="00791CDA"/>
    <w:rsid w:val="007932BD"/>
    <w:rsid w:val="007938C4"/>
    <w:rsid w:val="0079460F"/>
    <w:rsid w:val="0079462A"/>
    <w:rsid w:val="00796417"/>
    <w:rsid w:val="00797990"/>
    <w:rsid w:val="007A0362"/>
    <w:rsid w:val="007A0CF5"/>
    <w:rsid w:val="007A12B0"/>
    <w:rsid w:val="007A51A5"/>
    <w:rsid w:val="007A5D6C"/>
    <w:rsid w:val="007A761F"/>
    <w:rsid w:val="007B01E4"/>
    <w:rsid w:val="007B0D8C"/>
    <w:rsid w:val="007B0ED4"/>
    <w:rsid w:val="007B0FBC"/>
    <w:rsid w:val="007B2923"/>
    <w:rsid w:val="007B32F3"/>
    <w:rsid w:val="007B3EC6"/>
    <w:rsid w:val="007B428C"/>
    <w:rsid w:val="007B4D27"/>
    <w:rsid w:val="007B4DBF"/>
    <w:rsid w:val="007B6856"/>
    <w:rsid w:val="007B77C2"/>
    <w:rsid w:val="007B7C6E"/>
    <w:rsid w:val="007C0C1B"/>
    <w:rsid w:val="007C2919"/>
    <w:rsid w:val="007C2B09"/>
    <w:rsid w:val="007C3F59"/>
    <w:rsid w:val="007C68A9"/>
    <w:rsid w:val="007C6DC7"/>
    <w:rsid w:val="007C7C3F"/>
    <w:rsid w:val="007C7EF8"/>
    <w:rsid w:val="007D00D6"/>
    <w:rsid w:val="007D2A82"/>
    <w:rsid w:val="007D4584"/>
    <w:rsid w:val="007D53E7"/>
    <w:rsid w:val="007D6494"/>
    <w:rsid w:val="007D7AC0"/>
    <w:rsid w:val="007D7C66"/>
    <w:rsid w:val="007E03AD"/>
    <w:rsid w:val="007E131F"/>
    <w:rsid w:val="007E61E6"/>
    <w:rsid w:val="007E6F7F"/>
    <w:rsid w:val="007F1306"/>
    <w:rsid w:val="007F1798"/>
    <w:rsid w:val="007F6461"/>
    <w:rsid w:val="008002E6"/>
    <w:rsid w:val="00800EF5"/>
    <w:rsid w:val="00801F13"/>
    <w:rsid w:val="00806D73"/>
    <w:rsid w:val="0080755D"/>
    <w:rsid w:val="00813487"/>
    <w:rsid w:val="008139A2"/>
    <w:rsid w:val="008155EC"/>
    <w:rsid w:val="00815CDA"/>
    <w:rsid w:val="00817C23"/>
    <w:rsid w:val="00820543"/>
    <w:rsid w:val="008238EE"/>
    <w:rsid w:val="00825C55"/>
    <w:rsid w:val="0082614C"/>
    <w:rsid w:val="00830611"/>
    <w:rsid w:val="00831C1C"/>
    <w:rsid w:val="00831FBD"/>
    <w:rsid w:val="00832F4A"/>
    <w:rsid w:val="00836363"/>
    <w:rsid w:val="00836F73"/>
    <w:rsid w:val="00836F8E"/>
    <w:rsid w:val="0083705C"/>
    <w:rsid w:val="008404C3"/>
    <w:rsid w:val="00842ABF"/>
    <w:rsid w:val="00844570"/>
    <w:rsid w:val="008445BD"/>
    <w:rsid w:val="008462BE"/>
    <w:rsid w:val="00846E07"/>
    <w:rsid w:val="008502AF"/>
    <w:rsid w:val="00853FC1"/>
    <w:rsid w:val="00861B90"/>
    <w:rsid w:val="00861FB4"/>
    <w:rsid w:val="008636E8"/>
    <w:rsid w:val="0086786B"/>
    <w:rsid w:val="008711E4"/>
    <w:rsid w:val="00871F90"/>
    <w:rsid w:val="008723A4"/>
    <w:rsid w:val="0087273B"/>
    <w:rsid w:val="008747F1"/>
    <w:rsid w:val="00876A97"/>
    <w:rsid w:val="0088105D"/>
    <w:rsid w:val="00881401"/>
    <w:rsid w:val="0088217D"/>
    <w:rsid w:val="008822D0"/>
    <w:rsid w:val="00883600"/>
    <w:rsid w:val="00883D0D"/>
    <w:rsid w:val="00891805"/>
    <w:rsid w:val="0089402C"/>
    <w:rsid w:val="00896BD4"/>
    <w:rsid w:val="00896E43"/>
    <w:rsid w:val="008A01B6"/>
    <w:rsid w:val="008A1DCA"/>
    <w:rsid w:val="008A2883"/>
    <w:rsid w:val="008A36E8"/>
    <w:rsid w:val="008A390A"/>
    <w:rsid w:val="008A4E6C"/>
    <w:rsid w:val="008A56B8"/>
    <w:rsid w:val="008A6573"/>
    <w:rsid w:val="008A6965"/>
    <w:rsid w:val="008B535C"/>
    <w:rsid w:val="008B5E36"/>
    <w:rsid w:val="008B7FCB"/>
    <w:rsid w:val="008C0383"/>
    <w:rsid w:val="008C2AB0"/>
    <w:rsid w:val="008C2ACA"/>
    <w:rsid w:val="008C643A"/>
    <w:rsid w:val="008C7294"/>
    <w:rsid w:val="008D3B98"/>
    <w:rsid w:val="008D414B"/>
    <w:rsid w:val="008D477D"/>
    <w:rsid w:val="008D4A0F"/>
    <w:rsid w:val="008D50AA"/>
    <w:rsid w:val="008D56CB"/>
    <w:rsid w:val="008D7496"/>
    <w:rsid w:val="008E14F5"/>
    <w:rsid w:val="008E2F9D"/>
    <w:rsid w:val="008E7997"/>
    <w:rsid w:val="008E7C04"/>
    <w:rsid w:val="008F07A5"/>
    <w:rsid w:val="008F0EFD"/>
    <w:rsid w:val="008F18C4"/>
    <w:rsid w:val="008F3130"/>
    <w:rsid w:val="008F34D4"/>
    <w:rsid w:val="008F4CF9"/>
    <w:rsid w:val="008F6912"/>
    <w:rsid w:val="009026AC"/>
    <w:rsid w:val="009029B0"/>
    <w:rsid w:val="00902DA7"/>
    <w:rsid w:val="00905145"/>
    <w:rsid w:val="00905F63"/>
    <w:rsid w:val="00907DB9"/>
    <w:rsid w:val="00910607"/>
    <w:rsid w:val="0091075F"/>
    <w:rsid w:val="009140EB"/>
    <w:rsid w:val="009149C4"/>
    <w:rsid w:val="00916200"/>
    <w:rsid w:val="00917C64"/>
    <w:rsid w:val="00923FCE"/>
    <w:rsid w:val="0092775B"/>
    <w:rsid w:val="0093063F"/>
    <w:rsid w:val="00930FCE"/>
    <w:rsid w:val="00931301"/>
    <w:rsid w:val="00931FB6"/>
    <w:rsid w:val="009325CF"/>
    <w:rsid w:val="009343C8"/>
    <w:rsid w:val="00934993"/>
    <w:rsid w:val="00934A7C"/>
    <w:rsid w:val="0093546E"/>
    <w:rsid w:val="00937E33"/>
    <w:rsid w:val="0094057B"/>
    <w:rsid w:val="009410A0"/>
    <w:rsid w:val="009427DB"/>
    <w:rsid w:val="009443B8"/>
    <w:rsid w:val="00944FA3"/>
    <w:rsid w:val="00945CF2"/>
    <w:rsid w:val="00953DD2"/>
    <w:rsid w:val="00954E00"/>
    <w:rsid w:val="00957A02"/>
    <w:rsid w:val="0096021E"/>
    <w:rsid w:val="0096099C"/>
    <w:rsid w:val="00961718"/>
    <w:rsid w:val="00962E3A"/>
    <w:rsid w:val="00963A9F"/>
    <w:rsid w:val="009646BD"/>
    <w:rsid w:val="00965CB6"/>
    <w:rsid w:val="0096662C"/>
    <w:rsid w:val="00966C63"/>
    <w:rsid w:val="00971B32"/>
    <w:rsid w:val="009735F4"/>
    <w:rsid w:val="00973CE0"/>
    <w:rsid w:val="00975105"/>
    <w:rsid w:val="00975794"/>
    <w:rsid w:val="00975EDA"/>
    <w:rsid w:val="009764E1"/>
    <w:rsid w:val="00976882"/>
    <w:rsid w:val="00977F2D"/>
    <w:rsid w:val="00980E82"/>
    <w:rsid w:val="009817AE"/>
    <w:rsid w:val="00982C32"/>
    <w:rsid w:val="00983492"/>
    <w:rsid w:val="009837E8"/>
    <w:rsid w:val="00983EDE"/>
    <w:rsid w:val="0098431E"/>
    <w:rsid w:val="00990327"/>
    <w:rsid w:val="009909C2"/>
    <w:rsid w:val="0099404E"/>
    <w:rsid w:val="0099493F"/>
    <w:rsid w:val="00994AA9"/>
    <w:rsid w:val="00995A55"/>
    <w:rsid w:val="00996885"/>
    <w:rsid w:val="00996E16"/>
    <w:rsid w:val="00997727"/>
    <w:rsid w:val="00997E3D"/>
    <w:rsid w:val="009A3F9C"/>
    <w:rsid w:val="009A550C"/>
    <w:rsid w:val="009B189F"/>
    <w:rsid w:val="009B1912"/>
    <w:rsid w:val="009B26BC"/>
    <w:rsid w:val="009B477E"/>
    <w:rsid w:val="009B4B1C"/>
    <w:rsid w:val="009B6B8F"/>
    <w:rsid w:val="009B798E"/>
    <w:rsid w:val="009B7B3A"/>
    <w:rsid w:val="009C1DC8"/>
    <w:rsid w:val="009C1E1D"/>
    <w:rsid w:val="009C2A32"/>
    <w:rsid w:val="009C3277"/>
    <w:rsid w:val="009C3352"/>
    <w:rsid w:val="009C3DD8"/>
    <w:rsid w:val="009C4AD6"/>
    <w:rsid w:val="009C5367"/>
    <w:rsid w:val="009C6511"/>
    <w:rsid w:val="009D0BDA"/>
    <w:rsid w:val="009D0E8B"/>
    <w:rsid w:val="009D2EA1"/>
    <w:rsid w:val="009D3827"/>
    <w:rsid w:val="009D4E13"/>
    <w:rsid w:val="009D50FD"/>
    <w:rsid w:val="009D6C21"/>
    <w:rsid w:val="009D7089"/>
    <w:rsid w:val="009E116F"/>
    <w:rsid w:val="009E27C5"/>
    <w:rsid w:val="009E31AB"/>
    <w:rsid w:val="009E31C3"/>
    <w:rsid w:val="009E338A"/>
    <w:rsid w:val="009E373A"/>
    <w:rsid w:val="009E47D1"/>
    <w:rsid w:val="009E489A"/>
    <w:rsid w:val="009E7536"/>
    <w:rsid w:val="009E7C41"/>
    <w:rsid w:val="009F2903"/>
    <w:rsid w:val="009F4481"/>
    <w:rsid w:val="009F5823"/>
    <w:rsid w:val="009F632C"/>
    <w:rsid w:val="009F78DB"/>
    <w:rsid w:val="00A00F70"/>
    <w:rsid w:val="00A01C61"/>
    <w:rsid w:val="00A04625"/>
    <w:rsid w:val="00A05E36"/>
    <w:rsid w:val="00A0646D"/>
    <w:rsid w:val="00A10947"/>
    <w:rsid w:val="00A11A67"/>
    <w:rsid w:val="00A124B4"/>
    <w:rsid w:val="00A12DE9"/>
    <w:rsid w:val="00A1360B"/>
    <w:rsid w:val="00A16099"/>
    <w:rsid w:val="00A1620A"/>
    <w:rsid w:val="00A176F7"/>
    <w:rsid w:val="00A20AFA"/>
    <w:rsid w:val="00A20EBF"/>
    <w:rsid w:val="00A21673"/>
    <w:rsid w:val="00A27F1F"/>
    <w:rsid w:val="00A303BB"/>
    <w:rsid w:val="00A3206D"/>
    <w:rsid w:val="00A3382F"/>
    <w:rsid w:val="00A35846"/>
    <w:rsid w:val="00A376E0"/>
    <w:rsid w:val="00A40952"/>
    <w:rsid w:val="00A411C9"/>
    <w:rsid w:val="00A41DE3"/>
    <w:rsid w:val="00A4208B"/>
    <w:rsid w:val="00A42C8B"/>
    <w:rsid w:val="00A43A52"/>
    <w:rsid w:val="00A4648C"/>
    <w:rsid w:val="00A51B2A"/>
    <w:rsid w:val="00A52C8D"/>
    <w:rsid w:val="00A53D8A"/>
    <w:rsid w:val="00A546FF"/>
    <w:rsid w:val="00A54FDF"/>
    <w:rsid w:val="00A555F8"/>
    <w:rsid w:val="00A57A4E"/>
    <w:rsid w:val="00A60587"/>
    <w:rsid w:val="00A62F6A"/>
    <w:rsid w:val="00A641AA"/>
    <w:rsid w:val="00A64564"/>
    <w:rsid w:val="00A6484E"/>
    <w:rsid w:val="00A65937"/>
    <w:rsid w:val="00A661CA"/>
    <w:rsid w:val="00A66C58"/>
    <w:rsid w:val="00A71A35"/>
    <w:rsid w:val="00A72101"/>
    <w:rsid w:val="00A73A39"/>
    <w:rsid w:val="00A74D54"/>
    <w:rsid w:val="00A75B4B"/>
    <w:rsid w:val="00A776E5"/>
    <w:rsid w:val="00A77E47"/>
    <w:rsid w:val="00A825AC"/>
    <w:rsid w:val="00A8341D"/>
    <w:rsid w:val="00A866E8"/>
    <w:rsid w:val="00A91EE2"/>
    <w:rsid w:val="00A95F44"/>
    <w:rsid w:val="00AA01FD"/>
    <w:rsid w:val="00AA1CC3"/>
    <w:rsid w:val="00AA1EE0"/>
    <w:rsid w:val="00AA385C"/>
    <w:rsid w:val="00AA6265"/>
    <w:rsid w:val="00AA7AE7"/>
    <w:rsid w:val="00AB0029"/>
    <w:rsid w:val="00AB050C"/>
    <w:rsid w:val="00AB0927"/>
    <w:rsid w:val="00AB304B"/>
    <w:rsid w:val="00AB35A0"/>
    <w:rsid w:val="00AB3DA0"/>
    <w:rsid w:val="00AB401F"/>
    <w:rsid w:val="00AB4851"/>
    <w:rsid w:val="00AB55DE"/>
    <w:rsid w:val="00AB56FC"/>
    <w:rsid w:val="00AB5B12"/>
    <w:rsid w:val="00AB678C"/>
    <w:rsid w:val="00AB6B2F"/>
    <w:rsid w:val="00AB742C"/>
    <w:rsid w:val="00AB7B7A"/>
    <w:rsid w:val="00AC222F"/>
    <w:rsid w:val="00AC2860"/>
    <w:rsid w:val="00AC457C"/>
    <w:rsid w:val="00AC4B3C"/>
    <w:rsid w:val="00AC5DC7"/>
    <w:rsid w:val="00AC6A86"/>
    <w:rsid w:val="00AC7CFB"/>
    <w:rsid w:val="00AD00F4"/>
    <w:rsid w:val="00AD0B53"/>
    <w:rsid w:val="00AD28BA"/>
    <w:rsid w:val="00AD3B92"/>
    <w:rsid w:val="00AD4E32"/>
    <w:rsid w:val="00AE4C80"/>
    <w:rsid w:val="00AE5090"/>
    <w:rsid w:val="00AE76A6"/>
    <w:rsid w:val="00AE7EA9"/>
    <w:rsid w:val="00AF08DD"/>
    <w:rsid w:val="00AF24E4"/>
    <w:rsid w:val="00AF300B"/>
    <w:rsid w:val="00AF347A"/>
    <w:rsid w:val="00AF4606"/>
    <w:rsid w:val="00AF5438"/>
    <w:rsid w:val="00AF6955"/>
    <w:rsid w:val="00AF7005"/>
    <w:rsid w:val="00B01755"/>
    <w:rsid w:val="00B01C84"/>
    <w:rsid w:val="00B04170"/>
    <w:rsid w:val="00B0577A"/>
    <w:rsid w:val="00B06BFA"/>
    <w:rsid w:val="00B1035E"/>
    <w:rsid w:val="00B10AE7"/>
    <w:rsid w:val="00B135AB"/>
    <w:rsid w:val="00B165EC"/>
    <w:rsid w:val="00B16B20"/>
    <w:rsid w:val="00B17619"/>
    <w:rsid w:val="00B17804"/>
    <w:rsid w:val="00B1799A"/>
    <w:rsid w:val="00B201D3"/>
    <w:rsid w:val="00B22820"/>
    <w:rsid w:val="00B23417"/>
    <w:rsid w:val="00B24650"/>
    <w:rsid w:val="00B264A4"/>
    <w:rsid w:val="00B2699A"/>
    <w:rsid w:val="00B30C48"/>
    <w:rsid w:val="00B34439"/>
    <w:rsid w:val="00B3479A"/>
    <w:rsid w:val="00B35ABE"/>
    <w:rsid w:val="00B3654D"/>
    <w:rsid w:val="00B378D3"/>
    <w:rsid w:val="00B40441"/>
    <w:rsid w:val="00B411F5"/>
    <w:rsid w:val="00B415DA"/>
    <w:rsid w:val="00B41C95"/>
    <w:rsid w:val="00B426F0"/>
    <w:rsid w:val="00B43705"/>
    <w:rsid w:val="00B438BF"/>
    <w:rsid w:val="00B509F7"/>
    <w:rsid w:val="00B521CD"/>
    <w:rsid w:val="00B5223A"/>
    <w:rsid w:val="00B530F4"/>
    <w:rsid w:val="00B54265"/>
    <w:rsid w:val="00B559B4"/>
    <w:rsid w:val="00B57FFB"/>
    <w:rsid w:val="00B60177"/>
    <w:rsid w:val="00B60DD8"/>
    <w:rsid w:val="00B61AA4"/>
    <w:rsid w:val="00B61EEC"/>
    <w:rsid w:val="00B628CE"/>
    <w:rsid w:val="00B6474A"/>
    <w:rsid w:val="00B6498C"/>
    <w:rsid w:val="00B664A8"/>
    <w:rsid w:val="00B6659B"/>
    <w:rsid w:val="00B675CC"/>
    <w:rsid w:val="00B6761E"/>
    <w:rsid w:val="00B70128"/>
    <w:rsid w:val="00B73705"/>
    <w:rsid w:val="00B76A8E"/>
    <w:rsid w:val="00B770D0"/>
    <w:rsid w:val="00B77615"/>
    <w:rsid w:val="00B8000B"/>
    <w:rsid w:val="00B80B14"/>
    <w:rsid w:val="00B81444"/>
    <w:rsid w:val="00B837D4"/>
    <w:rsid w:val="00B91D56"/>
    <w:rsid w:val="00B9370B"/>
    <w:rsid w:val="00B95033"/>
    <w:rsid w:val="00B96743"/>
    <w:rsid w:val="00B96B3D"/>
    <w:rsid w:val="00B96EB0"/>
    <w:rsid w:val="00BA0D57"/>
    <w:rsid w:val="00BA0DD0"/>
    <w:rsid w:val="00BA0FB3"/>
    <w:rsid w:val="00BA125A"/>
    <w:rsid w:val="00BA14B5"/>
    <w:rsid w:val="00BA1932"/>
    <w:rsid w:val="00BA193B"/>
    <w:rsid w:val="00BA359A"/>
    <w:rsid w:val="00BA3B00"/>
    <w:rsid w:val="00BA4253"/>
    <w:rsid w:val="00BA5637"/>
    <w:rsid w:val="00BA6AD0"/>
    <w:rsid w:val="00BA6BA2"/>
    <w:rsid w:val="00BA78EE"/>
    <w:rsid w:val="00BB0B57"/>
    <w:rsid w:val="00BB0E84"/>
    <w:rsid w:val="00BB235C"/>
    <w:rsid w:val="00BB39C7"/>
    <w:rsid w:val="00BB537E"/>
    <w:rsid w:val="00BB58CE"/>
    <w:rsid w:val="00BB5997"/>
    <w:rsid w:val="00BB5BE2"/>
    <w:rsid w:val="00BB60D7"/>
    <w:rsid w:val="00BB73DB"/>
    <w:rsid w:val="00BB7672"/>
    <w:rsid w:val="00BC11EB"/>
    <w:rsid w:val="00BC1C24"/>
    <w:rsid w:val="00BC2226"/>
    <w:rsid w:val="00BC23E9"/>
    <w:rsid w:val="00BC2651"/>
    <w:rsid w:val="00BC3C32"/>
    <w:rsid w:val="00BD2528"/>
    <w:rsid w:val="00BD3851"/>
    <w:rsid w:val="00BE0040"/>
    <w:rsid w:val="00BE015E"/>
    <w:rsid w:val="00BE207A"/>
    <w:rsid w:val="00BE2E6E"/>
    <w:rsid w:val="00BE36E7"/>
    <w:rsid w:val="00BE3CB1"/>
    <w:rsid w:val="00BE58BA"/>
    <w:rsid w:val="00BE68A2"/>
    <w:rsid w:val="00BE6E9C"/>
    <w:rsid w:val="00BF1A20"/>
    <w:rsid w:val="00BF25E8"/>
    <w:rsid w:val="00BF31DA"/>
    <w:rsid w:val="00BF4D89"/>
    <w:rsid w:val="00BF4E18"/>
    <w:rsid w:val="00BF7698"/>
    <w:rsid w:val="00C01037"/>
    <w:rsid w:val="00C02DBF"/>
    <w:rsid w:val="00C031CD"/>
    <w:rsid w:val="00C040FD"/>
    <w:rsid w:val="00C04E62"/>
    <w:rsid w:val="00C056FC"/>
    <w:rsid w:val="00C06987"/>
    <w:rsid w:val="00C07721"/>
    <w:rsid w:val="00C131CD"/>
    <w:rsid w:val="00C16503"/>
    <w:rsid w:val="00C1721F"/>
    <w:rsid w:val="00C17467"/>
    <w:rsid w:val="00C200C0"/>
    <w:rsid w:val="00C20D75"/>
    <w:rsid w:val="00C21599"/>
    <w:rsid w:val="00C2551C"/>
    <w:rsid w:val="00C257E6"/>
    <w:rsid w:val="00C26534"/>
    <w:rsid w:val="00C30B4F"/>
    <w:rsid w:val="00C30FB5"/>
    <w:rsid w:val="00C32460"/>
    <w:rsid w:val="00C3587B"/>
    <w:rsid w:val="00C364E2"/>
    <w:rsid w:val="00C36DCA"/>
    <w:rsid w:val="00C3715F"/>
    <w:rsid w:val="00C4116E"/>
    <w:rsid w:val="00C41BE5"/>
    <w:rsid w:val="00C42743"/>
    <w:rsid w:val="00C446A7"/>
    <w:rsid w:val="00C50972"/>
    <w:rsid w:val="00C509BD"/>
    <w:rsid w:val="00C53E68"/>
    <w:rsid w:val="00C53FCE"/>
    <w:rsid w:val="00C5540D"/>
    <w:rsid w:val="00C55497"/>
    <w:rsid w:val="00C60878"/>
    <w:rsid w:val="00C61CF2"/>
    <w:rsid w:val="00C624E3"/>
    <w:rsid w:val="00C63E79"/>
    <w:rsid w:val="00C63FEB"/>
    <w:rsid w:val="00C6564B"/>
    <w:rsid w:val="00C65C78"/>
    <w:rsid w:val="00C701C6"/>
    <w:rsid w:val="00C70734"/>
    <w:rsid w:val="00C70A94"/>
    <w:rsid w:val="00C733DA"/>
    <w:rsid w:val="00C74B37"/>
    <w:rsid w:val="00C75573"/>
    <w:rsid w:val="00C75603"/>
    <w:rsid w:val="00C76CBE"/>
    <w:rsid w:val="00C76D5F"/>
    <w:rsid w:val="00C76FAC"/>
    <w:rsid w:val="00C81BC4"/>
    <w:rsid w:val="00C81D60"/>
    <w:rsid w:val="00C82ED9"/>
    <w:rsid w:val="00C84462"/>
    <w:rsid w:val="00C856B5"/>
    <w:rsid w:val="00C87886"/>
    <w:rsid w:val="00C90628"/>
    <w:rsid w:val="00CA010B"/>
    <w:rsid w:val="00CA0F57"/>
    <w:rsid w:val="00CA16D2"/>
    <w:rsid w:val="00CA435D"/>
    <w:rsid w:val="00CA4CF2"/>
    <w:rsid w:val="00CA59A1"/>
    <w:rsid w:val="00CA59F2"/>
    <w:rsid w:val="00CB12B1"/>
    <w:rsid w:val="00CB2313"/>
    <w:rsid w:val="00CB3727"/>
    <w:rsid w:val="00CB70B1"/>
    <w:rsid w:val="00CB75ED"/>
    <w:rsid w:val="00CB7D01"/>
    <w:rsid w:val="00CC045F"/>
    <w:rsid w:val="00CC059C"/>
    <w:rsid w:val="00CC1B02"/>
    <w:rsid w:val="00CC2724"/>
    <w:rsid w:val="00CC2920"/>
    <w:rsid w:val="00CC3C7F"/>
    <w:rsid w:val="00CC42E8"/>
    <w:rsid w:val="00CC6801"/>
    <w:rsid w:val="00CC6F72"/>
    <w:rsid w:val="00CC775D"/>
    <w:rsid w:val="00CC7B33"/>
    <w:rsid w:val="00CD1946"/>
    <w:rsid w:val="00CD5FE2"/>
    <w:rsid w:val="00CD7D76"/>
    <w:rsid w:val="00CE06BD"/>
    <w:rsid w:val="00CE2C51"/>
    <w:rsid w:val="00CE3DDB"/>
    <w:rsid w:val="00CF1404"/>
    <w:rsid w:val="00CF1547"/>
    <w:rsid w:val="00CF333E"/>
    <w:rsid w:val="00CF3973"/>
    <w:rsid w:val="00CF4274"/>
    <w:rsid w:val="00CF5D83"/>
    <w:rsid w:val="00CF7042"/>
    <w:rsid w:val="00D023E0"/>
    <w:rsid w:val="00D024A4"/>
    <w:rsid w:val="00D04537"/>
    <w:rsid w:val="00D053C6"/>
    <w:rsid w:val="00D073C2"/>
    <w:rsid w:val="00D1137D"/>
    <w:rsid w:val="00D114B1"/>
    <w:rsid w:val="00D122DC"/>
    <w:rsid w:val="00D1327D"/>
    <w:rsid w:val="00D13D07"/>
    <w:rsid w:val="00D145B7"/>
    <w:rsid w:val="00D14A93"/>
    <w:rsid w:val="00D152DA"/>
    <w:rsid w:val="00D16790"/>
    <w:rsid w:val="00D17813"/>
    <w:rsid w:val="00D234B4"/>
    <w:rsid w:val="00D24A09"/>
    <w:rsid w:val="00D2563F"/>
    <w:rsid w:val="00D267DE"/>
    <w:rsid w:val="00D267F1"/>
    <w:rsid w:val="00D2711E"/>
    <w:rsid w:val="00D27B7F"/>
    <w:rsid w:val="00D30BE6"/>
    <w:rsid w:val="00D31D02"/>
    <w:rsid w:val="00D36200"/>
    <w:rsid w:val="00D3696F"/>
    <w:rsid w:val="00D3719E"/>
    <w:rsid w:val="00D37244"/>
    <w:rsid w:val="00D37A78"/>
    <w:rsid w:val="00D41681"/>
    <w:rsid w:val="00D446EB"/>
    <w:rsid w:val="00D4519F"/>
    <w:rsid w:val="00D4589E"/>
    <w:rsid w:val="00D460C2"/>
    <w:rsid w:val="00D4759C"/>
    <w:rsid w:val="00D51227"/>
    <w:rsid w:val="00D60377"/>
    <w:rsid w:val="00D60CA8"/>
    <w:rsid w:val="00D62196"/>
    <w:rsid w:val="00D62E1C"/>
    <w:rsid w:val="00D642C7"/>
    <w:rsid w:val="00D643BE"/>
    <w:rsid w:val="00D67191"/>
    <w:rsid w:val="00D7102E"/>
    <w:rsid w:val="00D715EC"/>
    <w:rsid w:val="00D72194"/>
    <w:rsid w:val="00D754CE"/>
    <w:rsid w:val="00D8150F"/>
    <w:rsid w:val="00D83E37"/>
    <w:rsid w:val="00D83F7A"/>
    <w:rsid w:val="00D855D2"/>
    <w:rsid w:val="00D87930"/>
    <w:rsid w:val="00D91CDB"/>
    <w:rsid w:val="00D92647"/>
    <w:rsid w:val="00D93140"/>
    <w:rsid w:val="00D93227"/>
    <w:rsid w:val="00D94C0B"/>
    <w:rsid w:val="00D94C35"/>
    <w:rsid w:val="00D95784"/>
    <w:rsid w:val="00DA086C"/>
    <w:rsid w:val="00DA0DC8"/>
    <w:rsid w:val="00DA19A5"/>
    <w:rsid w:val="00DA5A2A"/>
    <w:rsid w:val="00DA60AE"/>
    <w:rsid w:val="00DA7886"/>
    <w:rsid w:val="00DB1714"/>
    <w:rsid w:val="00DB1F79"/>
    <w:rsid w:val="00DB1FF5"/>
    <w:rsid w:val="00DB2C1C"/>
    <w:rsid w:val="00DB2CD8"/>
    <w:rsid w:val="00DB31D6"/>
    <w:rsid w:val="00DB34D6"/>
    <w:rsid w:val="00DB4413"/>
    <w:rsid w:val="00DB4C1C"/>
    <w:rsid w:val="00DB5402"/>
    <w:rsid w:val="00DB6D0E"/>
    <w:rsid w:val="00DB769B"/>
    <w:rsid w:val="00DC0ADF"/>
    <w:rsid w:val="00DC132C"/>
    <w:rsid w:val="00DC4016"/>
    <w:rsid w:val="00DC4A02"/>
    <w:rsid w:val="00DC5E4A"/>
    <w:rsid w:val="00DC659A"/>
    <w:rsid w:val="00DC716E"/>
    <w:rsid w:val="00DC75A6"/>
    <w:rsid w:val="00DD026A"/>
    <w:rsid w:val="00DD1D06"/>
    <w:rsid w:val="00DD25E3"/>
    <w:rsid w:val="00DD2773"/>
    <w:rsid w:val="00DD2CD3"/>
    <w:rsid w:val="00DD2F49"/>
    <w:rsid w:val="00DD31D5"/>
    <w:rsid w:val="00DD4171"/>
    <w:rsid w:val="00DD4992"/>
    <w:rsid w:val="00DD551F"/>
    <w:rsid w:val="00DD5A65"/>
    <w:rsid w:val="00DD62E0"/>
    <w:rsid w:val="00DD6AC2"/>
    <w:rsid w:val="00DD6C9D"/>
    <w:rsid w:val="00DE1A03"/>
    <w:rsid w:val="00DE1ADC"/>
    <w:rsid w:val="00DE1C95"/>
    <w:rsid w:val="00DE2873"/>
    <w:rsid w:val="00DE2A5D"/>
    <w:rsid w:val="00DF1802"/>
    <w:rsid w:val="00DF1F1B"/>
    <w:rsid w:val="00DF21EE"/>
    <w:rsid w:val="00DF2642"/>
    <w:rsid w:val="00DF32E7"/>
    <w:rsid w:val="00DF403E"/>
    <w:rsid w:val="00DF4081"/>
    <w:rsid w:val="00DF4AC4"/>
    <w:rsid w:val="00DF50FE"/>
    <w:rsid w:val="00DF630B"/>
    <w:rsid w:val="00E0170A"/>
    <w:rsid w:val="00E02312"/>
    <w:rsid w:val="00E02B06"/>
    <w:rsid w:val="00E04C24"/>
    <w:rsid w:val="00E07290"/>
    <w:rsid w:val="00E13735"/>
    <w:rsid w:val="00E14B0C"/>
    <w:rsid w:val="00E14B43"/>
    <w:rsid w:val="00E1591B"/>
    <w:rsid w:val="00E20064"/>
    <w:rsid w:val="00E212F0"/>
    <w:rsid w:val="00E220D0"/>
    <w:rsid w:val="00E23BFA"/>
    <w:rsid w:val="00E26BB6"/>
    <w:rsid w:val="00E26D86"/>
    <w:rsid w:val="00E31130"/>
    <w:rsid w:val="00E31B6A"/>
    <w:rsid w:val="00E32F80"/>
    <w:rsid w:val="00E40511"/>
    <w:rsid w:val="00E40E3D"/>
    <w:rsid w:val="00E434EA"/>
    <w:rsid w:val="00E43B85"/>
    <w:rsid w:val="00E43D8C"/>
    <w:rsid w:val="00E458AB"/>
    <w:rsid w:val="00E46478"/>
    <w:rsid w:val="00E46690"/>
    <w:rsid w:val="00E46926"/>
    <w:rsid w:val="00E46D83"/>
    <w:rsid w:val="00E5032B"/>
    <w:rsid w:val="00E516EB"/>
    <w:rsid w:val="00E53B29"/>
    <w:rsid w:val="00E53CD2"/>
    <w:rsid w:val="00E60DB4"/>
    <w:rsid w:val="00E6150F"/>
    <w:rsid w:val="00E61B85"/>
    <w:rsid w:val="00E62867"/>
    <w:rsid w:val="00E62A71"/>
    <w:rsid w:val="00E63C45"/>
    <w:rsid w:val="00E66ACB"/>
    <w:rsid w:val="00E66D99"/>
    <w:rsid w:val="00E70EF9"/>
    <w:rsid w:val="00E748DC"/>
    <w:rsid w:val="00E755BB"/>
    <w:rsid w:val="00E81B62"/>
    <w:rsid w:val="00E8289F"/>
    <w:rsid w:val="00E82B0F"/>
    <w:rsid w:val="00E82F0F"/>
    <w:rsid w:val="00E8460C"/>
    <w:rsid w:val="00E855D0"/>
    <w:rsid w:val="00E85742"/>
    <w:rsid w:val="00E863E7"/>
    <w:rsid w:val="00E90867"/>
    <w:rsid w:val="00E90E66"/>
    <w:rsid w:val="00E93478"/>
    <w:rsid w:val="00E9508F"/>
    <w:rsid w:val="00E958CD"/>
    <w:rsid w:val="00EA107D"/>
    <w:rsid w:val="00EA1922"/>
    <w:rsid w:val="00EA1999"/>
    <w:rsid w:val="00EA341C"/>
    <w:rsid w:val="00EA37ED"/>
    <w:rsid w:val="00EA7646"/>
    <w:rsid w:val="00EB04C2"/>
    <w:rsid w:val="00EB2034"/>
    <w:rsid w:val="00EB2DE2"/>
    <w:rsid w:val="00EB58A5"/>
    <w:rsid w:val="00EB7DA4"/>
    <w:rsid w:val="00EC0B79"/>
    <w:rsid w:val="00EC0FB9"/>
    <w:rsid w:val="00EC1AAA"/>
    <w:rsid w:val="00EC36F2"/>
    <w:rsid w:val="00EC3739"/>
    <w:rsid w:val="00EC4B7F"/>
    <w:rsid w:val="00EC54AD"/>
    <w:rsid w:val="00EC5AF8"/>
    <w:rsid w:val="00EC6CD4"/>
    <w:rsid w:val="00ED0B72"/>
    <w:rsid w:val="00ED12CD"/>
    <w:rsid w:val="00ED3198"/>
    <w:rsid w:val="00ED3248"/>
    <w:rsid w:val="00ED63F1"/>
    <w:rsid w:val="00ED6EE0"/>
    <w:rsid w:val="00ED7647"/>
    <w:rsid w:val="00EE156B"/>
    <w:rsid w:val="00EE246F"/>
    <w:rsid w:val="00EE2E46"/>
    <w:rsid w:val="00EE494F"/>
    <w:rsid w:val="00EE511A"/>
    <w:rsid w:val="00EE61EA"/>
    <w:rsid w:val="00EF2893"/>
    <w:rsid w:val="00EF5C2E"/>
    <w:rsid w:val="00F02C3F"/>
    <w:rsid w:val="00F02F6B"/>
    <w:rsid w:val="00F05B81"/>
    <w:rsid w:val="00F06286"/>
    <w:rsid w:val="00F0641F"/>
    <w:rsid w:val="00F073C0"/>
    <w:rsid w:val="00F10CE1"/>
    <w:rsid w:val="00F11231"/>
    <w:rsid w:val="00F115DF"/>
    <w:rsid w:val="00F12385"/>
    <w:rsid w:val="00F1332C"/>
    <w:rsid w:val="00F13DF1"/>
    <w:rsid w:val="00F144C1"/>
    <w:rsid w:val="00F14E48"/>
    <w:rsid w:val="00F17094"/>
    <w:rsid w:val="00F178E2"/>
    <w:rsid w:val="00F201CF"/>
    <w:rsid w:val="00F20D13"/>
    <w:rsid w:val="00F2219E"/>
    <w:rsid w:val="00F230F1"/>
    <w:rsid w:val="00F23581"/>
    <w:rsid w:val="00F23826"/>
    <w:rsid w:val="00F264A0"/>
    <w:rsid w:val="00F26CFD"/>
    <w:rsid w:val="00F31BD7"/>
    <w:rsid w:val="00F3205F"/>
    <w:rsid w:val="00F34357"/>
    <w:rsid w:val="00F34F43"/>
    <w:rsid w:val="00F350C4"/>
    <w:rsid w:val="00F35905"/>
    <w:rsid w:val="00F364A2"/>
    <w:rsid w:val="00F44A6D"/>
    <w:rsid w:val="00F44F9C"/>
    <w:rsid w:val="00F45877"/>
    <w:rsid w:val="00F46571"/>
    <w:rsid w:val="00F51F95"/>
    <w:rsid w:val="00F57501"/>
    <w:rsid w:val="00F618C5"/>
    <w:rsid w:val="00F6224A"/>
    <w:rsid w:val="00F624EA"/>
    <w:rsid w:val="00F634A2"/>
    <w:rsid w:val="00F64214"/>
    <w:rsid w:val="00F648CE"/>
    <w:rsid w:val="00F64AF4"/>
    <w:rsid w:val="00F65628"/>
    <w:rsid w:val="00F74E4E"/>
    <w:rsid w:val="00F76D8B"/>
    <w:rsid w:val="00F7766D"/>
    <w:rsid w:val="00F77A0E"/>
    <w:rsid w:val="00F77BD7"/>
    <w:rsid w:val="00F8071E"/>
    <w:rsid w:val="00F80987"/>
    <w:rsid w:val="00F80BB6"/>
    <w:rsid w:val="00F84683"/>
    <w:rsid w:val="00F86603"/>
    <w:rsid w:val="00F87A76"/>
    <w:rsid w:val="00F87B12"/>
    <w:rsid w:val="00F87EB9"/>
    <w:rsid w:val="00F90BB1"/>
    <w:rsid w:val="00F91029"/>
    <w:rsid w:val="00F92D50"/>
    <w:rsid w:val="00F958AD"/>
    <w:rsid w:val="00F96525"/>
    <w:rsid w:val="00FA19EA"/>
    <w:rsid w:val="00FA1CF8"/>
    <w:rsid w:val="00FA2E80"/>
    <w:rsid w:val="00FA2E96"/>
    <w:rsid w:val="00FA3568"/>
    <w:rsid w:val="00FA6DC6"/>
    <w:rsid w:val="00FA6E78"/>
    <w:rsid w:val="00FB15CC"/>
    <w:rsid w:val="00FB1A1A"/>
    <w:rsid w:val="00FB2AEF"/>
    <w:rsid w:val="00FB6E46"/>
    <w:rsid w:val="00FC1281"/>
    <w:rsid w:val="00FC41C5"/>
    <w:rsid w:val="00FC4D53"/>
    <w:rsid w:val="00FC587B"/>
    <w:rsid w:val="00FC5BF5"/>
    <w:rsid w:val="00FC5D16"/>
    <w:rsid w:val="00FC72FA"/>
    <w:rsid w:val="00FC7966"/>
    <w:rsid w:val="00FD069B"/>
    <w:rsid w:val="00FD4950"/>
    <w:rsid w:val="00FD4DB4"/>
    <w:rsid w:val="00FD586F"/>
    <w:rsid w:val="00FE03BC"/>
    <w:rsid w:val="00FE0497"/>
    <w:rsid w:val="00FE088E"/>
    <w:rsid w:val="00FE0CD4"/>
    <w:rsid w:val="00FE27CC"/>
    <w:rsid w:val="00FE39C0"/>
    <w:rsid w:val="00FE4E33"/>
    <w:rsid w:val="00FE5876"/>
    <w:rsid w:val="00FE6E0C"/>
    <w:rsid w:val="00FF0CE2"/>
    <w:rsid w:val="00FF0DBC"/>
    <w:rsid w:val="00FF1AB3"/>
    <w:rsid w:val="00FF4EE7"/>
    <w:rsid w:val="00FF52EC"/>
    <w:rsid w:val="00FF7C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C57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1E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53B29"/>
    <w:pPr>
      <w:autoSpaceDE w:val="0"/>
      <w:autoSpaceDN w:val="0"/>
      <w:adjustRightInd w:val="0"/>
    </w:pPr>
    <w:rPr>
      <w:rFonts w:ascii="EUAlbertina" w:hAnsi="EUAlbertina"/>
      <w:szCs w:val="24"/>
    </w:rPr>
  </w:style>
  <w:style w:type="paragraph" w:customStyle="1" w:styleId="CM3">
    <w:name w:val="CM3"/>
    <w:basedOn w:val="Normal"/>
    <w:next w:val="Normal"/>
    <w:uiPriority w:val="99"/>
    <w:rsid w:val="00E53B29"/>
    <w:pPr>
      <w:autoSpaceDE w:val="0"/>
      <w:autoSpaceDN w:val="0"/>
      <w:adjustRightInd w:val="0"/>
    </w:pPr>
    <w:rPr>
      <w:rFonts w:ascii="EUAlbertina" w:hAnsi="EUAlbertina"/>
      <w:szCs w:val="24"/>
    </w:rPr>
  </w:style>
  <w:style w:type="paragraph" w:styleId="ListParagraph">
    <w:name w:val="List Paragraph"/>
    <w:basedOn w:val="Normal"/>
    <w:uiPriority w:val="34"/>
    <w:qFormat/>
    <w:rsid w:val="00C76D5F"/>
    <w:pPr>
      <w:spacing w:after="200" w:line="276" w:lineRule="auto"/>
      <w:ind w:left="720"/>
      <w:contextualSpacing/>
    </w:pPr>
    <w:rPr>
      <w:rFonts w:ascii="Calibri" w:hAnsi="Calibri"/>
      <w:sz w:val="22"/>
      <w:szCs w:val="22"/>
    </w:rPr>
  </w:style>
  <w:style w:type="character" w:styleId="CommentReference">
    <w:name w:val="annotation reference"/>
    <w:rsid w:val="00836F8E"/>
    <w:rPr>
      <w:sz w:val="16"/>
      <w:szCs w:val="16"/>
    </w:rPr>
  </w:style>
  <w:style w:type="paragraph" w:styleId="CommentText">
    <w:name w:val="annotation text"/>
    <w:basedOn w:val="Normal"/>
    <w:link w:val="CommentTextChar"/>
    <w:rsid w:val="00836F8E"/>
    <w:rPr>
      <w:rFonts w:eastAsia="Calibri"/>
      <w:sz w:val="20"/>
      <w:lang w:eastAsia="bg-BG"/>
    </w:rPr>
  </w:style>
  <w:style w:type="character" w:customStyle="1" w:styleId="CommentTextChar">
    <w:name w:val="Comment Text Char"/>
    <w:basedOn w:val="DefaultParagraphFont"/>
    <w:link w:val="CommentText"/>
    <w:rsid w:val="00836F8E"/>
    <w:rPr>
      <w:rFonts w:eastAsia="Calibri"/>
      <w:lang w:eastAsia="bg-BG"/>
    </w:rPr>
  </w:style>
  <w:style w:type="paragraph" w:styleId="BalloonText">
    <w:name w:val="Balloon Text"/>
    <w:basedOn w:val="Normal"/>
    <w:link w:val="BalloonTextChar"/>
    <w:uiPriority w:val="99"/>
    <w:semiHidden/>
    <w:unhideWhenUsed/>
    <w:rsid w:val="00836F8E"/>
    <w:rPr>
      <w:rFonts w:ascii="Tahoma" w:hAnsi="Tahoma" w:cs="Tahoma"/>
      <w:sz w:val="16"/>
      <w:szCs w:val="16"/>
    </w:rPr>
  </w:style>
  <w:style w:type="character" w:customStyle="1" w:styleId="BalloonTextChar">
    <w:name w:val="Balloon Text Char"/>
    <w:basedOn w:val="DefaultParagraphFont"/>
    <w:link w:val="BalloonText"/>
    <w:uiPriority w:val="99"/>
    <w:semiHidden/>
    <w:rsid w:val="00836F8E"/>
    <w:rPr>
      <w:rFonts w:ascii="Tahoma" w:hAnsi="Tahoma" w:cs="Tahoma"/>
      <w:sz w:val="16"/>
      <w:szCs w:val="16"/>
    </w:rPr>
  </w:style>
  <w:style w:type="character" w:customStyle="1" w:styleId="tlid-translation">
    <w:name w:val="tlid-translation"/>
    <w:basedOn w:val="DefaultParagraphFont"/>
    <w:rsid w:val="00A35846"/>
  </w:style>
  <w:style w:type="paragraph" w:styleId="EndnoteText">
    <w:name w:val="endnote text"/>
    <w:basedOn w:val="Normal"/>
    <w:link w:val="EndnoteTextChar"/>
    <w:uiPriority w:val="99"/>
    <w:semiHidden/>
    <w:unhideWhenUsed/>
    <w:rsid w:val="00CC059C"/>
    <w:rPr>
      <w:sz w:val="20"/>
    </w:rPr>
  </w:style>
  <w:style w:type="character" w:customStyle="1" w:styleId="EndnoteTextChar">
    <w:name w:val="Endnote Text Char"/>
    <w:basedOn w:val="DefaultParagraphFont"/>
    <w:link w:val="EndnoteText"/>
    <w:uiPriority w:val="99"/>
    <w:semiHidden/>
    <w:rsid w:val="00CC059C"/>
  </w:style>
  <w:style w:type="character" w:styleId="EndnoteReference">
    <w:name w:val="endnote reference"/>
    <w:basedOn w:val="DefaultParagraphFont"/>
    <w:uiPriority w:val="99"/>
    <w:semiHidden/>
    <w:unhideWhenUsed/>
    <w:rsid w:val="00CC059C"/>
    <w:rPr>
      <w:vertAlign w:val="superscript"/>
    </w:rPr>
  </w:style>
  <w:style w:type="paragraph" w:styleId="Header">
    <w:name w:val="header"/>
    <w:basedOn w:val="Normal"/>
    <w:link w:val="HeaderChar"/>
    <w:uiPriority w:val="99"/>
    <w:unhideWhenUsed/>
    <w:rsid w:val="00296AE4"/>
    <w:pPr>
      <w:tabs>
        <w:tab w:val="center" w:pos="4536"/>
        <w:tab w:val="right" w:pos="9072"/>
      </w:tabs>
    </w:pPr>
  </w:style>
  <w:style w:type="character" w:customStyle="1" w:styleId="HeaderChar">
    <w:name w:val="Header Char"/>
    <w:basedOn w:val="DefaultParagraphFont"/>
    <w:link w:val="Header"/>
    <w:uiPriority w:val="99"/>
    <w:rsid w:val="00296AE4"/>
    <w:rPr>
      <w:sz w:val="24"/>
    </w:rPr>
  </w:style>
  <w:style w:type="paragraph" w:styleId="Footer">
    <w:name w:val="footer"/>
    <w:basedOn w:val="Normal"/>
    <w:link w:val="FooterChar"/>
    <w:uiPriority w:val="99"/>
    <w:unhideWhenUsed/>
    <w:rsid w:val="00296AE4"/>
    <w:pPr>
      <w:tabs>
        <w:tab w:val="center" w:pos="4536"/>
        <w:tab w:val="right" w:pos="9072"/>
      </w:tabs>
    </w:pPr>
  </w:style>
  <w:style w:type="character" w:customStyle="1" w:styleId="FooterChar">
    <w:name w:val="Footer Char"/>
    <w:basedOn w:val="DefaultParagraphFont"/>
    <w:link w:val="Footer"/>
    <w:uiPriority w:val="99"/>
    <w:rsid w:val="00296AE4"/>
    <w:rPr>
      <w:sz w:val="24"/>
    </w:rPr>
  </w:style>
  <w:style w:type="paragraph" w:styleId="FootnoteText">
    <w:name w:val="footnote text"/>
    <w:basedOn w:val="Normal"/>
    <w:link w:val="FootnoteTextChar"/>
    <w:uiPriority w:val="99"/>
    <w:semiHidden/>
    <w:unhideWhenUsed/>
    <w:rsid w:val="00296AE4"/>
    <w:rPr>
      <w:sz w:val="20"/>
    </w:rPr>
  </w:style>
  <w:style w:type="character" w:customStyle="1" w:styleId="FootnoteTextChar">
    <w:name w:val="Footnote Text Char"/>
    <w:basedOn w:val="DefaultParagraphFont"/>
    <w:link w:val="FootnoteText"/>
    <w:uiPriority w:val="99"/>
    <w:semiHidden/>
    <w:rsid w:val="00296AE4"/>
  </w:style>
  <w:style w:type="character" w:styleId="FootnoteReference">
    <w:name w:val="footnote reference"/>
    <w:basedOn w:val="DefaultParagraphFont"/>
    <w:uiPriority w:val="99"/>
    <w:semiHidden/>
    <w:unhideWhenUsed/>
    <w:rsid w:val="00296AE4"/>
    <w:rPr>
      <w:vertAlign w:val="superscript"/>
    </w:rPr>
  </w:style>
  <w:style w:type="character" w:customStyle="1" w:styleId="Bodytext2">
    <w:name w:val="Body text (2)_"/>
    <w:basedOn w:val="DefaultParagraphFont"/>
    <w:link w:val="Bodytext20"/>
    <w:rsid w:val="0088105D"/>
    <w:rPr>
      <w:rFonts w:eastAsia="Times New Roman"/>
      <w:shd w:val="clear" w:color="auto" w:fill="FFFFFF"/>
    </w:rPr>
  </w:style>
  <w:style w:type="paragraph" w:customStyle="1" w:styleId="Bodytext20">
    <w:name w:val="Body text (2)"/>
    <w:basedOn w:val="Normal"/>
    <w:link w:val="Bodytext2"/>
    <w:rsid w:val="0088105D"/>
    <w:pPr>
      <w:widowControl w:val="0"/>
      <w:shd w:val="clear" w:color="auto" w:fill="FFFFFF"/>
      <w:spacing w:before="60" w:after="720" w:line="0" w:lineRule="atLeast"/>
      <w:ind w:hanging="1180"/>
      <w:jc w:val="both"/>
    </w:pPr>
    <w:rPr>
      <w:rFonts w:eastAsia="Times New Roman"/>
      <w:sz w:val="20"/>
    </w:rPr>
  </w:style>
  <w:style w:type="paragraph" w:styleId="CommentSubject">
    <w:name w:val="annotation subject"/>
    <w:basedOn w:val="CommentText"/>
    <w:next w:val="CommentText"/>
    <w:link w:val="CommentSubjectChar"/>
    <w:uiPriority w:val="99"/>
    <w:semiHidden/>
    <w:unhideWhenUsed/>
    <w:rsid w:val="006157DB"/>
    <w:rPr>
      <w:rFonts w:eastAsiaTheme="minorHAnsi"/>
      <w:b/>
      <w:bCs/>
      <w:lang w:eastAsia="en-US"/>
    </w:rPr>
  </w:style>
  <w:style w:type="character" w:customStyle="1" w:styleId="CommentSubjectChar">
    <w:name w:val="Comment Subject Char"/>
    <w:basedOn w:val="CommentTextChar"/>
    <w:link w:val="CommentSubject"/>
    <w:uiPriority w:val="99"/>
    <w:semiHidden/>
    <w:rsid w:val="006157DB"/>
    <w:rPr>
      <w:rFonts w:eastAsia="Calibri"/>
      <w:b/>
      <w:bCs/>
      <w:lang w:eastAsia="bg-BG"/>
    </w:rPr>
  </w:style>
  <w:style w:type="table" w:styleId="TableGrid">
    <w:name w:val="Table Grid"/>
    <w:basedOn w:val="TableNormal"/>
    <w:uiPriority w:val="39"/>
    <w:rsid w:val="0035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48C2"/>
    <w:rPr>
      <w:sz w:val="24"/>
    </w:rPr>
  </w:style>
  <w:style w:type="paragraph" w:customStyle="1" w:styleId="Default">
    <w:name w:val="Default"/>
    <w:rsid w:val="006429D1"/>
    <w:pPr>
      <w:autoSpaceDE w:val="0"/>
      <w:autoSpaceDN w:val="0"/>
      <w:adjustRightInd w:val="0"/>
    </w:pPr>
    <w:rPr>
      <w:color w:val="000000"/>
      <w:sz w:val="24"/>
      <w:szCs w:val="24"/>
    </w:rPr>
  </w:style>
  <w:style w:type="character" w:styleId="Hyperlink">
    <w:name w:val="Hyperlink"/>
    <w:basedOn w:val="DefaultParagraphFont"/>
    <w:uiPriority w:val="99"/>
    <w:unhideWhenUsed/>
    <w:rsid w:val="00EE2E46"/>
    <w:rPr>
      <w:color w:val="0000FF" w:themeColor="hyperlink"/>
      <w:u w:val="single"/>
    </w:rPr>
  </w:style>
  <w:style w:type="character" w:styleId="FollowedHyperlink">
    <w:name w:val="FollowedHyperlink"/>
    <w:basedOn w:val="DefaultParagraphFont"/>
    <w:uiPriority w:val="99"/>
    <w:semiHidden/>
    <w:unhideWhenUsed/>
    <w:rsid w:val="000765D1"/>
    <w:rPr>
      <w:color w:val="800080" w:themeColor="followedHyperlink"/>
      <w:u w:val="single"/>
    </w:rPr>
  </w:style>
  <w:style w:type="paragraph" w:styleId="NoSpacing">
    <w:name w:val="No Spacing"/>
    <w:uiPriority w:val="1"/>
    <w:qFormat/>
    <w:rsid w:val="00173FF0"/>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06">
      <w:bodyDiv w:val="1"/>
      <w:marLeft w:val="0"/>
      <w:marRight w:val="0"/>
      <w:marTop w:val="0"/>
      <w:marBottom w:val="0"/>
      <w:divBdr>
        <w:top w:val="none" w:sz="0" w:space="0" w:color="auto"/>
        <w:left w:val="none" w:sz="0" w:space="0" w:color="auto"/>
        <w:bottom w:val="none" w:sz="0" w:space="0" w:color="auto"/>
        <w:right w:val="none" w:sz="0" w:space="0" w:color="auto"/>
      </w:divBdr>
    </w:div>
    <w:div w:id="134106661">
      <w:bodyDiv w:val="1"/>
      <w:marLeft w:val="0"/>
      <w:marRight w:val="0"/>
      <w:marTop w:val="0"/>
      <w:marBottom w:val="0"/>
      <w:divBdr>
        <w:top w:val="none" w:sz="0" w:space="0" w:color="auto"/>
        <w:left w:val="none" w:sz="0" w:space="0" w:color="auto"/>
        <w:bottom w:val="none" w:sz="0" w:space="0" w:color="auto"/>
        <w:right w:val="none" w:sz="0" w:space="0" w:color="auto"/>
      </w:divBdr>
    </w:div>
    <w:div w:id="522017662">
      <w:bodyDiv w:val="1"/>
      <w:marLeft w:val="0"/>
      <w:marRight w:val="0"/>
      <w:marTop w:val="0"/>
      <w:marBottom w:val="0"/>
      <w:divBdr>
        <w:top w:val="none" w:sz="0" w:space="0" w:color="auto"/>
        <w:left w:val="none" w:sz="0" w:space="0" w:color="auto"/>
        <w:bottom w:val="none" w:sz="0" w:space="0" w:color="auto"/>
        <w:right w:val="none" w:sz="0" w:space="0" w:color="auto"/>
      </w:divBdr>
    </w:div>
    <w:div w:id="581335404">
      <w:bodyDiv w:val="1"/>
      <w:marLeft w:val="0"/>
      <w:marRight w:val="0"/>
      <w:marTop w:val="0"/>
      <w:marBottom w:val="0"/>
      <w:divBdr>
        <w:top w:val="none" w:sz="0" w:space="0" w:color="auto"/>
        <w:left w:val="none" w:sz="0" w:space="0" w:color="auto"/>
        <w:bottom w:val="none" w:sz="0" w:space="0" w:color="auto"/>
        <w:right w:val="none" w:sz="0" w:space="0" w:color="auto"/>
      </w:divBdr>
    </w:div>
    <w:div w:id="741563127">
      <w:bodyDiv w:val="1"/>
      <w:marLeft w:val="0"/>
      <w:marRight w:val="0"/>
      <w:marTop w:val="0"/>
      <w:marBottom w:val="0"/>
      <w:divBdr>
        <w:top w:val="none" w:sz="0" w:space="0" w:color="auto"/>
        <w:left w:val="none" w:sz="0" w:space="0" w:color="auto"/>
        <w:bottom w:val="none" w:sz="0" w:space="0" w:color="auto"/>
        <w:right w:val="none" w:sz="0" w:space="0" w:color="auto"/>
      </w:divBdr>
    </w:div>
    <w:div w:id="936669569">
      <w:bodyDiv w:val="1"/>
      <w:marLeft w:val="0"/>
      <w:marRight w:val="0"/>
      <w:marTop w:val="0"/>
      <w:marBottom w:val="0"/>
      <w:divBdr>
        <w:top w:val="none" w:sz="0" w:space="0" w:color="auto"/>
        <w:left w:val="none" w:sz="0" w:space="0" w:color="auto"/>
        <w:bottom w:val="none" w:sz="0" w:space="0" w:color="auto"/>
        <w:right w:val="none" w:sz="0" w:space="0" w:color="auto"/>
      </w:divBdr>
    </w:div>
    <w:div w:id="1160463188">
      <w:bodyDiv w:val="1"/>
      <w:marLeft w:val="0"/>
      <w:marRight w:val="0"/>
      <w:marTop w:val="0"/>
      <w:marBottom w:val="0"/>
      <w:divBdr>
        <w:top w:val="none" w:sz="0" w:space="0" w:color="auto"/>
        <w:left w:val="none" w:sz="0" w:space="0" w:color="auto"/>
        <w:bottom w:val="none" w:sz="0" w:space="0" w:color="auto"/>
        <w:right w:val="none" w:sz="0" w:space="0" w:color="auto"/>
      </w:divBdr>
    </w:div>
    <w:div w:id="1213465699">
      <w:bodyDiv w:val="1"/>
      <w:marLeft w:val="0"/>
      <w:marRight w:val="0"/>
      <w:marTop w:val="0"/>
      <w:marBottom w:val="0"/>
      <w:divBdr>
        <w:top w:val="none" w:sz="0" w:space="0" w:color="auto"/>
        <w:left w:val="none" w:sz="0" w:space="0" w:color="auto"/>
        <w:bottom w:val="none" w:sz="0" w:space="0" w:color="auto"/>
        <w:right w:val="none" w:sz="0" w:space="0" w:color="auto"/>
      </w:divBdr>
    </w:div>
    <w:div w:id="1340428980">
      <w:bodyDiv w:val="1"/>
      <w:marLeft w:val="0"/>
      <w:marRight w:val="0"/>
      <w:marTop w:val="0"/>
      <w:marBottom w:val="0"/>
      <w:divBdr>
        <w:top w:val="none" w:sz="0" w:space="0" w:color="auto"/>
        <w:left w:val="none" w:sz="0" w:space="0" w:color="auto"/>
        <w:bottom w:val="none" w:sz="0" w:space="0" w:color="auto"/>
        <w:right w:val="none" w:sz="0" w:space="0" w:color="auto"/>
      </w:divBdr>
    </w:div>
    <w:div w:id="1371414148">
      <w:bodyDiv w:val="1"/>
      <w:marLeft w:val="0"/>
      <w:marRight w:val="0"/>
      <w:marTop w:val="0"/>
      <w:marBottom w:val="0"/>
      <w:divBdr>
        <w:top w:val="none" w:sz="0" w:space="0" w:color="auto"/>
        <w:left w:val="none" w:sz="0" w:space="0" w:color="auto"/>
        <w:bottom w:val="none" w:sz="0" w:space="0" w:color="auto"/>
        <w:right w:val="none" w:sz="0" w:space="0" w:color="auto"/>
      </w:divBdr>
    </w:div>
    <w:div w:id="1375931127">
      <w:bodyDiv w:val="1"/>
      <w:marLeft w:val="0"/>
      <w:marRight w:val="0"/>
      <w:marTop w:val="0"/>
      <w:marBottom w:val="0"/>
      <w:divBdr>
        <w:top w:val="none" w:sz="0" w:space="0" w:color="auto"/>
        <w:left w:val="none" w:sz="0" w:space="0" w:color="auto"/>
        <w:bottom w:val="none" w:sz="0" w:space="0" w:color="auto"/>
        <w:right w:val="none" w:sz="0" w:space="0" w:color="auto"/>
      </w:divBdr>
    </w:div>
    <w:div w:id="1440686545">
      <w:bodyDiv w:val="1"/>
      <w:marLeft w:val="0"/>
      <w:marRight w:val="0"/>
      <w:marTop w:val="0"/>
      <w:marBottom w:val="0"/>
      <w:divBdr>
        <w:top w:val="none" w:sz="0" w:space="0" w:color="auto"/>
        <w:left w:val="none" w:sz="0" w:space="0" w:color="auto"/>
        <w:bottom w:val="none" w:sz="0" w:space="0" w:color="auto"/>
        <w:right w:val="none" w:sz="0" w:space="0" w:color="auto"/>
      </w:divBdr>
    </w:div>
    <w:div w:id="1549490937">
      <w:bodyDiv w:val="1"/>
      <w:marLeft w:val="0"/>
      <w:marRight w:val="0"/>
      <w:marTop w:val="0"/>
      <w:marBottom w:val="0"/>
      <w:divBdr>
        <w:top w:val="none" w:sz="0" w:space="0" w:color="auto"/>
        <w:left w:val="none" w:sz="0" w:space="0" w:color="auto"/>
        <w:bottom w:val="none" w:sz="0" w:space="0" w:color="auto"/>
        <w:right w:val="none" w:sz="0" w:space="0" w:color="auto"/>
      </w:divBdr>
    </w:div>
    <w:div w:id="1597594457">
      <w:bodyDiv w:val="1"/>
      <w:marLeft w:val="0"/>
      <w:marRight w:val="0"/>
      <w:marTop w:val="0"/>
      <w:marBottom w:val="0"/>
      <w:divBdr>
        <w:top w:val="none" w:sz="0" w:space="0" w:color="auto"/>
        <w:left w:val="none" w:sz="0" w:space="0" w:color="auto"/>
        <w:bottom w:val="none" w:sz="0" w:space="0" w:color="auto"/>
        <w:right w:val="none" w:sz="0" w:space="0" w:color="auto"/>
      </w:divBdr>
    </w:div>
    <w:div w:id="1867475538">
      <w:bodyDiv w:val="1"/>
      <w:marLeft w:val="0"/>
      <w:marRight w:val="0"/>
      <w:marTop w:val="0"/>
      <w:marBottom w:val="0"/>
      <w:divBdr>
        <w:top w:val="none" w:sz="0" w:space="0" w:color="auto"/>
        <w:left w:val="none" w:sz="0" w:space="0" w:color="auto"/>
        <w:bottom w:val="none" w:sz="0" w:space="0" w:color="auto"/>
        <w:right w:val="none" w:sz="0" w:space="0" w:color="auto"/>
      </w:divBdr>
    </w:div>
    <w:div w:id="1926498584">
      <w:bodyDiv w:val="1"/>
      <w:marLeft w:val="0"/>
      <w:marRight w:val="0"/>
      <w:marTop w:val="0"/>
      <w:marBottom w:val="0"/>
      <w:divBdr>
        <w:top w:val="none" w:sz="0" w:space="0" w:color="auto"/>
        <w:left w:val="none" w:sz="0" w:space="0" w:color="auto"/>
        <w:bottom w:val="none" w:sz="0" w:space="0" w:color="auto"/>
        <w:right w:val="none" w:sz="0" w:space="0" w:color="auto"/>
      </w:divBdr>
    </w:div>
    <w:div w:id="21211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qanda_20_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6C00-EB9F-4D5A-A4DB-9CC3A04C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2020-06-04T06:46:00Z</dcterms:created>
  <dcterms:modified xsi:type="dcterms:W3CDTF">2020-06-08T10:31:00Z</dcterms:modified>
</cp:coreProperties>
</file>