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5DB33" w14:textId="7FBB422B" w:rsidR="00696DB9" w:rsidRPr="00243A9B" w:rsidRDefault="00BE50CE" w:rsidP="00696DB9">
      <w:pPr>
        <w:jc w:val="right"/>
        <w:rPr>
          <w:sz w:val="22"/>
          <w:szCs w:val="22"/>
        </w:rPr>
      </w:pPr>
      <w:r>
        <w:rPr>
          <w:sz w:val="22"/>
          <w:szCs w:val="22"/>
        </w:rPr>
        <w:t>ВЕРСИЯ 2 – МАЙ 2020</w:t>
      </w:r>
      <w:r w:rsidR="002B6B20">
        <w:rPr>
          <w:rStyle w:val="FootnoteReference"/>
          <w:sz w:val="22"/>
          <w:szCs w:val="22"/>
        </w:rPr>
        <w:footnoteReference w:id="1"/>
      </w:r>
    </w:p>
    <w:p w14:paraId="1BC72D5D" w14:textId="77777777" w:rsidR="00696DB9" w:rsidRPr="00243A9B" w:rsidRDefault="00696DB9" w:rsidP="00696DB9">
      <w:pPr>
        <w:jc w:val="center"/>
        <w:rPr>
          <w:b/>
          <w:bCs/>
          <w:color w:val="FFFFFF"/>
          <w:sz w:val="22"/>
          <w:szCs w:val="22"/>
        </w:rPr>
      </w:pPr>
    </w:p>
    <w:tbl>
      <w:tblPr>
        <w:tblpPr w:leftFromText="141" w:rightFromText="141" w:vertAnchor="text" w:horzAnchor="margin" w:tblpXSpec="center" w:tblpY="132"/>
        <w:tblW w:w="98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410"/>
        <w:gridCol w:w="29"/>
        <w:gridCol w:w="5656"/>
      </w:tblGrid>
      <w:tr w:rsidR="00696DB9" w:rsidRPr="00243A9B" w14:paraId="2CD288CD" w14:textId="77777777" w:rsidTr="0006573E">
        <w:trPr>
          <w:trHeight w:val="1118"/>
          <w:tblHeader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09C0" w14:textId="77777777" w:rsidR="00696DB9" w:rsidRPr="00243A9B" w:rsidRDefault="00696DB9" w:rsidP="0006573E">
            <w:pPr>
              <w:jc w:val="center"/>
              <w:rPr>
                <w:b/>
                <w:bCs/>
                <w:sz w:val="22"/>
                <w:szCs w:val="22"/>
              </w:rPr>
            </w:pPr>
            <w:r w:rsidRPr="00243A9B">
              <w:rPr>
                <w:b/>
                <w:bCs/>
                <w:sz w:val="22"/>
                <w:szCs w:val="22"/>
              </w:rPr>
              <w:t>КРИТЕРИИ ЗА ПОДБОР НА ОПЕРАЦИИ</w:t>
            </w:r>
          </w:p>
          <w:p w14:paraId="5896D0BB" w14:textId="77777777" w:rsidR="00696DB9" w:rsidRPr="00243A9B" w:rsidRDefault="00696DB9" w:rsidP="0006573E">
            <w:pPr>
              <w:jc w:val="center"/>
              <w:rPr>
                <w:b/>
                <w:bCs/>
                <w:sz w:val="22"/>
                <w:szCs w:val="22"/>
              </w:rPr>
            </w:pPr>
            <w:r w:rsidRPr="00243A9B">
              <w:rPr>
                <w:b/>
                <w:bCs/>
                <w:sz w:val="22"/>
                <w:szCs w:val="22"/>
              </w:rPr>
              <w:t>ПО ОПЕРАТИВНА ПРОГРАМА „ДОБРО УПРАВЛЕНИЕ“ 2014-2020</w:t>
            </w:r>
          </w:p>
        </w:tc>
      </w:tr>
      <w:tr w:rsidR="00696DB9" w:rsidRPr="00243A9B" w14:paraId="535EBE31" w14:textId="77777777" w:rsidTr="0006573E">
        <w:trPr>
          <w:trHeight w:val="544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/>
            <w:vAlign w:val="center"/>
          </w:tcPr>
          <w:p w14:paraId="23D6E569" w14:textId="77777777" w:rsidR="00696DB9" w:rsidRPr="00243A9B" w:rsidRDefault="00696DB9" w:rsidP="000657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43A9B">
              <w:rPr>
                <w:b/>
                <w:bCs/>
                <w:color w:val="FFFFFF"/>
                <w:sz w:val="22"/>
                <w:szCs w:val="22"/>
              </w:rPr>
              <w:t>І</w:t>
            </w:r>
          </w:p>
        </w:tc>
        <w:tc>
          <w:tcPr>
            <w:tcW w:w="9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center"/>
          </w:tcPr>
          <w:p w14:paraId="062BA4D2" w14:textId="77777777" w:rsidR="00696DB9" w:rsidRPr="00243A9B" w:rsidRDefault="00696DB9" w:rsidP="0006573E">
            <w:pPr>
              <w:rPr>
                <w:bCs/>
                <w:color w:val="FFFFFF"/>
                <w:sz w:val="22"/>
                <w:szCs w:val="22"/>
              </w:rPr>
            </w:pPr>
            <w:r w:rsidRPr="00243A9B">
              <w:rPr>
                <w:b/>
                <w:bCs/>
                <w:color w:val="FFFFFF"/>
                <w:sz w:val="22"/>
                <w:szCs w:val="22"/>
              </w:rPr>
              <w:t>ОБЩА ИНФОРМАЦИЯ</w:t>
            </w:r>
          </w:p>
        </w:tc>
      </w:tr>
      <w:tr w:rsidR="00696DB9" w:rsidRPr="00243A9B" w14:paraId="7F250EF6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697" w14:textId="77777777" w:rsidR="00696DB9" w:rsidRPr="00243A9B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>1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2210" w14:textId="11211A9D" w:rsidR="00696DB9" w:rsidRPr="00243A9B" w:rsidRDefault="00696DB9" w:rsidP="003057F5">
            <w:pPr>
              <w:pStyle w:val="Style"/>
              <w:spacing w:before="120"/>
              <w:ind w:left="0" w:right="0" w:firstLine="0"/>
              <w:rPr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Наименование на процедурата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62B" w14:textId="6804AB3F" w:rsidR="00696DB9" w:rsidRPr="00243A9B" w:rsidRDefault="00556426" w:rsidP="00556426">
            <w:pPr>
              <w:jc w:val="center"/>
              <w:rPr>
                <w:b/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  <w:lang w:eastAsia="bg-BG"/>
              </w:rPr>
              <w:t xml:space="preserve">Подкрепа за развитие на капацитета на </w:t>
            </w:r>
            <w:r w:rsidRPr="00243A9B">
              <w:rPr>
                <w:sz w:val="22"/>
                <w:szCs w:val="22"/>
                <w:lang w:eastAsia="bg-BG"/>
              </w:rPr>
              <w:t xml:space="preserve">общините </w:t>
            </w:r>
            <w:r w:rsidR="008D580D" w:rsidRPr="00243A9B">
              <w:rPr>
                <w:sz w:val="22"/>
                <w:szCs w:val="22"/>
                <w:lang w:eastAsia="bg-BG"/>
              </w:rPr>
              <w:t xml:space="preserve">при </w:t>
            </w:r>
            <w:r w:rsidR="00102421" w:rsidRPr="00243A9B">
              <w:rPr>
                <w:sz w:val="22"/>
                <w:szCs w:val="22"/>
                <w:lang w:eastAsia="bg-BG"/>
              </w:rPr>
              <w:t xml:space="preserve">разработването и изпълнението на проекти, </w:t>
            </w:r>
            <w:r w:rsidR="001F155F" w:rsidRPr="00243A9B">
              <w:rPr>
                <w:sz w:val="22"/>
                <w:szCs w:val="22"/>
                <w:lang w:eastAsia="bg-BG"/>
              </w:rPr>
              <w:t>съ</w:t>
            </w:r>
            <w:r w:rsidR="00102421" w:rsidRPr="00243A9B">
              <w:rPr>
                <w:sz w:val="22"/>
                <w:szCs w:val="22"/>
                <w:lang w:eastAsia="bg-BG"/>
              </w:rPr>
              <w:t>финансирани от ЕСИФ</w:t>
            </w:r>
          </w:p>
        </w:tc>
      </w:tr>
      <w:tr w:rsidR="00696DB9" w:rsidRPr="00243A9B" w14:paraId="2AD2EF3C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092" w14:textId="77777777" w:rsidR="00696DB9" w:rsidRPr="00243A9B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FEF6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Приоритетна/и ос/и № и наименование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8C0" w14:textId="6926EC64" w:rsidR="00696DB9" w:rsidRPr="00243A9B" w:rsidRDefault="00102421" w:rsidP="00102421">
            <w:pPr>
              <w:jc w:val="center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>Приоритетна ос №</w:t>
            </w:r>
            <w:r w:rsidR="004E420F" w:rsidRPr="00243A9B">
              <w:rPr>
                <w:bCs/>
                <w:sz w:val="22"/>
                <w:szCs w:val="22"/>
              </w:rPr>
              <w:t xml:space="preserve"> </w:t>
            </w:r>
            <w:r w:rsidRPr="00243A9B">
              <w:rPr>
                <w:bCs/>
                <w:sz w:val="22"/>
                <w:szCs w:val="22"/>
              </w:rPr>
              <w:t>4</w:t>
            </w:r>
            <w:r w:rsidR="00696DB9" w:rsidRPr="00243A9B">
              <w:rPr>
                <w:bCs/>
                <w:sz w:val="22"/>
                <w:szCs w:val="22"/>
              </w:rPr>
              <w:t xml:space="preserve"> „</w:t>
            </w:r>
            <w:r w:rsidRPr="00243A9B">
              <w:rPr>
                <w:sz w:val="22"/>
                <w:szCs w:val="22"/>
              </w:rPr>
              <w:t xml:space="preserve">Техническа помощ за управлението </w:t>
            </w:r>
            <w:bookmarkStart w:id="0" w:name="_GoBack"/>
            <w:bookmarkEnd w:id="0"/>
            <w:r w:rsidRPr="00243A9B">
              <w:rPr>
                <w:sz w:val="22"/>
                <w:szCs w:val="22"/>
              </w:rPr>
              <w:t>на ЕСИФ</w:t>
            </w:r>
            <w:r w:rsidR="00696DB9" w:rsidRPr="00243A9B">
              <w:rPr>
                <w:bCs/>
                <w:sz w:val="22"/>
                <w:szCs w:val="22"/>
              </w:rPr>
              <w:t>“</w:t>
            </w:r>
          </w:p>
        </w:tc>
      </w:tr>
      <w:tr w:rsidR="00696DB9" w:rsidRPr="00243A9B" w14:paraId="7C29D17B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9055" w14:textId="77777777" w:rsidR="00696DB9" w:rsidRPr="00243A9B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>3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0E47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Инвестиционен приоритет № и наименование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E4F" w14:textId="77777777" w:rsidR="00696DB9" w:rsidRPr="00243A9B" w:rsidRDefault="00043E27" w:rsidP="0006573E">
            <w:pPr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>неприложимо</w:t>
            </w:r>
          </w:p>
        </w:tc>
      </w:tr>
      <w:tr w:rsidR="00696DB9" w:rsidRPr="00243A9B" w14:paraId="4A930425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5225" w14:textId="77777777" w:rsidR="00696DB9" w:rsidRPr="00243A9B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>4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3606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Специфична/и цел/и № и наименование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6343" w14:textId="7798212D" w:rsidR="00043E27" w:rsidRPr="00243A9B" w:rsidRDefault="00696DB9" w:rsidP="00043E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 xml:space="preserve">Специфична цел № </w:t>
            </w:r>
            <w:r w:rsidR="00102421" w:rsidRPr="00243A9B">
              <w:rPr>
                <w:bCs/>
                <w:sz w:val="22"/>
                <w:szCs w:val="22"/>
              </w:rPr>
              <w:t>3</w:t>
            </w:r>
          </w:p>
          <w:p w14:paraId="0847EE70" w14:textId="6274C791" w:rsidR="00696DB9" w:rsidRPr="00243A9B" w:rsidRDefault="00696DB9" w:rsidP="00043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>„</w:t>
            </w:r>
            <w:r w:rsidR="00043E27" w:rsidRPr="00243A9B">
              <w:rPr>
                <w:rFonts w:eastAsiaTheme="minorEastAsia"/>
                <w:sz w:val="22"/>
                <w:szCs w:val="22"/>
                <w:lang w:eastAsia="zh-TW"/>
              </w:rPr>
              <w:t>Подобряване на информираността на обществото за възможностите и резултатите от ЕСИФ в България, както и подобряване капацитета на бенефициентите</w:t>
            </w:r>
            <w:r w:rsidRPr="00243A9B">
              <w:rPr>
                <w:bCs/>
                <w:sz w:val="22"/>
                <w:szCs w:val="22"/>
              </w:rPr>
              <w:t>“</w:t>
            </w:r>
          </w:p>
        </w:tc>
      </w:tr>
      <w:tr w:rsidR="00696DB9" w:rsidRPr="00243A9B" w14:paraId="454B9F2C" w14:textId="77777777" w:rsidTr="00EF6684">
        <w:trPr>
          <w:trHeight w:val="17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E7E5" w14:textId="77777777" w:rsidR="00696DB9" w:rsidRPr="00243A9B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F79C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Демаркация и допълняемост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460" w14:textId="2902A0FC" w:rsidR="007A27AF" w:rsidRPr="00243A9B" w:rsidRDefault="004E420F" w:rsidP="00893E51">
            <w:pPr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 xml:space="preserve">Процедурата </w:t>
            </w:r>
            <w:r w:rsidR="00893E51" w:rsidRPr="00243A9B">
              <w:rPr>
                <w:bCs/>
                <w:sz w:val="22"/>
                <w:szCs w:val="22"/>
              </w:rPr>
              <w:t xml:space="preserve">надгражда резултатите, постигнати от изпълнението на </w:t>
            </w:r>
            <w:r w:rsidR="001F155F" w:rsidRPr="00243A9B">
              <w:rPr>
                <w:bCs/>
                <w:sz w:val="22"/>
                <w:szCs w:val="22"/>
              </w:rPr>
              <w:t>съ</w:t>
            </w:r>
            <w:r w:rsidR="00893E51" w:rsidRPr="00243A9B">
              <w:rPr>
                <w:bCs/>
                <w:sz w:val="22"/>
                <w:szCs w:val="22"/>
              </w:rPr>
              <w:t>финансираните по О</w:t>
            </w:r>
            <w:r w:rsidR="00A8484F" w:rsidRPr="00243A9B">
              <w:rPr>
                <w:bCs/>
                <w:sz w:val="22"/>
                <w:szCs w:val="22"/>
              </w:rPr>
              <w:t xml:space="preserve">перативна </w:t>
            </w:r>
            <w:r w:rsidR="00893E51" w:rsidRPr="00243A9B">
              <w:rPr>
                <w:bCs/>
                <w:sz w:val="22"/>
                <w:szCs w:val="22"/>
              </w:rPr>
              <w:t>П</w:t>
            </w:r>
            <w:r w:rsidR="00A8484F" w:rsidRPr="00243A9B">
              <w:rPr>
                <w:bCs/>
                <w:sz w:val="22"/>
                <w:szCs w:val="22"/>
              </w:rPr>
              <w:t>рограма „</w:t>
            </w:r>
            <w:r w:rsidR="00893E51" w:rsidRPr="00243A9B">
              <w:rPr>
                <w:bCs/>
                <w:sz w:val="22"/>
                <w:szCs w:val="22"/>
              </w:rPr>
              <w:t>Т</w:t>
            </w:r>
            <w:r w:rsidR="00A8484F" w:rsidRPr="00243A9B">
              <w:rPr>
                <w:bCs/>
                <w:sz w:val="22"/>
                <w:szCs w:val="22"/>
              </w:rPr>
              <w:t xml:space="preserve">ехническа </w:t>
            </w:r>
            <w:r w:rsidR="00893E51" w:rsidRPr="00243A9B">
              <w:rPr>
                <w:bCs/>
                <w:sz w:val="22"/>
                <w:szCs w:val="22"/>
              </w:rPr>
              <w:t>П</w:t>
            </w:r>
            <w:r w:rsidR="00A8484F" w:rsidRPr="00243A9B">
              <w:rPr>
                <w:bCs/>
                <w:sz w:val="22"/>
                <w:szCs w:val="22"/>
              </w:rPr>
              <w:t>омощ“ (ОПТП)</w:t>
            </w:r>
            <w:r w:rsidR="006C4ADE" w:rsidRPr="00243A9B">
              <w:rPr>
                <w:bCs/>
                <w:sz w:val="22"/>
                <w:szCs w:val="22"/>
              </w:rPr>
              <w:t xml:space="preserve"> проекти Е-ПОДЕМ</w:t>
            </w:r>
            <w:r w:rsidR="000E145C" w:rsidRPr="00243A9B">
              <w:rPr>
                <w:bCs/>
                <w:sz w:val="22"/>
                <w:szCs w:val="22"/>
              </w:rPr>
              <w:t xml:space="preserve"> – европейски проекти, </w:t>
            </w:r>
            <w:r w:rsidR="00E537EE" w:rsidRPr="00243A9B">
              <w:rPr>
                <w:bCs/>
                <w:sz w:val="22"/>
                <w:szCs w:val="22"/>
              </w:rPr>
              <w:t>общински дейности и електронен мениджмънт“</w:t>
            </w:r>
            <w:r w:rsidR="006C4ADE" w:rsidRPr="00243A9B">
              <w:rPr>
                <w:bCs/>
                <w:sz w:val="22"/>
                <w:szCs w:val="22"/>
              </w:rPr>
              <w:t xml:space="preserve"> и </w:t>
            </w:r>
            <w:r w:rsidR="00E537EE" w:rsidRPr="00243A9B">
              <w:rPr>
                <w:bCs/>
                <w:sz w:val="22"/>
                <w:szCs w:val="22"/>
              </w:rPr>
              <w:t>„</w:t>
            </w:r>
            <w:r w:rsidR="006C4ADE" w:rsidRPr="00243A9B">
              <w:rPr>
                <w:bCs/>
                <w:sz w:val="22"/>
                <w:szCs w:val="22"/>
              </w:rPr>
              <w:t>Е-ПОДЕМ+</w:t>
            </w:r>
            <w:r w:rsidR="00E537EE" w:rsidRPr="00243A9B">
              <w:rPr>
                <w:bCs/>
                <w:sz w:val="22"/>
                <w:szCs w:val="22"/>
              </w:rPr>
              <w:t>“</w:t>
            </w:r>
            <w:r w:rsidR="006C4ADE" w:rsidRPr="00243A9B">
              <w:rPr>
                <w:bCs/>
                <w:sz w:val="22"/>
                <w:szCs w:val="22"/>
              </w:rPr>
              <w:t>.</w:t>
            </w:r>
          </w:p>
          <w:p w14:paraId="6E7CD02F" w14:textId="24629566" w:rsidR="00B35A0F" w:rsidRPr="00243A9B" w:rsidRDefault="00B35A0F" w:rsidP="005021C9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243A9B">
              <w:rPr>
                <w:bCs/>
                <w:sz w:val="22"/>
                <w:szCs w:val="22"/>
              </w:rPr>
              <w:t>Процедурата допълва проект №</w:t>
            </w:r>
            <w:r w:rsidR="004015D8" w:rsidRPr="00243A9B">
              <w:rPr>
                <w:bCs/>
                <w:sz w:val="22"/>
                <w:szCs w:val="22"/>
              </w:rPr>
              <w:t> </w:t>
            </w:r>
            <w:r w:rsidRPr="00243A9B">
              <w:rPr>
                <w:bCs/>
                <w:sz w:val="22"/>
                <w:szCs w:val="22"/>
              </w:rPr>
              <w:t xml:space="preserve">BG05SFOP001-2.004-0002 „Подобряване капацитета на общинските служители за предоставяне на качествени публични услуги“ </w:t>
            </w:r>
            <w:r w:rsidR="00EC2422" w:rsidRPr="00243A9B">
              <w:rPr>
                <w:bCs/>
                <w:sz w:val="22"/>
                <w:szCs w:val="22"/>
              </w:rPr>
              <w:t xml:space="preserve">на НСОРБ </w:t>
            </w:r>
            <w:r w:rsidRPr="00243A9B">
              <w:rPr>
                <w:bCs/>
                <w:sz w:val="22"/>
                <w:szCs w:val="22"/>
              </w:rPr>
              <w:t xml:space="preserve">по Процедура BG05SFOP001-2.004 по </w:t>
            </w:r>
            <w:r w:rsidR="00AB424D" w:rsidRPr="00243A9B">
              <w:rPr>
                <w:bCs/>
                <w:sz w:val="22"/>
                <w:szCs w:val="22"/>
              </w:rPr>
              <w:t>Оперативна програма „Добро управление“ (</w:t>
            </w:r>
            <w:r w:rsidRPr="00243A9B">
              <w:rPr>
                <w:bCs/>
                <w:sz w:val="22"/>
                <w:szCs w:val="22"/>
              </w:rPr>
              <w:t>ОПДУ</w:t>
            </w:r>
            <w:r w:rsidR="00AB424D" w:rsidRPr="00243A9B">
              <w:rPr>
                <w:bCs/>
                <w:sz w:val="22"/>
                <w:szCs w:val="22"/>
              </w:rPr>
              <w:t>)</w:t>
            </w:r>
            <w:r w:rsidRPr="00243A9B">
              <w:rPr>
                <w:bCs/>
                <w:sz w:val="22"/>
                <w:szCs w:val="22"/>
              </w:rPr>
              <w:t>.</w:t>
            </w:r>
          </w:p>
        </w:tc>
      </w:tr>
      <w:tr w:rsidR="00696DB9" w:rsidRPr="00243A9B" w14:paraId="2EDFBF8E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3DD2" w14:textId="77777777" w:rsidR="00696DB9" w:rsidRPr="00243A9B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44CE" w14:textId="63F0FA90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Срок за изпълнение на проект</w:t>
            </w:r>
            <w:r w:rsidR="00E5282F" w:rsidRPr="00243A9B">
              <w:rPr>
                <w:b/>
                <w:bCs/>
                <w:sz w:val="22"/>
                <w:szCs w:val="22"/>
                <w:lang w:eastAsia="fr-FR"/>
              </w:rPr>
              <w:t>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06D" w14:textId="540EC5E7" w:rsidR="00696DB9" w:rsidRPr="00243A9B" w:rsidRDefault="00696DB9" w:rsidP="00893E51">
            <w:pPr>
              <w:jc w:val="center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>201</w:t>
            </w:r>
            <w:r w:rsidR="00893E51" w:rsidRPr="00243A9B">
              <w:rPr>
                <w:bCs/>
                <w:sz w:val="22"/>
                <w:szCs w:val="22"/>
              </w:rPr>
              <w:t>7</w:t>
            </w:r>
            <w:r w:rsidRPr="00243A9B">
              <w:rPr>
                <w:bCs/>
                <w:sz w:val="22"/>
                <w:szCs w:val="22"/>
              </w:rPr>
              <w:t>-20</w:t>
            </w:r>
            <w:r w:rsidR="00893E51" w:rsidRPr="00243A9B">
              <w:rPr>
                <w:bCs/>
                <w:sz w:val="22"/>
                <w:szCs w:val="22"/>
              </w:rPr>
              <w:t>2</w:t>
            </w:r>
            <w:r w:rsidR="002D2208" w:rsidRPr="00243A9B">
              <w:rPr>
                <w:bCs/>
                <w:sz w:val="22"/>
                <w:szCs w:val="22"/>
              </w:rPr>
              <w:t>2</w:t>
            </w:r>
            <w:r w:rsidRPr="00243A9B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696DB9" w:rsidRPr="00243A9B" w14:paraId="19A861B2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8463" w14:textId="77777777" w:rsidR="00696DB9" w:rsidRPr="00243A9B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AB57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Териториален обхват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A79" w14:textId="77777777" w:rsidR="00696DB9" w:rsidRPr="00243A9B" w:rsidRDefault="00696DB9" w:rsidP="0006573E">
            <w:pPr>
              <w:jc w:val="center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 xml:space="preserve">Република България </w:t>
            </w:r>
          </w:p>
        </w:tc>
      </w:tr>
      <w:tr w:rsidR="00696DB9" w:rsidRPr="00243A9B" w14:paraId="68B4954D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A60E" w14:textId="77777777" w:rsidR="00696DB9" w:rsidRPr="00243A9B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505D" w14:textId="399ADCBD" w:rsidR="00696DB9" w:rsidRPr="00243A9B" w:rsidRDefault="004E1592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Вид на процедурата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B33" w14:textId="48E08F9A" w:rsidR="00696DB9" w:rsidRPr="00243A9B" w:rsidRDefault="00696DB9" w:rsidP="0006573E">
            <w:pPr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 xml:space="preserve">Процедура чрез директно предоставяне съгласно чл. 25, ал. 1, т. 2 от Закона за управление на средствата от </w:t>
            </w:r>
            <w:r w:rsidR="007A27AF" w:rsidRPr="00243A9B">
              <w:rPr>
                <w:bCs/>
                <w:sz w:val="22"/>
                <w:szCs w:val="22"/>
              </w:rPr>
              <w:t>Европейските</w:t>
            </w:r>
            <w:r w:rsidRPr="00243A9B">
              <w:rPr>
                <w:bCs/>
                <w:sz w:val="22"/>
                <w:szCs w:val="22"/>
              </w:rPr>
              <w:t xml:space="preserve"> структурни и инвестиционни фондове</w:t>
            </w:r>
          </w:p>
        </w:tc>
      </w:tr>
      <w:tr w:rsidR="00696DB9" w:rsidRPr="00243A9B" w14:paraId="2B4891DC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9BE3" w14:textId="77777777" w:rsidR="00696DB9" w:rsidRPr="00243A9B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4967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Бюджет до (в лева)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AA9" w14:textId="7E88C5D9" w:rsidR="00696DB9" w:rsidRPr="00243A9B" w:rsidRDefault="00B7139E" w:rsidP="00E5282F">
            <w:pPr>
              <w:jc w:val="center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 xml:space="preserve">6 </w:t>
            </w:r>
            <w:r w:rsidR="00E5282F" w:rsidRPr="00243A9B">
              <w:rPr>
                <w:bCs/>
                <w:sz w:val="22"/>
                <w:szCs w:val="22"/>
              </w:rPr>
              <w:t xml:space="preserve">000 </w:t>
            </w:r>
            <w:r w:rsidR="00696DB9" w:rsidRPr="00243A9B">
              <w:rPr>
                <w:bCs/>
                <w:sz w:val="22"/>
                <w:szCs w:val="22"/>
              </w:rPr>
              <w:t>000</w:t>
            </w:r>
          </w:p>
        </w:tc>
      </w:tr>
      <w:tr w:rsidR="00696DB9" w:rsidRPr="00243A9B" w14:paraId="357BD0C8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5DF2" w14:textId="77777777" w:rsidR="00696DB9" w:rsidRPr="00243A9B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C929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Друго (добавя се при необходимост)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499" w14:textId="1642F347" w:rsidR="00696DB9" w:rsidRPr="00243A9B" w:rsidRDefault="00696DB9" w:rsidP="00536ADE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243A9B">
              <w:rPr>
                <w:bCs/>
                <w:sz w:val="22"/>
                <w:szCs w:val="22"/>
              </w:rPr>
              <w:t xml:space="preserve">По тази процедура не могат да бъдат финансирани проекти, които са били физически завършени или изцяло </w:t>
            </w:r>
            <w:r w:rsidR="001E680E" w:rsidRPr="00243A9B">
              <w:rPr>
                <w:bCs/>
                <w:sz w:val="22"/>
                <w:szCs w:val="22"/>
              </w:rPr>
              <w:t>осъществени</w:t>
            </w:r>
            <w:r w:rsidRPr="00243A9B">
              <w:rPr>
                <w:bCs/>
                <w:sz w:val="22"/>
                <w:szCs w:val="22"/>
              </w:rPr>
              <w:t xml:space="preserve"> преди </w:t>
            </w:r>
            <w:r w:rsidR="001E680E" w:rsidRPr="00243A9B">
              <w:rPr>
                <w:bCs/>
                <w:sz w:val="22"/>
                <w:szCs w:val="22"/>
              </w:rPr>
              <w:t>кандидатът</w:t>
            </w:r>
            <w:r w:rsidRPr="00243A9B">
              <w:rPr>
                <w:bCs/>
                <w:sz w:val="22"/>
                <w:szCs w:val="22"/>
              </w:rPr>
              <w:t xml:space="preserve"> да подаде формуляра за кандидатстване.</w:t>
            </w:r>
          </w:p>
        </w:tc>
      </w:tr>
      <w:tr w:rsidR="00696DB9" w:rsidRPr="00243A9B" w14:paraId="357C3027" w14:textId="77777777" w:rsidTr="001F155F">
        <w:trPr>
          <w:trHeight w:val="478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65F91"/>
            <w:vAlign w:val="center"/>
          </w:tcPr>
          <w:p w14:paraId="6A0546B2" w14:textId="77777777" w:rsidR="00696DB9" w:rsidRPr="00243A9B" w:rsidRDefault="00696DB9" w:rsidP="000657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43A9B">
              <w:rPr>
                <w:b/>
                <w:bCs/>
                <w:color w:val="FFFFFF"/>
                <w:sz w:val="22"/>
                <w:szCs w:val="22"/>
              </w:rPr>
              <w:t>ІІ</w:t>
            </w:r>
          </w:p>
        </w:tc>
        <w:tc>
          <w:tcPr>
            <w:tcW w:w="9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14:paraId="677603C9" w14:textId="2FDFBB0B" w:rsidR="00696DB9" w:rsidRPr="00243A9B" w:rsidRDefault="00696DB9" w:rsidP="00D604C6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243A9B">
              <w:rPr>
                <w:b/>
                <w:bCs/>
                <w:color w:val="FFFFFF"/>
                <w:sz w:val="22"/>
                <w:szCs w:val="22"/>
              </w:rPr>
              <w:t xml:space="preserve">СПЕЦИФИЧНИ КРИТЕРИИ ЗА </w:t>
            </w:r>
            <w:r w:rsidR="00D604C6" w:rsidRPr="00243A9B">
              <w:rPr>
                <w:b/>
                <w:bCs/>
                <w:color w:val="FFFFFF"/>
                <w:sz w:val="22"/>
                <w:szCs w:val="22"/>
              </w:rPr>
              <w:t>ПОДБОР</w:t>
            </w:r>
          </w:p>
        </w:tc>
      </w:tr>
      <w:tr w:rsidR="00696DB9" w:rsidRPr="00243A9B" w14:paraId="63A0D3DE" w14:textId="77777777" w:rsidTr="001B1F68">
        <w:trPr>
          <w:trHeight w:val="310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24DA" w14:textId="7777777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B37C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Цели на процедурата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F2C" w14:textId="70F500E2" w:rsidR="00A139B5" w:rsidRPr="00243A9B" w:rsidRDefault="00A139B5" w:rsidP="00A139B5">
            <w:pPr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 xml:space="preserve">Повишаване качеството и успешната реализация на общински проекти, </w:t>
            </w:r>
            <w:r w:rsidR="001E55FC" w:rsidRPr="00243A9B">
              <w:rPr>
                <w:bCs/>
                <w:sz w:val="22"/>
                <w:szCs w:val="22"/>
              </w:rPr>
              <w:t>съ</w:t>
            </w:r>
            <w:r w:rsidRPr="00243A9B">
              <w:rPr>
                <w:bCs/>
                <w:sz w:val="22"/>
                <w:szCs w:val="22"/>
              </w:rPr>
              <w:t>финансирани от ЕСИФ, вкл. чрез:</w:t>
            </w:r>
          </w:p>
          <w:p w14:paraId="16B97CF7" w14:textId="77777777" w:rsidR="001E55FC" w:rsidRPr="00243A9B" w:rsidRDefault="001E55FC" w:rsidP="00A139B5">
            <w:pPr>
              <w:jc w:val="both"/>
              <w:rPr>
                <w:bCs/>
                <w:sz w:val="22"/>
                <w:szCs w:val="22"/>
              </w:rPr>
            </w:pPr>
          </w:p>
          <w:p w14:paraId="548D9705" w14:textId="450498DD" w:rsidR="00A139B5" w:rsidRPr="00243A9B" w:rsidRDefault="006C4ADE" w:rsidP="006C4ADE">
            <w:pPr>
              <w:numPr>
                <w:ilvl w:val="0"/>
                <w:numId w:val="31"/>
              </w:numPr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 xml:space="preserve">Развитие </w:t>
            </w:r>
            <w:r w:rsidR="00077AAE" w:rsidRPr="00243A9B">
              <w:rPr>
                <w:bCs/>
                <w:sz w:val="22"/>
                <w:szCs w:val="22"/>
              </w:rPr>
              <w:t xml:space="preserve">на </w:t>
            </w:r>
            <w:r w:rsidRPr="00243A9B">
              <w:rPr>
                <w:bCs/>
                <w:sz w:val="22"/>
                <w:szCs w:val="22"/>
              </w:rPr>
              <w:t xml:space="preserve">капацитета </w:t>
            </w:r>
            <w:r w:rsidR="00F13C73" w:rsidRPr="00243A9B">
              <w:rPr>
                <w:bCs/>
                <w:sz w:val="22"/>
                <w:szCs w:val="22"/>
              </w:rPr>
              <w:t xml:space="preserve">на </w:t>
            </w:r>
            <w:r w:rsidRPr="00243A9B">
              <w:rPr>
                <w:bCs/>
                <w:sz w:val="22"/>
                <w:szCs w:val="22"/>
              </w:rPr>
              <w:t xml:space="preserve">общинските администрации при подготовката и изпълнението на проекти, </w:t>
            </w:r>
            <w:r w:rsidR="001F155F" w:rsidRPr="00243A9B">
              <w:rPr>
                <w:bCs/>
                <w:sz w:val="22"/>
                <w:szCs w:val="22"/>
              </w:rPr>
              <w:t>съ</w:t>
            </w:r>
            <w:r w:rsidRPr="00243A9B">
              <w:rPr>
                <w:bCs/>
                <w:sz w:val="22"/>
                <w:szCs w:val="22"/>
              </w:rPr>
              <w:t>финансирани от ЕСИФ</w:t>
            </w:r>
            <w:r w:rsidR="00A139B5" w:rsidRPr="00243A9B">
              <w:rPr>
                <w:bCs/>
                <w:sz w:val="22"/>
                <w:szCs w:val="22"/>
              </w:rPr>
              <w:t>;</w:t>
            </w:r>
          </w:p>
          <w:p w14:paraId="3528D871" w14:textId="65506452" w:rsidR="00A139B5" w:rsidRPr="00243A9B" w:rsidRDefault="00A139B5" w:rsidP="00A139B5">
            <w:pPr>
              <w:numPr>
                <w:ilvl w:val="0"/>
                <w:numId w:val="31"/>
              </w:numPr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 xml:space="preserve">Осигуряване на </w:t>
            </w:r>
            <w:r w:rsidR="00077AAE" w:rsidRPr="00243A9B">
              <w:rPr>
                <w:bCs/>
                <w:sz w:val="22"/>
                <w:szCs w:val="22"/>
              </w:rPr>
              <w:t xml:space="preserve">среда за комуникация и обмен на добри практики в изпълнението на </w:t>
            </w:r>
            <w:r w:rsidR="001B1F68" w:rsidRPr="00243A9B">
              <w:rPr>
                <w:bCs/>
                <w:sz w:val="22"/>
                <w:szCs w:val="22"/>
              </w:rPr>
              <w:t xml:space="preserve">проекти, </w:t>
            </w:r>
            <w:r w:rsidR="001F155F" w:rsidRPr="00243A9B">
              <w:rPr>
                <w:bCs/>
                <w:sz w:val="22"/>
                <w:szCs w:val="22"/>
              </w:rPr>
              <w:t>съ</w:t>
            </w:r>
            <w:r w:rsidR="001B1F68" w:rsidRPr="00243A9B">
              <w:rPr>
                <w:bCs/>
                <w:sz w:val="22"/>
                <w:szCs w:val="22"/>
              </w:rPr>
              <w:t>финансирани от ЕСИФ</w:t>
            </w:r>
            <w:r w:rsidRPr="00243A9B">
              <w:rPr>
                <w:bCs/>
                <w:sz w:val="22"/>
                <w:szCs w:val="22"/>
              </w:rPr>
              <w:t xml:space="preserve">; </w:t>
            </w:r>
          </w:p>
          <w:p w14:paraId="6A5540B8" w14:textId="300A47D6" w:rsidR="006C4ADE" w:rsidRPr="00243A9B" w:rsidRDefault="00A139B5" w:rsidP="00F13C73">
            <w:pPr>
              <w:numPr>
                <w:ilvl w:val="0"/>
                <w:numId w:val="31"/>
              </w:numPr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>Подобряване качеството на документациите по обществени поръчки в изпълнение на проекти</w:t>
            </w:r>
            <w:r w:rsidR="00F13C73" w:rsidRPr="00243A9B">
              <w:rPr>
                <w:bCs/>
                <w:sz w:val="22"/>
                <w:szCs w:val="22"/>
              </w:rPr>
              <w:t xml:space="preserve">, </w:t>
            </w:r>
            <w:r w:rsidR="001F155F" w:rsidRPr="00243A9B">
              <w:rPr>
                <w:bCs/>
                <w:sz w:val="22"/>
                <w:szCs w:val="22"/>
              </w:rPr>
              <w:t>съ</w:t>
            </w:r>
            <w:r w:rsidR="00F13C73" w:rsidRPr="00243A9B">
              <w:rPr>
                <w:bCs/>
                <w:sz w:val="22"/>
                <w:szCs w:val="22"/>
              </w:rPr>
              <w:t>финансирани от ЕСИФ</w:t>
            </w:r>
            <w:r w:rsidR="0086679C" w:rsidRPr="00243A9B">
              <w:rPr>
                <w:bCs/>
                <w:sz w:val="22"/>
                <w:szCs w:val="22"/>
              </w:rPr>
              <w:t>.</w:t>
            </w:r>
          </w:p>
        </w:tc>
      </w:tr>
      <w:tr w:rsidR="00696DB9" w:rsidRPr="00243A9B" w14:paraId="7BF3B08D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E39C" w14:textId="56E7780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AA18" w14:textId="0B41379D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Допустим кандидат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D11" w14:textId="77777777" w:rsidR="00696DB9" w:rsidRPr="00243A9B" w:rsidRDefault="00920D4C" w:rsidP="00E5282F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>Национално сдружение на общините в Република България</w:t>
            </w:r>
          </w:p>
        </w:tc>
      </w:tr>
      <w:tr w:rsidR="00696DB9" w:rsidRPr="00243A9B" w14:paraId="15B1E8A4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0716" w14:textId="7777777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A632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Допустими</w:t>
            </w:r>
            <w:r w:rsidRPr="00243A9B">
              <w:rPr>
                <w:sz w:val="22"/>
                <w:szCs w:val="22"/>
              </w:rPr>
              <w:t xml:space="preserve"> </w:t>
            </w:r>
            <w:r w:rsidRPr="00243A9B">
              <w:rPr>
                <w:b/>
                <w:bCs/>
                <w:sz w:val="22"/>
                <w:szCs w:val="22"/>
                <w:lang w:eastAsia="fr-FR"/>
              </w:rPr>
              <w:t>партньори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F6A" w14:textId="77777777" w:rsidR="00696DB9" w:rsidRPr="00243A9B" w:rsidRDefault="00E5282F" w:rsidP="0043395F">
            <w:pPr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>Неприложимо</w:t>
            </w:r>
          </w:p>
        </w:tc>
      </w:tr>
      <w:tr w:rsidR="00696DB9" w:rsidRPr="00243A9B" w14:paraId="0CF0C71E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9AF7" w14:textId="7777777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E931" w14:textId="5FA2F282" w:rsidR="00696DB9" w:rsidRPr="00243A9B" w:rsidRDefault="00696DB9" w:rsidP="00E5282F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Изисквания към кандидат</w:t>
            </w:r>
            <w:r w:rsidR="00E5282F" w:rsidRPr="00243A9B">
              <w:rPr>
                <w:b/>
                <w:bCs/>
                <w:sz w:val="22"/>
                <w:szCs w:val="22"/>
                <w:lang w:eastAsia="fr-FR"/>
              </w:rPr>
              <w:t>а</w:t>
            </w:r>
            <w:r w:rsidRPr="00243A9B">
              <w:rPr>
                <w:b/>
                <w:bCs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F97C" w14:textId="02B10BE8" w:rsidR="00696DB9" w:rsidRPr="00243A9B" w:rsidRDefault="00696DB9" w:rsidP="00077AAE">
            <w:pPr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>Наличие на капацитет за изпълнение на операция</w:t>
            </w:r>
            <w:r w:rsidR="00E5282F" w:rsidRPr="00243A9B">
              <w:rPr>
                <w:bCs/>
                <w:sz w:val="22"/>
                <w:szCs w:val="22"/>
              </w:rPr>
              <w:t>та</w:t>
            </w:r>
            <w:r w:rsidRPr="00243A9B">
              <w:rPr>
                <w:bCs/>
                <w:sz w:val="22"/>
                <w:szCs w:val="22"/>
              </w:rPr>
              <w:t>, в съответствие с чл. 125, параграф 3, буква „г“ на Регламент (ЕС) № 1303/2013</w:t>
            </w:r>
            <w:r w:rsidRPr="00243A9B">
              <w:rPr>
                <w:rStyle w:val="FootnoteReference"/>
                <w:bCs/>
                <w:sz w:val="22"/>
                <w:szCs w:val="22"/>
              </w:rPr>
              <w:footnoteReference w:id="2"/>
            </w:r>
            <w:r w:rsidRPr="00243A9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96DB9" w:rsidRPr="00243A9B" w14:paraId="7D5AAC08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7ECD" w14:textId="7777777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3B16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Целеви групи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8AF" w14:textId="048F040D" w:rsidR="005C4A32" w:rsidRPr="00243A9B" w:rsidRDefault="005C4A32" w:rsidP="00C70348">
            <w:pPr>
              <w:numPr>
                <w:ilvl w:val="0"/>
                <w:numId w:val="8"/>
              </w:numPr>
              <w:ind w:left="410"/>
              <w:jc w:val="both"/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>общинските ръководства (кметове, зам</w:t>
            </w:r>
            <w:r w:rsidR="00C03E34" w:rsidRPr="00243A9B">
              <w:rPr>
                <w:sz w:val="22"/>
                <w:szCs w:val="22"/>
              </w:rPr>
              <w:t>естник</w:t>
            </w:r>
            <w:r w:rsidRPr="00243A9B">
              <w:rPr>
                <w:sz w:val="22"/>
                <w:szCs w:val="22"/>
              </w:rPr>
              <w:t>-кметове и общински съветници);</w:t>
            </w:r>
          </w:p>
          <w:p w14:paraId="4ADC4127" w14:textId="14AF4E94" w:rsidR="00210BEE" w:rsidRPr="00243A9B" w:rsidRDefault="001B1F68" w:rsidP="00C70348">
            <w:pPr>
              <w:numPr>
                <w:ilvl w:val="0"/>
                <w:numId w:val="8"/>
              </w:numPr>
              <w:ind w:left="410"/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>служители в общинск</w:t>
            </w:r>
            <w:r w:rsidR="00C03E34" w:rsidRPr="00243A9B">
              <w:rPr>
                <w:sz w:val="22"/>
                <w:szCs w:val="22"/>
              </w:rPr>
              <w:t>ите</w:t>
            </w:r>
            <w:r w:rsidRPr="00243A9B">
              <w:rPr>
                <w:sz w:val="22"/>
                <w:szCs w:val="22"/>
              </w:rPr>
              <w:t xml:space="preserve"> администраци</w:t>
            </w:r>
            <w:r w:rsidR="00C03E34" w:rsidRPr="00243A9B">
              <w:rPr>
                <w:sz w:val="22"/>
                <w:szCs w:val="22"/>
              </w:rPr>
              <w:t>и</w:t>
            </w:r>
            <w:r w:rsidRPr="00243A9B">
              <w:rPr>
                <w:sz w:val="22"/>
                <w:szCs w:val="22"/>
              </w:rPr>
              <w:t xml:space="preserve">, които имат отговорности по управление и/или изпълнение на проекти, </w:t>
            </w:r>
            <w:r w:rsidR="00EF3DAE" w:rsidRPr="00243A9B">
              <w:rPr>
                <w:sz w:val="22"/>
                <w:szCs w:val="22"/>
              </w:rPr>
              <w:t>съ</w:t>
            </w:r>
            <w:r w:rsidRPr="00243A9B">
              <w:rPr>
                <w:sz w:val="22"/>
                <w:szCs w:val="22"/>
              </w:rPr>
              <w:t>финансирани от ЕСИФ</w:t>
            </w:r>
            <w:r w:rsidR="004015D8" w:rsidRPr="00243A9B">
              <w:rPr>
                <w:sz w:val="22"/>
                <w:szCs w:val="22"/>
              </w:rPr>
              <w:t>.</w:t>
            </w:r>
          </w:p>
          <w:p w14:paraId="7D63EBD1" w14:textId="678919F4" w:rsidR="0086679C" w:rsidRPr="00243A9B" w:rsidRDefault="0086679C" w:rsidP="00210BEE">
            <w:pPr>
              <w:ind w:left="410"/>
              <w:jc w:val="both"/>
              <w:rPr>
                <w:bCs/>
                <w:sz w:val="22"/>
                <w:szCs w:val="22"/>
              </w:rPr>
            </w:pPr>
          </w:p>
        </w:tc>
      </w:tr>
      <w:tr w:rsidR="00696DB9" w:rsidRPr="00243A9B" w14:paraId="2A786501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9988" w14:textId="7777777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BC2A" w14:textId="7A08196A" w:rsidR="00696DB9" w:rsidRPr="00243A9B" w:rsidRDefault="001B73FC" w:rsidP="001B73FC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Примерни д</w:t>
            </w:r>
            <w:r w:rsidR="00696DB9" w:rsidRPr="00243A9B">
              <w:rPr>
                <w:b/>
                <w:bCs/>
                <w:sz w:val="22"/>
                <w:szCs w:val="22"/>
                <w:lang w:eastAsia="fr-FR"/>
              </w:rPr>
              <w:t>опустими дейности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538" w14:textId="71982263" w:rsidR="00102421" w:rsidRPr="00243A9B" w:rsidRDefault="00102421" w:rsidP="00C70348">
            <w:pPr>
              <w:pStyle w:val="ListParagraph"/>
              <w:numPr>
                <w:ilvl w:val="0"/>
                <w:numId w:val="23"/>
              </w:numPr>
              <w:ind w:left="41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 xml:space="preserve">Дейности </w:t>
            </w:r>
            <w:r w:rsidR="001B73FC" w:rsidRPr="00243A9B">
              <w:rPr>
                <w:rFonts w:ascii="Times New Roman" w:hAnsi="Times New Roman"/>
                <w:bCs/>
              </w:rPr>
              <w:t>за</w:t>
            </w:r>
            <w:r w:rsidR="001B73FC" w:rsidRPr="00243A9B">
              <w:rPr>
                <w:rFonts w:ascii="Times New Roman" w:hAnsi="Times New Roman"/>
              </w:rPr>
              <w:t xml:space="preserve"> </w:t>
            </w:r>
            <w:r w:rsidR="001B1F68" w:rsidRPr="00243A9B">
              <w:rPr>
                <w:rFonts w:ascii="Times New Roman" w:hAnsi="Times New Roman"/>
              </w:rPr>
              <w:t xml:space="preserve">повишаване </w:t>
            </w:r>
            <w:r w:rsidR="00C14E27" w:rsidRPr="00243A9B">
              <w:rPr>
                <w:rFonts w:ascii="Times New Roman" w:hAnsi="Times New Roman"/>
              </w:rPr>
              <w:t xml:space="preserve">капацитета </w:t>
            </w:r>
            <w:r w:rsidRPr="00243A9B">
              <w:rPr>
                <w:rFonts w:ascii="Times New Roman" w:hAnsi="Times New Roman"/>
              </w:rPr>
              <w:t xml:space="preserve">на </w:t>
            </w:r>
            <w:r w:rsidR="00E35200" w:rsidRPr="00243A9B">
              <w:rPr>
                <w:rFonts w:ascii="Times New Roman" w:hAnsi="Times New Roman"/>
                <w:bCs/>
              </w:rPr>
              <w:t>общините за усвояване на средства от ЕСИФ и предотвратяване допускането на грешки и нарушаване на приложимото законодателство, в това число</w:t>
            </w:r>
            <w:r w:rsidR="00E35200" w:rsidRPr="00243A9B">
              <w:rPr>
                <w:rFonts w:ascii="Times New Roman" w:hAnsi="Times New Roman"/>
              </w:rPr>
              <w:t>:</w:t>
            </w:r>
          </w:p>
          <w:p w14:paraId="54AC789C" w14:textId="31F5C8C4" w:rsidR="00E35200" w:rsidRPr="00243A9B" w:rsidRDefault="00871500" w:rsidP="00536ADE">
            <w:pPr>
              <w:pStyle w:val="ListParagraph"/>
              <w:numPr>
                <w:ilvl w:val="0"/>
                <w:numId w:val="35"/>
              </w:numPr>
              <w:ind w:firstLine="410"/>
              <w:jc w:val="both"/>
              <w:rPr>
                <w:rFonts w:ascii="Times New Roman" w:hAnsi="Times New Roman"/>
                <w:bCs/>
              </w:rPr>
            </w:pPr>
            <w:r w:rsidRPr="00243A9B">
              <w:rPr>
                <w:rFonts w:ascii="Times New Roman" w:hAnsi="Times New Roman"/>
                <w:bCs/>
              </w:rPr>
              <w:t xml:space="preserve">Дейности за повишаване капацитета на общините за законосъобразно провеждане на обществени поръчки по проекти, </w:t>
            </w:r>
            <w:r w:rsidR="00EF3DAE" w:rsidRPr="00243A9B">
              <w:rPr>
                <w:rFonts w:ascii="Times New Roman" w:hAnsi="Times New Roman"/>
                <w:bCs/>
              </w:rPr>
              <w:t>съ</w:t>
            </w:r>
            <w:r w:rsidRPr="00243A9B">
              <w:rPr>
                <w:rFonts w:ascii="Times New Roman" w:hAnsi="Times New Roman"/>
                <w:bCs/>
              </w:rPr>
              <w:t>финансирани от ЕСИФ;</w:t>
            </w:r>
          </w:p>
          <w:p w14:paraId="278F261E" w14:textId="041B5015" w:rsidR="001B73FC" w:rsidRPr="00243A9B" w:rsidRDefault="00E35200" w:rsidP="00536ADE">
            <w:pPr>
              <w:pStyle w:val="ListParagraph"/>
              <w:numPr>
                <w:ilvl w:val="0"/>
                <w:numId w:val="35"/>
              </w:numPr>
              <w:ind w:firstLine="410"/>
              <w:jc w:val="both"/>
            </w:pPr>
            <w:r w:rsidRPr="00243A9B">
              <w:rPr>
                <w:rFonts w:ascii="Times New Roman" w:hAnsi="Times New Roman"/>
                <w:bCs/>
              </w:rPr>
              <w:t xml:space="preserve">Дейности за обмен на добри практики и насърчаване на </w:t>
            </w:r>
            <w:proofErr w:type="spellStart"/>
            <w:r w:rsidRPr="00243A9B">
              <w:rPr>
                <w:rFonts w:ascii="Times New Roman" w:hAnsi="Times New Roman"/>
                <w:bCs/>
              </w:rPr>
              <w:t>междуобщинското</w:t>
            </w:r>
            <w:proofErr w:type="spellEnd"/>
            <w:r w:rsidRPr="00243A9B">
              <w:rPr>
                <w:rFonts w:ascii="Times New Roman" w:hAnsi="Times New Roman"/>
                <w:bCs/>
              </w:rPr>
              <w:t xml:space="preserve"> сътрудничество във връзка с реализация на проекти</w:t>
            </w:r>
            <w:r w:rsidR="00CF6BA3" w:rsidRPr="00243A9B">
              <w:rPr>
                <w:rFonts w:ascii="Times New Roman" w:hAnsi="Times New Roman"/>
                <w:bCs/>
              </w:rPr>
              <w:t>,</w:t>
            </w:r>
            <w:r w:rsidRPr="00243A9B">
              <w:rPr>
                <w:rFonts w:ascii="Times New Roman" w:hAnsi="Times New Roman"/>
                <w:bCs/>
              </w:rPr>
              <w:t xml:space="preserve"> </w:t>
            </w:r>
            <w:r w:rsidR="00EF3DAE" w:rsidRPr="00243A9B">
              <w:rPr>
                <w:rFonts w:ascii="Times New Roman" w:hAnsi="Times New Roman"/>
                <w:bCs/>
              </w:rPr>
              <w:t>съ</w:t>
            </w:r>
            <w:r w:rsidRPr="00243A9B">
              <w:rPr>
                <w:rFonts w:ascii="Times New Roman" w:hAnsi="Times New Roman"/>
                <w:bCs/>
              </w:rPr>
              <w:t>финансирани от ЕСИФ</w:t>
            </w:r>
            <w:r w:rsidR="00CF6BA3" w:rsidRPr="00243A9B">
              <w:rPr>
                <w:rFonts w:ascii="Times New Roman" w:hAnsi="Times New Roman"/>
                <w:bCs/>
              </w:rPr>
              <w:t>.</w:t>
            </w:r>
          </w:p>
          <w:p w14:paraId="47BE53DE" w14:textId="689A9EAB" w:rsidR="004015D8" w:rsidRPr="00243A9B" w:rsidRDefault="004015D8" w:rsidP="00536ADE">
            <w:pPr>
              <w:pStyle w:val="ListParagraph"/>
              <w:numPr>
                <w:ilvl w:val="0"/>
                <w:numId w:val="23"/>
              </w:numPr>
              <w:ind w:left="410"/>
              <w:jc w:val="both"/>
              <w:rPr>
                <w:rFonts w:ascii="Times New Roman" w:hAnsi="Times New Roman"/>
                <w:bCs/>
              </w:rPr>
            </w:pPr>
            <w:r w:rsidRPr="00243A9B">
              <w:rPr>
                <w:rFonts w:ascii="Times New Roman" w:hAnsi="Times New Roman"/>
                <w:bCs/>
              </w:rPr>
              <w:t>Надграждане на ИСУП, вкл. осигуряване на съвместимостта й и обвързването й с ИСУН и обучение на служители в общинските администрации за работа с ИСУП;</w:t>
            </w:r>
          </w:p>
          <w:p w14:paraId="6BECD449" w14:textId="4EA269B6" w:rsidR="00A139B5" w:rsidRPr="00243A9B" w:rsidRDefault="007E75D6" w:rsidP="00536ADE">
            <w:pPr>
              <w:pStyle w:val="ListParagraph"/>
              <w:numPr>
                <w:ilvl w:val="0"/>
                <w:numId w:val="23"/>
              </w:numPr>
              <w:ind w:left="410"/>
              <w:jc w:val="both"/>
              <w:rPr>
                <w:rFonts w:ascii="Times New Roman" w:hAnsi="Times New Roman"/>
                <w:bCs/>
              </w:rPr>
            </w:pPr>
            <w:r w:rsidRPr="00243A9B">
              <w:rPr>
                <w:rFonts w:ascii="Times New Roman" w:hAnsi="Times New Roman"/>
                <w:bCs/>
              </w:rPr>
              <w:t>Други дейности, които допринасят за изпълнение на целите на процедурата и постигане на предвидените индикатори</w:t>
            </w:r>
            <w:r w:rsidR="006877DA" w:rsidRPr="00243A9B">
              <w:rPr>
                <w:rFonts w:ascii="Times New Roman" w:hAnsi="Times New Roman"/>
                <w:bCs/>
              </w:rPr>
              <w:t>.</w:t>
            </w:r>
          </w:p>
          <w:p w14:paraId="6A4514E7" w14:textId="0C96344B" w:rsidR="005021C9" w:rsidRPr="00243A9B" w:rsidRDefault="00712A2A" w:rsidP="00B7139E">
            <w:pPr>
              <w:tabs>
                <w:tab w:val="left" w:pos="0"/>
              </w:tabs>
              <w:spacing w:after="120"/>
              <w:jc w:val="both"/>
              <w:rPr>
                <w:bCs/>
              </w:rPr>
            </w:pPr>
            <w:r w:rsidRPr="00243A9B">
              <w:rPr>
                <w:bCs/>
              </w:rPr>
              <w:t xml:space="preserve">По процедурата </w:t>
            </w:r>
            <w:r w:rsidR="00213B5F" w:rsidRPr="00243A9B">
              <w:rPr>
                <w:bCs/>
              </w:rPr>
              <w:t xml:space="preserve">са допустими за финансиране дейности по изготвяне и разпространение на анализи </w:t>
            </w:r>
            <w:r w:rsidR="00213B5F" w:rsidRPr="00243A9B">
              <w:rPr>
                <w:bCs/>
              </w:rPr>
              <w:lastRenderedPageBreak/>
              <w:t xml:space="preserve">и наръчници, както и обучения на служители в общинските администрации, единствено ако </w:t>
            </w:r>
            <w:r w:rsidRPr="00243A9B">
              <w:rPr>
                <w:bCs/>
              </w:rPr>
              <w:t xml:space="preserve">са свързани с подготовката и изпълнението на проекти на общинските администрации, </w:t>
            </w:r>
            <w:r w:rsidR="00EF3DAE" w:rsidRPr="00243A9B">
              <w:rPr>
                <w:bCs/>
              </w:rPr>
              <w:t>съ</w:t>
            </w:r>
            <w:r w:rsidRPr="00243A9B">
              <w:rPr>
                <w:bCs/>
              </w:rPr>
              <w:t xml:space="preserve">финансирани от ЕСИФ. </w:t>
            </w:r>
          </w:p>
          <w:p w14:paraId="4BDAF867" w14:textId="3C88625D" w:rsidR="00E35200" w:rsidRPr="00243A9B" w:rsidRDefault="005021C9" w:rsidP="000C0939">
            <w:pPr>
              <w:tabs>
                <w:tab w:val="left" w:pos="0"/>
              </w:tabs>
              <w:spacing w:after="120"/>
              <w:jc w:val="both"/>
              <w:rPr>
                <w:bCs/>
              </w:rPr>
            </w:pPr>
            <w:r w:rsidRPr="00243A9B">
              <w:rPr>
                <w:bCs/>
              </w:rPr>
              <w:t xml:space="preserve">По процедурата не са допустими за финансиране консултации, обучения и публични събития (информационни дни по процедури за предоставяне на безвъзмездна финансова помощ (БФП), обучения за бенефициенти след сключване на административен договор за предоставяне на БФП, обучения във връзка с изпълнение на функциите на междинно звено по ОПРР и др.) за служители на общинските администрации във връзка с подготовката и изпълнението на проекти, </w:t>
            </w:r>
            <w:r w:rsidR="00EF3DAE" w:rsidRPr="00243A9B">
              <w:rPr>
                <w:bCs/>
              </w:rPr>
              <w:t>съ</w:t>
            </w:r>
            <w:r w:rsidRPr="00243A9B">
              <w:rPr>
                <w:bCs/>
              </w:rPr>
              <w:t xml:space="preserve">финансирани от ЕСИФ, ако тези дейности са включени в проекти/ финансови планове за бюджетни линии на управляващите органи или междинните звена, </w:t>
            </w:r>
            <w:r w:rsidR="00EF3DAE" w:rsidRPr="00243A9B">
              <w:rPr>
                <w:bCs/>
              </w:rPr>
              <w:t>съ</w:t>
            </w:r>
            <w:r w:rsidRPr="00243A9B">
              <w:rPr>
                <w:bCs/>
              </w:rPr>
              <w:t>финансирани по приоритетните оси „Техническа помощ“ на програми, съфинансирани от ЕСИФ, или във финансови планове за бюджетни линии на дирекция „Централно координационно звено“ в АМС или дирекция „Национален фонд“ в МФ, финансирани по ОПДУ.</w:t>
            </w:r>
          </w:p>
        </w:tc>
      </w:tr>
      <w:tr w:rsidR="00696DB9" w:rsidRPr="00243A9B" w14:paraId="6390A25B" w14:textId="77777777" w:rsidTr="00B7139E">
        <w:trPr>
          <w:trHeight w:val="84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AC2E" w14:textId="7777777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5239" w14:textId="4B82D7AB" w:rsidR="00696DB9" w:rsidRPr="00243A9B" w:rsidRDefault="00DF08D0" w:rsidP="00DF08D0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Категории д</w:t>
            </w:r>
            <w:r w:rsidR="00696DB9" w:rsidRPr="00243A9B">
              <w:rPr>
                <w:b/>
                <w:bCs/>
                <w:sz w:val="22"/>
                <w:szCs w:val="22"/>
                <w:lang w:eastAsia="fr-FR"/>
              </w:rPr>
              <w:t>опустими разходи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C08" w14:textId="7B3465FA" w:rsidR="00F458C0" w:rsidRPr="00243A9B" w:rsidRDefault="00F458C0" w:rsidP="00DA3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243A9B">
              <w:rPr>
                <w:rFonts w:ascii="Times New Roman" w:hAnsi="Times New Roman"/>
              </w:rPr>
              <w:t>Разходи за възнаграждения</w:t>
            </w:r>
            <w:r w:rsidR="00E35200" w:rsidRPr="00243A9B">
              <w:rPr>
                <w:rFonts w:ascii="Times New Roman" w:hAnsi="Times New Roman"/>
                <w:bCs/>
                <w:snapToGrid w:val="0"/>
              </w:rPr>
              <w:t xml:space="preserve"> на служителите на бенефициента</w:t>
            </w:r>
            <w:r w:rsidR="00E35200" w:rsidRPr="00243A9B">
              <w:rPr>
                <w:rFonts w:ascii="Times New Roman" w:hAnsi="Times New Roman"/>
              </w:rPr>
              <w:t xml:space="preserve"> </w:t>
            </w:r>
            <w:r w:rsidR="00E35200" w:rsidRPr="00243A9B">
              <w:rPr>
                <w:rFonts w:ascii="Times New Roman" w:hAnsi="Times New Roman"/>
                <w:bCs/>
                <w:snapToGrid w:val="0"/>
              </w:rPr>
              <w:t>за дейности по изпълнение на проекта</w:t>
            </w:r>
            <w:r w:rsidRPr="00243A9B">
              <w:rPr>
                <w:rFonts w:ascii="Times New Roman" w:hAnsi="Times New Roman"/>
                <w:bCs/>
                <w:snapToGrid w:val="0"/>
              </w:rPr>
              <w:t>;</w:t>
            </w:r>
          </w:p>
          <w:p w14:paraId="0067542F" w14:textId="77777777" w:rsidR="00F458C0" w:rsidRPr="00243A9B" w:rsidRDefault="00F458C0" w:rsidP="00DA3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>Разходи за разработване на софтуер;</w:t>
            </w:r>
          </w:p>
          <w:p w14:paraId="3CD74B28" w14:textId="4CDB8079" w:rsidR="00E35200" w:rsidRPr="00243A9B" w:rsidRDefault="00E35200" w:rsidP="00DA3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>Разходи за</w:t>
            </w:r>
            <w:r w:rsidRPr="00243A9B">
              <w:rPr>
                <w:rFonts w:ascii="Times New Roman" w:hAnsi="Times New Roman"/>
                <w:bCs/>
                <w:snapToGrid w:val="0"/>
              </w:rPr>
              <w:t xml:space="preserve"> </w:t>
            </w:r>
            <w:r w:rsidRPr="00243A9B">
              <w:rPr>
                <w:rFonts w:ascii="Times New Roman" w:hAnsi="Times New Roman"/>
              </w:rPr>
              <w:t>материали</w:t>
            </w:r>
            <w:r w:rsidR="00B46F5D" w:rsidRPr="00243A9B">
              <w:rPr>
                <w:rFonts w:ascii="Times New Roman" w:hAnsi="Times New Roman"/>
              </w:rPr>
              <w:t>;</w:t>
            </w:r>
          </w:p>
          <w:p w14:paraId="72D1686D" w14:textId="1F6BFC6F" w:rsidR="00E35200" w:rsidRPr="00243A9B" w:rsidRDefault="00E35200" w:rsidP="00B713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0"/>
              <w:contextualSpacing w:val="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  <w:bCs/>
                <w:snapToGrid w:val="0"/>
              </w:rPr>
              <w:t>Разходи</w:t>
            </w:r>
            <w:r w:rsidR="00B46F5D" w:rsidRPr="00243A9B">
              <w:rPr>
                <w:rFonts w:ascii="Times New Roman" w:hAnsi="Times New Roman"/>
                <w:bCs/>
                <w:snapToGrid w:val="0"/>
              </w:rPr>
              <w:t xml:space="preserve"> за </w:t>
            </w:r>
            <w:r w:rsidRPr="00243A9B">
              <w:rPr>
                <w:rFonts w:ascii="Times New Roman" w:hAnsi="Times New Roman"/>
                <w:bCs/>
                <w:snapToGrid w:val="0"/>
              </w:rPr>
              <w:t xml:space="preserve">организиране и провеждане на </w:t>
            </w:r>
            <w:r w:rsidR="00B46F5D" w:rsidRPr="00243A9B">
              <w:rPr>
                <w:rFonts w:ascii="Times New Roman" w:hAnsi="Times New Roman"/>
                <w:bCs/>
                <w:snapToGrid w:val="0"/>
              </w:rPr>
              <w:t xml:space="preserve">мероприятия (в това число: </w:t>
            </w:r>
            <w:r w:rsidRPr="00243A9B">
              <w:rPr>
                <w:rFonts w:ascii="Times New Roman" w:hAnsi="Times New Roman"/>
                <w:bCs/>
                <w:snapToGrid w:val="0"/>
              </w:rPr>
              <w:t>обучения, публични обсъждания със заинтересованите страни, конференции, работни срещи и др. във връзка с изпълнението на основните дейности</w:t>
            </w:r>
            <w:r w:rsidR="00B46F5D" w:rsidRPr="00243A9B">
              <w:rPr>
                <w:rFonts w:ascii="Times New Roman" w:hAnsi="Times New Roman"/>
                <w:bCs/>
                <w:snapToGrid w:val="0"/>
              </w:rPr>
              <w:t>)</w:t>
            </w:r>
            <w:r w:rsidRPr="00243A9B">
              <w:rPr>
                <w:rFonts w:ascii="Times New Roman" w:hAnsi="Times New Roman"/>
                <w:bCs/>
                <w:snapToGrid w:val="0"/>
              </w:rPr>
              <w:t>;</w:t>
            </w:r>
          </w:p>
          <w:p w14:paraId="068D1184" w14:textId="140E4BA3" w:rsidR="001F0C1B" w:rsidRPr="00243A9B" w:rsidRDefault="00F458C0" w:rsidP="00B713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>Разходи за услуги</w:t>
            </w:r>
            <w:r w:rsidR="009E411E" w:rsidRPr="00243A9B">
              <w:rPr>
                <w:rFonts w:ascii="Times New Roman" w:hAnsi="Times New Roman"/>
                <w:bCs/>
                <w:snapToGrid w:val="0"/>
              </w:rPr>
              <w:t>;</w:t>
            </w:r>
          </w:p>
          <w:p w14:paraId="1305A90C" w14:textId="0F46E268" w:rsidR="00B46F5D" w:rsidRPr="00243A9B" w:rsidRDefault="001F0C1B" w:rsidP="00B713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  <w:bCs/>
              </w:rPr>
              <w:t>Разходи за командировки</w:t>
            </w:r>
            <w:r w:rsidR="00B46F5D" w:rsidRPr="00243A9B">
              <w:rPr>
                <w:rFonts w:ascii="Times New Roman" w:hAnsi="Times New Roman"/>
                <w:bCs/>
              </w:rPr>
              <w:t>;</w:t>
            </w:r>
          </w:p>
          <w:p w14:paraId="0BB064E1" w14:textId="7598A43E" w:rsidR="00F458C0" w:rsidRPr="00243A9B" w:rsidRDefault="00F458C0" w:rsidP="00256B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0"/>
              <w:contextualSpacing w:val="0"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243A9B">
              <w:rPr>
                <w:rFonts w:ascii="Times New Roman" w:hAnsi="Times New Roman"/>
                <w:bCs/>
                <w:snapToGrid w:val="0"/>
              </w:rPr>
              <w:t>Разходи за организация и управление</w:t>
            </w:r>
            <w:r w:rsidR="00B46F5D" w:rsidRPr="00243A9B">
              <w:rPr>
                <w:rFonts w:ascii="Times New Roman" w:hAnsi="Times New Roman"/>
                <w:bCs/>
                <w:snapToGrid w:val="0"/>
              </w:rPr>
              <w:t xml:space="preserve"> и р</w:t>
            </w:r>
            <w:r w:rsidRPr="00243A9B">
              <w:rPr>
                <w:rFonts w:ascii="Times New Roman" w:hAnsi="Times New Roman"/>
                <w:bCs/>
                <w:snapToGrid w:val="0"/>
              </w:rPr>
              <w:t>азходи за информация и комуникация</w:t>
            </w:r>
            <w:r w:rsidR="00B46F5D" w:rsidRPr="00243A9B">
              <w:rPr>
                <w:rFonts w:ascii="Times New Roman" w:hAnsi="Times New Roman"/>
                <w:bCs/>
                <w:snapToGrid w:val="0"/>
              </w:rPr>
              <w:t xml:space="preserve"> - </w:t>
            </w:r>
            <w:r w:rsidR="00256BB7" w:rsidRPr="00243A9B">
              <w:rPr>
                <w:rFonts w:ascii="Times New Roman" w:hAnsi="Times New Roman"/>
                <w:bCs/>
                <w:i/>
                <w:snapToGrid w:val="0"/>
              </w:rPr>
              <w:t>в</w:t>
            </w:r>
            <w:r w:rsidR="00B46F5D" w:rsidRPr="00243A9B">
              <w:rPr>
                <w:rFonts w:ascii="Times New Roman" w:hAnsi="Times New Roman"/>
                <w:bCs/>
                <w:i/>
                <w:snapToGrid w:val="0"/>
              </w:rPr>
              <w:t xml:space="preserve"> Насоките за кандидатстване ще бъде определен конкретен процент на единна ставка, който ще бъде изчислен в съответствие с Националната методология за определяне на размерите на единна ставка за финансиране на дейности за организация и управление на проекти, съфинансирани </w:t>
            </w:r>
            <w:r w:rsidR="00B8315E" w:rsidRPr="00243A9B">
              <w:rPr>
                <w:rFonts w:ascii="Times New Roman" w:hAnsi="Times New Roman"/>
                <w:bCs/>
                <w:i/>
                <w:snapToGrid w:val="0"/>
              </w:rPr>
              <w:t>от</w:t>
            </w:r>
            <w:r w:rsidR="00B46F5D" w:rsidRPr="00243A9B">
              <w:rPr>
                <w:rFonts w:ascii="Times New Roman" w:hAnsi="Times New Roman"/>
                <w:bCs/>
                <w:i/>
                <w:snapToGrid w:val="0"/>
              </w:rPr>
              <w:t xml:space="preserve"> ЕСИФ</w:t>
            </w:r>
            <w:r w:rsidR="00A02F10" w:rsidRPr="00243A9B">
              <w:rPr>
                <w:rFonts w:ascii="Times New Roman" w:hAnsi="Times New Roman"/>
                <w:bCs/>
                <w:i/>
                <w:snapToGrid w:val="0"/>
              </w:rPr>
              <w:t>;</w:t>
            </w:r>
          </w:p>
          <w:p w14:paraId="091AC8A9" w14:textId="26A82ABD" w:rsidR="00643B6E" w:rsidRPr="00243A9B" w:rsidRDefault="00F458C0" w:rsidP="00B713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  <w:bCs/>
              </w:rPr>
              <w:t xml:space="preserve">Други разходи, извършени </w:t>
            </w:r>
            <w:r w:rsidR="003D65B5" w:rsidRPr="00243A9B">
              <w:rPr>
                <w:rFonts w:ascii="Times New Roman" w:hAnsi="Times New Roman"/>
                <w:bCs/>
              </w:rPr>
              <w:t>в изпълнение на</w:t>
            </w:r>
            <w:r w:rsidRPr="00243A9B">
              <w:rPr>
                <w:rFonts w:ascii="Times New Roman" w:hAnsi="Times New Roman"/>
                <w:bCs/>
              </w:rPr>
              <w:t xml:space="preserve"> допустимите дейности, в съответствие с ПМС № 189/2016 г.</w:t>
            </w:r>
            <w:r w:rsidRPr="00243A9B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696DB9" w:rsidRPr="00243A9B" w14:paraId="0A95F815" w14:textId="77777777" w:rsidTr="0006573E">
        <w:trPr>
          <w:trHeight w:val="124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6848" w14:textId="7777777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6939" w14:textId="7BE1D8A7" w:rsidR="00696DB9" w:rsidRPr="00243A9B" w:rsidRDefault="00696DB9" w:rsidP="00DF08D0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Минимален размер на помощта (в лев</w:t>
            </w:r>
            <w:r w:rsidR="00DF08D0" w:rsidRPr="00243A9B">
              <w:rPr>
                <w:b/>
                <w:bCs/>
                <w:sz w:val="22"/>
                <w:szCs w:val="22"/>
                <w:lang w:eastAsia="fr-FR"/>
              </w:rPr>
              <w:t>ове</w:t>
            </w:r>
            <w:r w:rsidRPr="00243A9B">
              <w:rPr>
                <w:b/>
                <w:bCs/>
                <w:sz w:val="22"/>
                <w:szCs w:val="22"/>
                <w:lang w:eastAsia="fr-FR"/>
              </w:rPr>
              <w:t>)</w:t>
            </w:r>
            <w:r w:rsidR="00EA7AB2" w:rsidRPr="00243A9B">
              <w:rPr>
                <w:b/>
                <w:bCs/>
                <w:sz w:val="22"/>
                <w:szCs w:val="22"/>
                <w:lang w:eastAsia="fr-FR"/>
              </w:rPr>
              <w:t xml:space="preserve"> </w:t>
            </w:r>
            <w:r w:rsidR="00EF769F" w:rsidRPr="00243A9B">
              <w:rPr>
                <w:b/>
                <w:bCs/>
                <w:sz w:val="22"/>
                <w:szCs w:val="22"/>
                <w:lang w:eastAsia="fr-FR"/>
              </w:rPr>
              <w:t>по</w:t>
            </w:r>
            <w:r w:rsidR="00EA7AB2" w:rsidRPr="00243A9B">
              <w:rPr>
                <w:b/>
                <w:bCs/>
                <w:sz w:val="22"/>
                <w:szCs w:val="22"/>
                <w:lang w:eastAsia="fr-FR"/>
              </w:rPr>
              <w:t xml:space="preserve"> проекта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C18" w14:textId="77777777" w:rsidR="00696DB9" w:rsidRPr="00243A9B" w:rsidRDefault="00696DB9" w:rsidP="0006573E">
            <w:pPr>
              <w:jc w:val="center"/>
              <w:rPr>
                <w:bCs/>
                <w:sz w:val="22"/>
                <w:szCs w:val="22"/>
              </w:rPr>
            </w:pPr>
          </w:p>
          <w:p w14:paraId="00424D23" w14:textId="6503AE33" w:rsidR="00696DB9" w:rsidRPr="00243A9B" w:rsidRDefault="00340045" w:rsidP="0006573E">
            <w:pPr>
              <w:jc w:val="center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>Неприложимо</w:t>
            </w:r>
          </w:p>
        </w:tc>
      </w:tr>
      <w:tr w:rsidR="00696DB9" w:rsidRPr="00243A9B" w14:paraId="481045FD" w14:textId="77777777" w:rsidTr="0006573E">
        <w:trPr>
          <w:trHeight w:val="123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F23B" w14:textId="7777777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96EB" w14:textId="224181DF" w:rsidR="00696DB9" w:rsidRPr="00243A9B" w:rsidRDefault="00696DB9" w:rsidP="00DF08D0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Максимален размер на помощта (в лев</w:t>
            </w:r>
            <w:r w:rsidR="00DF08D0" w:rsidRPr="00243A9B">
              <w:rPr>
                <w:b/>
                <w:bCs/>
                <w:sz w:val="22"/>
                <w:szCs w:val="22"/>
                <w:lang w:eastAsia="fr-FR"/>
              </w:rPr>
              <w:t>ове</w:t>
            </w:r>
            <w:r w:rsidRPr="00243A9B">
              <w:rPr>
                <w:b/>
                <w:bCs/>
                <w:sz w:val="22"/>
                <w:szCs w:val="22"/>
                <w:lang w:eastAsia="fr-FR"/>
              </w:rPr>
              <w:t xml:space="preserve">) по </w:t>
            </w:r>
            <w:r w:rsidR="00EF769F" w:rsidRPr="00243A9B">
              <w:rPr>
                <w:b/>
                <w:bCs/>
                <w:sz w:val="22"/>
                <w:szCs w:val="22"/>
                <w:lang w:eastAsia="fr-FR"/>
              </w:rPr>
              <w:t>проекта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25F" w14:textId="7FF0B806" w:rsidR="00696DB9" w:rsidRPr="00243A9B" w:rsidRDefault="00B7139E" w:rsidP="005C4A32">
            <w:pPr>
              <w:jc w:val="center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 xml:space="preserve">6 </w:t>
            </w:r>
            <w:r w:rsidR="00E5282F" w:rsidRPr="00243A9B">
              <w:rPr>
                <w:bCs/>
                <w:sz w:val="22"/>
                <w:szCs w:val="22"/>
              </w:rPr>
              <w:t>000</w:t>
            </w:r>
            <w:r w:rsidR="005C4A32" w:rsidRPr="00243A9B">
              <w:rPr>
                <w:bCs/>
                <w:sz w:val="22"/>
                <w:szCs w:val="22"/>
              </w:rPr>
              <w:t> </w:t>
            </w:r>
            <w:r w:rsidR="00E5282F" w:rsidRPr="00243A9B">
              <w:rPr>
                <w:bCs/>
                <w:sz w:val="22"/>
                <w:szCs w:val="22"/>
              </w:rPr>
              <w:t>000</w:t>
            </w:r>
          </w:p>
          <w:p w14:paraId="09A98998" w14:textId="5032EA51" w:rsidR="005C4A32" w:rsidRPr="00243A9B" w:rsidRDefault="005C4A32" w:rsidP="0006573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96DB9" w:rsidRPr="00243A9B" w14:paraId="2B3F9804" w14:textId="77777777" w:rsidTr="0006573E">
        <w:trPr>
          <w:trHeight w:val="9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679" w14:textId="7777777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B873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Съфинансиране от страна на бенефициента (ако е приложимо)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B1C" w14:textId="701888F5" w:rsidR="00696DB9" w:rsidRPr="00243A9B" w:rsidRDefault="00EF769F" w:rsidP="0006573E">
            <w:pPr>
              <w:jc w:val="center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>Неприложимо</w:t>
            </w:r>
          </w:p>
        </w:tc>
      </w:tr>
      <w:tr w:rsidR="00696DB9" w:rsidRPr="00243A9B" w14:paraId="6C243686" w14:textId="77777777" w:rsidTr="0006573E">
        <w:trPr>
          <w:trHeight w:val="13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98EF" w14:textId="7777777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ED9A" w14:textId="77777777" w:rsidR="00696DB9" w:rsidRPr="00243A9B" w:rsidRDefault="00696DB9" w:rsidP="0006573E">
            <w:pPr>
              <w:pStyle w:val="Style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 xml:space="preserve">Процент на подкрепата по правилата на ЕФРР съгл. чл. 98 от </w:t>
            </w:r>
            <w:r w:rsidRPr="00243A9B">
              <w:rPr>
                <w:sz w:val="22"/>
                <w:szCs w:val="22"/>
              </w:rPr>
              <w:t xml:space="preserve"> </w:t>
            </w:r>
            <w:r w:rsidRPr="00243A9B">
              <w:rPr>
                <w:b/>
                <w:bCs/>
                <w:sz w:val="22"/>
                <w:szCs w:val="22"/>
                <w:lang w:eastAsia="fr-FR"/>
              </w:rPr>
              <w:t>Регламент (ЕС) № 1303/2013</w:t>
            </w:r>
          </w:p>
          <w:p w14:paraId="4312128C" w14:textId="77777777" w:rsidR="00696DB9" w:rsidRPr="00243A9B" w:rsidRDefault="00696DB9" w:rsidP="0006573E">
            <w:pPr>
              <w:pStyle w:val="Style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(ако е приложимо)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A64" w14:textId="759FBE7F" w:rsidR="00696DB9" w:rsidRPr="00243A9B" w:rsidRDefault="00EF769F" w:rsidP="0006573E">
            <w:pPr>
              <w:jc w:val="center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>Неприложимо</w:t>
            </w:r>
          </w:p>
        </w:tc>
      </w:tr>
      <w:tr w:rsidR="00696DB9" w:rsidRPr="00243A9B" w14:paraId="0BEC2007" w14:textId="77777777" w:rsidTr="00EF242D">
        <w:trPr>
          <w:trHeight w:val="160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955C" w14:textId="77777777" w:rsidR="00696DB9" w:rsidRPr="00243A9B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CCCD" w14:textId="77777777" w:rsidR="00696DB9" w:rsidRPr="00243A9B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243A9B">
              <w:rPr>
                <w:b/>
                <w:bCs/>
                <w:sz w:val="22"/>
                <w:szCs w:val="22"/>
                <w:lang w:eastAsia="fr-FR"/>
              </w:rPr>
              <w:t>Друго (добавя се при необходимост)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00C" w14:textId="77777777" w:rsidR="009E411E" w:rsidRPr="00243A9B" w:rsidRDefault="009E411E" w:rsidP="00B7139E">
            <w:pPr>
              <w:pStyle w:val="ListParagraph"/>
              <w:spacing w:after="120"/>
              <w:ind w:left="3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 xml:space="preserve">Процедурата се реализира извън обхвата на чл. 107, </w:t>
            </w:r>
            <w:proofErr w:type="spellStart"/>
            <w:r w:rsidRPr="00243A9B">
              <w:rPr>
                <w:rFonts w:ascii="Times New Roman" w:hAnsi="Times New Roman"/>
              </w:rPr>
              <w:t>пар</w:t>
            </w:r>
            <w:proofErr w:type="spellEnd"/>
            <w:r w:rsidRPr="00243A9B">
              <w:rPr>
                <w:rFonts w:ascii="Times New Roman" w:hAnsi="Times New Roman"/>
              </w:rPr>
              <w:t>. 1 от Договора за функционирането на Европейския съюз.</w:t>
            </w:r>
          </w:p>
          <w:p w14:paraId="305ACF97" w14:textId="52FD1ADA" w:rsidR="009E411E" w:rsidRPr="00243A9B" w:rsidRDefault="009E411E" w:rsidP="00B7139E">
            <w:pPr>
              <w:pStyle w:val="ListParagraph"/>
              <w:spacing w:after="120"/>
              <w:ind w:left="3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>Финансирането по процедурата на дейностите по проекта, които представляват публични функции на бенефициента съгласно Закона за местното самоуправление и местната администрация или друг нормативен акт (напр. дейности по представляване на общините пред централната власт, участие в подготовката на проекти на нормативни актове в сферата на управлението на средствата от ЕСИФ и др.), не представлява държавна помощ.</w:t>
            </w:r>
            <w:r w:rsidR="00B7139E" w:rsidRPr="00243A9B">
              <w:rPr>
                <w:rFonts w:ascii="Times New Roman" w:hAnsi="Times New Roman"/>
              </w:rPr>
              <w:t xml:space="preserve"> </w:t>
            </w:r>
            <w:r w:rsidRPr="00243A9B">
              <w:rPr>
                <w:rFonts w:ascii="Times New Roman" w:hAnsi="Times New Roman"/>
              </w:rPr>
              <w:t>Всички останали дейности по проекта, съставляващи стопанска дейност на бенефициента, следва да бъдат възложени от НСОРБ на трети лица, чрез провеждането на прозрачни, публични и недискриминационни процедури.</w:t>
            </w:r>
          </w:p>
          <w:p w14:paraId="0D0F6EF1" w14:textId="77777777" w:rsidR="009E411E" w:rsidRPr="00243A9B" w:rsidRDefault="009E411E" w:rsidP="00B7139E">
            <w:r w:rsidRPr="00243A9B">
              <w:t>В тази връзка бенефициентът е задължен да изпълни следните условия:</w:t>
            </w:r>
          </w:p>
          <w:p w14:paraId="7408F35B" w14:textId="77777777" w:rsidR="009E411E" w:rsidRPr="00243A9B" w:rsidRDefault="009E411E" w:rsidP="00C70348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ind w:left="410" w:hanging="27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 xml:space="preserve">НСОРБ следва задължително да възлага на външен изпълнител на пазарен принцип, чрез прозрачни, публични и недискриминационни процедури всички дейности, предвидени в проекта (в т.ч. дейността по подготовка на техническото задание за надграждане на ИСУП и разработването на необходимия софтуер за тази цел), които имат характера на стопански дейности. </w:t>
            </w:r>
          </w:p>
          <w:p w14:paraId="166CE3E5" w14:textId="3D6B665C" w:rsidR="009E411E" w:rsidRPr="00243A9B" w:rsidRDefault="009E411E" w:rsidP="00C70348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ind w:left="410" w:hanging="27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>Възлагането на външен изпълнител, следва да се извършва при спазване на изискванията на приложимата нормативна уредба.</w:t>
            </w:r>
          </w:p>
          <w:p w14:paraId="6A6F8927" w14:textId="6E031BA5" w:rsidR="009E411E" w:rsidRPr="00243A9B" w:rsidRDefault="009E411E" w:rsidP="00C70348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ind w:left="410" w:hanging="27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>Бенефициентът следва да води отделна счетоводна отчетност за нестопанската и стопанската си дейност с цел избягване на субсидирането на стопанската му дейност със средства по процедурата.</w:t>
            </w:r>
          </w:p>
          <w:p w14:paraId="53ED8983" w14:textId="77777777" w:rsidR="009E411E" w:rsidRPr="00243A9B" w:rsidRDefault="009E411E" w:rsidP="00C70348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ind w:left="410" w:hanging="27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 xml:space="preserve">Всички служители на НСОБР в Общинския ресурсно-координационен център, чиито възнаграждения ще се </w:t>
            </w:r>
            <w:r w:rsidRPr="00243A9B">
              <w:rPr>
                <w:rFonts w:ascii="Times New Roman" w:hAnsi="Times New Roman"/>
              </w:rPr>
              <w:lastRenderedPageBreak/>
              <w:t>финансират по тази процедура, следва да са наети само за целите на проекта и да не участват в извършваната от сдружението стопанска дейност;</w:t>
            </w:r>
          </w:p>
          <w:p w14:paraId="7A864403" w14:textId="6AEDB03F" w:rsidR="003D65B5" w:rsidRPr="00243A9B" w:rsidRDefault="009E411E" w:rsidP="00B7139E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ind w:left="410" w:hanging="270"/>
              <w:jc w:val="both"/>
            </w:pPr>
            <w:r w:rsidRPr="00243A9B">
              <w:rPr>
                <w:rFonts w:ascii="Times New Roman" w:hAnsi="Times New Roman"/>
              </w:rPr>
              <w:t>Софтуерът, разработен в резултат от изпълнението на проекта, следва да бъде използван само от общините и не следва да се предоставя на трети лица срещу заплащане.</w:t>
            </w:r>
          </w:p>
        </w:tc>
      </w:tr>
      <w:tr w:rsidR="00696DB9" w:rsidRPr="00243A9B" w14:paraId="7A7C5548" w14:textId="77777777" w:rsidTr="0006573E">
        <w:trPr>
          <w:trHeight w:val="611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65F91"/>
            <w:vAlign w:val="center"/>
          </w:tcPr>
          <w:p w14:paraId="7C95669C" w14:textId="77777777" w:rsidR="00696DB9" w:rsidRPr="00243A9B" w:rsidRDefault="00696DB9" w:rsidP="000657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43A9B">
              <w:rPr>
                <w:b/>
                <w:bCs/>
                <w:color w:val="FFFFFF"/>
                <w:sz w:val="22"/>
                <w:szCs w:val="22"/>
              </w:rPr>
              <w:lastRenderedPageBreak/>
              <w:t>ІІІ</w:t>
            </w:r>
          </w:p>
        </w:tc>
        <w:tc>
          <w:tcPr>
            <w:tcW w:w="9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14:paraId="0A8E661C" w14:textId="77777777" w:rsidR="00696DB9" w:rsidRPr="00243A9B" w:rsidRDefault="00696DB9" w:rsidP="0006573E">
            <w:pPr>
              <w:rPr>
                <w:bCs/>
                <w:color w:val="FFFFFF"/>
                <w:sz w:val="22"/>
                <w:szCs w:val="22"/>
              </w:rPr>
            </w:pPr>
            <w:r w:rsidRPr="00243A9B">
              <w:rPr>
                <w:b/>
                <w:bCs/>
                <w:color w:val="FFFFFF"/>
                <w:sz w:val="22"/>
                <w:szCs w:val="22"/>
              </w:rPr>
              <w:t>ИНДИКАТОРИ ПО ОПДУ, ОТНОСИМИ КЪМ ПРОЦЕДУРАТА</w:t>
            </w:r>
          </w:p>
          <w:p w14:paraId="13F00855" w14:textId="77777777" w:rsidR="00696DB9" w:rsidRPr="00243A9B" w:rsidRDefault="00696DB9" w:rsidP="0006573E">
            <w:pPr>
              <w:rPr>
                <w:bCs/>
                <w:color w:val="FFFFFF"/>
                <w:sz w:val="22"/>
                <w:szCs w:val="22"/>
                <w:highlight w:val="yellow"/>
              </w:rPr>
            </w:pPr>
          </w:p>
        </w:tc>
      </w:tr>
      <w:tr w:rsidR="003E0CA6" w:rsidRPr="00243A9B" w14:paraId="34EE604D" w14:textId="77777777" w:rsidTr="00862629">
        <w:trPr>
          <w:trHeight w:val="1899"/>
        </w:trPr>
        <w:tc>
          <w:tcPr>
            <w:tcW w:w="98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3B45" w14:textId="77777777" w:rsidR="003E0CA6" w:rsidRPr="00243A9B" w:rsidRDefault="003E0CA6" w:rsidP="00EF24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243A9B">
              <w:rPr>
                <w:bCs/>
                <w:iCs/>
                <w:color w:val="000000"/>
                <w:sz w:val="22"/>
                <w:szCs w:val="22"/>
              </w:rPr>
              <w:t>Издадени информационни материали по вид (ръководства, наръчници, книжки, брошури и информационни листовки и др.)</w:t>
            </w: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 xml:space="preserve"> (O4-2)</w:t>
            </w:r>
          </w:p>
          <w:p w14:paraId="3DC7ABFF" w14:textId="77777777" w:rsidR="003E0CA6" w:rsidRPr="00243A9B" w:rsidRDefault="003E0CA6" w:rsidP="00EF24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</w:p>
          <w:p w14:paraId="24F2A4A1" w14:textId="77777777" w:rsidR="003E0CA6" w:rsidRPr="00243A9B" w:rsidRDefault="003E0CA6" w:rsidP="00EF242D">
            <w:pPr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>Брой публични информационни събития (O4-3)</w:t>
            </w:r>
          </w:p>
          <w:p w14:paraId="301E2403" w14:textId="77777777" w:rsidR="003E0CA6" w:rsidRPr="00243A9B" w:rsidRDefault="003E0CA6" w:rsidP="00EF242D">
            <w:pPr>
              <w:jc w:val="both"/>
              <w:rPr>
                <w:bCs/>
                <w:sz w:val="22"/>
                <w:szCs w:val="22"/>
              </w:rPr>
            </w:pPr>
          </w:p>
          <w:p w14:paraId="37117CD2" w14:textId="0BA270F5" w:rsidR="003E0CA6" w:rsidRPr="00243A9B" w:rsidRDefault="003E0CA6" w:rsidP="00CD7646">
            <w:pPr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243A9B">
              <w:rPr>
                <w:sz w:val="22"/>
                <w:szCs w:val="22"/>
              </w:rPr>
              <w:t>Надградена информационна система</w:t>
            </w:r>
          </w:p>
        </w:tc>
      </w:tr>
      <w:tr w:rsidR="00696DB9" w:rsidRPr="00243A9B" w14:paraId="14D514CA" w14:textId="77777777" w:rsidTr="0006573E">
        <w:trPr>
          <w:trHeight w:val="702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65F91"/>
            <w:vAlign w:val="center"/>
          </w:tcPr>
          <w:p w14:paraId="4BED0C60" w14:textId="77777777" w:rsidR="00696DB9" w:rsidRPr="00243A9B" w:rsidRDefault="00696DB9" w:rsidP="000657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43A9B">
              <w:rPr>
                <w:b/>
                <w:bCs/>
                <w:color w:val="FFFFFF"/>
                <w:sz w:val="22"/>
                <w:szCs w:val="22"/>
              </w:rPr>
              <w:t>ІV</w:t>
            </w:r>
          </w:p>
        </w:tc>
        <w:tc>
          <w:tcPr>
            <w:tcW w:w="9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14:paraId="6000AC0B" w14:textId="77777777" w:rsidR="00696DB9" w:rsidRPr="00243A9B" w:rsidRDefault="00696DB9" w:rsidP="0006573E">
            <w:pPr>
              <w:rPr>
                <w:bCs/>
                <w:color w:val="FFFFFF"/>
                <w:sz w:val="22"/>
                <w:szCs w:val="22"/>
              </w:rPr>
            </w:pPr>
            <w:r w:rsidRPr="00243A9B">
              <w:rPr>
                <w:b/>
                <w:bCs/>
                <w:color w:val="FFFFFF"/>
                <w:sz w:val="22"/>
                <w:szCs w:val="22"/>
              </w:rPr>
              <w:t>ОБОСНОВКА НА НЕОБХОДИМОСТТА ОТ ПРОЦЕДУРАТА</w:t>
            </w:r>
            <w:r w:rsidRPr="00243A9B">
              <w:rPr>
                <w:rStyle w:val="FootnoteReference"/>
                <w:b/>
                <w:bCs/>
                <w:color w:val="FFFFFF"/>
                <w:sz w:val="22"/>
                <w:szCs w:val="22"/>
              </w:rPr>
              <w:footnoteReference w:id="4"/>
            </w:r>
          </w:p>
        </w:tc>
      </w:tr>
      <w:tr w:rsidR="00696DB9" w:rsidRPr="00243A9B" w14:paraId="3B9BDBD9" w14:textId="77777777" w:rsidTr="0006573E">
        <w:trPr>
          <w:trHeight w:val="702"/>
          <w:tblHeader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5F1C" w14:textId="77777777" w:rsidR="00482E0C" w:rsidRPr="00243A9B" w:rsidRDefault="00482E0C" w:rsidP="0037717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</w:p>
          <w:p w14:paraId="6488094D" w14:textId="369DE290" w:rsidR="00482E0C" w:rsidRPr="00243A9B" w:rsidRDefault="00482E0C" w:rsidP="0037717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243A9B">
              <w:t>Необходимостта от удължаване на срока за изпълнение на проекта до 2022 г. е обусловено от</w:t>
            </w: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Pr="00243A9B">
              <w:t xml:space="preserve"> значителното увеличаване на нуждата от експертна подкрепа на общините – в резултат от реалното стартиране работата на новите управленски екипи, както и от активизиране на дейностите по изпълнение на европейски проекти</w:t>
            </w:r>
            <w:r w:rsidR="00243A9B" w:rsidRPr="00243A9B">
              <w:t>, но най-вече</w:t>
            </w:r>
            <w:r w:rsidR="00243A9B">
              <w:t xml:space="preserve"> от </w:t>
            </w:r>
          </w:p>
          <w:p w14:paraId="0992FBBD" w14:textId="48F3DB0E" w:rsidR="00482E0C" w:rsidRDefault="00482E0C" w:rsidP="00482E0C">
            <w:pPr>
              <w:numPr>
                <w:ilvl w:val="0"/>
                <w:numId w:val="38"/>
              </w:numPr>
              <w:spacing w:line="276" w:lineRule="auto"/>
              <w:jc w:val="both"/>
            </w:pPr>
            <w:r w:rsidRPr="00243A9B">
              <w:t>въведеното извънредно положение в страната и свързаните с него ограничения за провеждане на присъствени дискусионни формати;</w:t>
            </w:r>
          </w:p>
          <w:p w14:paraId="4E278166" w14:textId="77777777" w:rsidR="00243A9B" w:rsidRPr="00243A9B" w:rsidRDefault="00243A9B" w:rsidP="00243A9B">
            <w:pPr>
              <w:spacing w:line="276" w:lineRule="auto"/>
              <w:ind w:left="720"/>
              <w:jc w:val="both"/>
            </w:pPr>
          </w:p>
          <w:p w14:paraId="66D0411F" w14:textId="77777777" w:rsidR="00482E0C" w:rsidRPr="00243A9B" w:rsidRDefault="00482E0C" w:rsidP="00482E0C">
            <w:pPr>
              <w:numPr>
                <w:ilvl w:val="0"/>
                <w:numId w:val="38"/>
              </w:numPr>
              <w:spacing w:line="276" w:lineRule="auto"/>
              <w:jc w:val="both"/>
            </w:pPr>
            <w:r w:rsidRPr="00243A9B">
              <w:t>проведените през 2019 г. местни избори и намалената в тази връзка активност от страна на общините за ползване на консултантска подкрепа.</w:t>
            </w:r>
          </w:p>
          <w:p w14:paraId="020CF3F2" w14:textId="41A70678" w:rsidR="00482E0C" w:rsidRPr="00243A9B" w:rsidRDefault="00482E0C" w:rsidP="00243A9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</w:p>
          <w:p w14:paraId="44C11EC1" w14:textId="3814FD1B" w:rsidR="00DD5340" w:rsidRPr="00243A9B" w:rsidRDefault="00DD5340" w:rsidP="0037717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 xml:space="preserve">В Споразумението за партньорство на Република България, очертаващо помощта от Европейските структурни и инвестиционни фондове за периода 2014-2020 г. се предвижда подкрепа за изграждане на капацитет на общините за по-добро управление на програми и проекти, както и развитие на капацитет на НСОРБ за подпомагане на общинските администрации при разработване на документации за обществени поръчки в изпълнение на проекти, </w:t>
            </w:r>
            <w:r w:rsidR="00786280" w:rsidRPr="00243A9B">
              <w:rPr>
                <w:rFonts w:eastAsiaTheme="minorEastAsia"/>
                <w:sz w:val="22"/>
                <w:szCs w:val="22"/>
                <w:lang w:eastAsia="zh-TW"/>
              </w:rPr>
              <w:t>съ</w:t>
            </w: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 xml:space="preserve">финансирани от ЕСИФ. </w:t>
            </w:r>
          </w:p>
          <w:p w14:paraId="3AB9C3CA" w14:textId="1F8CC1ED" w:rsidR="00DD5340" w:rsidRPr="00243A9B" w:rsidRDefault="00DD5340" w:rsidP="0037717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>ОПДУ предвижда подкрепа за повишаването на капацитета и ограничаване на рисковете от неефективно управление и изпълнение на ЕСИФ през програмния</w:t>
            </w:r>
            <w:r w:rsidR="007E68D0" w:rsidRPr="00243A9B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 xml:space="preserve">период, чрез мерки в </w:t>
            </w:r>
            <w:r w:rsidR="007E68D0" w:rsidRPr="00243A9B">
              <w:rPr>
                <w:rFonts w:eastAsiaTheme="minorEastAsia"/>
                <w:sz w:val="22"/>
                <w:szCs w:val="22"/>
                <w:lang w:eastAsia="zh-TW"/>
              </w:rPr>
              <w:t xml:space="preserve">следните </w:t>
            </w: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>основни направления:</w:t>
            </w:r>
          </w:p>
          <w:p w14:paraId="153D6927" w14:textId="7DD51019" w:rsidR="00DD5340" w:rsidRPr="00243A9B" w:rsidRDefault="00DD5340" w:rsidP="0037717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>1. Капацитет за ефективното и ефикасно функциониране на системата за управление на ЕСИФ – включително на НСОРБ – по отношение капацитета на местно ниво и др.;</w:t>
            </w:r>
          </w:p>
          <w:p w14:paraId="50F130C6" w14:textId="5310B13B" w:rsidR="00DD5340" w:rsidRPr="00243A9B" w:rsidRDefault="00DD5340" w:rsidP="00377173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>2. Информация, публичност и прозрачност на изпълнението на ЕСИФ и висока</w:t>
            </w:r>
            <w:r w:rsidR="007E68D0" w:rsidRPr="00243A9B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>информираност на бенефициентите и всички заинтересовани страни</w:t>
            </w:r>
            <w:r w:rsidR="007E68D0" w:rsidRPr="00243A9B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>(информационни и</w:t>
            </w:r>
            <w:r w:rsidR="007E68D0" w:rsidRPr="00243A9B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Pr="00243A9B">
              <w:rPr>
                <w:rFonts w:eastAsiaTheme="minorEastAsia"/>
                <w:sz w:val="22"/>
                <w:szCs w:val="22"/>
                <w:lang w:eastAsia="zh-TW"/>
              </w:rPr>
              <w:t>комуникационни кампании и други необходими действия за осигуряване на</w:t>
            </w:r>
            <w:r w:rsidR="007E68D0" w:rsidRPr="00243A9B">
              <w:rPr>
                <w:rFonts w:eastAsiaTheme="minorEastAsia"/>
                <w:sz w:val="22"/>
                <w:szCs w:val="22"/>
                <w:lang w:eastAsia="zh-TW"/>
              </w:rPr>
              <w:t xml:space="preserve"> информация и публичност).</w:t>
            </w:r>
          </w:p>
          <w:p w14:paraId="10F2D5BD" w14:textId="04263976" w:rsidR="00643B6E" w:rsidRPr="00243A9B" w:rsidRDefault="00C87618" w:rsidP="00377173">
            <w:pPr>
              <w:spacing w:after="120"/>
              <w:jc w:val="both"/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>По процедура</w:t>
            </w:r>
            <w:r w:rsidR="001F4D00" w:rsidRPr="00243A9B">
              <w:rPr>
                <w:sz w:val="22"/>
                <w:szCs w:val="22"/>
              </w:rPr>
              <w:t>та</w:t>
            </w:r>
            <w:r w:rsidRPr="00243A9B">
              <w:rPr>
                <w:sz w:val="22"/>
                <w:szCs w:val="22"/>
              </w:rPr>
              <w:t xml:space="preserve"> ще бъд</w:t>
            </w:r>
            <w:r w:rsidR="007E68D0" w:rsidRPr="00243A9B">
              <w:rPr>
                <w:sz w:val="22"/>
                <w:szCs w:val="22"/>
              </w:rPr>
              <w:t>е</w:t>
            </w:r>
            <w:r w:rsidRPr="00243A9B">
              <w:rPr>
                <w:sz w:val="22"/>
                <w:szCs w:val="22"/>
              </w:rPr>
              <w:t xml:space="preserve"> финансиран проект</w:t>
            </w:r>
            <w:r w:rsidR="00DD5340" w:rsidRPr="00243A9B">
              <w:rPr>
                <w:sz w:val="22"/>
                <w:szCs w:val="22"/>
              </w:rPr>
              <w:t xml:space="preserve"> </w:t>
            </w:r>
            <w:r w:rsidR="002F76C4" w:rsidRPr="00243A9B">
              <w:rPr>
                <w:sz w:val="22"/>
                <w:szCs w:val="22"/>
              </w:rPr>
              <w:t>по</w:t>
            </w:r>
            <w:r w:rsidRPr="00243A9B">
              <w:rPr>
                <w:sz w:val="22"/>
                <w:szCs w:val="22"/>
              </w:rPr>
              <w:t xml:space="preserve"> </w:t>
            </w:r>
            <w:r w:rsidR="007E68D0" w:rsidRPr="00243A9B">
              <w:rPr>
                <w:sz w:val="22"/>
                <w:szCs w:val="22"/>
              </w:rPr>
              <w:t>П</w:t>
            </w:r>
            <w:r w:rsidRPr="00243A9B">
              <w:rPr>
                <w:sz w:val="22"/>
                <w:szCs w:val="22"/>
              </w:rPr>
              <w:t xml:space="preserve">риоритетна ос 4 </w:t>
            </w:r>
            <w:r w:rsidR="00C9342A" w:rsidRPr="00243A9B">
              <w:rPr>
                <w:sz w:val="22"/>
                <w:szCs w:val="22"/>
              </w:rPr>
              <w:t>„</w:t>
            </w:r>
            <w:r w:rsidRPr="00243A9B">
              <w:rPr>
                <w:sz w:val="22"/>
                <w:szCs w:val="22"/>
              </w:rPr>
              <w:t>Техническа помощ за управлението на ЕСИФ</w:t>
            </w:r>
            <w:r w:rsidR="00C9342A" w:rsidRPr="00243A9B">
              <w:rPr>
                <w:sz w:val="22"/>
                <w:szCs w:val="22"/>
              </w:rPr>
              <w:t>“</w:t>
            </w:r>
            <w:r w:rsidRPr="00243A9B">
              <w:rPr>
                <w:sz w:val="22"/>
                <w:szCs w:val="22"/>
              </w:rPr>
              <w:t xml:space="preserve"> на ОПДУ</w:t>
            </w:r>
            <w:r w:rsidR="007E68D0" w:rsidRPr="00243A9B">
              <w:rPr>
                <w:sz w:val="22"/>
                <w:szCs w:val="22"/>
              </w:rPr>
              <w:t>, който</w:t>
            </w:r>
            <w:r w:rsidRPr="00243A9B">
              <w:rPr>
                <w:sz w:val="22"/>
                <w:szCs w:val="22"/>
              </w:rPr>
              <w:t xml:space="preserve"> </w:t>
            </w:r>
            <w:r w:rsidR="007E68D0" w:rsidRPr="00243A9B">
              <w:rPr>
                <w:sz w:val="22"/>
                <w:szCs w:val="22"/>
              </w:rPr>
              <w:t>ще допринесе за</w:t>
            </w:r>
            <w:r w:rsidRPr="00243A9B">
              <w:rPr>
                <w:sz w:val="22"/>
                <w:szCs w:val="22"/>
              </w:rPr>
              <w:t xml:space="preserve"> постигане на Специфична цел 3 </w:t>
            </w:r>
            <w:r w:rsidR="00C9342A" w:rsidRPr="00243A9B">
              <w:rPr>
                <w:sz w:val="22"/>
                <w:szCs w:val="22"/>
              </w:rPr>
              <w:t>„</w:t>
            </w:r>
            <w:r w:rsidRPr="00243A9B">
              <w:rPr>
                <w:sz w:val="22"/>
                <w:szCs w:val="22"/>
              </w:rPr>
              <w:t>Подобряване на информираността на обществото за възможностите и резултатите от ЕСИФ в България, както и подобряване капацитета на бенефициентите</w:t>
            </w:r>
            <w:r w:rsidR="00C9342A" w:rsidRPr="00243A9B">
              <w:rPr>
                <w:sz w:val="22"/>
                <w:szCs w:val="22"/>
              </w:rPr>
              <w:t>“</w:t>
            </w:r>
            <w:r w:rsidR="007E68D0" w:rsidRPr="00243A9B">
              <w:rPr>
                <w:sz w:val="22"/>
                <w:szCs w:val="22"/>
              </w:rPr>
              <w:t xml:space="preserve"> по тази приоритетна ос.</w:t>
            </w:r>
          </w:p>
          <w:p w14:paraId="453307AC" w14:textId="59C25C9E" w:rsidR="001F4D00" w:rsidRPr="00243A9B" w:rsidRDefault="001F4D00" w:rsidP="00377173">
            <w:pPr>
              <w:spacing w:after="120"/>
              <w:jc w:val="both"/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lastRenderedPageBreak/>
              <w:t>Процедурата надгражда резултатите от проекти (Е-ПОДЕМ и Е-ПОДЕМ+), реализирани от НСОРБ през програмен период 2007-2013 по ОПТП, чрез които бяха решени много от проблемите, които общините срещат при реализацията на проекти, съфинансирани със средства от ЕС – доставена е офис-техника, разработен е специализиран софтуер, осигурена е възможност за обучение в чужбина на ключови общински експерти, изградено е целево звено</w:t>
            </w:r>
            <w:r w:rsidR="00B7139E" w:rsidRPr="00243A9B">
              <w:rPr>
                <w:sz w:val="22"/>
                <w:szCs w:val="22"/>
              </w:rPr>
              <w:t xml:space="preserve"> </w:t>
            </w:r>
            <w:r w:rsidRPr="00243A9B">
              <w:rPr>
                <w:sz w:val="22"/>
                <w:szCs w:val="22"/>
              </w:rPr>
              <w:t xml:space="preserve">– </w:t>
            </w:r>
            <w:r w:rsidRPr="00243A9B">
              <w:rPr>
                <w:sz w:val="22"/>
                <w:szCs w:val="22"/>
                <w:lang w:eastAsia="zh-CN"/>
              </w:rPr>
              <w:t>ОРКЦ</w:t>
            </w:r>
            <w:r w:rsidRPr="00243A9B">
              <w:rPr>
                <w:sz w:val="22"/>
                <w:szCs w:val="22"/>
              </w:rPr>
              <w:t xml:space="preserve">. </w:t>
            </w:r>
          </w:p>
          <w:p w14:paraId="51BA1E96" w14:textId="1C932162" w:rsidR="001F4D00" w:rsidRPr="00243A9B" w:rsidRDefault="001F4D00" w:rsidP="00377173">
            <w:pPr>
              <w:spacing w:after="120"/>
              <w:jc w:val="both"/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>Към настоящия момент, общините разполагат с преобладаващата част от необходимите им технически средства – сървъри, компютри, скенери, електронни подписи, софтуер и т.н., с които да се електронизират общинските дейности по подготовка и отчитане на проекти, както и да се създават и съхраняват пълни електронни досиета на проектите. Разработената и внедрена в общините ИСУП позволява както съхраняването в дигитален вид на всички документи по проекта, така и генерирането и съхраняването на обобщена информация за неговото изпълнение. Системата позволява генерирането на различни видове справки (по видове разходи, по видове изпълнители и т.н.), както и обобщаването на данни в реално време в централизирания модул на НСОРБ.</w:t>
            </w:r>
          </w:p>
          <w:p w14:paraId="5A699C3F" w14:textId="1F53437C" w:rsidR="001F4D00" w:rsidRPr="00243A9B" w:rsidRDefault="001F4D00" w:rsidP="00377173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 xml:space="preserve">Успешната реализация на предходните проекти </w:t>
            </w:r>
            <w:r w:rsidR="00C9342A" w:rsidRPr="00243A9B">
              <w:rPr>
                <w:sz w:val="22"/>
                <w:szCs w:val="22"/>
              </w:rPr>
              <w:t>допринесе</w:t>
            </w:r>
            <w:r w:rsidRPr="00243A9B">
              <w:rPr>
                <w:sz w:val="22"/>
                <w:szCs w:val="22"/>
              </w:rPr>
              <w:t xml:space="preserve"> както за по-доброто изпълнение на конкретните изисквания и условия през новия програмен период, така и за идентифициране на следните потребности</w:t>
            </w:r>
            <w:r w:rsidRPr="00243A9B">
              <w:rPr>
                <w:b/>
                <w:sz w:val="22"/>
                <w:szCs w:val="22"/>
              </w:rPr>
              <w:t>:</w:t>
            </w:r>
          </w:p>
          <w:p w14:paraId="62B33884" w14:textId="2492DFF5" w:rsidR="00305BBA" w:rsidRPr="00243A9B" w:rsidRDefault="00B7139E" w:rsidP="00377173">
            <w:pPr>
              <w:pStyle w:val="ListParagraph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 xml:space="preserve">Развитие </w:t>
            </w:r>
            <w:r w:rsidR="001F4D00" w:rsidRPr="00243A9B">
              <w:rPr>
                <w:rFonts w:ascii="Times New Roman" w:hAnsi="Times New Roman"/>
              </w:rPr>
              <w:t>на общинския експертен капацитет чрез предоставяне на експертна подкрепа (вкл. на място в общините) за подготовка и изпълнение на проекти;</w:t>
            </w:r>
          </w:p>
          <w:p w14:paraId="1B6E49A3" w14:textId="150760A9" w:rsidR="00305BBA" w:rsidRPr="00243A9B" w:rsidRDefault="001F4D00" w:rsidP="00377173">
            <w:pPr>
              <w:pStyle w:val="ListParagraph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 xml:space="preserve">Доразвиване на техническите предпоставки за преминаване към изцяло </w:t>
            </w:r>
            <w:proofErr w:type="spellStart"/>
            <w:r w:rsidRPr="00243A9B">
              <w:rPr>
                <w:rFonts w:ascii="Times New Roman" w:hAnsi="Times New Roman"/>
              </w:rPr>
              <w:t>безхартиено</w:t>
            </w:r>
            <w:proofErr w:type="spellEnd"/>
            <w:r w:rsidRPr="00243A9B">
              <w:rPr>
                <w:rFonts w:ascii="Times New Roman" w:hAnsi="Times New Roman"/>
              </w:rPr>
              <w:t xml:space="preserve"> управление на общинските проекти, </w:t>
            </w:r>
            <w:r w:rsidR="00786280" w:rsidRPr="00243A9B">
              <w:rPr>
                <w:rFonts w:ascii="Times New Roman" w:hAnsi="Times New Roman"/>
              </w:rPr>
              <w:t>съ</w:t>
            </w:r>
            <w:r w:rsidRPr="00243A9B">
              <w:rPr>
                <w:rFonts w:ascii="Times New Roman" w:hAnsi="Times New Roman"/>
              </w:rPr>
              <w:t xml:space="preserve">финансирани от ЕСИФ. Необходимо е доразвиване на изградената система ИСУП и осигуряване на съвместимостта й с </w:t>
            </w:r>
            <w:r w:rsidR="00A24657" w:rsidRPr="00243A9B">
              <w:rPr>
                <w:rFonts w:ascii="Times New Roman" w:hAnsi="Times New Roman"/>
                <w:bCs/>
              </w:rPr>
              <w:t>Информационната система за управление и наблюдение на средствата от Европейските структурни и инвестиционни фондове</w:t>
            </w:r>
            <w:r w:rsidR="00A24657" w:rsidRPr="00243A9B">
              <w:rPr>
                <w:rFonts w:ascii="Times New Roman" w:hAnsi="Times New Roman"/>
              </w:rPr>
              <w:t xml:space="preserve"> (</w:t>
            </w:r>
            <w:r w:rsidRPr="00243A9B">
              <w:rPr>
                <w:rFonts w:ascii="Times New Roman" w:hAnsi="Times New Roman"/>
              </w:rPr>
              <w:t>ИСУН</w:t>
            </w:r>
            <w:r w:rsidR="00A24657" w:rsidRPr="00243A9B">
              <w:rPr>
                <w:rFonts w:ascii="Times New Roman" w:hAnsi="Times New Roman"/>
              </w:rPr>
              <w:t>),</w:t>
            </w:r>
            <w:r w:rsidRPr="00243A9B">
              <w:rPr>
                <w:rFonts w:ascii="Times New Roman" w:hAnsi="Times New Roman"/>
              </w:rPr>
              <w:t xml:space="preserve"> както и обвързването й с изградените вътрешни общински системи, при съответна възможност.</w:t>
            </w:r>
          </w:p>
          <w:p w14:paraId="4643B082" w14:textId="710BA8C3" w:rsidR="001F4D00" w:rsidRPr="00243A9B" w:rsidRDefault="001F4D00" w:rsidP="00377173">
            <w:pPr>
              <w:pStyle w:val="ListParagraph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/>
              </w:rPr>
            </w:pPr>
            <w:r w:rsidRPr="00243A9B">
              <w:rPr>
                <w:rFonts w:ascii="Times New Roman" w:hAnsi="Times New Roman"/>
              </w:rPr>
              <w:t xml:space="preserve">Създаване и разширяване на възможности за обмен на добри практики и споделяне на опит „от колега за колега“. </w:t>
            </w:r>
          </w:p>
          <w:p w14:paraId="6BF37ECA" w14:textId="77777777" w:rsidR="00835B90" w:rsidRPr="00243A9B" w:rsidRDefault="00835B90" w:rsidP="00377173">
            <w:pPr>
              <w:spacing w:after="120"/>
              <w:jc w:val="both"/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>С процедурата ще се осигури подкрепа за общините за успешно разработване и изпълнение на проекти, финансирани от ЕСИФ, чрез:</w:t>
            </w:r>
          </w:p>
          <w:p w14:paraId="20D01F8F" w14:textId="79F423A5" w:rsidR="00C87618" w:rsidRPr="00243A9B" w:rsidRDefault="00E3171B" w:rsidP="00377173">
            <w:pPr>
              <w:pStyle w:val="ListParagraph"/>
              <w:numPr>
                <w:ilvl w:val="0"/>
                <w:numId w:val="14"/>
              </w:numPr>
              <w:tabs>
                <w:tab w:val="left" w:pos="567"/>
              </w:tabs>
              <w:spacing w:after="120" w:line="240" w:lineRule="auto"/>
              <w:contextualSpacing w:val="0"/>
              <w:jc w:val="both"/>
              <w:rPr>
                <w:bCs/>
              </w:rPr>
            </w:pPr>
            <w:r w:rsidRPr="00243A9B">
              <w:rPr>
                <w:rFonts w:ascii="Times New Roman" w:hAnsi="Times New Roman"/>
                <w:bCs/>
              </w:rPr>
              <w:t xml:space="preserve">доразвиване </w:t>
            </w:r>
            <w:r w:rsidR="0056115B" w:rsidRPr="00243A9B">
              <w:rPr>
                <w:rFonts w:ascii="Times New Roman" w:hAnsi="Times New Roman"/>
                <w:bCs/>
              </w:rPr>
              <w:t>на ИСУП и п</w:t>
            </w:r>
            <w:r w:rsidR="009E411E" w:rsidRPr="00243A9B">
              <w:rPr>
                <w:rFonts w:ascii="Times New Roman" w:hAnsi="Times New Roman"/>
                <w:bCs/>
              </w:rPr>
              <w:t xml:space="preserve">редоставяне на среда за обмен на добри практики чрез ползване на обобщена информация за най-често срещани проблеми и техните решения при изпълнение на проекти, </w:t>
            </w:r>
            <w:r w:rsidR="00786280" w:rsidRPr="00243A9B">
              <w:rPr>
                <w:rFonts w:ascii="Times New Roman" w:hAnsi="Times New Roman"/>
                <w:bCs/>
              </w:rPr>
              <w:t>съ</w:t>
            </w:r>
            <w:r w:rsidR="009E411E" w:rsidRPr="00243A9B">
              <w:rPr>
                <w:rFonts w:ascii="Times New Roman" w:hAnsi="Times New Roman"/>
                <w:bCs/>
              </w:rPr>
              <w:t>финансирани от ЕСИФ;</w:t>
            </w:r>
          </w:p>
          <w:p w14:paraId="0CFA3ED0" w14:textId="10A5AE79" w:rsidR="00C87618" w:rsidRPr="00243A9B" w:rsidRDefault="00E3171B" w:rsidP="00377173">
            <w:pPr>
              <w:numPr>
                <w:ilvl w:val="0"/>
                <w:numId w:val="14"/>
              </w:numPr>
              <w:spacing w:after="120"/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 xml:space="preserve">подобряване </w:t>
            </w:r>
            <w:r w:rsidR="00C87618" w:rsidRPr="00243A9B">
              <w:rPr>
                <w:bCs/>
                <w:sz w:val="22"/>
                <w:szCs w:val="22"/>
              </w:rPr>
              <w:t>процеса по възлагане на обществени поръчки от общините;</w:t>
            </w:r>
            <w:r w:rsidR="00034B94" w:rsidRPr="00243A9B">
              <w:rPr>
                <w:bCs/>
                <w:sz w:val="22"/>
                <w:szCs w:val="22"/>
              </w:rPr>
              <w:t xml:space="preserve"> </w:t>
            </w:r>
            <w:r w:rsidR="00C87618" w:rsidRPr="00243A9B">
              <w:rPr>
                <w:bCs/>
                <w:sz w:val="22"/>
                <w:szCs w:val="22"/>
              </w:rPr>
              <w:t xml:space="preserve">Насърчаване на </w:t>
            </w:r>
            <w:proofErr w:type="spellStart"/>
            <w:r w:rsidR="00C87618" w:rsidRPr="00243A9B">
              <w:rPr>
                <w:bCs/>
                <w:sz w:val="22"/>
                <w:szCs w:val="22"/>
              </w:rPr>
              <w:t>междуобщинското</w:t>
            </w:r>
            <w:proofErr w:type="spellEnd"/>
            <w:r w:rsidR="00C87618" w:rsidRPr="00243A9B">
              <w:rPr>
                <w:bCs/>
                <w:sz w:val="22"/>
                <w:szCs w:val="22"/>
              </w:rPr>
              <w:t xml:space="preserve"> сътрудничество при реализация на </w:t>
            </w:r>
            <w:r w:rsidR="001F4D00" w:rsidRPr="00243A9B">
              <w:rPr>
                <w:bCs/>
                <w:sz w:val="22"/>
                <w:szCs w:val="22"/>
              </w:rPr>
              <w:t>посочените</w:t>
            </w:r>
            <w:r w:rsidR="00C87618" w:rsidRPr="00243A9B">
              <w:rPr>
                <w:bCs/>
                <w:sz w:val="22"/>
                <w:szCs w:val="22"/>
              </w:rPr>
              <w:t xml:space="preserve"> проекти;</w:t>
            </w:r>
          </w:p>
          <w:p w14:paraId="77486EDA" w14:textId="37E9A677" w:rsidR="00C87618" w:rsidRPr="00243A9B" w:rsidRDefault="00E3171B" w:rsidP="00377173">
            <w:pPr>
              <w:numPr>
                <w:ilvl w:val="0"/>
                <w:numId w:val="14"/>
              </w:numPr>
              <w:spacing w:after="120"/>
              <w:jc w:val="both"/>
              <w:rPr>
                <w:bCs/>
                <w:sz w:val="22"/>
                <w:szCs w:val="22"/>
              </w:rPr>
            </w:pPr>
            <w:r w:rsidRPr="00243A9B">
              <w:rPr>
                <w:bCs/>
                <w:sz w:val="22"/>
                <w:szCs w:val="22"/>
              </w:rPr>
              <w:t xml:space="preserve">подобряване </w:t>
            </w:r>
            <w:r w:rsidR="001F4D00" w:rsidRPr="00243A9B">
              <w:rPr>
                <w:bCs/>
                <w:sz w:val="22"/>
                <w:szCs w:val="22"/>
              </w:rPr>
              <w:t xml:space="preserve">на </w:t>
            </w:r>
            <w:r w:rsidR="00C87618" w:rsidRPr="00243A9B">
              <w:rPr>
                <w:bCs/>
                <w:sz w:val="22"/>
                <w:szCs w:val="22"/>
              </w:rPr>
              <w:t>комуникацията между общините и държавните органи, идентифициране и разпространение на добри общински практики.</w:t>
            </w:r>
          </w:p>
          <w:p w14:paraId="30D1915D" w14:textId="5E6E5488" w:rsidR="00C87618" w:rsidRPr="00243A9B" w:rsidRDefault="00C87618" w:rsidP="00377173">
            <w:pPr>
              <w:spacing w:after="120"/>
              <w:jc w:val="both"/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>Това ще бъде постигнато чрез финансиране на мерки, насочени към:</w:t>
            </w:r>
          </w:p>
          <w:p w14:paraId="13EC331A" w14:textId="55350D71" w:rsidR="00835B90" w:rsidRPr="00243A9B" w:rsidRDefault="00E3171B" w:rsidP="00377173">
            <w:pPr>
              <w:numPr>
                <w:ilvl w:val="0"/>
                <w:numId w:val="23"/>
              </w:numPr>
              <w:spacing w:after="120" w:line="276" w:lineRule="auto"/>
              <w:ind w:left="410"/>
              <w:contextualSpacing/>
              <w:jc w:val="both"/>
              <w:rPr>
                <w:sz w:val="22"/>
                <w:szCs w:val="22"/>
                <w:lang w:eastAsia="bg-BG"/>
              </w:rPr>
            </w:pPr>
            <w:r w:rsidRPr="00243A9B">
              <w:rPr>
                <w:sz w:val="22"/>
                <w:szCs w:val="22"/>
                <w:lang w:eastAsia="bg-BG"/>
              </w:rPr>
              <w:t xml:space="preserve">повишаване </w:t>
            </w:r>
            <w:r w:rsidR="00835B90" w:rsidRPr="00243A9B">
              <w:rPr>
                <w:sz w:val="22"/>
                <w:szCs w:val="22"/>
                <w:lang w:eastAsia="bg-BG"/>
              </w:rPr>
              <w:t xml:space="preserve">капацитета на </w:t>
            </w:r>
            <w:r w:rsidR="00835B90" w:rsidRPr="00243A9B">
              <w:rPr>
                <w:bCs/>
                <w:sz w:val="22"/>
                <w:szCs w:val="22"/>
                <w:lang w:eastAsia="bg-BG"/>
              </w:rPr>
              <w:t xml:space="preserve">общините за усвояване на средства от ЕСИФ </w:t>
            </w:r>
            <w:r w:rsidR="00E34347" w:rsidRPr="00243A9B">
              <w:rPr>
                <w:bCs/>
                <w:sz w:val="22"/>
                <w:szCs w:val="22"/>
                <w:lang w:eastAsia="bg-BG"/>
              </w:rPr>
              <w:t xml:space="preserve">чрез предоставяне на експертна подкрепа </w:t>
            </w:r>
            <w:r w:rsidR="00835B90" w:rsidRPr="00243A9B">
              <w:rPr>
                <w:bCs/>
                <w:sz w:val="22"/>
                <w:szCs w:val="22"/>
                <w:lang w:eastAsia="bg-BG"/>
              </w:rPr>
              <w:t>и предотвратяване допускането на грешки и нарушаване на приложимото законодателство, в това число</w:t>
            </w:r>
            <w:r w:rsidR="00835B90" w:rsidRPr="00243A9B">
              <w:rPr>
                <w:sz w:val="22"/>
                <w:szCs w:val="22"/>
                <w:lang w:eastAsia="bg-BG"/>
              </w:rPr>
              <w:t>:</w:t>
            </w:r>
          </w:p>
          <w:p w14:paraId="6771356C" w14:textId="008172C7" w:rsidR="00835B90" w:rsidRPr="00243A9B" w:rsidRDefault="00835B90" w:rsidP="00377173">
            <w:pPr>
              <w:numPr>
                <w:ilvl w:val="0"/>
                <w:numId w:val="35"/>
              </w:numPr>
              <w:spacing w:after="120" w:line="276" w:lineRule="auto"/>
              <w:ind w:firstLine="410"/>
              <w:contextualSpacing/>
              <w:jc w:val="both"/>
              <w:rPr>
                <w:bCs/>
                <w:sz w:val="22"/>
                <w:szCs w:val="22"/>
                <w:lang w:eastAsia="bg-BG"/>
              </w:rPr>
            </w:pPr>
            <w:r w:rsidRPr="00243A9B">
              <w:rPr>
                <w:bCs/>
                <w:sz w:val="22"/>
                <w:szCs w:val="22"/>
                <w:lang w:eastAsia="bg-BG"/>
              </w:rPr>
              <w:t>повишаване капацитета на общините за законосъобразно провеждане на обществени поръчки по проекти, съфинансирани от ЕСИФ;</w:t>
            </w:r>
          </w:p>
          <w:p w14:paraId="7D1B6D49" w14:textId="0E423871" w:rsidR="00835B90" w:rsidRPr="00243A9B" w:rsidRDefault="00835B90" w:rsidP="00377173">
            <w:pPr>
              <w:numPr>
                <w:ilvl w:val="0"/>
                <w:numId w:val="35"/>
              </w:numPr>
              <w:spacing w:after="120" w:line="276" w:lineRule="auto"/>
              <w:ind w:firstLine="410"/>
              <w:contextualSpacing/>
              <w:jc w:val="both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243A9B">
              <w:rPr>
                <w:bCs/>
                <w:sz w:val="22"/>
                <w:szCs w:val="22"/>
                <w:lang w:eastAsia="bg-BG"/>
              </w:rPr>
              <w:t xml:space="preserve">обмен на добри практики и насърчаване на </w:t>
            </w:r>
            <w:proofErr w:type="spellStart"/>
            <w:r w:rsidRPr="00243A9B">
              <w:rPr>
                <w:bCs/>
                <w:sz w:val="22"/>
                <w:szCs w:val="22"/>
                <w:lang w:eastAsia="bg-BG"/>
              </w:rPr>
              <w:t>междуобщинското</w:t>
            </w:r>
            <w:proofErr w:type="spellEnd"/>
            <w:r w:rsidRPr="00243A9B">
              <w:rPr>
                <w:bCs/>
                <w:sz w:val="22"/>
                <w:szCs w:val="22"/>
                <w:lang w:eastAsia="bg-BG"/>
              </w:rPr>
              <w:t xml:space="preserve"> сътрудничество във връзка с реализация на проекти, съфинансирани от ЕСИФ</w:t>
            </w:r>
            <w:r w:rsidR="00E34347" w:rsidRPr="00243A9B">
              <w:rPr>
                <w:bCs/>
                <w:sz w:val="22"/>
                <w:szCs w:val="22"/>
                <w:lang w:eastAsia="bg-BG"/>
              </w:rPr>
              <w:t>, подготовка и разпространение на консултативни материали (наръчници, справочници и т.н.), включително чрез провеждане на форуми;</w:t>
            </w:r>
          </w:p>
          <w:p w14:paraId="203C8FCB" w14:textId="0A13EF84" w:rsidR="00835B90" w:rsidRPr="00243A9B" w:rsidRDefault="00E3171B" w:rsidP="00377173">
            <w:pPr>
              <w:numPr>
                <w:ilvl w:val="0"/>
                <w:numId w:val="23"/>
              </w:numPr>
              <w:spacing w:after="120" w:line="276" w:lineRule="auto"/>
              <w:ind w:left="410"/>
              <w:contextualSpacing/>
              <w:jc w:val="both"/>
              <w:rPr>
                <w:bCs/>
                <w:sz w:val="22"/>
                <w:szCs w:val="22"/>
                <w:lang w:eastAsia="bg-BG"/>
              </w:rPr>
            </w:pPr>
            <w:r w:rsidRPr="00243A9B">
              <w:rPr>
                <w:bCs/>
                <w:sz w:val="22"/>
                <w:szCs w:val="22"/>
                <w:lang w:eastAsia="bg-BG"/>
              </w:rPr>
              <w:t xml:space="preserve">надграждане </w:t>
            </w:r>
            <w:r w:rsidR="00835B90" w:rsidRPr="00243A9B">
              <w:rPr>
                <w:bCs/>
                <w:sz w:val="22"/>
                <w:szCs w:val="22"/>
                <w:lang w:eastAsia="bg-BG"/>
              </w:rPr>
              <w:t>на ИСУП, вкл. осигуряване на съвместимостта й и обвързването й с ИСУН и обучение на служители в общинските администрации за работа с ИСУП.</w:t>
            </w:r>
          </w:p>
          <w:p w14:paraId="5D814A27" w14:textId="1DFE9DCF" w:rsidR="006371E7" w:rsidRPr="00243A9B" w:rsidRDefault="001B1F68" w:rsidP="00377173">
            <w:pPr>
              <w:spacing w:after="120"/>
              <w:jc w:val="both"/>
              <w:rPr>
                <w:sz w:val="22"/>
                <w:szCs w:val="22"/>
              </w:rPr>
            </w:pPr>
            <w:r w:rsidRPr="00243A9B">
              <w:rPr>
                <w:sz w:val="22"/>
                <w:szCs w:val="22"/>
              </w:rPr>
              <w:t xml:space="preserve">Процедурата кореспондира и с целите, заложени в Националната стратегия за развитие на сектора на обществените поръчки </w:t>
            </w:r>
            <w:r w:rsidR="00391F40" w:rsidRPr="00243A9B">
              <w:rPr>
                <w:sz w:val="22"/>
                <w:szCs w:val="22"/>
              </w:rPr>
              <w:t xml:space="preserve">в България за периода 2014-2020 г. </w:t>
            </w:r>
            <w:r w:rsidRPr="00243A9B">
              <w:rPr>
                <w:sz w:val="22"/>
                <w:szCs w:val="22"/>
              </w:rPr>
              <w:t xml:space="preserve">за създаване на условия за разходване на публичните финанси по възможно най-добрия начин, чрез повишаване на ефективността и </w:t>
            </w:r>
            <w:r w:rsidRPr="00243A9B">
              <w:rPr>
                <w:sz w:val="22"/>
                <w:szCs w:val="22"/>
              </w:rPr>
              <w:lastRenderedPageBreak/>
              <w:t>законосъобразността при възлагането на обществени поръчки.</w:t>
            </w:r>
            <w:r w:rsidR="000B3638" w:rsidRPr="00243A9B">
              <w:rPr>
                <w:sz w:val="22"/>
                <w:szCs w:val="22"/>
              </w:rPr>
              <w:t xml:space="preserve"> </w:t>
            </w:r>
            <w:r w:rsidR="00C96065" w:rsidRPr="00243A9B">
              <w:rPr>
                <w:sz w:val="22"/>
                <w:szCs w:val="22"/>
              </w:rPr>
              <w:t>Чрез процедурата ще се подпомогне прилагането от общините на Закона за управление на средствата от европейските структурни и инвестиционни фондове (ЗУСЕСИФ) и на Закона за обществените поръчки (ЗОП).</w:t>
            </w:r>
          </w:p>
          <w:p w14:paraId="5BE00139" w14:textId="4406A64A" w:rsidR="00C96065" w:rsidRPr="00243A9B" w:rsidRDefault="00C96065" w:rsidP="00377173">
            <w:pPr>
              <w:spacing w:after="120"/>
              <w:jc w:val="both"/>
              <w:rPr>
                <w:highlight w:val="yellow"/>
              </w:rPr>
            </w:pPr>
            <w:r w:rsidRPr="00243A9B">
              <w:rPr>
                <w:sz w:val="22"/>
                <w:szCs w:val="22"/>
              </w:rPr>
              <w:t>Процедурата допълва проект № BG05SFOP001-2.004-0002 „Подобряване капацитета на общинските служители за предоставяне на качествени публични услуги“ на НСОРБ по Процедура BG05SFOP001-2.004 по Оперативна програма „Добро управление“ (ОПДУ).</w:t>
            </w:r>
          </w:p>
        </w:tc>
      </w:tr>
    </w:tbl>
    <w:p w14:paraId="58C08F05" w14:textId="20395946" w:rsidR="00D26357" w:rsidRPr="00243A9B" w:rsidRDefault="00D26357">
      <w:pPr>
        <w:rPr>
          <w:sz w:val="22"/>
          <w:szCs w:val="22"/>
        </w:rPr>
      </w:pPr>
    </w:p>
    <w:sectPr w:rsidR="00D26357" w:rsidRPr="00243A9B" w:rsidSect="001F1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0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09840" w14:textId="77777777" w:rsidR="00604E20" w:rsidRDefault="00604E20" w:rsidP="00696DB9">
      <w:r>
        <w:separator/>
      </w:r>
    </w:p>
  </w:endnote>
  <w:endnote w:type="continuationSeparator" w:id="0">
    <w:p w14:paraId="00A8E0F5" w14:textId="77777777" w:rsidR="00604E20" w:rsidRDefault="00604E20" w:rsidP="006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4885F" w14:textId="77777777" w:rsidR="00571B93" w:rsidRDefault="006D2FB5" w:rsidP="003F20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30676C" w14:textId="77777777" w:rsidR="00571B93" w:rsidRDefault="00BE50CE" w:rsidP="003F20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A0FE" w14:textId="56C8C503" w:rsidR="00571B93" w:rsidRDefault="006D2FB5" w:rsidP="003F20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0CE">
      <w:rPr>
        <w:rStyle w:val="PageNumber"/>
        <w:noProof/>
      </w:rPr>
      <w:t>7</w:t>
    </w:r>
    <w:r>
      <w:rPr>
        <w:rStyle w:val="PageNumber"/>
      </w:rPr>
      <w:fldChar w:fldCharType="end"/>
    </w:r>
  </w:p>
  <w:p w14:paraId="4BCC2550" w14:textId="77777777" w:rsidR="00571B93" w:rsidRDefault="00BE50CE" w:rsidP="003F20A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85CC3" w14:textId="77777777" w:rsidR="003863ED" w:rsidRDefault="00BE5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6B0FC" w14:textId="77777777" w:rsidR="00604E20" w:rsidRDefault="00604E20" w:rsidP="00696DB9">
      <w:r>
        <w:separator/>
      </w:r>
    </w:p>
  </w:footnote>
  <w:footnote w:type="continuationSeparator" w:id="0">
    <w:p w14:paraId="7B734C84" w14:textId="77777777" w:rsidR="00604E20" w:rsidRDefault="00604E20" w:rsidP="00696DB9">
      <w:r>
        <w:continuationSeparator/>
      </w:r>
    </w:p>
  </w:footnote>
  <w:footnote w:id="1">
    <w:p w14:paraId="2C3BA5C4" w14:textId="1ADD973C" w:rsidR="002B6B20" w:rsidRPr="002B6B20" w:rsidRDefault="002B6B20" w:rsidP="002B6B2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B6B20">
        <w:t>Изменени с решение на РУО от</w:t>
      </w:r>
      <w:r w:rsidR="00BE50CE">
        <w:t xml:space="preserve"> </w:t>
      </w:r>
      <w:r w:rsidR="00BE50CE" w:rsidRPr="00BE50CE">
        <w:t>26.05.2020</w:t>
      </w:r>
      <w:r w:rsidRPr="002B6B20">
        <w:t xml:space="preserve"> (обективирано в контролен лист) в съответствие с процедурно решение на КН на ОПДУ, взето на XII-тото редовно заседание на комитета, проведено на 22.11.2019 г., съгласно което КН на ОПДУ одобрява Критериите за подбор на операции единствено в част II. Специфични критерии и част III. Индикатори. </w:t>
      </w:r>
      <w:r w:rsidRPr="002B6B20">
        <w:rPr>
          <w:b/>
        </w:rPr>
        <w:t xml:space="preserve">При изменения на КПО, съответно КН на ОПДУ ще одобрява изменения единствено в част II. Специфични критерии или отпадане на </w:t>
      </w:r>
      <w:proofErr w:type="spellStart"/>
      <w:r w:rsidRPr="002B6B20">
        <w:rPr>
          <w:b/>
        </w:rPr>
        <w:t>относими</w:t>
      </w:r>
      <w:proofErr w:type="spellEnd"/>
      <w:r w:rsidRPr="002B6B20">
        <w:rPr>
          <w:b/>
        </w:rPr>
        <w:t xml:space="preserve"> към процедурата индикатори.</w:t>
      </w:r>
      <w:r w:rsidRPr="002B6B20">
        <w:t xml:space="preserve"> За изменения в част I. Обща информация, част IV. Обосновка или включване на нови </w:t>
      </w:r>
      <w:proofErr w:type="spellStart"/>
      <w:r w:rsidRPr="002B6B20">
        <w:t>относими</w:t>
      </w:r>
      <w:proofErr w:type="spellEnd"/>
      <w:r w:rsidRPr="002B6B20">
        <w:t xml:space="preserve"> индикатори, КН единствено ще бъде информиран.</w:t>
      </w:r>
    </w:p>
  </w:footnote>
  <w:footnote w:id="2">
    <w:p w14:paraId="1BE56A92" w14:textId="77777777" w:rsidR="00696DB9" w:rsidRPr="00B14558" w:rsidRDefault="00696DB9" w:rsidP="00696DB9">
      <w:pPr>
        <w:pStyle w:val="FootnoteText"/>
        <w:jc w:val="both"/>
      </w:pPr>
      <w:r w:rsidRPr="00B14558">
        <w:rPr>
          <w:rStyle w:val="FootnoteReference"/>
        </w:rPr>
        <w:footnoteRef/>
      </w:r>
      <w:r w:rsidRPr="00B14558">
        <w:t xml:space="preserve"> Регламент (ЕС) № 1303/2013 на Европейския парламент и на Съвета от 17 декември 2013 година за определяне на </w:t>
      </w:r>
      <w:proofErr w:type="spellStart"/>
      <w:r w:rsidRPr="00B14558">
        <w:t>общоприложими</w:t>
      </w:r>
      <w:proofErr w:type="spellEnd"/>
      <w:r w:rsidRPr="00B14558">
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</w:t>
      </w:r>
    </w:p>
  </w:footnote>
  <w:footnote w:id="3">
    <w:p w14:paraId="4B362EB7" w14:textId="77777777" w:rsidR="00F458C0" w:rsidRPr="00B14558" w:rsidRDefault="00F458C0" w:rsidP="00F458C0">
      <w:pPr>
        <w:pStyle w:val="FootnoteText"/>
        <w:jc w:val="both"/>
      </w:pPr>
      <w:r w:rsidRPr="00B14558">
        <w:rPr>
          <w:rStyle w:val="FootnoteReference"/>
        </w:rPr>
        <w:footnoteRef/>
      </w:r>
      <w:r w:rsidRPr="00B14558">
        <w:t xml:space="preserve"> Постановление № 189 на Министерския съвет от 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 – 2020 г. </w:t>
      </w:r>
    </w:p>
  </w:footnote>
  <w:footnote w:id="4">
    <w:p w14:paraId="77E7FDAB" w14:textId="31A692B8" w:rsidR="00696DB9" w:rsidRPr="0071215E" w:rsidRDefault="00696DB9" w:rsidP="00696DB9">
      <w:pPr>
        <w:pStyle w:val="FootnoteText"/>
        <w:jc w:val="both"/>
        <w:rPr>
          <w:sz w:val="18"/>
          <w:szCs w:val="18"/>
        </w:rPr>
      </w:pPr>
      <w:r w:rsidRPr="0006573E">
        <w:rPr>
          <w:rStyle w:val="FootnoteReference"/>
        </w:rPr>
        <w:footnoteRef/>
      </w:r>
      <w:r w:rsidRPr="00B14558">
        <w:t xml:space="preserve"> Обосновката задължително включва изисквания за съответствие на </w:t>
      </w:r>
      <w:r w:rsidR="00D604C6">
        <w:t>процедурата</w:t>
      </w:r>
      <w:r w:rsidR="00D604C6" w:rsidRPr="00B14558">
        <w:t xml:space="preserve"> </w:t>
      </w:r>
      <w:r w:rsidRPr="00B14558">
        <w:t xml:space="preserve">със стратегическите документи, </w:t>
      </w:r>
      <w:proofErr w:type="spellStart"/>
      <w:r w:rsidRPr="00B14558">
        <w:t>относими</w:t>
      </w:r>
      <w:proofErr w:type="spellEnd"/>
      <w:r w:rsidRPr="00B14558">
        <w:t xml:space="preserve"> към програмата и пътните карти към тях.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12D3B" w14:textId="77777777" w:rsidR="003863ED" w:rsidRDefault="00BE50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4824A" w14:textId="77777777" w:rsidR="003863ED" w:rsidRDefault="00BE50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0CF3" w14:textId="77777777" w:rsidR="005B0C66" w:rsidRDefault="006D2FB5" w:rsidP="005B0C66">
    <w:pPr>
      <w:pStyle w:val="Header"/>
    </w:pPr>
    <w:r>
      <w:rPr>
        <w:rFonts w:eastAsia="SimSun"/>
        <w:lang w:val="en-US"/>
      </w:rPr>
      <w:t xml:space="preserve">   </w:t>
    </w:r>
    <w:r w:rsidRPr="006212FD">
      <w:rPr>
        <w:rFonts w:eastAsia="SimSun"/>
      </w:rPr>
      <w:t xml:space="preserve">  </w:t>
    </w:r>
    <w:r w:rsidR="00696DB9" w:rsidRPr="006212FD">
      <w:rPr>
        <w:rFonts w:ascii="Trebuchet MS" w:eastAsia="SimSun" w:hAnsi="Trebuchet MS"/>
        <w:noProof/>
        <w:color w:val="32598C"/>
        <w:sz w:val="19"/>
        <w:szCs w:val="19"/>
        <w:lang w:eastAsia="bg-BG"/>
      </w:rPr>
      <w:drawing>
        <wp:inline distT="0" distB="0" distL="0" distR="0" wp14:anchorId="5B5548A4" wp14:editId="71D0B050">
          <wp:extent cx="706755" cy="540385"/>
          <wp:effectExtent l="0" t="0" r="0" b="0"/>
          <wp:docPr id="13" name="Picture 13" descr="Начало">
            <a:hlinkClick xmlns:a="http://schemas.openxmlformats.org/drawingml/2006/main" r:id="rId1" tooltip="&quot;Начало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ачал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eastAsia="SimSun" w:hAnsi="Trebuchet MS"/>
        <w:noProof/>
        <w:color w:val="32598C"/>
        <w:sz w:val="19"/>
        <w:szCs w:val="19"/>
        <w:lang w:eastAsia="bg-BG"/>
      </w:rPr>
      <w:t xml:space="preserve">     </w:t>
    </w:r>
    <w:r w:rsidR="00696DB9" w:rsidRPr="006212FD">
      <w:rPr>
        <w:rFonts w:ascii="Trebuchet MS" w:eastAsia="SimSun" w:hAnsi="Trebuchet MS"/>
        <w:noProof/>
        <w:color w:val="32598C"/>
        <w:sz w:val="19"/>
        <w:szCs w:val="19"/>
        <w:lang w:eastAsia="bg-BG"/>
      </w:rPr>
      <w:drawing>
        <wp:inline distT="0" distB="0" distL="0" distR="0" wp14:anchorId="6E08ED1D" wp14:editId="677D5BB5">
          <wp:extent cx="3597910" cy="421640"/>
          <wp:effectExtent l="0" t="0" r="2540" b="0"/>
          <wp:docPr id="14" name="Picture 14" descr="Начало">
            <a:hlinkClick xmlns:a="http://schemas.openxmlformats.org/drawingml/2006/main" r:id="rId1" tooltip="&quot;Начало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Начало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eastAsia="SimSun" w:hAnsi="Trebuchet MS"/>
        <w:noProof/>
        <w:color w:val="32598C"/>
        <w:sz w:val="19"/>
        <w:szCs w:val="19"/>
        <w:lang w:eastAsia="bg-BG"/>
      </w:rPr>
      <w:t xml:space="preserve">     </w:t>
    </w:r>
    <w:r w:rsidRPr="006212FD">
      <w:rPr>
        <w:rFonts w:ascii="Trebuchet MS" w:eastAsia="SimSun" w:hAnsi="Trebuchet MS"/>
        <w:noProof/>
        <w:color w:val="32598C"/>
        <w:sz w:val="19"/>
        <w:szCs w:val="19"/>
        <w:lang w:eastAsia="bg-BG"/>
      </w:rPr>
      <w:t xml:space="preserve"> </w:t>
    </w:r>
    <w:r w:rsidR="00696DB9" w:rsidRPr="006212FD">
      <w:rPr>
        <w:rFonts w:ascii="Trebuchet MS" w:eastAsia="SimSun" w:hAnsi="Trebuchet MS"/>
        <w:noProof/>
        <w:color w:val="32598C"/>
        <w:sz w:val="19"/>
        <w:szCs w:val="19"/>
        <w:lang w:eastAsia="bg-BG"/>
      </w:rPr>
      <w:drawing>
        <wp:inline distT="0" distB="0" distL="0" distR="0" wp14:anchorId="4F34176E" wp14:editId="1C73A749">
          <wp:extent cx="617220" cy="563880"/>
          <wp:effectExtent l="0" t="0" r="0" b="7620"/>
          <wp:docPr id="15" name="Picture 15" descr="Начало">
            <a:hlinkClick xmlns:a="http://schemas.openxmlformats.org/drawingml/2006/main" r:id="rId1" tooltip="&quot;Начало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Начало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12FD">
      <w:rPr>
        <w:rFonts w:ascii="Trebuchet MS" w:eastAsia="SimSun" w:hAnsi="Trebuchet MS"/>
        <w:noProof/>
        <w:color w:val="32598C"/>
        <w:sz w:val="19"/>
        <w:szCs w:val="19"/>
        <w:lang w:eastAsia="bg-BG"/>
      </w:rPr>
      <w:t xml:space="preserve">  </w:t>
    </w:r>
  </w:p>
  <w:p w14:paraId="182CCFC6" w14:textId="77777777" w:rsidR="005B0C66" w:rsidRPr="005B0C66" w:rsidRDefault="00BE5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4E"/>
    <w:multiLevelType w:val="hybridMultilevel"/>
    <w:tmpl w:val="F1FAC9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7F7"/>
    <w:multiLevelType w:val="hybridMultilevel"/>
    <w:tmpl w:val="98740C0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9A40EA"/>
    <w:multiLevelType w:val="hybridMultilevel"/>
    <w:tmpl w:val="94B800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94290"/>
    <w:multiLevelType w:val="hybridMultilevel"/>
    <w:tmpl w:val="AD7E5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A2641"/>
    <w:multiLevelType w:val="hybridMultilevel"/>
    <w:tmpl w:val="845EAC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C419F"/>
    <w:multiLevelType w:val="hybridMultilevel"/>
    <w:tmpl w:val="55BEDA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437C"/>
    <w:multiLevelType w:val="hybridMultilevel"/>
    <w:tmpl w:val="742A11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2784D"/>
    <w:multiLevelType w:val="hybridMultilevel"/>
    <w:tmpl w:val="F71C97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5B43"/>
    <w:multiLevelType w:val="hybridMultilevel"/>
    <w:tmpl w:val="DCF899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A4F71"/>
    <w:multiLevelType w:val="hybridMultilevel"/>
    <w:tmpl w:val="F3443062"/>
    <w:lvl w:ilvl="0" w:tplc="86CCDB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2752E"/>
    <w:multiLevelType w:val="hybridMultilevel"/>
    <w:tmpl w:val="6C30D2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95D6C"/>
    <w:multiLevelType w:val="hybridMultilevel"/>
    <w:tmpl w:val="E39205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C6D64"/>
    <w:multiLevelType w:val="hybridMultilevel"/>
    <w:tmpl w:val="B78297B2"/>
    <w:lvl w:ilvl="0" w:tplc="C1FA0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67FF5"/>
    <w:multiLevelType w:val="hybridMultilevel"/>
    <w:tmpl w:val="41DCF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A6176"/>
    <w:multiLevelType w:val="hybridMultilevel"/>
    <w:tmpl w:val="6AE2B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9BE"/>
    <w:multiLevelType w:val="hybridMultilevel"/>
    <w:tmpl w:val="55C264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F0906FFA">
      <w:numFmt w:val="bullet"/>
      <w:lvlText w:val="−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A0EAC"/>
    <w:multiLevelType w:val="hybridMultilevel"/>
    <w:tmpl w:val="11D69E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D725E"/>
    <w:multiLevelType w:val="hybridMultilevel"/>
    <w:tmpl w:val="C30C1F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60DF"/>
    <w:multiLevelType w:val="hybridMultilevel"/>
    <w:tmpl w:val="3356B80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DBE59EC"/>
    <w:multiLevelType w:val="hybridMultilevel"/>
    <w:tmpl w:val="12BAB922"/>
    <w:lvl w:ilvl="0" w:tplc="37A41416">
      <w:start w:val="1"/>
      <w:numFmt w:val="bullet"/>
      <w:lvlText w:val="−"/>
      <w:lvlJc w:val="left"/>
      <w:pPr>
        <w:ind w:left="1636" w:hanging="360"/>
      </w:pPr>
      <w:rPr>
        <w:rFonts w:ascii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0" w15:restartNumberingAfterBreak="0">
    <w:nsid w:val="41DA0A00"/>
    <w:multiLevelType w:val="hybridMultilevel"/>
    <w:tmpl w:val="C5560F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B6C99"/>
    <w:multiLevelType w:val="hybridMultilevel"/>
    <w:tmpl w:val="035406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56D92"/>
    <w:multiLevelType w:val="hybridMultilevel"/>
    <w:tmpl w:val="8814E8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F07AC"/>
    <w:multiLevelType w:val="hybridMultilevel"/>
    <w:tmpl w:val="E098AF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94873"/>
    <w:multiLevelType w:val="hybridMultilevel"/>
    <w:tmpl w:val="6AC46F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0A53"/>
    <w:multiLevelType w:val="hybridMultilevel"/>
    <w:tmpl w:val="A87AE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87A48"/>
    <w:multiLevelType w:val="hybridMultilevel"/>
    <w:tmpl w:val="F2CAF9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631F4"/>
    <w:multiLevelType w:val="hybridMultilevel"/>
    <w:tmpl w:val="3B7C5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26693"/>
    <w:multiLevelType w:val="hybridMultilevel"/>
    <w:tmpl w:val="9E7A5C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73B92"/>
    <w:multiLevelType w:val="hybridMultilevel"/>
    <w:tmpl w:val="243C7A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37D05"/>
    <w:multiLevelType w:val="hybridMultilevel"/>
    <w:tmpl w:val="DD2A23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003A8"/>
    <w:multiLevelType w:val="hybridMultilevel"/>
    <w:tmpl w:val="DA4C4C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46326"/>
    <w:multiLevelType w:val="hybridMultilevel"/>
    <w:tmpl w:val="E342FE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5321E"/>
    <w:multiLevelType w:val="hybridMultilevel"/>
    <w:tmpl w:val="2A6617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F2FF3"/>
    <w:multiLevelType w:val="hybridMultilevel"/>
    <w:tmpl w:val="35AC7072"/>
    <w:lvl w:ilvl="0" w:tplc="040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EF5582"/>
    <w:multiLevelType w:val="hybridMultilevel"/>
    <w:tmpl w:val="00FAAEA2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E4A2B38"/>
    <w:multiLevelType w:val="hybridMultilevel"/>
    <w:tmpl w:val="85D6D9F4"/>
    <w:lvl w:ilvl="0" w:tplc="D23CCD54">
      <w:start w:val="1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35"/>
  </w:num>
  <w:num w:numId="4">
    <w:abstractNumId w:val="11"/>
  </w:num>
  <w:num w:numId="5">
    <w:abstractNumId w:val="16"/>
  </w:num>
  <w:num w:numId="6">
    <w:abstractNumId w:val="20"/>
  </w:num>
  <w:num w:numId="7">
    <w:abstractNumId w:val="36"/>
  </w:num>
  <w:num w:numId="8">
    <w:abstractNumId w:val="21"/>
  </w:num>
  <w:num w:numId="9">
    <w:abstractNumId w:val="23"/>
  </w:num>
  <w:num w:numId="10">
    <w:abstractNumId w:val="25"/>
  </w:num>
  <w:num w:numId="11">
    <w:abstractNumId w:val="8"/>
  </w:num>
  <w:num w:numId="12">
    <w:abstractNumId w:val="33"/>
  </w:num>
  <w:num w:numId="13">
    <w:abstractNumId w:val="12"/>
  </w:num>
  <w:num w:numId="14">
    <w:abstractNumId w:val="2"/>
  </w:num>
  <w:num w:numId="15">
    <w:abstractNumId w:val="14"/>
  </w:num>
  <w:num w:numId="16">
    <w:abstractNumId w:val="24"/>
  </w:num>
  <w:num w:numId="17">
    <w:abstractNumId w:val="2"/>
  </w:num>
  <w:num w:numId="18">
    <w:abstractNumId w:val="30"/>
  </w:num>
  <w:num w:numId="19">
    <w:abstractNumId w:val="31"/>
  </w:num>
  <w:num w:numId="20">
    <w:abstractNumId w:val="13"/>
  </w:num>
  <w:num w:numId="21">
    <w:abstractNumId w:val="7"/>
  </w:num>
  <w:num w:numId="22">
    <w:abstractNumId w:val="17"/>
  </w:num>
  <w:num w:numId="23">
    <w:abstractNumId w:val="6"/>
  </w:num>
  <w:num w:numId="24">
    <w:abstractNumId w:val="26"/>
  </w:num>
  <w:num w:numId="25">
    <w:abstractNumId w:val="10"/>
  </w:num>
  <w:num w:numId="26">
    <w:abstractNumId w:val="9"/>
  </w:num>
  <w:num w:numId="27">
    <w:abstractNumId w:val="4"/>
  </w:num>
  <w:num w:numId="28">
    <w:abstractNumId w:val="3"/>
  </w:num>
  <w:num w:numId="29">
    <w:abstractNumId w:val="0"/>
  </w:num>
  <w:num w:numId="30">
    <w:abstractNumId w:val="19"/>
  </w:num>
  <w:num w:numId="31">
    <w:abstractNumId w:val="5"/>
  </w:num>
  <w:num w:numId="32">
    <w:abstractNumId w:val="28"/>
  </w:num>
  <w:num w:numId="33">
    <w:abstractNumId w:val="18"/>
  </w:num>
  <w:num w:numId="34">
    <w:abstractNumId w:val="22"/>
  </w:num>
  <w:num w:numId="35">
    <w:abstractNumId w:val="27"/>
  </w:num>
  <w:num w:numId="36">
    <w:abstractNumId w:val="34"/>
  </w:num>
  <w:num w:numId="37">
    <w:abstractNumId w:val="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B9"/>
    <w:rsid w:val="00000D17"/>
    <w:rsid w:val="000076BA"/>
    <w:rsid w:val="000242AF"/>
    <w:rsid w:val="00034B94"/>
    <w:rsid w:val="00043E27"/>
    <w:rsid w:val="0004666D"/>
    <w:rsid w:val="00077AAE"/>
    <w:rsid w:val="000B3638"/>
    <w:rsid w:val="000C0939"/>
    <w:rsid w:val="000E145C"/>
    <w:rsid w:val="00102421"/>
    <w:rsid w:val="00125940"/>
    <w:rsid w:val="001B1F68"/>
    <w:rsid w:val="001B73FC"/>
    <w:rsid w:val="001E55FC"/>
    <w:rsid w:val="001E680E"/>
    <w:rsid w:val="001F0C1B"/>
    <w:rsid w:val="001F155F"/>
    <w:rsid w:val="001F3E74"/>
    <w:rsid w:val="001F4D00"/>
    <w:rsid w:val="00210BEE"/>
    <w:rsid w:val="00213B5F"/>
    <w:rsid w:val="002409BD"/>
    <w:rsid w:val="00243A9B"/>
    <w:rsid w:val="00256BB7"/>
    <w:rsid w:val="00267559"/>
    <w:rsid w:val="00285DE8"/>
    <w:rsid w:val="002B5325"/>
    <w:rsid w:val="002B6B20"/>
    <w:rsid w:val="002C103B"/>
    <w:rsid w:val="002D2208"/>
    <w:rsid w:val="002F76C4"/>
    <w:rsid w:val="003057F5"/>
    <w:rsid w:val="00305BBA"/>
    <w:rsid w:val="0032379F"/>
    <w:rsid w:val="00340045"/>
    <w:rsid w:val="0035337D"/>
    <w:rsid w:val="00377173"/>
    <w:rsid w:val="00391F40"/>
    <w:rsid w:val="003D65B5"/>
    <w:rsid w:val="003E0CA6"/>
    <w:rsid w:val="004015D8"/>
    <w:rsid w:val="0043395F"/>
    <w:rsid w:val="00451B5B"/>
    <w:rsid w:val="00452C57"/>
    <w:rsid w:val="00482E0C"/>
    <w:rsid w:val="00485EDC"/>
    <w:rsid w:val="0049434A"/>
    <w:rsid w:val="004C32E0"/>
    <w:rsid w:val="004C5254"/>
    <w:rsid w:val="004D37C8"/>
    <w:rsid w:val="004E1592"/>
    <w:rsid w:val="004E420F"/>
    <w:rsid w:val="005021C9"/>
    <w:rsid w:val="00536ADE"/>
    <w:rsid w:val="00556426"/>
    <w:rsid w:val="0056115B"/>
    <w:rsid w:val="00565BC6"/>
    <w:rsid w:val="00591E7B"/>
    <w:rsid w:val="005C4A32"/>
    <w:rsid w:val="005C759F"/>
    <w:rsid w:val="00604E20"/>
    <w:rsid w:val="00633D1B"/>
    <w:rsid w:val="006371E7"/>
    <w:rsid w:val="00643B6E"/>
    <w:rsid w:val="006502CE"/>
    <w:rsid w:val="00657637"/>
    <w:rsid w:val="00657DE4"/>
    <w:rsid w:val="00661D73"/>
    <w:rsid w:val="00676B47"/>
    <w:rsid w:val="00676D7F"/>
    <w:rsid w:val="006877DA"/>
    <w:rsid w:val="00696DB9"/>
    <w:rsid w:val="00697E2D"/>
    <w:rsid w:val="006C4ADE"/>
    <w:rsid w:val="006C5584"/>
    <w:rsid w:val="006D2FB5"/>
    <w:rsid w:val="00712A2A"/>
    <w:rsid w:val="007726E0"/>
    <w:rsid w:val="00786280"/>
    <w:rsid w:val="00791400"/>
    <w:rsid w:val="007A27AF"/>
    <w:rsid w:val="007E68D0"/>
    <w:rsid w:val="007E75D6"/>
    <w:rsid w:val="007F5026"/>
    <w:rsid w:val="00800D26"/>
    <w:rsid w:val="008248CE"/>
    <w:rsid w:val="00835B90"/>
    <w:rsid w:val="00853ABF"/>
    <w:rsid w:val="00855AB6"/>
    <w:rsid w:val="0086679C"/>
    <w:rsid w:val="00871500"/>
    <w:rsid w:val="00871D24"/>
    <w:rsid w:val="008930A9"/>
    <w:rsid w:val="00893E51"/>
    <w:rsid w:val="008D40FA"/>
    <w:rsid w:val="008D580D"/>
    <w:rsid w:val="00913D77"/>
    <w:rsid w:val="00920D4C"/>
    <w:rsid w:val="009E411E"/>
    <w:rsid w:val="00A02F10"/>
    <w:rsid w:val="00A12833"/>
    <w:rsid w:val="00A139B5"/>
    <w:rsid w:val="00A13FD3"/>
    <w:rsid w:val="00A24657"/>
    <w:rsid w:val="00A8484F"/>
    <w:rsid w:val="00AB424D"/>
    <w:rsid w:val="00AB5DCB"/>
    <w:rsid w:val="00B1427C"/>
    <w:rsid w:val="00B35A0F"/>
    <w:rsid w:val="00B44E94"/>
    <w:rsid w:val="00B46F5D"/>
    <w:rsid w:val="00B56FAC"/>
    <w:rsid w:val="00B7139E"/>
    <w:rsid w:val="00B735DC"/>
    <w:rsid w:val="00B8315E"/>
    <w:rsid w:val="00B94EF5"/>
    <w:rsid w:val="00BA0B0F"/>
    <w:rsid w:val="00BD78A9"/>
    <w:rsid w:val="00BE50CE"/>
    <w:rsid w:val="00C03E34"/>
    <w:rsid w:val="00C14E27"/>
    <w:rsid w:val="00C6194C"/>
    <w:rsid w:val="00C70348"/>
    <w:rsid w:val="00C87618"/>
    <w:rsid w:val="00C9342A"/>
    <w:rsid w:val="00C96065"/>
    <w:rsid w:val="00CA49B4"/>
    <w:rsid w:val="00CD1A2F"/>
    <w:rsid w:val="00CD3432"/>
    <w:rsid w:val="00CD5393"/>
    <w:rsid w:val="00CF6BA3"/>
    <w:rsid w:val="00D01241"/>
    <w:rsid w:val="00D26357"/>
    <w:rsid w:val="00D4411F"/>
    <w:rsid w:val="00D47019"/>
    <w:rsid w:val="00D5422C"/>
    <w:rsid w:val="00D604C6"/>
    <w:rsid w:val="00DA3F1D"/>
    <w:rsid w:val="00DC2944"/>
    <w:rsid w:val="00DD5340"/>
    <w:rsid w:val="00DF08D0"/>
    <w:rsid w:val="00E3171B"/>
    <w:rsid w:val="00E34347"/>
    <w:rsid w:val="00E35200"/>
    <w:rsid w:val="00E5282F"/>
    <w:rsid w:val="00E537EE"/>
    <w:rsid w:val="00EA7AB2"/>
    <w:rsid w:val="00EC2422"/>
    <w:rsid w:val="00EE4D64"/>
    <w:rsid w:val="00EF242D"/>
    <w:rsid w:val="00EF3DAE"/>
    <w:rsid w:val="00EF6684"/>
    <w:rsid w:val="00EF769F"/>
    <w:rsid w:val="00F13C73"/>
    <w:rsid w:val="00F1611B"/>
    <w:rsid w:val="00F32FB0"/>
    <w:rsid w:val="00F458C0"/>
    <w:rsid w:val="00F51DFE"/>
    <w:rsid w:val="00F81C7E"/>
    <w:rsid w:val="00F91224"/>
    <w:rsid w:val="00FD4D45"/>
    <w:rsid w:val="00FF2DAF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4250"/>
  <w15:chartTrackingRefBased/>
  <w15:docId w15:val="{1BC2809A-05FE-4675-B368-D1BB405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D5340"/>
    <w:pPr>
      <w:spacing w:before="100" w:beforeAutospacing="1" w:after="100" w:afterAutospacing="1"/>
      <w:outlineLvl w:val="1"/>
    </w:pPr>
    <w:rPr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6D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B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96D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96DB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696D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6DB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696DB9"/>
    <w:rPr>
      <w:vertAlign w:val="superscript"/>
    </w:rPr>
  </w:style>
  <w:style w:type="character" w:styleId="PageNumber">
    <w:name w:val="page number"/>
    <w:basedOn w:val="DefaultParagraphFont"/>
    <w:rsid w:val="00696DB9"/>
  </w:style>
  <w:style w:type="paragraph" w:customStyle="1" w:styleId="Style">
    <w:name w:val="Style"/>
    <w:rsid w:val="00696DB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696D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7F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4E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20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2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D53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opac.government.bg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762E-860B-4B33-AEFE-13B9C004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Дилян Пехливанов</dc:creator>
  <cp:keywords/>
  <dc:description/>
  <cp:lastModifiedBy>Николина Стоянова</cp:lastModifiedBy>
  <cp:revision>10</cp:revision>
  <cp:lastPrinted>2016-11-24T10:31:00Z</cp:lastPrinted>
  <dcterms:created xsi:type="dcterms:W3CDTF">2020-05-19T14:33:00Z</dcterms:created>
  <dcterms:modified xsi:type="dcterms:W3CDTF">2020-06-19T07:05:00Z</dcterms:modified>
</cp:coreProperties>
</file>