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8AD" w:rsidRDefault="006C71B7" w:rsidP="0088278E">
      <w:pPr>
        <w:spacing w:line="360" w:lineRule="auto"/>
        <w:jc w:val="both"/>
        <w:rPr>
          <w:lang w:val="bg-BG"/>
        </w:rPr>
      </w:pP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p>
    <w:p w:rsidR="003372EA" w:rsidRDefault="008A6B15" w:rsidP="00FA5381">
      <w:pPr>
        <w:spacing w:after="120"/>
        <w:jc w:val="center"/>
        <w:rPr>
          <w:b/>
          <w:sz w:val="24"/>
          <w:szCs w:val="24"/>
          <w:lang w:val="bg-BG"/>
        </w:rPr>
      </w:pPr>
      <w:r w:rsidRPr="008A6B15">
        <w:rPr>
          <w:b/>
          <w:sz w:val="24"/>
          <w:szCs w:val="24"/>
          <w:lang w:val="bg-BG"/>
        </w:rPr>
        <w:t>Мотиви за изменение на Индикативната годишна работна програма за 2020 г. на Оперативна програма „Добро управление“</w:t>
      </w:r>
    </w:p>
    <w:p w:rsidR="00332079" w:rsidRDefault="00332079" w:rsidP="0088278E">
      <w:pPr>
        <w:spacing w:after="120"/>
        <w:ind w:firstLine="709"/>
        <w:jc w:val="both"/>
        <w:rPr>
          <w:sz w:val="24"/>
          <w:szCs w:val="24"/>
          <w:lang w:val="bg-BG"/>
        </w:rPr>
      </w:pPr>
    </w:p>
    <w:p w:rsidR="00327E16" w:rsidRDefault="008A6B15" w:rsidP="0088278E">
      <w:pPr>
        <w:spacing w:after="120"/>
        <w:ind w:firstLine="709"/>
        <w:jc w:val="both"/>
        <w:rPr>
          <w:sz w:val="24"/>
          <w:szCs w:val="24"/>
          <w:lang w:val="bg-BG"/>
        </w:rPr>
      </w:pPr>
      <w:r w:rsidRPr="00AD7D5F">
        <w:rPr>
          <w:sz w:val="24"/>
          <w:szCs w:val="24"/>
          <w:lang w:val="bg-BG"/>
        </w:rPr>
        <w:t>Индикативната годишна работна програма (ИГРП)</w:t>
      </w:r>
      <w:r w:rsidR="00630FF6" w:rsidRPr="00AD7D5F">
        <w:rPr>
          <w:sz w:val="24"/>
          <w:szCs w:val="24"/>
          <w:lang w:val="en-US"/>
        </w:rPr>
        <w:t xml:space="preserve"> </w:t>
      </w:r>
      <w:r w:rsidRPr="00AD7D5F">
        <w:rPr>
          <w:sz w:val="24"/>
          <w:szCs w:val="24"/>
          <w:lang w:val="bg-BG"/>
        </w:rPr>
        <w:t>за 2020 г. на Оперативна програма „Добро управление“ (ОПДУ) беше одобрена от Комитета за наблюдение (КН) на ОПДУ по време на неговото Двадесето редовно заседание, което се проведе на 22 ноември 20</w:t>
      </w:r>
      <w:r w:rsidR="00B36F20">
        <w:rPr>
          <w:sz w:val="24"/>
          <w:szCs w:val="24"/>
          <w:lang w:val="en-US"/>
        </w:rPr>
        <w:t xml:space="preserve">19 </w:t>
      </w:r>
      <w:bookmarkStart w:id="0" w:name="_GoBack"/>
      <w:bookmarkEnd w:id="0"/>
      <w:r w:rsidRPr="00AD7D5F">
        <w:rPr>
          <w:sz w:val="24"/>
          <w:szCs w:val="24"/>
          <w:lang w:val="bg-BG"/>
        </w:rPr>
        <w:t>г.</w:t>
      </w:r>
      <w:r w:rsidR="008B4272" w:rsidRPr="00AD7D5F">
        <w:rPr>
          <w:sz w:val="24"/>
          <w:szCs w:val="24"/>
          <w:lang w:val="bg-BG"/>
        </w:rPr>
        <w:t xml:space="preserve"> </w:t>
      </w:r>
      <w:r w:rsidR="00631403" w:rsidRPr="00AD7D5F">
        <w:rPr>
          <w:sz w:val="24"/>
          <w:szCs w:val="24"/>
          <w:lang w:val="bg-BG"/>
        </w:rPr>
        <w:t>С</w:t>
      </w:r>
      <w:r w:rsidR="00AD5AD9" w:rsidRPr="00AD7D5F">
        <w:rPr>
          <w:sz w:val="24"/>
          <w:szCs w:val="24"/>
          <w:lang w:val="bg-BG"/>
        </w:rPr>
        <w:t xml:space="preserve"> решение на КН от 25.02.2020 г.</w:t>
      </w:r>
      <w:r w:rsidR="00AD5AD9" w:rsidRPr="00AD7D5F">
        <w:rPr>
          <w:lang w:val="bg-BG"/>
        </w:rPr>
        <w:t xml:space="preserve">, </w:t>
      </w:r>
      <w:r w:rsidR="00AD5AD9" w:rsidRPr="00AD7D5F">
        <w:rPr>
          <w:sz w:val="24"/>
          <w:szCs w:val="24"/>
          <w:lang w:val="bg-BG"/>
        </w:rPr>
        <w:t>прието чрез Единадесета процедура за неприсъствено приемане на решение, проведена в периода 14.01.2020 г. – 24.02.2020 г., беше одобрено първото изменение на ИГРП 2020.</w:t>
      </w:r>
      <w:r w:rsidR="00562B01" w:rsidRPr="00AD7D5F">
        <w:rPr>
          <w:sz w:val="24"/>
          <w:szCs w:val="24"/>
          <w:lang w:val="bg-BG"/>
        </w:rPr>
        <w:t xml:space="preserve"> </w:t>
      </w:r>
      <w:r w:rsidR="00631403" w:rsidRPr="00AD7D5F">
        <w:rPr>
          <w:sz w:val="24"/>
          <w:szCs w:val="24"/>
          <w:lang w:val="bg-BG"/>
        </w:rPr>
        <w:t xml:space="preserve">С решение на КН от </w:t>
      </w:r>
      <w:r w:rsidR="00AD7D5F" w:rsidRPr="00AD7D5F">
        <w:rPr>
          <w:sz w:val="24"/>
          <w:szCs w:val="24"/>
          <w:lang w:val="bg-BG"/>
        </w:rPr>
        <w:t>18</w:t>
      </w:r>
      <w:r w:rsidR="00631403" w:rsidRPr="00AD7D5F">
        <w:rPr>
          <w:sz w:val="24"/>
          <w:szCs w:val="24"/>
          <w:lang w:val="bg-BG"/>
        </w:rPr>
        <w:t xml:space="preserve">.06.2020 г., прието чрез Дванадесета процедура за неприсъствено приемане на решение, проведена в периода </w:t>
      </w:r>
      <w:r w:rsidR="00AD7D5F" w:rsidRPr="00AD7D5F">
        <w:rPr>
          <w:sz w:val="24"/>
          <w:szCs w:val="24"/>
          <w:lang w:val="bg-BG"/>
        </w:rPr>
        <w:t>12-17.07.2020 г.</w:t>
      </w:r>
      <w:r w:rsidR="00631403" w:rsidRPr="00AD7D5F">
        <w:rPr>
          <w:sz w:val="24"/>
          <w:szCs w:val="24"/>
          <w:lang w:val="bg-BG"/>
        </w:rPr>
        <w:t>, беше</w:t>
      </w:r>
      <w:r w:rsidR="00631403">
        <w:rPr>
          <w:sz w:val="24"/>
          <w:szCs w:val="24"/>
          <w:lang w:val="bg-BG"/>
        </w:rPr>
        <w:t xml:space="preserve"> одобрено второто изменение на ИГРП 2020</w:t>
      </w:r>
      <w:r w:rsidR="00631403" w:rsidRPr="00631403">
        <w:rPr>
          <w:sz w:val="24"/>
          <w:szCs w:val="24"/>
          <w:lang w:val="bg-BG"/>
        </w:rPr>
        <w:t>.</w:t>
      </w:r>
    </w:p>
    <w:p w:rsidR="00631403" w:rsidRDefault="00327E16" w:rsidP="0088278E">
      <w:pPr>
        <w:spacing w:after="120"/>
        <w:ind w:firstLine="709"/>
        <w:jc w:val="both"/>
        <w:rPr>
          <w:sz w:val="24"/>
          <w:szCs w:val="24"/>
          <w:lang w:val="bg-BG"/>
        </w:rPr>
      </w:pPr>
      <w:r>
        <w:rPr>
          <w:sz w:val="24"/>
          <w:szCs w:val="24"/>
          <w:lang w:val="bg-BG"/>
        </w:rPr>
        <w:t>В</w:t>
      </w:r>
      <w:r w:rsidR="00631403" w:rsidRPr="00631403">
        <w:rPr>
          <w:sz w:val="24"/>
          <w:szCs w:val="24"/>
          <w:lang w:val="bg-BG"/>
        </w:rPr>
        <w:t xml:space="preserve"> съответствие с чл. 26, ал. 8 на ЗУСЕСИФ, УО на ОПДУ предлага за съгласуване на Комитета за наблюдение проект за изменение на ИГРП на ОПДУ за </w:t>
      </w:r>
      <w:r w:rsidR="00631403">
        <w:rPr>
          <w:sz w:val="24"/>
          <w:szCs w:val="24"/>
          <w:lang w:val="bg-BG"/>
        </w:rPr>
        <w:t>2020</w:t>
      </w:r>
      <w:r w:rsidR="00631403" w:rsidRPr="00631403">
        <w:rPr>
          <w:sz w:val="24"/>
          <w:szCs w:val="24"/>
          <w:lang w:val="bg-BG"/>
        </w:rPr>
        <w:t xml:space="preserve"> г., който включва </w:t>
      </w:r>
      <w:r w:rsidR="00A602F6">
        <w:rPr>
          <w:sz w:val="24"/>
          <w:szCs w:val="24"/>
          <w:lang w:val="bg-BG"/>
        </w:rPr>
        <w:t>четири</w:t>
      </w:r>
      <w:r w:rsidR="00631403">
        <w:rPr>
          <w:sz w:val="24"/>
          <w:szCs w:val="24"/>
          <w:lang w:val="bg-BG"/>
        </w:rPr>
        <w:t xml:space="preserve"> нови процедури</w:t>
      </w:r>
      <w:r w:rsidR="00FA5381">
        <w:rPr>
          <w:sz w:val="24"/>
          <w:szCs w:val="24"/>
          <w:lang w:val="bg-BG"/>
        </w:rPr>
        <w:t>, както следва</w:t>
      </w:r>
      <w:r w:rsidR="00631403">
        <w:rPr>
          <w:sz w:val="24"/>
          <w:szCs w:val="24"/>
          <w:lang w:val="bg-BG"/>
        </w:rPr>
        <w:t>:</w:t>
      </w:r>
      <w:r w:rsidR="00631403" w:rsidRPr="00631403">
        <w:rPr>
          <w:sz w:val="24"/>
          <w:szCs w:val="24"/>
          <w:lang w:val="bg-BG"/>
        </w:rPr>
        <w:t xml:space="preserve"> </w:t>
      </w:r>
    </w:p>
    <w:p w:rsidR="00327E16" w:rsidRDefault="00327E16" w:rsidP="0088278E">
      <w:pPr>
        <w:numPr>
          <w:ilvl w:val="0"/>
          <w:numId w:val="8"/>
        </w:numPr>
        <w:ind w:left="1145" w:hanging="357"/>
        <w:jc w:val="both"/>
        <w:rPr>
          <w:sz w:val="24"/>
          <w:szCs w:val="24"/>
          <w:lang w:val="bg-BG"/>
        </w:rPr>
      </w:pPr>
      <w:r w:rsidRPr="00327E16">
        <w:rPr>
          <w:sz w:val="24"/>
          <w:szCs w:val="24"/>
          <w:lang w:val="bg-BG"/>
        </w:rPr>
        <w:t>Оптимизация и електронизация на регистри</w:t>
      </w:r>
      <w:r>
        <w:rPr>
          <w:sz w:val="24"/>
          <w:szCs w:val="24"/>
          <w:lang w:val="bg-BG"/>
        </w:rPr>
        <w:t>те и работните процеси в БАБХ;</w:t>
      </w:r>
    </w:p>
    <w:p w:rsidR="00327E16" w:rsidRDefault="00327E16" w:rsidP="0088278E">
      <w:pPr>
        <w:numPr>
          <w:ilvl w:val="0"/>
          <w:numId w:val="8"/>
        </w:numPr>
        <w:ind w:left="1145" w:hanging="357"/>
        <w:jc w:val="both"/>
        <w:rPr>
          <w:sz w:val="24"/>
          <w:szCs w:val="24"/>
          <w:lang w:val="bg-BG"/>
        </w:rPr>
      </w:pPr>
      <w:r w:rsidRPr="00327E16">
        <w:rPr>
          <w:sz w:val="24"/>
          <w:szCs w:val="24"/>
          <w:lang w:val="bg-BG"/>
        </w:rPr>
        <w:t>Създаване, надграждане и обединяване на електронни регистри на Национал</w:t>
      </w:r>
      <w:r w:rsidR="00CB101F">
        <w:rPr>
          <w:sz w:val="24"/>
          <w:szCs w:val="24"/>
          <w:lang w:val="bg-BG"/>
        </w:rPr>
        <w:t>ния</w:t>
      </w:r>
      <w:r w:rsidRPr="00327E16">
        <w:rPr>
          <w:sz w:val="24"/>
          <w:szCs w:val="24"/>
          <w:lang w:val="bg-BG"/>
        </w:rPr>
        <w:t xml:space="preserve"> център за информация и документация (НАЦИД) в областта на висшето образование</w:t>
      </w:r>
      <w:r>
        <w:rPr>
          <w:sz w:val="24"/>
          <w:szCs w:val="24"/>
          <w:lang w:val="bg-BG"/>
        </w:rPr>
        <w:t>;</w:t>
      </w:r>
    </w:p>
    <w:p w:rsidR="00327E16" w:rsidRDefault="00327E16" w:rsidP="0088278E">
      <w:pPr>
        <w:numPr>
          <w:ilvl w:val="0"/>
          <w:numId w:val="8"/>
        </w:numPr>
        <w:ind w:left="1145" w:hanging="357"/>
        <w:jc w:val="both"/>
        <w:rPr>
          <w:sz w:val="24"/>
          <w:szCs w:val="24"/>
          <w:lang w:val="bg-BG"/>
        </w:rPr>
      </w:pPr>
      <w:r w:rsidRPr="00327E16">
        <w:rPr>
          <w:sz w:val="24"/>
          <w:szCs w:val="24"/>
          <w:lang w:val="bg-BG"/>
        </w:rPr>
        <w:t>Развитие на информационната система и публичния регистър на Комисия</w:t>
      </w:r>
      <w:r w:rsidR="00CB101F">
        <w:rPr>
          <w:sz w:val="24"/>
          <w:szCs w:val="24"/>
          <w:lang w:val="bg-BG"/>
        </w:rPr>
        <w:t>та</w:t>
      </w:r>
      <w:r w:rsidRPr="00327E16">
        <w:rPr>
          <w:sz w:val="24"/>
          <w:szCs w:val="24"/>
          <w:lang w:val="bg-BG"/>
        </w:rPr>
        <w:t xml:space="preserve"> за защита на конкуренцията</w:t>
      </w:r>
      <w:r w:rsidR="006A1143">
        <w:rPr>
          <w:sz w:val="24"/>
          <w:szCs w:val="24"/>
          <w:lang w:val="bg-BG"/>
        </w:rPr>
        <w:t>;</w:t>
      </w:r>
    </w:p>
    <w:p w:rsidR="00327E16" w:rsidRDefault="00327E16" w:rsidP="0088278E">
      <w:pPr>
        <w:numPr>
          <w:ilvl w:val="0"/>
          <w:numId w:val="8"/>
        </w:numPr>
        <w:spacing w:after="120"/>
        <w:ind w:left="1145" w:hanging="357"/>
        <w:jc w:val="both"/>
        <w:rPr>
          <w:sz w:val="24"/>
          <w:szCs w:val="24"/>
          <w:lang w:val="bg-BG"/>
        </w:rPr>
      </w:pPr>
      <w:r w:rsidRPr="00327E16">
        <w:rPr>
          <w:sz w:val="24"/>
          <w:szCs w:val="24"/>
          <w:lang w:val="bg-BG"/>
        </w:rPr>
        <w:t>Разработка и внедряване на система за е-архивиране</w:t>
      </w:r>
      <w:r w:rsidR="006A1143">
        <w:rPr>
          <w:sz w:val="24"/>
          <w:szCs w:val="24"/>
          <w:lang w:val="bg-BG"/>
        </w:rPr>
        <w:t>.</w:t>
      </w:r>
    </w:p>
    <w:p w:rsidR="00FA5381" w:rsidRDefault="00FA5381" w:rsidP="00FA5381">
      <w:pPr>
        <w:spacing w:after="120"/>
        <w:ind w:left="426"/>
        <w:jc w:val="both"/>
        <w:rPr>
          <w:sz w:val="24"/>
          <w:szCs w:val="24"/>
          <w:lang w:val="bg-BG"/>
        </w:rPr>
      </w:pPr>
      <w:r>
        <w:rPr>
          <w:sz w:val="24"/>
          <w:szCs w:val="24"/>
          <w:lang w:val="bg-BG"/>
        </w:rPr>
        <w:t>Мотивите за предложените допълнения в ИГРП на ОПДУ за 2020 г. са следните:</w:t>
      </w:r>
    </w:p>
    <w:p w:rsidR="00327E16" w:rsidRPr="00327E16" w:rsidRDefault="00327E16" w:rsidP="0088278E">
      <w:pPr>
        <w:numPr>
          <w:ilvl w:val="0"/>
          <w:numId w:val="9"/>
        </w:numPr>
        <w:spacing w:after="120"/>
        <w:ind w:left="0" w:firstLine="426"/>
        <w:jc w:val="both"/>
        <w:rPr>
          <w:sz w:val="24"/>
          <w:szCs w:val="24"/>
          <w:lang w:val="bg-BG"/>
        </w:rPr>
      </w:pPr>
      <w:r w:rsidRPr="00327E16">
        <w:rPr>
          <w:sz w:val="24"/>
          <w:szCs w:val="24"/>
          <w:lang w:val="bg-BG"/>
        </w:rPr>
        <w:t>В Актуализираната пътна карта за изпълнение на Актуализираната стратегия за развитие на електронното управление 2019-2023 (ПКЕУ) е предвиден механизъм за приоритизиране на проектни идеи от Администрацията на Министерския съвет (АМС), Държавна агенция „Електронно управление“ (ДАЕУ) и Управляващия орган на Оперативна програма „Добро управление“ (УО на ОПДУ), които да бъдат финансирани от ОПДУ в рамките на Мярка 3 „Изпълнение на мерки, съгласно Концепцията за регистрова реформа“</w:t>
      </w:r>
      <w:r w:rsidR="00FA5381">
        <w:rPr>
          <w:sz w:val="24"/>
          <w:szCs w:val="24"/>
          <w:lang w:val="bg-BG"/>
        </w:rPr>
        <w:t xml:space="preserve"> от ПКЕУ</w:t>
      </w:r>
      <w:r w:rsidRPr="00327E16">
        <w:rPr>
          <w:sz w:val="24"/>
          <w:szCs w:val="24"/>
          <w:lang w:val="bg-BG"/>
        </w:rPr>
        <w:t>.</w:t>
      </w:r>
    </w:p>
    <w:p w:rsidR="00327E16" w:rsidRDefault="00327E16" w:rsidP="0088278E">
      <w:pPr>
        <w:spacing w:after="120"/>
        <w:ind w:firstLine="708"/>
        <w:jc w:val="both"/>
        <w:rPr>
          <w:sz w:val="24"/>
          <w:szCs w:val="24"/>
          <w:lang w:val="bg-BG"/>
        </w:rPr>
      </w:pPr>
      <w:r w:rsidRPr="00327E16">
        <w:rPr>
          <w:sz w:val="24"/>
          <w:szCs w:val="24"/>
          <w:lang w:val="bg-BG"/>
        </w:rPr>
        <w:t>В изпълнение на този механизъм през октомври 20</w:t>
      </w:r>
      <w:r w:rsidR="0014296B">
        <w:rPr>
          <w:sz w:val="24"/>
          <w:szCs w:val="24"/>
          <w:lang w:val="bg-BG"/>
        </w:rPr>
        <w:t>19</w:t>
      </w:r>
      <w:r w:rsidRPr="00327E16">
        <w:rPr>
          <w:sz w:val="24"/>
          <w:szCs w:val="24"/>
          <w:lang w:val="bg-BG"/>
        </w:rPr>
        <w:t xml:space="preserve"> г. АМС изпрати писмо до всички администрации за представяне на проектни идеи за изпълнение на мерки, съгласно Концепцията за регистрова реформа (КРР). През м. ноември и декември 20</w:t>
      </w:r>
      <w:r w:rsidR="0014296B">
        <w:rPr>
          <w:sz w:val="24"/>
          <w:szCs w:val="24"/>
          <w:lang w:val="bg-BG"/>
        </w:rPr>
        <w:t xml:space="preserve">19 </w:t>
      </w:r>
      <w:r w:rsidRPr="00327E16">
        <w:rPr>
          <w:sz w:val="24"/>
          <w:szCs w:val="24"/>
          <w:lang w:val="bg-BG"/>
        </w:rPr>
        <w:t>г. бяха проведени срещи с всички представили проектни идеи администрации, на които присъстваха представители на ДАЕУ, Дирекция „Модернизация на администрацията“ в АМС и УО на ОПДУ. В следващите месеци неколкократно бе изискана допълнителна информация от администрациите за уточняване обхвата на проектите, целите и очакваните резултати от тяхната реализация, вкл. с писмо от Председателя на ДАЕУ №ДАЕУ-13384-19.6.2020 г.</w:t>
      </w:r>
      <w:r>
        <w:rPr>
          <w:sz w:val="24"/>
          <w:szCs w:val="24"/>
          <w:lang w:val="bg-BG"/>
        </w:rPr>
        <w:t xml:space="preserve"> </w:t>
      </w:r>
    </w:p>
    <w:p w:rsidR="0014296B" w:rsidRPr="0014296B" w:rsidRDefault="0014296B" w:rsidP="0088278E">
      <w:pPr>
        <w:spacing w:after="120"/>
        <w:ind w:firstLine="708"/>
        <w:jc w:val="both"/>
        <w:rPr>
          <w:sz w:val="24"/>
          <w:szCs w:val="24"/>
          <w:lang w:val="bg-BG"/>
        </w:rPr>
      </w:pPr>
      <w:r w:rsidRPr="0014296B">
        <w:rPr>
          <w:sz w:val="24"/>
          <w:szCs w:val="24"/>
          <w:lang w:val="bg-BG"/>
        </w:rPr>
        <w:t>През м. юли 2020 г. бяха проведени няколко работни срещи за разглеждане на информацията по представените проектни идеи</w:t>
      </w:r>
      <w:r>
        <w:rPr>
          <w:sz w:val="24"/>
          <w:szCs w:val="24"/>
          <w:lang w:val="bg-BG"/>
        </w:rPr>
        <w:t>.</w:t>
      </w:r>
      <w:r w:rsidRPr="0014296B">
        <w:rPr>
          <w:sz w:val="24"/>
          <w:szCs w:val="24"/>
          <w:lang w:val="bg-BG"/>
        </w:rPr>
        <w:t xml:space="preserve"> На срещите присъстваха представители на ДАЕУ, УО на ОПДУ и дирекция „Модернизация на администрацията“ в АМС, като бяха разгледани представените проектни идеи и допълнително представената информация от администрации</w:t>
      </w:r>
      <w:r w:rsidR="00FA5381">
        <w:rPr>
          <w:sz w:val="24"/>
          <w:szCs w:val="24"/>
          <w:lang w:val="bg-BG"/>
        </w:rPr>
        <w:t xml:space="preserve">те по отношение на: </w:t>
      </w:r>
    </w:p>
    <w:p w:rsidR="0014296B" w:rsidRPr="0014296B" w:rsidRDefault="0014296B" w:rsidP="0088278E">
      <w:pPr>
        <w:numPr>
          <w:ilvl w:val="0"/>
          <w:numId w:val="8"/>
        </w:numPr>
        <w:ind w:left="1145" w:hanging="357"/>
        <w:jc w:val="both"/>
        <w:rPr>
          <w:sz w:val="24"/>
          <w:szCs w:val="24"/>
          <w:lang w:val="bg-BG"/>
        </w:rPr>
      </w:pPr>
      <w:r w:rsidRPr="0014296B">
        <w:rPr>
          <w:sz w:val="24"/>
          <w:szCs w:val="24"/>
          <w:lang w:val="bg-BG"/>
        </w:rPr>
        <w:lastRenderedPageBreak/>
        <w:t>Наличие на план за нормативни изменения във връзка с изграждането/ надграждането на регистъра/ регистрите</w:t>
      </w:r>
      <w:r>
        <w:rPr>
          <w:sz w:val="24"/>
          <w:szCs w:val="24"/>
          <w:lang w:val="bg-BG"/>
        </w:rPr>
        <w:t>;</w:t>
      </w:r>
    </w:p>
    <w:p w:rsidR="0014296B" w:rsidRPr="0014296B" w:rsidRDefault="0014296B" w:rsidP="0088278E">
      <w:pPr>
        <w:numPr>
          <w:ilvl w:val="0"/>
          <w:numId w:val="8"/>
        </w:numPr>
        <w:ind w:left="1145" w:hanging="357"/>
        <w:jc w:val="both"/>
        <w:rPr>
          <w:sz w:val="24"/>
          <w:szCs w:val="24"/>
          <w:lang w:val="bg-BG"/>
        </w:rPr>
      </w:pPr>
      <w:r w:rsidRPr="0014296B">
        <w:rPr>
          <w:sz w:val="24"/>
          <w:szCs w:val="24"/>
          <w:lang w:val="bg-BG"/>
        </w:rPr>
        <w:t>Принос на резултата от проектната идея за изпълнение на нормативни задължения на ниво ЕС или на национално ниво</w:t>
      </w:r>
      <w:r>
        <w:rPr>
          <w:sz w:val="24"/>
          <w:szCs w:val="24"/>
          <w:lang w:val="bg-BG"/>
        </w:rPr>
        <w:t>;</w:t>
      </w:r>
    </w:p>
    <w:p w:rsidR="0014296B" w:rsidRDefault="0014296B" w:rsidP="0088278E">
      <w:pPr>
        <w:numPr>
          <w:ilvl w:val="0"/>
          <w:numId w:val="8"/>
        </w:numPr>
        <w:ind w:left="1145" w:hanging="357"/>
        <w:jc w:val="both"/>
        <w:rPr>
          <w:sz w:val="24"/>
          <w:szCs w:val="24"/>
          <w:lang w:val="bg-BG"/>
        </w:rPr>
      </w:pPr>
      <w:r w:rsidRPr="0014296B">
        <w:rPr>
          <w:sz w:val="24"/>
          <w:szCs w:val="24"/>
          <w:lang w:val="bg-BG"/>
        </w:rPr>
        <w:t>Брой административни услуги, за чието предоставяне са необходими данни от конкретния регистър/ регистри, които ще са обект на интервенция</w:t>
      </w:r>
      <w:r>
        <w:rPr>
          <w:sz w:val="24"/>
          <w:szCs w:val="24"/>
          <w:lang w:val="bg-BG"/>
        </w:rPr>
        <w:t>;</w:t>
      </w:r>
    </w:p>
    <w:p w:rsidR="0014296B" w:rsidRDefault="0014296B" w:rsidP="0088278E">
      <w:pPr>
        <w:numPr>
          <w:ilvl w:val="0"/>
          <w:numId w:val="8"/>
        </w:numPr>
        <w:ind w:left="1145" w:hanging="357"/>
        <w:jc w:val="both"/>
        <w:rPr>
          <w:sz w:val="24"/>
          <w:szCs w:val="24"/>
          <w:lang w:val="bg-BG"/>
        </w:rPr>
      </w:pPr>
      <w:r w:rsidRPr="0014296B">
        <w:rPr>
          <w:sz w:val="24"/>
          <w:szCs w:val="24"/>
          <w:lang w:val="bg-BG"/>
        </w:rPr>
        <w:t>Брой нови или надградени административни услуги на ниво 3 или 4, или нови вътрешни електронни административни услуги</w:t>
      </w:r>
      <w:r>
        <w:rPr>
          <w:sz w:val="24"/>
          <w:szCs w:val="24"/>
          <w:lang w:val="bg-BG"/>
        </w:rPr>
        <w:t>;</w:t>
      </w:r>
    </w:p>
    <w:p w:rsidR="0014296B" w:rsidRDefault="0014296B" w:rsidP="0088278E">
      <w:pPr>
        <w:numPr>
          <w:ilvl w:val="0"/>
          <w:numId w:val="8"/>
        </w:numPr>
        <w:ind w:left="1145" w:hanging="357"/>
        <w:jc w:val="both"/>
        <w:rPr>
          <w:sz w:val="24"/>
          <w:szCs w:val="24"/>
          <w:lang w:val="bg-BG"/>
        </w:rPr>
      </w:pPr>
      <w:r w:rsidRPr="0014296B">
        <w:rPr>
          <w:sz w:val="24"/>
          <w:szCs w:val="24"/>
          <w:lang w:val="bg-BG"/>
        </w:rPr>
        <w:t>Брой на уникалните записи в регистъра/ регистрите, подлежащи на обединение или централизация (брой информационни обекти, чрез които се удостоверяват факти и обстоятелства</w:t>
      </w:r>
      <w:r>
        <w:rPr>
          <w:sz w:val="24"/>
          <w:szCs w:val="24"/>
          <w:lang w:val="bg-BG"/>
        </w:rPr>
        <w:t>;</w:t>
      </w:r>
    </w:p>
    <w:p w:rsidR="0014296B" w:rsidRDefault="0014296B" w:rsidP="0088278E">
      <w:pPr>
        <w:numPr>
          <w:ilvl w:val="0"/>
          <w:numId w:val="8"/>
        </w:numPr>
        <w:ind w:left="1145" w:hanging="357"/>
        <w:jc w:val="both"/>
        <w:rPr>
          <w:sz w:val="24"/>
          <w:szCs w:val="24"/>
          <w:lang w:val="bg-BG"/>
        </w:rPr>
      </w:pPr>
      <w:r w:rsidRPr="0014296B">
        <w:rPr>
          <w:sz w:val="24"/>
          <w:szCs w:val="24"/>
          <w:lang w:val="bg-BG"/>
        </w:rPr>
        <w:t>Брой предоставени административни услуги и вътрешни електронни административни услуги за предходната календарна година от регистрите, които ще бъдат надградени, централизирани или обединени</w:t>
      </w:r>
      <w:r>
        <w:rPr>
          <w:sz w:val="24"/>
          <w:szCs w:val="24"/>
          <w:lang w:val="bg-BG"/>
        </w:rPr>
        <w:t>;</w:t>
      </w:r>
    </w:p>
    <w:p w:rsidR="0014296B" w:rsidRDefault="0014296B" w:rsidP="0088278E">
      <w:pPr>
        <w:numPr>
          <w:ilvl w:val="0"/>
          <w:numId w:val="8"/>
        </w:numPr>
        <w:ind w:left="1145" w:hanging="357"/>
        <w:jc w:val="both"/>
        <w:rPr>
          <w:sz w:val="24"/>
          <w:szCs w:val="24"/>
          <w:lang w:val="bg-BG"/>
        </w:rPr>
      </w:pPr>
      <w:r w:rsidRPr="0014296B">
        <w:rPr>
          <w:sz w:val="24"/>
          <w:szCs w:val="24"/>
          <w:lang w:val="bg-BG"/>
        </w:rPr>
        <w:t>С колко ще намалее броят на отделните/ локалните регистри след обединяването/ централизацията</w:t>
      </w:r>
      <w:r>
        <w:rPr>
          <w:sz w:val="24"/>
          <w:szCs w:val="24"/>
          <w:lang w:val="bg-BG"/>
        </w:rPr>
        <w:t>;</w:t>
      </w:r>
    </w:p>
    <w:p w:rsidR="0014296B" w:rsidRDefault="0014296B" w:rsidP="0088278E">
      <w:pPr>
        <w:numPr>
          <w:ilvl w:val="0"/>
          <w:numId w:val="8"/>
        </w:numPr>
        <w:ind w:left="1145" w:hanging="357"/>
        <w:jc w:val="both"/>
        <w:rPr>
          <w:sz w:val="24"/>
          <w:szCs w:val="24"/>
          <w:lang w:val="bg-BG"/>
        </w:rPr>
      </w:pPr>
      <w:r w:rsidRPr="0014296B">
        <w:rPr>
          <w:sz w:val="24"/>
          <w:szCs w:val="24"/>
          <w:lang w:val="bg-BG"/>
        </w:rPr>
        <w:t>Използване на споделените ресурси н електронното управление</w:t>
      </w:r>
      <w:r>
        <w:rPr>
          <w:sz w:val="24"/>
          <w:szCs w:val="24"/>
          <w:lang w:val="bg-BG"/>
        </w:rPr>
        <w:t>;</w:t>
      </w:r>
    </w:p>
    <w:p w:rsidR="0014296B" w:rsidRDefault="0014296B" w:rsidP="0088278E">
      <w:pPr>
        <w:numPr>
          <w:ilvl w:val="0"/>
          <w:numId w:val="8"/>
        </w:numPr>
        <w:ind w:left="1145" w:hanging="357"/>
        <w:jc w:val="both"/>
        <w:rPr>
          <w:sz w:val="24"/>
          <w:szCs w:val="24"/>
          <w:lang w:val="bg-BG"/>
        </w:rPr>
      </w:pPr>
      <w:r w:rsidRPr="0014296B">
        <w:rPr>
          <w:sz w:val="24"/>
          <w:szCs w:val="24"/>
          <w:lang w:val="bg-BG"/>
        </w:rPr>
        <w:t>Необходимост от придобиване на софтуерен лиценз</w:t>
      </w:r>
      <w:r>
        <w:rPr>
          <w:sz w:val="24"/>
          <w:szCs w:val="24"/>
          <w:lang w:val="bg-BG"/>
        </w:rPr>
        <w:t>;</w:t>
      </w:r>
    </w:p>
    <w:p w:rsidR="0014296B" w:rsidRDefault="0014296B" w:rsidP="0088278E">
      <w:pPr>
        <w:numPr>
          <w:ilvl w:val="0"/>
          <w:numId w:val="8"/>
        </w:numPr>
        <w:ind w:left="1145" w:hanging="357"/>
        <w:jc w:val="both"/>
        <w:rPr>
          <w:sz w:val="24"/>
          <w:szCs w:val="24"/>
          <w:lang w:val="bg-BG"/>
        </w:rPr>
      </w:pPr>
      <w:r w:rsidRPr="0014296B">
        <w:rPr>
          <w:sz w:val="24"/>
          <w:szCs w:val="24"/>
          <w:lang w:val="bg-BG"/>
        </w:rPr>
        <w:t>Прилагане на Единния модел за заявяване, заплащане и предоставяне на електронни административни услуги</w:t>
      </w:r>
      <w:r>
        <w:rPr>
          <w:sz w:val="24"/>
          <w:szCs w:val="24"/>
          <w:lang w:val="bg-BG"/>
        </w:rPr>
        <w:t>;</w:t>
      </w:r>
    </w:p>
    <w:p w:rsidR="0014296B" w:rsidRDefault="0014296B" w:rsidP="0088278E">
      <w:pPr>
        <w:numPr>
          <w:ilvl w:val="0"/>
          <w:numId w:val="8"/>
        </w:numPr>
        <w:ind w:left="1145" w:hanging="357"/>
        <w:jc w:val="both"/>
        <w:rPr>
          <w:sz w:val="24"/>
          <w:szCs w:val="24"/>
          <w:lang w:val="bg-BG"/>
        </w:rPr>
      </w:pPr>
      <w:r w:rsidRPr="0014296B">
        <w:rPr>
          <w:sz w:val="24"/>
          <w:szCs w:val="24"/>
          <w:lang w:val="bg-BG"/>
        </w:rPr>
        <w:t>Наличие на план за миграция на данни и/ или дигитализиране на данни</w:t>
      </w:r>
      <w:r>
        <w:rPr>
          <w:sz w:val="24"/>
          <w:szCs w:val="24"/>
          <w:lang w:val="bg-BG"/>
        </w:rPr>
        <w:t>;</w:t>
      </w:r>
    </w:p>
    <w:p w:rsidR="00327E16" w:rsidRPr="0014296B" w:rsidRDefault="0014296B" w:rsidP="0088278E">
      <w:pPr>
        <w:numPr>
          <w:ilvl w:val="0"/>
          <w:numId w:val="8"/>
        </w:numPr>
        <w:spacing w:after="120"/>
        <w:ind w:left="1145" w:hanging="357"/>
        <w:jc w:val="both"/>
        <w:rPr>
          <w:sz w:val="24"/>
          <w:szCs w:val="24"/>
          <w:lang w:val="bg-BG"/>
        </w:rPr>
      </w:pPr>
      <w:r w:rsidRPr="0014296B">
        <w:rPr>
          <w:sz w:val="24"/>
          <w:szCs w:val="24"/>
          <w:lang w:val="bg-BG"/>
        </w:rPr>
        <w:t>Индикативна стойност</w:t>
      </w:r>
      <w:r>
        <w:rPr>
          <w:sz w:val="24"/>
          <w:szCs w:val="24"/>
          <w:lang w:val="bg-BG"/>
        </w:rPr>
        <w:t>.</w:t>
      </w:r>
    </w:p>
    <w:p w:rsidR="0014296B" w:rsidRDefault="0014296B" w:rsidP="0088278E">
      <w:pPr>
        <w:spacing w:after="120"/>
        <w:ind w:firstLine="708"/>
        <w:jc w:val="both"/>
        <w:rPr>
          <w:sz w:val="24"/>
          <w:szCs w:val="24"/>
          <w:lang w:val="bg-BG"/>
        </w:rPr>
      </w:pPr>
      <w:r w:rsidRPr="00AD7D5F">
        <w:rPr>
          <w:sz w:val="24"/>
          <w:szCs w:val="24"/>
          <w:lang w:val="bg-BG"/>
        </w:rPr>
        <w:t>В резулт</w:t>
      </w:r>
      <w:r w:rsidR="00A602F6" w:rsidRPr="00AD7D5F">
        <w:rPr>
          <w:sz w:val="24"/>
          <w:szCs w:val="24"/>
          <w:lang w:val="bg-BG"/>
        </w:rPr>
        <w:t xml:space="preserve">ат от извършената </w:t>
      </w:r>
      <w:proofErr w:type="spellStart"/>
      <w:r w:rsidR="00A602F6" w:rsidRPr="00AD7D5F">
        <w:rPr>
          <w:sz w:val="24"/>
          <w:szCs w:val="24"/>
          <w:lang w:val="bg-BG"/>
        </w:rPr>
        <w:t>приоритизация</w:t>
      </w:r>
      <w:proofErr w:type="spellEnd"/>
      <w:r w:rsidR="00A602F6" w:rsidRPr="00AD7D5F">
        <w:rPr>
          <w:sz w:val="24"/>
          <w:szCs w:val="24"/>
          <w:lang w:val="bg-BG"/>
        </w:rPr>
        <w:t xml:space="preserve">, с протокол от </w:t>
      </w:r>
      <w:r w:rsidR="00AD7D5F" w:rsidRPr="00AD7D5F">
        <w:rPr>
          <w:sz w:val="24"/>
          <w:szCs w:val="24"/>
          <w:lang w:val="bg-BG"/>
        </w:rPr>
        <w:t>15.09.2020</w:t>
      </w:r>
      <w:r w:rsidR="00A602F6" w:rsidRPr="00AD7D5F">
        <w:rPr>
          <w:sz w:val="24"/>
          <w:szCs w:val="24"/>
          <w:lang w:val="bg-BG"/>
        </w:rPr>
        <w:t xml:space="preserve"> г. </w:t>
      </w:r>
      <w:r w:rsidRPr="00AD7D5F">
        <w:rPr>
          <w:sz w:val="24"/>
          <w:szCs w:val="24"/>
          <w:lang w:val="bg-BG"/>
        </w:rPr>
        <w:t xml:space="preserve">като приоритетни за финансиране по мярка № 3 „Изпълнение на мерки, съгласно концепцията за регистрова реформа“ от ПКЕУ по ОПДУ, бяха определени проектните идеи на </w:t>
      </w:r>
      <w:r w:rsidR="00A602F6" w:rsidRPr="00AD7D5F">
        <w:rPr>
          <w:sz w:val="24"/>
          <w:szCs w:val="24"/>
          <w:lang w:val="bg-BG"/>
        </w:rPr>
        <w:t>НАЦИД, АВ, БАБХ, КЗК, МРРБ и МК.</w:t>
      </w:r>
    </w:p>
    <w:p w:rsidR="00FA5381" w:rsidRPr="0014296B" w:rsidRDefault="00FA5381" w:rsidP="0088278E">
      <w:pPr>
        <w:spacing w:after="120"/>
        <w:ind w:firstLine="708"/>
        <w:jc w:val="both"/>
        <w:rPr>
          <w:sz w:val="24"/>
          <w:szCs w:val="24"/>
          <w:lang w:val="bg-BG"/>
        </w:rPr>
      </w:pPr>
      <w:r>
        <w:rPr>
          <w:sz w:val="24"/>
          <w:szCs w:val="24"/>
          <w:lang w:val="bg-BG"/>
        </w:rPr>
        <w:t xml:space="preserve">Към 29.09.2020 г. в УО на ОПДУ са постъпили писма от НАЦИД, БАБХ и КЗК, с </w:t>
      </w:r>
      <w:r w:rsidR="006E20D6">
        <w:rPr>
          <w:sz w:val="24"/>
          <w:szCs w:val="24"/>
          <w:lang w:val="bg-BG"/>
        </w:rPr>
        <w:t xml:space="preserve">които съответните институции са изразили желание за включване на процедури в ИГРП на ОПДУ за 2020 г. за изпълнение на проектните си идеи. В получените писма са детайлизирани целите, обхвата на дейностите, начина на изпълнение и необходимия бюджет за реализацията на проектите. С оглед прилагане на принципа на добро финансово управление, при </w:t>
      </w:r>
      <w:r w:rsidRPr="00FA5381">
        <w:rPr>
          <w:sz w:val="24"/>
          <w:szCs w:val="24"/>
          <w:lang w:val="bg-BG"/>
        </w:rPr>
        <w:t xml:space="preserve">формиране на прогнозната стойност на </w:t>
      </w:r>
      <w:r w:rsidR="006E20D6">
        <w:rPr>
          <w:sz w:val="24"/>
          <w:szCs w:val="24"/>
          <w:lang w:val="bg-BG"/>
        </w:rPr>
        <w:t xml:space="preserve">планираните </w:t>
      </w:r>
      <w:r w:rsidRPr="00FA5381">
        <w:rPr>
          <w:sz w:val="24"/>
          <w:szCs w:val="24"/>
          <w:lang w:val="bg-BG"/>
        </w:rPr>
        <w:t xml:space="preserve">разходи, </w:t>
      </w:r>
      <w:r w:rsidR="006E20D6">
        <w:rPr>
          <w:sz w:val="24"/>
          <w:szCs w:val="24"/>
          <w:lang w:val="bg-BG"/>
        </w:rPr>
        <w:t xml:space="preserve">посочените по-горе институции са извършили </w:t>
      </w:r>
      <w:r w:rsidR="006E20D6" w:rsidRPr="00FA5381">
        <w:rPr>
          <w:sz w:val="24"/>
          <w:szCs w:val="24"/>
          <w:lang w:val="bg-BG"/>
        </w:rPr>
        <w:t xml:space="preserve">пазарно проучване </w:t>
      </w:r>
      <w:r w:rsidRPr="00FA5381">
        <w:rPr>
          <w:sz w:val="24"/>
          <w:szCs w:val="24"/>
          <w:lang w:val="bg-BG"/>
        </w:rPr>
        <w:t xml:space="preserve">за всички дейности, които ще бъдат обект на </w:t>
      </w:r>
      <w:r w:rsidR="006E20D6">
        <w:rPr>
          <w:sz w:val="24"/>
          <w:szCs w:val="24"/>
          <w:lang w:val="bg-BG"/>
        </w:rPr>
        <w:t xml:space="preserve">външно </w:t>
      </w:r>
      <w:r w:rsidRPr="00FA5381">
        <w:rPr>
          <w:sz w:val="24"/>
          <w:szCs w:val="24"/>
          <w:lang w:val="bg-BG"/>
        </w:rPr>
        <w:t>възлагане по ЗОП</w:t>
      </w:r>
      <w:r w:rsidR="006E20D6">
        <w:rPr>
          <w:sz w:val="24"/>
          <w:szCs w:val="24"/>
          <w:lang w:val="bg-BG"/>
        </w:rPr>
        <w:t xml:space="preserve">. </w:t>
      </w:r>
      <w:r w:rsidRPr="00FA5381">
        <w:rPr>
          <w:sz w:val="24"/>
          <w:szCs w:val="24"/>
          <w:lang w:val="bg-BG"/>
        </w:rPr>
        <w:t xml:space="preserve"> </w:t>
      </w:r>
    </w:p>
    <w:p w:rsidR="0014296B" w:rsidRDefault="0014296B" w:rsidP="006E20D6">
      <w:pPr>
        <w:spacing w:after="120"/>
        <w:jc w:val="both"/>
        <w:rPr>
          <w:sz w:val="24"/>
          <w:szCs w:val="24"/>
          <w:lang w:val="bg-BG"/>
        </w:rPr>
      </w:pPr>
      <w:r>
        <w:rPr>
          <w:sz w:val="24"/>
          <w:szCs w:val="24"/>
          <w:lang w:val="bg-BG"/>
        </w:rPr>
        <w:tab/>
      </w:r>
      <w:r w:rsidR="00C74A4F">
        <w:rPr>
          <w:sz w:val="24"/>
          <w:szCs w:val="24"/>
          <w:lang w:val="bg-BG"/>
        </w:rPr>
        <w:t xml:space="preserve"> </w:t>
      </w:r>
      <w:r w:rsidR="006E20D6" w:rsidRPr="009372C9">
        <w:rPr>
          <w:sz w:val="24"/>
          <w:szCs w:val="24"/>
          <w:lang w:val="bg-BG"/>
        </w:rPr>
        <w:t>С писма</w:t>
      </w:r>
      <w:r w:rsidR="00C74A4F" w:rsidRPr="009372C9">
        <w:rPr>
          <w:sz w:val="24"/>
          <w:szCs w:val="24"/>
          <w:lang w:val="bg-BG"/>
        </w:rPr>
        <w:t xml:space="preserve"> № ДАЕУ-</w:t>
      </w:r>
      <w:r w:rsidR="00AD7D5F" w:rsidRPr="009372C9">
        <w:rPr>
          <w:sz w:val="24"/>
          <w:szCs w:val="24"/>
          <w:lang w:val="bg-BG"/>
        </w:rPr>
        <w:t>17599/28.9.2020 г.</w:t>
      </w:r>
      <w:r w:rsidR="009372C9" w:rsidRPr="009372C9">
        <w:rPr>
          <w:sz w:val="24"/>
          <w:szCs w:val="24"/>
          <w:lang w:val="bg-BG"/>
        </w:rPr>
        <w:t xml:space="preserve">, ДАЕУ-17602/28.9.2020 г. </w:t>
      </w:r>
      <w:r w:rsidR="009372C9">
        <w:rPr>
          <w:sz w:val="24"/>
          <w:szCs w:val="24"/>
          <w:lang w:val="bg-BG"/>
        </w:rPr>
        <w:t xml:space="preserve">и </w:t>
      </w:r>
      <w:r w:rsidR="009372C9" w:rsidRPr="009372C9">
        <w:rPr>
          <w:sz w:val="24"/>
          <w:szCs w:val="24"/>
          <w:lang w:val="bg-BG"/>
        </w:rPr>
        <w:t>ДАЕУ-17679/29.9.2020 г.</w:t>
      </w:r>
      <w:r w:rsidR="00C74A4F" w:rsidRPr="009372C9">
        <w:rPr>
          <w:sz w:val="24"/>
          <w:szCs w:val="24"/>
          <w:lang w:val="bg-BG"/>
        </w:rPr>
        <w:t>, пре</w:t>
      </w:r>
      <w:r w:rsidR="00C74A4F" w:rsidRPr="00C74A4F">
        <w:rPr>
          <w:sz w:val="24"/>
          <w:szCs w:val="24"/>
          <w:lang w:val="bg-BG"/>
        </w:rPr>
        <w:t xml:space="preserve">дседателят на ДАЕУ </w:t>
      </w:r>
      <w:r w:rsidR="006E20D6">
        <w:rPr>
          <w:sz w:val="24"/>
          <w:szCs w:val="24"/>
          <w:lang w:val="bg-BG"/>
        </w:rPr>
        <w:t>е изразил подкрепата си за</w:t>
      </w:r>
      <w:r w:rsidR="00C74A4F" w:rsidRPr="00C74A4F">
        <w:rPr>
          <w:sz w:val="24"/>
          <w:szCs w:val="24"/>
          <w:lang w:val="bg-BG"/>
        </w:rPr>
        <w:t xml:space="preserve"> включването в ИГРП на ОПДУ</w:t>
      </w:r>
      <w:r w:rsidR="00C74A4F">
        <w:rPr>
          <w:sz w:val="24"/>
          <w:szCs w:val="24"/>
          <w:lang w:val="bg-BG"/>
        </w:rPr>
        <w:t xml:space="preserve"> за 2020 г. на </w:t>
      </w:r>
      <w:r w:rsidR="006E20D6">
        <w:rPr>
          <w:sz w:val="24"/>
          <w:szCs w:val="24"/>
          <w:lang w:val="bg-BG"/>
        </w:rPr>
        <w:t>отделни</w:t>
      </w:r>
      <w:r w:rsidR="00C74A4F">
        <w:rPr>
          <w:sz w:val="24"/>
          <w:szCs w:val="24"/>
          <w:lang w:val="bg-BG"/>
        </w:rPr>
        <w:t xml:space="preserve"> процедури</w:t>
      </w:r>
      <w:r w:rsidR="00C74A4F" w:rsidRPr="00C74A4F">
        <w:rPr>
          <w:sz w:val="24"/>
          <w:szCs w:val="24"/>
          <w:lang w:val="bg-BG"/>
        </w:rPr>
        <w:t xml:space="preserve"> </w:t>
      </w:r>
      <w:r w:rsidR="00C42675">
        <w:rPr>
          <w:sz w:val="24"/>
          <w:szCs w:val="24"/>
          <w:lang w:val="bg-BG"/>
        </w:rPr>
        <w:t>в съответствие с</w:t>
      </w:r>
      <w:r w:rsidR="00C42675" w:rsidRPr="00C42675">
        <w:rPr>
          <w:sz w:val="24"/>
          <w:szCs w:val="24"/>
          <w:lang w:val="bg-BG"/>
        </w:rPr>
        <w:t xml:space="preserve"> Мярка 3 „Изпълнение на мерки, съгласно Концепцията за регистрова реформа“ от ПКЕУ</w:t>
      </w:r>
      <w:r w:rsidR="00C42675">
        <w:rPr>
          <w:sz w:val="24"/>
          <w:szCs w:val="24"/>
          <w:lang w:val="bg-BG"/>
        </w:rPr>
        <w:t xml:space="preserve">, </w:t>
      </w:r>
      <w:r w:rsidR="00C74A4F" w:rsidRPr="00C74A4F">
        <w:rPr>
          <w:sz w:val="24"/>
          <w:szCs w:val="24"/>
          <w:lang w:val="bg-BG"/>
        </w:rPr>
        <w:t xml:space="preserve">с </w:t>
      </w:r>
      <w:r w:rsidR="00C42675">
        <w:rPr>
          <w:sz w:val="24"/>
          <w:szCs w:val="24"/>
          <w:lang w:val="bg-BG"/>
        </w:rPr>
        <w:t xml:space="preserve">конкретни </w:t>
      </w:r>
      <w:r w:rsidR="00C74A4F" w:rsidRPr="00C74A4F">
        <w:rPr>
          <w:sz w:val="24"/>
          <w:szCs w:val="24"/>
          <w:lang w:val="bg-BG"/>
        </w:rPr>
        <w:t>бенефициент</w:t>
      </w:r>
      <w:r w:rsidR="00C74A4F">
        <w:rPr>
          <w:sz w:val="24"/>
          <w:szCs w:val="24"/>
          <w:lang w:val="bg-BG"/>
        </w:rPr>
        <w:t>и</w:t>
      </w:r>
      <w:r w:rsidR="00C74A4F" w:rsidRPr="00C74A4F">
        <w:rPr>
          <w:sz w:val="24"/>
          <w:szCs w:val="24"/>
          <w:lang w:val="bg-BG"/>
        </w:rPr>
        <w:t xml:space="preserve"> </w:t>
      </w:r>
      <w:r w:rsidR="006A1143">
        <w:rPr>
          <w:sz w:val="24"/>
          <w:szCs w:val="24"/>
          <w:lang w:val="bg-BG"/>
        </w:rPr>
        <w:t>БАБХ,</w:t>
      </w:r>
      <w:r w:rsidR="006A1143" w:rsidRPr="00C74A4F">
        <w:rPr>
          <w:sz w:val="24"/>
          <w:szCs w:val="24"/>
          <w:lang w:val="bg-BG"/>
        </w:rPr>
        <w:t xml:space="preserve"> </w:t>
      </w:r>
      <w:r w:rsidR="00C74A4F" w:rsidRPr="00C74A4F">
        <w:rPr>
          <w:sz w:val="24"/>
          <w:szCs w:val="24"/>
          <w:lang w:val="bg-BG"/>
        </w:rPr>
        <w:t>НАЦИД</w:t>
      </w:r>
      <w:r w:rsidR="00A602F6">
        <w:rPr>
          <w:sz w:val="24"/>
          <w:szCs w:val="24"/>
          <w:lang w:val="bg-BG"/>
        </w:rPr>
        <w:t xml:space="preserve"> и КЗК.</w:t>
      </w:r>
    </w:p>
    <w:p w:rsidR="006A1143" w:rsidRDefault="006A1143" w:rsidP="0088278E">
      <w:pPr>
        <w:spacing w:after="120"/>
        <w:ind w:firstLine="708"/>
        <w:jc w:val="both"/>
        <w:rPr>
          <w:b/>
          <w:i/>
          <w:sz w:val="24"/>
          <w:szCs w:val="24"/>
          <w:lang w:val="bg-BG"/>
        </w:rPr>
      </w:pPr>
    </w:p>
    <w:p w:rsidR="00397E85" w:rsidRPr="006A1143" w:rsidRDefault="00397E85" w:rsidP="0088278E">
      <w:pPr>
        <w:spacing w:after="120"/>
        <w:ind w:firstLine="708"/>
        <w:jc w:val="both"/>
        <w:rPr>
          <w:b/>
          <w:i/>
          <w:sz w:val="24"/>
          <w:szCs w:val="24"/>
          <w:lang w:val="bg-BG"/>
        </w:rPr>
      </w:pPr>
      <w:r w:rsidRPr="006A1143">
        <w:rPr>
          <w:b/>
          <w:i/>
          <w:sz w:val="24"/>
          <w:szCs w:val="24"/>
          <w:lang w:val="bg-BG"/>
        </w:rPr>
        <w:t>Във връзка с гореизложеното, УО на ОПДУ предлага включване в ИГРП 2020 г. на следните</w:t>
      </w:r>
      <w:r w:rsidR="006A1143">
        <w:rPr>
          <w:b/>
          <w:i/>
          <w:sz w:val="24"/>
          <w:szCs w:val="24"/>
          <w:lang w:val="bg-BG"/>
        </w:rPr>
        <w:t xml:space="preserve"> нови</w:t>
      </w:r>
      <w:r w:rsidRPr="006A1143">
        <w:rPr>
          <w:b/>
          <w:i/>
          <w:sz w:val="24"/>
          <w:szCs w:val="24"/>
          <w:lang w:val="bg-BG"/>
        </w:rPr>
        <w:t xml:space="preserve"> процедури:</w:t>
      </w:r>
    </w:p>
    <w:p w:rsidR="00397E85" w:rsidRPr="00C42675" w:rsidRDefault="00397E85" w:rsidP="0088278E">
      <w:pPr>
        <w:numPr>
          <w:ilvl w:val="0"/>
          <w:numId w:val="8"/>
        </w:numPr>
        <w:ind w:left="1145" w:hanging="357"/>
        <w:jc w:val="both"/>
        <w:rPr>
          <w:b/>
          <w:sz w:val="24"/>
          <w:szCs w:val="24"/>
          <w:lang w:val="bg-BG"/>
        </w:rPr>
      </w:pPr>
      <w:r w:rsidRPr="00C42675">
        <w:rPr>
          <w:b/>
          <w:sz w:val="24"/>
          <w:szCs w:val="24"/>
          <w:lang w:val="bg-BG"/>
        </w:rPr>
        <w:t xml:space="preserve">Процедура с наименование „Оптимизация и електронизация на регистрите и </w:t>
      </w:r>
      <w:r w:rsidR="00FB275D" w:rsidRPr="00C42675">
        <w:rPr>
          <w:b/>
          <w:sz w:val="24"/>
          <w:szCs w:val="24"/>
          <w:lang w:val="bg-BG"/>
        </w:rPr>
        <w:t xml:space="preserve">работните процеси в БАБХ“ и бюджет </w:t>
      </w:r>
      <w:r w:rsidR="006A1143" w:rsidRPr="00C42675">
        <w:rPr>
          <w:b/>
          <w:sz w:val="24"/>
          <w:szCs w:val="24"/>
          <w:lang w:val="bg-BG"/>
        </w:rPr>
        <w:t>10 000 000 лв.;</w:t>
      </w:r>
    </w:p>
    <w:p w:rsidR="006A1143" w:rsidRPr="00C42675" w:rsidRDefault="006A1143" w:rsidP="00C42675">
      <w:pPr>
        <w:numPr>
          <w:ilvl w:val="0"/>
          <w:numId w:val="8"/>
        </w:numPr>
        <w:spacing w:before="120"/>
        <w:ind w:left="1145" w:hanging="357"/>
        <w:jc w:val="both"/>
        <w:rPr>
          <w:b/>
          <w:sz w:val="24"/>
          <w:szCs w:val="24"/>
          <w:lang w:val="bg-BG"/>
        </w:rPr>
      </w:pPr>
      <w:r w:rsidRPr="00C42675">
        <w:rPr>
          <w:b/>
          <w:sz w:val="24"/>
          <w:szCs w:val="24"/>
          <w:lang w:val="bg-BG"/>
        </w:rPr>
        <w:t>Процедура с наименование „Създаване, надграждане и обединяване на електронни регистри на Национален център за информация и документация (НАЦИД) в областта на висшето образование“ и бюджет 6 000 000 лв.;</w:t>
      </w:r>
    </w:p>
    <w:p w:rsidR="00397E85" w:rsidRDefault="006A1143" w:rsidP="00C42675">
      <w:pPr>
        <w:numPr>
          <w:ilvl w:val="0"/>
          <w:numId w:val="8"/>
        </w:numPr>
        <w:spacing w:before="120" w:after="120"/>
        <w:ind w:left="1145" w:hanging="357"/>
        <w:jc w:val="both"/>
        <w:rPr>
          <w:b/>
          <w:sz w:val="24"/>
          <w:szCs w:val="24"/>
          <w:lang w:val="bg-BG"/>
        </w:rPr>
      </w:pPr>
      <w:r w:rsidRPr="00C42675">
        <w:rPr>
          <w:b/>
          <w:sz w:val="24"/>
          <w:szCs w:val="24"/>
          <w:lang w:val="bg-BG"/>
        </w:rPr>
        <w:lastRenderedPageBreak/>
        <w:t>Процедура с наименование „Развитие на информационната система и публичния регистър на Комисия за защита на конкуренцията“ и бюджет 2 000 000 лв.</w:t>
      </w:r>
    </w:p>
    <w:p w:rsidR="00C42675" w:rsidRPr="00C42675" w:rsidRDefault="00C42675" w:rsidP="00C42675">
      <w:pPr>
        <w:spacing w:before="120" w:after="120"/>
        <w:ind w:left="1145"/>
        <w:jc w:val="both"/>
        <w:rPr>
          <w:b/>
          <w:sz w:val="24"/>
          <w:szCs w:val="24"/>
          <w:lang w:val="bg-BG"/>
        </w:rPr>
      </w:pPr>
    </w:p>
    <w:p w:rsidR="00A602F6" w:rsidRPr="00A602F6" w:rsidRDefault="00A602F6" w:rsidP="0088278E">
      <w:pPr>
        <w:numPr>
          <w:ilvl w:val="0"/>
          <w:numId w:val="9"/>
        </w:numPr>
        <w:spacing w:after="120"/>
        <w:ind w:left="0" w:firstLine="426"/>
        <w:jc w:val="both"/>
        <w:rPr>
          <w:sz w:val="24"/>
          <w:szCs w:val="24"/>
          <w:lang w:val="bg-BG"/>
        </w:rPr>
      </w:pPr>
      <w:r w:rsidRPr="009372C9">
        <w:rPr>
          <w:sz w:val="24"/>
          <w:szCs w:val="24"/>
          <w:lang w:val="bg-BG"/>
        </w:rPr>
        <w:t xml:space="preserve">С писмо </w:t>
      </w:r>
      <w:r w:rsidR="009372C9" w:rsidRPr="009372C9">
        <w:rPr>
          <w:sz w:val="24"/>
          <w:szCs w:val="24"/>
          <w:lang w:val="bg-BG"/>
        </w:rPr>
        <w:t>№ 03-00-77</w:t>
      </w:r>
      <w:r w:rsidR="009372C9" w:rsidRPr="009372C9">
        <w:rPr>
          <w:sz w:val="24"/>
          <w:szCs w:val="24"/>
          <w:lang w:val="en-US"/>
        </w:rPr>
        <w:t xml:space="preserve">#2 </w:t>
      </w:r>
      <w:r w:rsidR="009372C9" w:rsidRPr="009372C9">
        <w:rPr>
          <w:sz w:val="24"/>
          <w:szCs w:val="24"/>
          <w:lang w:val="bg-BG"/>
        </w:rPr>
        <w:t xml:space="preserve">от 24.09.2020 </w:t>
      </w:r>
      <w:r w:rsidRPr="009372C9">
        <w:rPr>
          <w:sz w:val="24"/>
          <w:szCs w:val="24"/>
          <w:lang w:val="bg-BG"/>
        </w:rPr>
        <w:t>г. Държавна агенция „Архиви“ (ДАА) заяви своето желание и готовност за подготовка на проект</w:t>
      </w:r>
      <w:r w:rsidRPr="00A602F6">
        <w:rPr>
          <w:sz w:val="24"/>
          <w:szCs w:val="24"/>
          <w:lang w:val="bg-BG"/>
        </w:rPr>
        <w:t xml:space="preserve"> в съответствие с мярка 61 „Разработка и внедряване на система за е-архивиране“ от актуализираната Пътна карта за изпълнение на Стратегията за развитие на електронното управление в Република България за периода 2019–2023 г., чието финансиране да бъде осигурено чрез предоставяне на директна безвъзмездна финансова помощ по Приоритетна ос 1 „Административно обслужване и е-управление“ на ОПДУ.</w:t>
      </w:r>
    </w:p>
    <w:p w:rsidR="00A602F6" w:rsidRDefault="00A602F6" w:rsidP="0088278E">
      <w:pPr>
        <w:spacing w:after="120"/>
        <w:ind w:firstLine="426"/>
        <w:jc w:val="both"/>
        <w:rPr>
          <w:sz w:val="24"/>
          <w:szCs w:val="24"/>
          <w:lang w:val="bg-BG"/>
        </w:rPr>
      </w:pPr>
      <w:r w:rsidRPr="00A602F6">
        <w:rPr>
          <w:sz w:val="24"/>
          <w:szCs w:val="24"/>
          <w:lang w:val="bg-BG"/>
        </w:rPr>
        <w:t>Основнит</w:t>
      </w:r>
      <w:r w:rsidR="00397E85">
        <w:rPr>
          <w:sz w:val="24"/>
          <w:szCs w:val="24"/>
          <w:lang w:val="bg-BG"/>
        </w:rPr>
        <w:t>е цели на проекта са</w:t>
      </w:r>
      <w:r>
        <w:rPr>
          <w:sz w:val="24"/>
          <w:szCs w:val="24"/>
          <w:lang w:val="bg-BG"/>
        </w:rPr>
        <w:t>:</w:t>
      </w:r>
    </w:p>
    <w:p w:rsidR="00A602F6" w:rsidRDefault="00397E85" w:rsidP="0088278E">
      <w:pPr>
        <w:numPr>
          <w:ilvl w:val="0"/>
          <w:numId w:val="10"/>
        </w:numPr>
        <w:ind w:left="1145" w:hanging="357"/>
        <w:jc w:val="both"/>
        <w:rPr>
          <w:sz w:val="24"/>
          <w:szCs w:val="24"/>
          <w:lang w:val="bg-BG"/>
        </w:rPr>
      </w:pPr>
      <w:r w:rsidRPr="00397E85">
        <w:rPr>
          <w:sz w:val="24"/>
          <w:szCs w:val="24"/>
          <w:lang w:val="bg-BG"/>
        </w:rPr>
        <w:t>Създаване на единна нормативна и методическа база, обхващаща процесите по организиране, експертиза, съхранение и използване на електронните документи в държавните и общинските институции, предаването на ценните документи в държавен архив и тяхното опазване;</w:t>
      </w:r>
    </w:p>
    <w:p w:rsidR="00FB275D" w:rsidRDefault="00397E85" w:rsidP="0088278E">
      <w:pPr>
        <w:numPr>
          <w:ilvl w:val="0"/>
          <w:numId w:val="10"/>
        </w:numPr>
        <w:ind w:left="1145" w:hanging="357"/>
        <w:jc w:val="both"/>
        <w:rPr>
          <w:sz w:val="24"/>
          <w:szCs w:val="24"/>
          <w:lang w:val="bg-BG"/>
        </w:rPr>
      </w:pPr>
      <w:r w:rsidRPr="00397E85">
        <w:rPr>
          <w:sz w:val="24"/>
          <w:szCs w:val="24"/>
          <w:lang w:val="bg-BG"/>
        </w:rPr>
        <w:t>Осигуряване на технологична възможност за сигурно предаване, опазване, съхранение и използване на ценни електронни документи в Националния архивен фонд;</w:t>
      </w:r>
    </w:p>
    <w:p w:rsidR="00397E85" w:rsidRPr="00FB275D" w:rsidRDefault="00397E85" w:rsidP="0088278E">
      <w:pPr>
        <w:numPr>
          <w:ilvl w:val="0"/>
          <w:numId w:val="10"/>
        </w:numPr>
        <w:spacing w:after="120"/>
        <w:jc w:val="both"/>
        <w:rPr>
          <w:sz w:val="24"/>
          <w:szCs w:val="24"/>
          <w:lang w:val="bg-BG"/>
        </w:rPr>
      </w:pPr>
      <w:r w:rsidRPr="00FB275D">
        <w:rPr>
          <w:sz w:val="24"/>
          <w:szCs w:val="24"/>
          <w:lang w:val="bg-BG"/>
        </w:rPr>
        <w:t>Осигуряване на публичен достъп до съхраняваните в държавните архиви ценни електронни и аудиовизуални документи в цифров вид.</w:t>
      </w:r>
    </w:p>
    <w:p w:rsidR="00397E85" w:rsidRDefault="00397E85" w:rsidP="0088278E">
      <w:pPr>
        <w:spacing w:after="120"/>
        <w:ind w:firstLine="426"/>
        <w:jc w:val="both"/>
        <w:rPr>
          <w:sz w:val="24"/>
          <w:szCs w:val="24"/>
          <w:lang w:val="bg-BG"/>
        </w:rPr>
      </w:pPr>
      <w:r w:rsidRPr="00397E85">
        <w:rPr>
          <w:sz w:val="24"/>
          <w:szCs w:val="24"/>
          <w:lang w:val="bg-BG"/>
        </w:rPr>
        <w:t>С изпълнението на проекта ще бъдат дефинирани ясни и унифицирани разпоредби по отношение на принципите за експертиза, съхранение, опазване и достъп до ценни електронни документи. Реализирането на проекта ще допринесе за модернизация и трансформация на процесите по организация, експертиза, съхранение и използване на електронните документи в държавните и общинските институции. Системата за е-Архивиране ще осигурява приемането, съхранението, достъпа и използването и на ценни електронни документи от държавните и общинските институции, както и от видни за обществото личности, политически партии, юридически лица с нестопанска цел и търговски дружества, българи и български организации в чужбина с принос към българската история. С осигуряването на публичен достъп до съхраняваните ценни електронни документи ще се гарантират конституционните права на гражданите за достъп до информация в цифрова форма.</w:t>
      </w:r>
    </w:p>
    <w:p w:rsidR="00C42675" w:rsidRPr="00C42675" w:rsidRDefault="00C42675" w:rsidP="00C42675">
      <w:pPr>
        <w:spacing w:after="120"/>
        <w:ind w:firstLine="426"/>
        <w:jc w:val="both"/>
        <w:rPr>
          <w:sz w:val="24"/>
          <w:szCs w:val="24"/>
          <w:lang w:val="bg-BG"/>
        </w:rPr>
      </w:pPr>
      <w:r w:rsidRPr="00C42675">
        <w:rPr>
          <w:sz w:val="24"/>
          <w:szCs w:val="24"/>
          <w:lang w:val="bg-BG"/>
        </w:rPr>
        <w:tab/>
        <w:t xml:space="preserve"> С писм</w:t>
      </w:r>
      <w:r>
        <w:rPr>
          <w:sz w:val="24"/>
          <w:szCs w:val="24"/>
          <w:lang w:val="bg-BG"/>
        </w:rPr>
        <w:t>о</w:t>
      </w:r>
      <w:r w:rsidRPr="00C42675">
        <w:rPr>
          <w:sz w:val="24"/>
          <w:szCs w:val="24"/>
          <w:lang w:val="bg-BG"/>
        </w:rPr>
        <w:t xml:space="preserve"> </w:t>
      </w:r>
      <w:r w:rsidR="009372C9">
        <w:rPr>
          <w:sz w:val="24"/>
          <w:szCs w:val="24"/>
          <w:lang w:val="bg-BG"/>
        </w:rPr>
        <w:t xml:space="preserve">№ </w:t>
      </w:r>
      <w:r w:rsidR="009372C9" w:rsidRPr="009372C9">
        <w:rPr>
          <w:sz w:val="24"/>
          <w:szCs w:val="24"/>
          <w:lang w:val="bg-BG"/>
        </w:rPr>
        <w:t>ДАЕУ-17680/29.9.2020 г.</w:t>
      </w:r>
      <w:r w:rsidRPr="00C42675">
        <w:rPr>
          <w:sz w:val="24"/>
          <w:szCs w:val="24"/>
          <w:lang w:val="bg-BG"/>
        </w:rPr>
        <w:t xml:space="preserve"> председателят на ДАЕУ е изразил подкрепата си за включването в ИГРП на ОПДУ за 2020 г. на отделн</w:t>
      </w:r>
      <w:r>
        <w:rPr>
          <w:sz w:val="24"/>
          <w:szCs w:val="24"/>
          <w:lang w:val="bg-BG"/>
        </w:rPr>
        <w:t>а</w:t>
      </w:r>
      <w:r w:rsidRPr="00C42675">
        <w:rPr>
          <w:sz w:val="24"/>
          <w:szCs w:val="24"/>
          <w:lang w:val="bg-BG"/>
        </w:rPr>
        <w:t xml:space="preserve"> процедур</w:t>
      </w:r>
      <w:r w:rsidR="009372C9">
        <w:rPr>
          <w:sz w:val="24"/>
          <w:szCs w:val="24"/>
          <w:lang w:val="bg-BG"/>
        </w:rPr>
        <w:t>а</w:t>
      </w:r>
      <w:r w:rsidRPr="00C42675">
        <w:rPr>
          <w:sz w:val="24"/>
          <w:szCs w:val="24"/>
          <w:lang w:val="bg-BG"/>
        </w:rPr>
        <w:t xml:space="preserve"> в съответствие с Мярка 61 „Разработка и внедряване на система за е-архивиране“ от ПКЕУ, с конкрет</w:t>
      </w:r>
      <w:r>
        <w:rPr>
          <w:sz w:val="24"/>
          <w:szCs w:val="24"/>
          <w:lang w:val="bg-BG"/>
        </w:rPr>
        <w:t>е</w:t>
      </w:r>
      <w:r w:rsidRPr="00C42675">
        <w:rPr>
          <w:sz w:val="24"/>
          <w:szCs w:val="24"/>
          <w:lang w:val="bg-BG"/>
        </w:rPr>
        <w:t xml:space="preserve">н бенефициент </w:t>
      </w:r>
      <w:r>
        <w:rPr>
          <w:sz w:val="24"/>
          <w:szCs w:val="24"/>
          <w:lang w:val="bg-BG"/>
        </w:rPr>
        <w:t>ДАА</w:t>
      </w:r>
      <w:r w:rsidRPr="00C42675">
        <w:rPr>
          <w:sz w:val="24"/>
          <w:szCs w:val="24"/>
          <w:lang w:val="bg-BG"/>
        </w:rPr>
        <w:t>.</w:t>
      </w:r>
    </w:p>
    <w:p w:rsidR="00744ED4" w:rsidRPr="004F4A9A" w:rsidRDefault="006A1143" w:rsidP="004F4A9A">
      <w:pPr>
        <w:spacing w:after="120"/>
        <w:ind w:firstLine="426"/>
        <w:jc w:val="both"/>
        <w:rPr>
          <w:b/>
          <w:i/>
          <w:sz w:val="24"/>
          <w:szCs w:val="24"/>
          <w:lang w:val="bg-BG"/>
        </w:rPr>
      </w:pPr>
      <w:r w:rsidRPr="006A1143">
        <w:rPr>
          <w:b/>
          <w:i/>
          <w:sz w:val="24"/>
          <w:szCs w:val="24"/>
          <w:lang w:val="bg-BG"/>
        </w:rPr>
        <w:t>Във връзка с гореизложеното, УО на ОПДУ предлага включване в ИГРП 20</w:t>
      </w:r>
      <w:r>
        <w:rPr>
          <w:b/>
          <w:i/>
          <w:sz w:val="24"/>
          <w:szCs w:val="24"/>
          <w:lang w:val="bg-BG"/>
        </w:rPr>
        <w:t>20</w:t>
      </w:r>
      <w:r w:rsidRPr="006A1143">
        <w:rPr>
          <w:b/>
          <w:i/>
          <w:sz w:val="24"/>
          <w:szCs w:val="24"/>
          <w:lang w:val="bg-BG"/>
        </w:rPr>
        <w:t xml:space="preserve"> г. на нова процедура с наименование „</w:t>
      </w:r>
      <w:r w:rsidRPr="006A1143">
        <w:rPr>
          <w:b/>
          <w:bCs/>
          <w:i/>
          <w:sz w:val="24"/>
          <w:szCs w:val="24"/>
          <w:lang w:val="bg-BG"/>
        </w:rPr>
        <w:t>Разработка и внедряване на система за е-архивиране</w:t>
      </w:r>
      <w:r w:rsidRPr="006A1143">
        <w:rPr>
          <w:b/>
          <w:i/>
          <w:sz w:val="24"/>
          <w:szCs w:val="24"/>
          <w:lang w:val="bg-BG"/>
        </w:rPr>
        <w:t xml:space="preserve">“ и бюджет </w:t>
      </w:r>
      <w:r>
        <w:rPr>
          <w:b/>
          <w:i/>
          <w:sz w:val="24"/>
          <w:szCs w:val="24"/>
          <w:lang w:val="bg-BG"/>
        </w:rPr>
        <w:t>6</w:t>
      </w:r>
      <w:r w:rsidRPr="006A1143">
        <w:rPr>
          <w:b/>
          <w:i/>
          <w:sz w:val="24"/>
          <w:szCs w:val="24"/>
          <w:lang w:val="bg-BG"/>
        </w:rPr>
        <w:t xml:space="preserve"> 000 000 лв.</w:t>
      </w:r>
    </w:p>
    <w:sectPr w:rsidR="00744ED4" w:rsidRPr="004F4A9A" w:rsidSect="001667F7">
      <w:footerReference w:type="even" r:id="rId8"/>
      <w:footerReference w:type="default" r:id="rId9"/>
      <w:headerReference w:type="first" r:id="rId10"/>
      <w:footerReference w:type="first" r:id="rId11"/>
      <w:pgSz w:w="11906" w:h="16838"/>
      <w:pgMar w:top="1418" w:right="1133" w:bottom="719" w:left="1418" w:header="540" w:footer="3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E88" w:rsidRDefault="00D60E88">
      <w:r>
        <w:separator/>
      </w:r>
    </w:p>
  </w:endnote>
  <w:endnote w:type="continuationSeparator" w:id="0">
    <w:p w:rsidR="00D60E88" w:rsidRDefault="00D6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D2" w:rsidRDefault="00376ED2" w:rsidP="004950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6ED2" w:rsidRDefault="00376ED2" w:rsidP="001926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D2" w:rsidRDefault="00376ED2" w:rsidP="004950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6F20">
      <w:rPr>
        <w:rStyle w:val="PageNumber"/>
        <w:noProof/>
      </w:rPr>
      <w:t>3</w:t>
    </w:r>
    <w:r>
      <w:rPr>
        <w:rStyle w:val="PageNumber"/>
      </w:rPr>
      <w:fldChar w:fldCharType="end"/>
    </w:r>
  </w:p>
  <w:p w:rsidR="00376ED2" w:rsidRDefault="00376ED2" w:rsidP="001926A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C04" w:rsidRDefault="00B36F20" w:rsidP="00E30C04">
    <w:pPr>
      <w:pStyle w:val="Footer"/>
      <w:jc w:val="center"/>
      <w:rPr>
        <w:i/>
        <w:lang w:val="en-US"/>
      </w:rPr>
    </w:pPr>
    <w:r>
      <w:rPr>
        <w:i/>
        <w:lang w:val="en-US"/>
      </w:rPr>
      <w:pict>
        <v:rect id="_x0000_i1025" style="width:0;height:1.5pt" o:hralign="center" o:hrstd="t" o:hr="t" fillcolor="#a0a0a0" stroked="f"/>
      </w:pict>
    </w:r>
  </w:p>
  <w:p w:rsidR="00E30C04" w:rsidRPr="00E30C04" w:rsidRDefault="00E30C04" w:rsidP="00E30C04">
    <w:pPr>
      <w:pStyle w:val="Footer"/>
      <w:jc w:val="center"/>
      <w:rPr>
        <w:i/>
        <w:color w:val="7F7F7F"/>
        <w:lang w:val="en-US"/>
      </w:rPr>
    </w:pPr>
    <w:r w:rsidRPr="00E30C04">
      <w:rPr>
        <w:i/>
        <w:color w:val="7F7F7F"/>
        <w:lang w:val="en-US"/>
      </w:rPr>
      <w:t>www.eufunds.bg</w:t>
    </w:r>
  </w:p>
  <w:p w:rsidR="00376ED2" w:rsidRPr="00E30C04" w:rsidRDefault="00376ED2" w:rsidP="00E30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E88" w:rsidRDefault="00D60E88">
      <w:r>
        <w:separator/>
      </w:r>
    </w:p>
  </w:footnote>
  <w:footnote w:type="continuationSeparator" w:id="0">
    <w:p w:rsidR="00D60E88" w:rsidRDefault="00D6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C04" w:rsidRDefault="00E30C04" w:rsidP="00E30C04">
    <w:pPr>
      <w:pStyle w:val="Header"/>
      <w:pBdr>
        <w:bottom w:val="single" w:sz="6" w:space="1" w:color="auto"/>
      </w:pBdr>
      <w:tabs>
        <w:tab w:val="clear" w:pos="4536"/>
        <w:tab w:val="clear" w:pos="9072"/>
        <w:tab w:val="center" w:pos="4961"/>
        <w:tab w:val="right" w:pos="9922"/>
      </w:tabs>
      <w:rPr>
        <w:noProof/>
        <w:lang w:val="bg-BG" w:eastAsia="bg-BG"/>
      </w:rPr>
    </w:pPr>
    <w:r>
      <w:rPr>
        <w:noProof/>
        <w:lang w:val="en-US"/>
      </w:rPr>
      <w:t xml:space="preserve">  </w:t>
    </w:r>
    <w:r w:rsidR="00FB275D">
      <w:rPr>
        <w:noProof/>
        <w:lang w:val="bg-BG" w:eastAsia="bg-BG"/>
      </w:rPr>
      <w:drawing>
        <wp:inline distT="0" distB="0" distL="0" distR="0">
          <wp:extent cx="1637665" cy="469265"/>
          <wp:effectExtent l="0" t="0" r="0" b="0"/>
          <wp:docPr id="2" name="Picture 2" descr="EU_SEF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SEF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469265"/>
                  </a:xfrm>
                  <a:prstGeom prst="rect">
                    <a:avLst/>
                  </a:prstGeom>
                  <a:noFill/>
                  <a:ln>
                    <a:noFill/>
                  </a:ln>
                </pic:spPr>
              </pic:pic>
            </a:graphicData>
          </a:graphic>
        </wp:inline>
      </w:drawing>
    </w:r>
    <w:r w:rsidR="00EC52B0">
      <w:rPr>
        <w:noProof/>
      </w:rPr>
      <w:tab/>
    </w:r>
    <w:r w:rsidR="00EC52B0">
      <w:rPr>
        <w:noProof/>
      </w:rPr>
      <w:tab/>
    </w:r>
    <w:r w:rsidR="00FB275D" w:rsidRPr="00E30C04">
      <w:rPr>
        <w:noProof/>
        <w:lang w:val="bg-BG" w:eastAsia="bg-BG"/>
      </w:rPr>
      <w:drawing>
        <wp:inline distT="0" distB="0" distL="0" distR="0">
          <wp:extent cx="1820545" cy="636270"/>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t="-2" r="7172" b="13503"/>
                  <a:stretch>
                    <a:fillRect/>
                  </a:stretch>
                </pic:blipFill>
                <pic:spPr bwMode="auto">
                  <a:xfrm>
                    <a:off x="0" y="0"/>
                    <a:ext cx="1820545" cy="636270"/>
                  </a:xfrm>
                  <a:prstGeom prst="rect">
                    <a:avLst/>
                  </a:prstGeom>
                  <a:noFill/>
                  <a:ln>
                    <a:noFill/>
                  </a:ln>
                </pic:spPr>
              </pic:pic>
            </a:graphicData>
          </a:graphic>
        </wp:inline>
      </w:drawing>
    </w:r>
  </w:p>
  <w:p w:rsidR="00E30C04" w:rsidRDefault="00E30C04" w:rsidP="00E30C04">
    <w:pPr>
      <w:pStyle w:val="Header"/>
      <w:pBdr>
        <w:bottom w:val="single" w:sz="6" w:space="1" w:color="auto"/>
      </w:pBdr>
      <w:tabs>
        <w:tab w:val="clear" w:pos="4536"/>
        <w:tab w:val="clear" w:pos="9072"/>
        <w:tab w:val="center" w:pos="4961"/>
        <w:tab w:val="right" w:pos="9922"/>
      </w:tabs>
      <w:rPr>
        <w:lang w:val="en-US"/>
      </w:rPr>
    </w:pPr>
  </w:p>
  <w:p w:rsidR="00376ED2" w:rsidRDefault="00376ED2" w:rsidP="005A3D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7A7"/>
    <w:multiLevelType w:val="hybridMultilevel"/>
    <w:tmpl w:val="61BC05CE"/>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 w15:restartNumberingAfterBreak="0">
    <w:nsid w:val="0B432EFC"/>
    <w:multiLevelType w:val="hybridMultilevel"/>
    <w:tmpl w:val="BD4CB3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397DA3"/>
    <w:multiLevelType w:val="hybridMultilevel"/>
    <w:tmpl w:val="6B3E92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5BC7F36"/>
    <w:multiLevelType w:val="hybridMultilevel"/>
    <w:tmpl w:val="29E6EA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5DC528E"/>
    <w:multiLevelType w:val="hybridMultilevel"/>
    <w:tmpl w:val="9F642C86"/>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5" w15:restartNumberingAfterBreak="0">
    <w:nsid w:val="2367664E"/>
    <w:multiLevelType w:val="hybridMultilevel"/>
    <w:tmpl w:val="3676DA64"/>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416E49FC"/>
    <w:multiLevelType w:val="hybridMultilevel"/>
    <w:tmpl w:val="632E578C"/>
    <w:lvl w:ilvl="0" w:tplc="65F8508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440B2DDB"/>
    <w:multiLevelType w:val="multilevel"/>
    <w:tmpl w:val="CF88522E"/>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i w:val="0"/>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520" w:hanging="720"/>
      </w:pPr>
      <w:rPr>
        <w:rFonts w:hint="default"/>
        <w:i w:val="0"/>
      </w:rPr>
    </w:lvl>
    <w:lvl w:ilvl="4">
      <w:start w:val="1"/>
      <w:numFmt w:val="decimal"/>
      <w:isLgl/>
      <w:lvlText w:val="%1.%2.%3.%4.%5"/>
      <w:lvlJc w:val="left"/>
      <w:pPr>
        <w:ind w:left="3240" w:hanging="1080"/>
      </w:pPr>
      <w:rPr>
        <w:rFonts w:hint="default"/>
        <w:i w:val="0"/>
      </w:rPr>
    </w:lvl>
    <w:lvl w:ilvl="5">
      <w:start w:val="1"/>
      <w:numFmt w:val="decimal"/>
      <w:isLgl/>
      <w:lvlText w:val="%1.%2.%3.%4.%5.%6"/>
      <w:lvlJc w:val="left"/>
      <w:pPr>
        <w:ind w:left="3600" w:hanging="1080"/>
      </w:pPr>
      <w:rPr>
        <w:rFonts w:hint="default"/>
        <w:i w:val="0"/>
      </w:rPr>
    </w:lvl>
    <w:lvl w:ilvl="6">
      <w:start w:val="1"/>
      <w:numFmt w:val="decimal"/>
      <w:isLgl/>
      <w:lvlText w:val="%1.%2.%3.%4.%5.%6.%7"/>
      <w:lvlJc w:val="left"/>
      <w:pPr>
        <w:ind w:left="4320" w:hanging="1440"/>
      </w:pPr>
      <w:rPr>
        <w:rFonts w:hint="default"/>
        <w:i w:val="0"/>
      </w:rPr>
    </w:lvl>
    <w:lvl w:ilvl="7">
      <w:start w:val="1"/>
      <w:numFmt w:val="decimal"/>
      <w:isLgl/>
      <w:lvlText w:val="%1.%2.%3.%4.%5.%6.%7.%8"/>
      <w:lvlJc w:val="left"/>
      <w:pPr>
        <w:ind w:left="4680" w:hanging="1440"/>
      </w:pPr>
      <w:rPr>
        <w:rFonts w:hint="default"/>
        <w:i w:val="0"/>
      </w:rPr>
    </w:lvl>
    <w:lvl w:ilvl="8">
      <w:start w:val="1"/>
      <w:numFmt w:val="decimal"/>
      <w:isLgl/>
      <w:lvlText w:val="%1.%2.%3.%4.%5.%6.%7.%8.%9"/>
      <w:lvlJc w:val="left"/>
      <w:pPr>
        <w:ind w:left="5400" w:hanging="1800"/>
      </w:pPr>
      <w:rPr>
        <w:rFonts w:hint="default"/>
        <w:i w:val="0"/>
      </w:rPr>
    </w:lvl>
  </w:abstractNum>
  <w:abstractNum w:abstractNumId="8" w15:restartNumberingAfterBreak="0">
    <w:nsid w:val="58AC75B8"/>
    <w:multiLevelType w:val="hybridMultilevel"/>
    <w:tmpl w:val="A55E84E4"/>
    <w:lvl w:ilvl="0" w:tplc="A6C2C8E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6197336F"/>
    <w:multiLevelType w:val="hybridMultilevel"/>
    <w:tmpl w:val="E044515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0" w15:restartNumberingAfterBreak="0">
    <w:nsid w:val="64B06F77"/>
    <w:multiLevelType w:val="hybridMultilevel"/>
    <w:tmpl w:val="F044FB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5"/>
  </w:num>
  <w:num w:numId="5">
    <w:abstractNumId w:val="9"/>
  </w:num>
  <w:num w:numId="6">
    <w:abstractNumId w:val="3"/>
  </w:num>
  <w:num w:numId="7">
    <w:abstractNumId w:val="1"/>
  </w:num>
  <w:num w:numId="8">
    <w:abstractNumId w:val="0"/>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7A"/>
    <w:rsid w:val="00022A58"/>
    <w:rsid w:val="00033330"/>
    <w:rsid w:val="00033E2B"/>
    <w:rsid w:val="00037818"/>
    <w:rsid w:val="00040370"/>
    <w:rsid w:val="0004332B"/>
    <w:rsid w:val="0004533E"/>
    <w:rsid w:val="00056703"/>
    <w:rsid w:val="00065423"/>
    <w:rsid w:val="000756C8"/>
    <w:rsid w:val="000922D4"/>
    <w:rsid w:val="000A768D"/>
    <w:rsid w:val="000B61D8"/>
    <w:rsid w:val="000F16A4"/>
    <w:rsid w:val="00136207"/>
    <w:rsid w:val="0014296B"/>
    <w:rsid w:val="00144777"/>
    <w:rsid w:val="0014786E"/>
    <w:rsid w:val="001478A8"/>
    <w:rsid w:val="0015133E"/>
    <w:rsid w:val="00153973"/>
    <w:rsid w:val="0015652A"/>
    <w:rsid w:val="00156D39"/>
    <w:rsid w:val="001667F7"/>
    <w:rsid w:val="00172ECA"/>
    <w:rsid w:val="00180F6C"/>
    <w:rsid w:val="00190018"/>
    <w:rsid w:val="00190D16"/>
    <w:rsid w:val="001926AE"/>
    <w:rsid w:val="00196E33"/>
    <w:rsid w:val="001A5D71"/>
    <w:rsid w:val="001B110E"/>
    <w:rsid w:val="001B1508"/>
    <w:rsid w:val="001C698F"/>
    <w:rsid w:val="001D25C7"/>
    <w:rsid w:val="001F516A"/>
    <w:rsid w:val="002202DC"/>
    <w:rsid w:val="00263043"/>
    <w:rsid w:val="002678AD"/>
    <w:rsid w:val="00267C8C"/>
    <w:rsid w:val="00275664"/>
    <w:rsid w:val="00293F4F"/>
    <w:rsid w:val="002A3F08"/>
    <w:rsid w:val="002A5162"/>
    <w:rsid w:val="002A57DD"/>
    <w:rsid w:val="002B29C5"/>
    <w:rsid w:val="002B7296"/>
    <w:rsid w:val="002C34E2"/>
    <w:rsid w:val="002D0A1A"/>
    <w:rsid w:val="002D576A"/>
    <w:rsid w:val="002E3486"/>
    <w:rsid w:val="002E6EC3"/>
    <w:rsid w:val="002F5402"/>
    <w:rsid w:val="003020D5"/>
    <w:rsid w:val="00325E68"/>
    <w:rsid w:val="00327E16"/>
    <w:rsid w:val="003318DF"/>
    <w:rsid w:val="00332079"/>
    <w:rsid w:val="003372EA"/>
    <w:rsid w:val="003543F6"/>
    <w:rsid w:val="0036448E"/>
    <w:rsid w:val="003649B1"/>
    <w:rsid w:val="00366E0C"/>
    <w:rsid w:val="00372B05"/>
    <w:rsid w:val="00376ED2"/>
    <w:rsid w:val="00380C3B"/>
    <w:rsid w:val="00381E3B"/>
    <w:rsid w:val="00383F57"/>
    <w:rsid w:val="00397E85"/>
    <w:rsid w:val="003A00C4"/>
    <w:rsid w:val="003B21A6"/>
    <w:rsid w:val="003B330C"/>
    <w:rsid w:val="003C23B8"/>
    <w:rsid w:val="003D3841"/>
    <w:rsid w:val="003D3CCD"/>
    <w:rsid w:val="003D67BB"/>
    <w:rsid w:val="003E2830"/>
    <w:rsid w:val="003F11A7"/>
    <w:rsid w:val="00401DB2"/>
    <w:rsid w:val="00411769"/>
    <w:rsid w:val="00416E4C"/>
    <w:rsid w:val="004310B7"/>
    <w:rsid w:val="00440962"/>
    <w:rsid w:val="00441508"/>
    <w:rsid w:val="004423D8"/>
    <w:rsid w:val="00460222"/>
    <w:rsid w:val="00464807"/>
    <w:rsid w:val="004713D8"/>
    <w:rsid w:val="00474ED8"/>
    <w:rsid w:val="0048025D"/>
    <w:rsid w:val="004827F1"/>
    <w:rsid w:val="0049195C"/>
    <w:rsid w:val="00495080"/>
    <w:rsid w:val="004D1A81"/>
    <w:rsid w:val="004D2A5B"/>
    <w:rsid w:val="004D661B"/>
    <w:rsid w:val="004E3F06"/>
    <w:rsid w:val="004F4A9A"/>
    <w:rsid w:val="004F6350"/>
    <w:rsid w:val="00504527"/>
    <w:rsid w:val="00515D39"/>
    <w:rsid w:val="005221DB"/>
    <w:rsid w:val="00544270"/>
    <w:rsid w:val="00560474"/>
    <w:rsid w:val="00562B01"/>
    <w:rsid w:val="00586396"/>
    <w:rsid w:val="005864D8"/>
    <w:rsid w:val="005966AD"/>
    <w:rsid w:val="005A1105"/>
    <w:rsid w:val="005A1D6F"/>
    <w:rsid w:val="005A3DFC"/>
    <w:rsid w:val="005A67E9"/>
    <w:rsid w:val="005B5C56"/>
    <w:rsid w:val="005C4AA1"/>
    <w:rsid w:val="005D6C5B"/>
    <w:rsid w:val="005E1BF0"/>
    <w:rsid w:val="005F5878"/>
    <w:rsid w:val="00607935"/>
    <w:rsid w:val="00612DE8"/>
    <w:rsid w:val="006306A8"/>
    <w:rsid w:val="00630FF6"/>
    <w:rsid w:val="00631403"/>
    <w:rsid w:val="00632967"/>
    <w:rsid w:val="0063430D"/>
    <w:rsid w:val="00642192"/>
    <w:rsid w:val="006651AF"/>
    <w:rsid w:val="0066586F"/>
    <w:rsid w:val="00665A1A"/>
    <w:rsid w:val="00665D8C"/>
    <w:rsid w:val="00674A06"/>
    <w:rsid w:val="00676FCE"/>
    <w:rsid w:val="006839E6"/>
    <w:rsid w:val="006A0F90"/>
    <w:rsid w:val="006A1143"/>
    <w:rsid w:val="006A66EC"/>
    <w:rsid w:val="006A7DB4"/>
    <w:rsid w:val="006B1A3C"/>
    <w:rsid w:val="006B26D0"/>
    <w:rsid w:val="006C71B7"/>
    <w:rsid w:val="006D30AD"/>
    <w:rsid w:val="006D3F4A"/>
    <w:rsid w:val="006D4548"/>
    <w:rsid w:val="006D7A23"/>
    <w:rsid w:val="006E20D6"/>
    <w:rsid w:val="006E6EE1"/>
    <w:rsid w:val="006F516C"/>
    <w:rsid w:val="00704CED"/>
    <w:rsid w:val="00707312"/>
    <w:rsid w:val="00715ABE"/>
    <w:rsid w:val="007275CE"/>
    <w:rsid w:val="00740DC3"/>
    <w:rsid w:val="00742BB9"/>
    <w:rsid w:val="00744ED4"/>
    <w:rsid w:val="00756E02"/>
    <w:rsid w:val="00774F61"/>
    <w:rsid w:val="00783BA8"/>
    <w:rsid w:val="007A1316"/>
    <w:rsid w:val="007C3B50"/>
    <w:rsid w:val="007F0764"/>
    <w:rsid w:val="007F57FF"/>
    <w:rsid w:val="008007C9"/>
    <w:rsid w:val="00804771"/>
    <w:rsid w:val="008158ED"/>
    <w:rsid w:val="008226CC"/>
    <w:rsid w:val="00823C38"/>
    <w:rsid w:val="00826C01"/>
    <w:rsid w:val="00836B8E"/>
    <w:rsid w:val="0084434C"/>
    <w:rsid w:val="00860B3C"/>
    <w:rsid w:val="00862420"/>
    <w:rsid w:val="0086483A"/>
    <w:rsid w:val="0088278E"/>
    <w:rsid w:val="008A6B15"/>
    <w:rsid w:val="008B3325"/>
    <w:rsid w:val="008B4272"/>
    <w:rsid w:val="008C5968"/>
    <w:rsid w:val="008D0A50"/>
    <w:rsid w:val="008D7946"/>
    <w:rsid w:val="00901D85"/>
    <w:rsid w:val="00912D8A"/>
    <w:rsid w:val="00936EAF"/>
    <w:rsid w:val="009372C9"/>
    <w:rsid w:val="0094464F"/>
    <w:rsid w:val="00951165"/>
    <w:rsid w:val="00984166"/>
    <w:rsid w:val="00986BD7"/>
    <w:rsid w:val="009B6499"/>
    <w:rsid w:val="009D27AB"/>
    <w:rsid w:val="009D5D69"/>
    <w:rsid w:val="00A04CEF"/>
    <w:rsid w:val="00A201AD"/>
    <w:rsid w:val="00A20497"/>
    <w:rsid w:val="00A303E1"/>
    <w:rsid w:val="00A35289"/>
    <w:rsid w:val="00A359F4"/>
    <w:rsid w:val="00A35A9D"/>
    <w:rsid w:val="00A470E9"/>
    <w:rsid w:val="00A602F6"/>
    <w:rsid w:val="00A83C15"/>
    <w:rsid w:val="00AA69BD"/>
    <w:rsid w:val="00AC5CB7"/>
    <w:rsid w:val="00AC6507"/>
    <w:rsid w:val="00AD5AD9"/>
    <w:rsid w:val="00AD7D5F"/>
    <w:rsid w:val="00AF0C2F"/>
    <w:rsid w:val="00B36F20"/>
    <w:rsid w:val="00B52B0C"/>
    <w:rsid w:val="00B56C93"/>
    <w:rsid w:val="00B71E93"/>
    <w:rsid w:val="00B72AAD"/>
    <w:rsid w:val="00B94A9A"/>
    <w:rsid w:val="00B96672"/>
    <w:rsid w:val="00BA14A0"/>
    <w:rsid w:val="00BA5D90"/>
    <w:rsid w:val="00BB6AFC"/>
    <w:rsid w:val="00BC5ACB"/>
    <w:rsid w:val="00BC7EE0"/>
    <w:rsid w:val="00BD1354"/>
    <w:rsid w:val="00BD72A7"/>
    <w:rsid w:val="00BE7BA3"/>
    <w:rsid w:val="00BF5558"/>
    <w:rsid w:val="00C32965"/>
    <w:rsid w:val="00C34997"/>
    <w:rsid w:val="00C42675"/>
    <w:rsid w:val="00C64421"/>
    <w:rsid w:val="00C74A4F"/>
    <w:rsid w:val="00C859DB"/>
    <w:rsid w:val="00CB101F"/>
    <w:rsid w:val="00CB2CC8"/>
    <w:rsid w:val="00CB4B93"/>
    <w:rsid w:val="00CF1D41"/>
    <w:rsid w:val="00D05C6A"/>
    <w:rsid w:val="00D13BAA"/>
    <w:rsid w:val="00D142C8"/>
    <w:rsid w:val="00D173A4"/>
    <w:rsid w:val="00D23FDC"/>
    <w:rsid w:val="00D34A57"/>
    <w:rsid w:val="00D450E5"/>
    <w:rsid w:val="00D50C60"/>
    <w:rsid w:val="00D5169D"/>
    <w:rsid w:val="00D60E88"/>
    <w:rsid w:val="00D62861"/>
    <w:rsid w:val="00D6583A"/>
    <w:rsid w:val="00D849F9"/>
    <w:rsid w:val="00D86F30"/>
    <w:rsid w:val="00DA04D2"/>
    <w:rsid w:val="00DA2509"/>
    <w:rsid w:val="00DE5B2B"/>
    <w:rsid w:val="00DE7179"/>
    <w:rsid w:val="00E001E0"/>
    <w:rsid w:val="00E03819"/>
    <w:rsid w:val="00E0407C"/>
    <w:rsid w:val="00E049DE"/>
    <w:rsid w:val="00E30C04"/>
    <w:rsid w:val="00E30FB5"/>
    <w:rsid w:val="00E31F7A"/>
    <w:rsid w:val="00E32938"/>
    <w:rsid w:val="00E37C7A"/>
    <w:rsid w:val="00E41F34"/>
    <w:rsid w:val="00E43982"/>
    <w:rsid w:val="00E735FA"/>
    <w:rsid w:val="00E817AE"/>
    <w:rsid w:val="00E834F0"/>
    <w:rsid w:val="00E950BC"/>
    <w:rsid w:val="00EB0DD5"/>
    <w:rsid w:val="00EC52B0"/>
    <w:rsid w:val="00ED770B"/>
    <w:rsid w:val="00EF3A1F"/>
    <w:rsid w:val="00F0671C"/>
    <w:rsid w:val="00F07D94"/>
    <w:rsid w:val="00F11E24"/>
    <w:rsid w:val="00F1229A"/>
    <w:rsid w:val="00F20263"/>
    <w:rsid w:val="00F23193"/>
    <w:rsid w:val="00F2785E"/>
    <w:rsid w:val="00F320EF"/>
    <w:rsid w:val="00F53EA1"/>
    <w:rsid w:val="00F740F5"/>
    <w:rsid w:val="00F76A83"/>
    <w:rsid w:val="00F92B85"/>
    <w:rsid w:val="00F94677"/>
    <w:rsid w:val="00F95231"/>
    <w:rsid w:val="00FA13C7"/>
    <w:rsid w:val="00FA4D2E"/>
    <w:rsid w:val="00FA5381"/>
    <w:rsid w:val="00FA5409"/>
    <w:rsid w:val="00FB275D"/>
    <w:rsid w:val="00FF2572"/>
    <w:rsid w:val="00FF2918"/>
    <w:rsid w:val="00FF40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5D501496"/>
  <w15:chartTrackingRefBased/>
  <w15:docId w15:val="{5D33ACC0-BEC2-420B-B38D-1C7801E2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1C"/>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13C7"/>
    <w:pPr>
      <w:tabs>
        <w:tab w:val="center" w:pos="4536"/>
        <w:tab w:val="right" w:pos="9072"/>
      </w:tabs>
    </w:pPr>
  </w:style>
  <w:style w:type="paragraph" w:styleId="Footer">
    <w:name w:val="footer"/>
    <w:basedOn w:val="Normal"/>
    <w:link w:val="FooterChar"/>
    <w:uiPriority w:val="99"/>
    <w:rsid w:val="00FA13C7"/>
    <w:pPr>
      <w:tabs>
        <w:tab w:val="center" w:pos="4536"/>
        <w:tab w:val="right" w:pos="9072"/>
      </w:tabs>
    </w:pPr>
  </w:style>
  <w:style w:type="character" w:styleId="PageNumber">
    <w:name w:val="page number"/>
    <w:basedOn w:val="DefaultParagraphFont"/>
    <w:rsid w:val="001926AE"/>
  </w:style>
  <w:style w:type="character" w:styleId="CommentReference">
    <w:name w:val="annotation reference"/>
    <w:uiPriority w:val="99"/>
    <w:rsid w:val="00676FCE"/>
    <w:rPr>
      <w:sz w:val="16"/>
      <w:szCs w:val="16"/>
    </w:rPr>
  </w:style>
  <w:style w:type="paragraph" w:styleId="CommentText">
    <w:name w:val="annotation text"/>
    <w:basedOn w:val="Normal"/>
    <w:link w:val="CommentTextChar"/>
    <w:uiPriority w:val="99"/>
    <w:rsid w:val="00676FCE"/>
  </w:style>
  <w:style w:type="character" w:customStyle="1" w:styleId="CommentTextChar">
    <w:name w:val="Comment Text Char"/>
    <w:link w:val="CommentText"/>
    <w:uiPriority w:val="99"/>
    <w:rsid w:val="00676FCE"/>
    <w:rPr>
      <w:lang w:val="en-GB" w:eastAsia="en-US"/>
    </w:rPr>
  </w:style>
  <w:style w:type="paragraph" w:styleId="CommentSubject">
    <w:name w:val="annotation subject"/>
    <w:basedOn w:val="CommentText"/>
    <w:next w:val="CommentText"/>
    <w:link w:val="CommentSubjectChar"/>
    <w:rsid w:val="00676FCE"/>
    <w:rPr>
      <w:b/>
      <w:bCs/>
    </w:rPr>
  </w:style>
  <w:style w:type="character" w:customStyle="1" w:styleId="CommentSubjectChar">
    <w:name w:val="Comment Subject Char"/>
    <w:link w:val="CommentSubject"/>
    <w:rsid w:val="00676FCE"/>
    <w:rPr>
      <w:b/>
      <w:bCs/>
      <w:lang w:val="en-GB" w:eastAsia="en-US"/>
    </w:rPr>
  </w:style>
  <w:style w:type="paragraph" w:styleId="BalloonText">
    <w:name w:val="Balloon Text"/>
    <w:basedOn w:val="Normal"/>
    <w:link w:val="BalloonTextChar"/>
    <w:rsid w:val="00676FCE"/>
    <w:rPr>
      <w:rFonts w:ascii="Segoe UI" w:hAnsi="Segoe UI" w:cs="Segoe UI"/>
      <w:sz w:val="18"/>
      <w:szCs w:val="18"/>
    </w:rPr>
  </w:style>
  <w:style w:type="character" w:customStyle="1" w:styleId="BalloonTextChar">
    <w:name w:val="Balloon Text Char"/>
    <w:link w:val="BalloonText"/>
    <w:rsid w:val="00676FCE"/>
    <w:rPr>
      <w:rFonts w:ascii="Segoe UI" w:hAnsi="Segoe UI" w:cs="Segoe UI"/>
      <w:sz w:val="18"/>
      <w:szCs w:val="18"/>
      <w:lang w:val="en-GB" w:eastAsia="en-US"/>
    </w:rPr>
  </w:style>
  <w:style w:type="character" w:customStyle="1" w:styleId="MHristova">
    <w:name w:val="MHristova"/>
    <w:semiHidden/>
    <w:rsid w:val="00826C01"/>
    <w:rPr>
      <w:rFonts w:ascii="Arial" w:hAnsi="Arial" w:cs="Arial"/>
      <w:color w:val="auto"/>
      <w:sz w:val="20"/>
      <w:szCs w:val="20"/>
    </w:rPr>
  </w:style>
  <w:style w:type="character" w:customStyle="1" w:styleId="HeaderChar">
    <w:name w:val="Header Char"/>
    <w:link w:val="Header"/>
    <w:locked/>
    <w:rsid w:val="00E30C04"/>
    <w:rPr>
      <w:lang w:val="en-GB" w:eastAsia="en-US"/>
    </w:rPr>
  </w:style>
  <w:style w:type="character" w:customStyle="1" w:styleId="FooterChar">
    <w:name w:val="Footer Char"/>
    <w:link w:val="Footer"/>
    <w:uiPriority w:val="99"/>
    <w:locked/>
    <w:rsid w:val="00E30C04"/>
    <w:rPr>
      <w:lang w:val="en-GB" w:eastAsia="en-US"/>
    </w:rPr>
  </w:style>
  <w:style w:type="paragraph" w:styleId="ListParagraph">
    <w:name w:val="List Paragraph"/>
    <w:basedOn w:val="Normal"/>
    <w:link w:val="ListParagraphChar"/>
    <w:uiPriority w:val="34"/>
    <w:qFormat/>
    <w:rsid w:val="006651AF"/>
    <w:pPr>
      <w:ind w:left="708"/>
    </w:pPr>
  </w:style>
  <w:style w:type="character" w:customStyle="1" w:styleId="ListParagraphChar">
    <w:name w:val="List Paragraph Char"/>
    <w:link w:val="ListParagraph"/>
    <w:uiPriority w:val="34"/>
    <w:rsid w:val="005A1105"/>
    <w:rPr>
      <w:lang w:val="en-GB" w:eastAsia="en-US"/>
    </w:rPr>
  </w:style>
  <w:style w:type="paragraph" w:styleId="BodyText">
    <w:name w:val="Body Text"/>
    <w:basedOn w:val="Normal"/>
    <w:link w:val="BodyTextChar"/>
    <w:uiPriority w:val="99"/>
    <w:rsid w:val="004D1A81"/>
    <w:pPr>
      <w:jc w:val="both"/>
    </w:pPr>
    <w:rPr>
      <w:lang w:val="bg-BG"/>
    </w:rPr>
  </w:style>
  <w:style w:type="character" w:customStyle="1" w:styleId="BodyTextChar">
    <w:name w:val="Body Text Char"/>
    <w:link w:val="BodyText"/>
    <w:uiPriority w:val="99"/>
    <w:rsid w:val="004D1A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6179">
      <w:bodyDiv w:val="1"/>
      <w:marLeft w:val="0"/>
      <w:marRight w:val="0"/>
      <w:marTop w:val="0"/>
      <w:marBottom w:val="0"/>
      <w:divBdr>
        <w:top w:val="none" w:sz="0" w:space="0" w:color="auto"/>
        <w:left w:val="none" w:sz="0" w:space="0" w:color="auto"/>
        <w:bottom w:val="none" w:sz="0" w:space="0" w:color="auto"/>
        <w:right w:val="none" w:sz="0" w:space="0" w:color="auto"/>
      </w:divBdr>
    </w:div>
    <w:div w:id="635455312">
      <w:bodyDiv w:val="1"/>
      <w:marLeft w:val="0"/>
      <w:marRight w:val="0"/>
      <w:marTop w:val="0"/>
      <w:marBottom w:val="0"/>
      <w:divBdr>
        <w:top w:val="none" w:sz="0" w:space="0" w:color="auto"/>
        <w:left w:val="none" w:sz="0" w:space="0" w:color="auto"/>
        <w:bottom w:val="none" w:sz="0" w:space="0" w:color="auto"/>
        <w:right w:val="none" w:sz="0" w:space="0" w:color="auto"/>
      </w:divBdr>
    </w:div>
    <w:div w:id="1208567696">
      <w:bodyDiv w:val="1"/>
      <w:marLeft w:val="0"/>
      <w:marRight w:val="0"/>
      <w:marTop w:val="0"/>
      <w:marBottom w:val="0"/>
      <w:divBdr>
        <w:top w:val="none" w:sz="0" w:space="0" w:color="auto"/>
        <w:left w:val="none" w:sz="0" w:space="0" w:color="auto"/>
        <w:bottom w:val="none" w:sz="0" w:space="0" w:color="auto"/>
        <w:right w:val="none" w:sz="0" w:space="0" w:color="auto"/>
      </w:divBdr>
    </w:div>
    <w:div w:id="13095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66EDE-1DA5-4EC7-9787-DCF411CE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Ministry of  Finance - Bulgaria</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GIvanova</dc:creator>
  <cp:keywords/>
  <cp:lastModifiedBy>Калоян Митев</cp:lastModifiedBy>
  <cp:revision>13</cp:revision>
  <cp:lastPrinted>2016-12-12T14:41:00Z</cp:lastPrinted>
  <dcterms:created xsi:type="dcterms:W3CDTF">2020-09-28T09:56:00Z</dcterms:created>
  <dcterms:modified xsi:type="dcterms:W3CDTF">2020-09-30T14:17:00Z</dcterms:modified>
</cp:coreProperties>
</file>