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387"/>
        <w:gridCol w:w="2126"/>
      </w:tblGrid>
      <w:tr w:rsidR="00FD1848" w:rsidRPr="00D014C7" w14:paraId="40666E0B" w14:textId="77777777" w:rsidTr="00580FC6">
        <w:trPr>
          <w:trHeight w:val="743"/>
          <w:tblHeader/>
        </w:trPr>
        <w:tc>
          <w:tcPr>
            <w:tcW w:w="2410" w:type="dxa"/>
            <w:vAlign w:val="center"/>
          </w:tcPr>
          <w:p w14:paraId="49097565" w14:textId="77777777" w:rsidR="00FD1848" w:rsidRPr="00D014C7" w:rsidRDefault="00077759" w:rsidP="002E53E7">
            <w:pPr>
              <w:pStyle w:val="Index"/>
              <w:spacing w:after="0"/>
              <w:jc w:val="center"/>
              <w:rPr>
                <w:i/>
                <w:iCs/>
                <w:sz w:val="22"/>
                <w:szCs w:val="22"/>
                <w:lang w:val="bg-BG"/>
              </w:rPr>
            </w:pPr>
            <w:bookmarkStart w:id="0" w:name="_GoBack"/>
            <w:bookmarkEnd w:id="0"/>
            <w:r>
              <w:rPr>
                <w:b/>
                <w:i/>
                <w:iCs/>
                <w:sz w:val="22"/>
                <w:szCs w:val="22"/>
                <w:lang w:val="bg-BG"/>
              </w:rPr>
              <w:t>Администрация на Министерския съвет</w:t>
            </w:r>
            <w:r w:rsidR="00FD1848" w:rsidRPr="00D014C7">
              <w:rPr>
                <w:b/>
                <w:i/>
                <w:iCs/>
                <w:sz w:val="22"/>
                <w:szCs w:val="22"/>
                <w:lang w:val="bg-BG"/>
              </w:rPr>
              <w:t xml:space="preserve"> </w:t>
            </w:r>
          </w:p>
        </w:tc>
        <w:tc>
          <w:tcPr>
            <w:tcW w:w="5387" w:type="dxa"/>
            <w:vAlign w:val="center"/>
          </w:tcPr>
          <w:p w14:paraId="0AE9767E" w14:textId="77777777"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Наръчник за изпълнение на</w:t>
            </w:r>
          </w:p>
          <w:p w14:paraId="3973683C" w14:textId="73FD8910"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Оперативна програма</w:t>
            </w:r>
          </w:p>
          <w:p w14:paraId="1B72A2EF" w14:textId="60803222" w:rsidR="00FD1848" w:rsidRPr="00D014C7" w:rsidRDefault="00FD1848" w:rsidP="009F3DE2">
            <w:pPr>
              <w:pStyle w:val="Index"/>
              <w:spacing w:before="0" w:beforeAutospacing="0" w:after="0" w:afterAutospacing="0"/>
              <w:jc w:val="center"/>
              <w:rPr>
                <w:b/>
                <w:i/>
                <w:iCs/>
                <w:sz w:val="22"/>
                <w:szCs w:val="22"/>
                <w:lang w:val="bg-BG"/>
              </w:rPr>
            </w:pPr>
            <w:r w:rsidRPr="00D014C7">
              <w:rPr>
                <w:b/>
                <w:sz w:val="22"/>
                <w:szCs w:val="22"/>
                <w:lang w:val="bg-BG"/>
              </w:rPr>
              <w:t>„</w:t>
            </w:r>
            <w:r w:rsidR="00367C6F">
              <w:rPr>
                <w:b/>
                <w:sz w:val="22"/>
                <w:szCs w:val="22"/>
                <w:lang w:val="bg-BG"/>
              </w:rPr>
              <w:t xml:space="preserve">Добро </w:t>
            </w:r>
            <w:r w:rsidR="00D61EB6">
              <w:rPr>
                <w:b/>
                <w:sz w:val="22"/>
                <w:szCs w:val="22"/>
                <w:lang w:val="bg-BG"/>
              </w:rPr>
              <w:t>управление</w:t>
            </w:r>
            <w:r w:rsidRPr="00D014C7">
              <w:rPr>
                <w:b/>
                <w:sz w:val="22"/>
                <w:szCs w:val="22"/>
                <w:lang w:val="bg-BG"/>
              </w:rPr>
              <w:t xml:space="preserve">” </w:t>
            </w:r>
            <w:r w:rsidR="00D61EB6" w:rsidRPr="00D014C7">
              <w:rPr>
                <w:b/>
                <w:sz w:val="22"/>
                <w:szCs w:val="22"/>
                <w:lang w:val="bg-BG"/>
              </w:rPr>
              <w:t>20</w:t>
            </w:r>
            <w:r w:rsidR="00D61EB6">
              <w:rPr>
                <w:b/>
                <w:sz w:val="22"/>
                <w:szCs w:val="22"/>
                <w:lang w:val="bg-BG"/>
              </w:rPr>
              <w:t>14</w:t>
            </w:r>
            <w:r w:rsidRPr="00D014C7">
              <w:rPr>
                <w:b/>
                <w:sz w:val="22"/>
                <w:szCs w:val="22"/>
                <w:lang w:val="bg-BG"/>
              </w:rPr>
              <w:t>-</w:t>
            </w:r>
            <w:r w:rsidR="00D61EB6" w:rsidRPr="00D014C7">
              <w:rPr>
                <w:b/>
                <w:sz w:val="22"/>
                <w:szCs w:val="22"/>
                <w:lang w:val="bg-BG"/>
              </w:rPr>
              <w:t>20</w:t>
            </w:r>
            <w:r w:rsidR="00D61EB6">
              <w:rPr>
                <w:b/>
                <w:sz w:val="22"/>
                <w:szCs w:val="22"/>
                <w:lang w:val="bg-BG"/>
              </w:rPr>
              <w:t>20</w:t>
            </w:r>
          </w:p>
        </w:tc>
        <w:tc>
          <w:tcPr>
            <w:tcW w:w="2126" w:type="dxa"/>
            <w:vAlign w:val="center"/>
          </w:tcPr>
          <w:p w14:paraId="17E17C33" w14:textId="77777777" w:rsidR="00FD1848" w:rsidRPr="003E6D4D" w:rsidRDefault="00FD1848" w:rsidP="00BB189B">
            <w:pPr>
              <w:pStyle w:val="Index"/>
              <w:spacing w:after="0"/>
              <w:jc w:val="center"/>
              <w:rPr>
                <w:b/>
                <w:bCs/>
                <w:i/>
                <w:sz w:val="22"/>
                <w:szCs w:val="22"/>
              </w:rPr>
            </w:pPr>
            <w:r w:rsidRPr="00D014C7">
              <w:rPr>
                <w:b/>
                <w:bCs/>
                <w:i/>
                <w:sz w:val="22"/>
                <w:szCs w:val="22"/>
                <w:lang w:val="bg-BG"/>
              </w:rPr>
              <w:t xml:space="preserve">Приложение </w:t>
            </w:r>
            <w:r w:rsidR="00BB189B">
              <w:rPr>
                <w:b/>
                <w:bCs/>
                <w:i/>
                <w:sz w:val="22"/>
                <w:szCs w:val="22"/>
              </w:rPr>
              <w:t>VIII</w:t>
            </w:r>
            <w:r w:rsidR="003E6D4D">
              <w:rPr>
                <w:b/>
                <w:bCs/>
                <w:i/>
                <w:sz w:val="22"/>
                <w:szCs w:val="22"/>
              </w:rPr>
              <w:t>-T01</w:t>
            </w:r>
          </w:p>
        </w:tc>
      </w:tr>
      <w:tr w:rsidR="00FD1848" w:rsidRPr="00D014C7" w14:paraId="76F915F5" w14:textId="77777777" w:rsidTr="00580FC6">
        <w:trPr>
          <w:trHeight w:val="1063"/>
          <w:tblHeader/>
        </w:trPr>
        <w:tc>
          <w:tcPr>
            <w:tcW w:w="2410" w:type="dxa"/>
            <w:vAlign w:val="center"/>
          </w:tcPr>
          <w:p w14:paraId="34987AB5" w14:textId="77777777" w:rsidR="00FD1848" w:rsidRPr="00D014C7" w:rsidRDefault="00FD1848" w:rsidP="002E53E7">
            <w:pPr>
              <w:pStyle w:val="Index"/>
              <w:spacing w:before="0" w:beforeAutospacing="0" w:after="0" w:afterAutospacing="0"/>
              <w:jc w:val="center"/>
              <w:rPr>
                <w:b/>
                <w:i/>
                <w:iCs/>
                <w:sz w:val="22"/>
                <w:szCs w:val="22"/>
                <w:lang w:val="bg-BG"/>
              </w:rPr>
            </w:pPr>
            <w:r w:rsidRPr="00D014C7">
              <w:rPr>
                <w:b/>
                <w:i/>
                <w:iCs/>
                <w:sz w:val="22"/>
                <w:szCs w:val="22"/>
                <w:lang w:val="bg-BG"/>
              </w:rPr>
              <w:t xml:space="preserve">Дирекция </w:t>
            </w:r>
          </w:p>
          <w:p w14:paraId="58A83C02" w14:textId="31101DFD" w:rsidR="00FD1848" w:rsidRPr="00D014C7" w:rsidRDefault="00FD1848" w:rsidP="00077759">
            <w:pPr>
              <w:pStyle w:val="Index"/>
              <w:spacing w:before="0" w:beforeAutospacing="0" w:after="0" w:afterAutospacing="0"/>
              <w:jc w:val="center"/>
              <w:rPr>
                <w:b/>
                <w:sz w:val="22"/>
                <w:szCs w:val="22"/>
                <w:lang w:val="bg-BG"/>
              </w:rPr>
            </w:pPr>
            <w:r w:rsidRPr="00D014C7">
              <w:rPr>
                <w:b/>
                <w:i/>
                <w:iCs/>
                <w:sz w:val="22"/>
                <w:szCs w:val="22"/>
                <w:lang w:val="bg-BG"/>
              </w:rPr>
              <w:t>„</w:t>
            </w:r>
            <w:r w:rsidR="00077759">
              <w:rPr>
                <w:b/>
                <w:i/>
                <w:iCs/>
                <w:sz w:val="22"/>
                <w:szCs w:val="22"/>
                <w:lang w:val="bg-BG"/>
              </w:rPr>
              <w:t>Добро управление</w:t>
            </w:r>
            <w:r w:rsidRPr="00D014C7">
              <w:rPr>
                <w:b/>
                <w:i/>
                <w:iCs/>
                <w:sz w:val="22"/>
                <w:szCs w:val="22"/>
                <w:lang w:val="bg-BG"/>
              </w:rPr>
              <w:t>”</w:t>
            </w:r>
          </w:p>
        </w:tc>
        <w:tc>
          <w:tcPr>
            <w:tcW w:w="7513" w:type="dxa"/>
            <w:gridSpan w:val="2"/>
            <w:shd w:val="clear" w:color="auto" w:fill="666699"/>
            <w:vAlign w:val="center"/>
          </w:tcPr>
          <w:p w14:paraId="4912F2CA" w14:textId="77777777" w:rsidR="00FD1848" w:rsidRPr="00D014C7" w:rsidRDefault="00FD1848" w:rsidP="002E53E7">
            <w:pPr>
              <w:pStyle w:val="Index"/>
              <w:spacing w:after="0"/>
              <w:jc w:val="center"/>
              <w:rPr>
                <w:b/>
                <w:color w:val="FFFFFF"/>
                <w:sz w:val="28"/>
                <w:szCs w:val="28"/>
                <w:lang w:val="bg-BG"/>
              </w:rPr>
            </w:pPr>
            <w:r w:rsidRPr="00D014C7">
              <w:rPr>
                <w:b/>
                <w:color w:val="FFFFFF"/>
                <w:sz w:val="28"/>
                <w:szCs w:val="28"/>
                <w:lang w:val="bg-BG"/>
              </w:rPr>
              <w:t xml:space="preserve">Методология за идентифициране и оценка на риска при управлението на </w:t>
            </w:r>
            <w:r w:rsidR="009F3DE2">
              <w:rPr>
                <w:b/>
                <w:color w:val="FFFFFF"/>
                <w:sz w:val="28"/>
                <w:szCs w:val="28"/>
                <w:lang w:val="bg-BG"/>
              </w:rPr>
              <w:t>ОПДУ</w:t>
            </w:r>
          </w:p>
        </w:tc>
      </w:tr>
      <w:tr w:rsidR="00FD1848" w:rsidRPr="00D014C7" w14:paraId="3655C8DF" w14:textId="77777777" w:rsidTr="00580FC6">
        <w:trPr>
          <w:trHeight w:val="742"/>
          <w:tblHeader/>
        </w:trPr>
        <w:tc>
          <w:tcPr>
            <w:tcW w:w="2410" w:type="dxa"/>
            <w:vAlign w:val="center"/>
          </w:tcPr>
          <w:p w14:paraId="4CCC4B65" w14:textId="525B525E" w:rsidR="00FD1848" w:rsidRPr="00B01BA1" w:rsidRDefault="00FD1848" w:rsidP="00A77896">
            <w:pPr>
              <w:pStyle w:val="Index"/>
              <w:spacing w:after="0"/>
              <w:rPr>
                <w:b/>
                <w:i/>
                <w:iCs/>
                <w:sz w:val="22"/>
                <w:szCs w:val="22"/>
                <w:lang w:val="bg-BG"/>
              </w:rPr>
            </w:pPr>
            <w:r w:rsidRPr="00D014C7">
              <w:rPr>
                <w:sz w:val="22"/>
                <w:szCs w:val="22"/>
                <w:lang w:val="bg-BG"/>
              </w:rPr>
              <w:t xml:space="preserve">Вариант на документа: </w:t>
            </w:r>
            <w:r w:rsidR="00A77896">
              <w:rPr>
                <w:sz w:val="22"/>
                <w:szCs w:val="22"/>
                <w:lang w:val="bg-BG"/>
              </w:rPr>
              <w:t>3</w:t>
            </w:r>
          </w:p>
        </w:tc>
        <w:tc>
          <w:tcPr>
            <w:tcW w:w="5387" w:type="dxa"/>
            <w:vAlign w:val="center"/>
          </w:tcPr>
          <w:p w14:paraId="5475310A" w14:textId="77777777" w:rsidR="00FD1848" w:rsidRPr="00D014C7" w:rsidRDefault="00FD1848" w:rsidP="002E53E7">
            <w:pPr>
              <w:pStyle w:val="CharCharChar1Char"/>
              <w:jc w:val="center"/>
              <w:rPr>
                <w:rFonts w:ascii="Times New Roman" w:hAnsi="Times New Roman"/>
                <w:i/>
                <w:iCs/>
                <w:color w:val="000000"/>
                <w:sz w:val="22"/>
                <w:szCs w:val="22"/>
                <w:lang w:val="bg-BG" w:eastAsia="bg-BG"/>
              </w:rPr>
            </w:pPr>
            <w:r w:rsidRPr="00D014C7">
              <w:rPr>
                <w:rFonts w:ascii="Times New Roman" w:hAnsi="Times New Roman"/>
                <w:i/>
                <w:iCs/>
                <w:color w:val="000000"/>
                <w:sz w:val="22"/>
                <w:szCs w:val="22"/>
                <w:lang w:val="bg-BG" w:eastAsia="bg-BG"/>
              </w:rPr>
              <w:t xml:space="preserve">Одобрен от: </w:t>
            </w:r>
          </w:p>
          <w:p w14:paraId="2EE7342F" w14:textId="77777777" w:rsidR="00FD1848" w:rsidRPr="00D014C7" w:rsidRDefault="00FD1848" w:rsidP="009F3DE2">
            <w:pPr>
              <w:pStyle w:val="TableContents"/>
              <w:spacing w:beforeAutospacing="0" w:after="0" w:afterAutospacing="0"/>
              <w:jc w:val="center"/>
              <w:rPr>
                <w:b/>
                <w:sz w:val="28"/>
                <w:szCs w:val="28"/>
                <w:lang w:val="bg-BG"/>
              </w:rPr>
            </w:pPr>
            <w:r w:rsidRPr="00D014C7">
              <w:rPr>
                <w:i/>
                <w:iCs/>
                <w:sz w:val="22"/>
                <w:szCs w:val="22"/>
                <w:lang w:val="bg-BG"/>
              </w:rPr>
              <w:t>Ръководителя на Управляващия орган на Оперативна програма „</w:t>
            </w:r>
            <w:r w:rsidR="00D61EB6">
              <w:rPr>
                <w:i/>
                <w:iCs/>
                <w:sz w:val="22"/>
                <w:szCs w:val="22"/>
                <w:lang w:val="bg-BG"/>
              </w:rPr>
              <w:t>Добро управление</w:t>
            </w:r>
            <w:r w:rsidRPr="00D014C7">
              <w:rPr>
                <w:i/>
                <w:iCs/>
                <w:sz w:val="22"/>
                <w:szCs w:val="22"/>
                <w:lang w:val="bg-BG"/>
              </w:rPr>
              <w:t>”</w:t>
            </w:r>
          </w:p>
        </w:tc>
        <w:tc>
          <w:tcPr>
            <w:tcW w:w="2126" w:type="dxa"/>
            <w:vAlign w:val="center"/>
          </w:tcPr>
          <w:p w14:paraId="76C9C9F6" w14:textId="390E956D" w:rsidR="00FD1848" w:rsidRPr="00367C6F" w:rsidRDefault="00580FC6" w:rsidP="00265F7B">
            <w:pPr>
              <w:pStyle w:val="TableContents"/>
              <w:spacing w:after="0"/>
              <w:jc w:val="center"/>
              <w:rPr>
                <w:b/>
                <w:sz w:val="28"/>
                <w:szCs w:val="28"/>
              </w:rPr>
            </w:pPr>
            <w:r>
              <w:rPr>
                <w:sz w:val="22"/>
                <w:szCs w:val="22"/>
                <w:lang w:val="bg-BG"/>
              </w:rPr>
              <w:t xml:space="preserve">Дата: </w:t>
            </w:r>
            <w:r w:rsidR="00265F7B" w:rsidRPr="00B01BA1">
              <w:rPr>
                <w:sz w:val="22"/>
                <w:szCs w:val="22"/>
                <w:lang w:val="bg-BG"/>
              </w:rPr>
              <w:t>29.09</w:t>
            </w:r>
            <w:r w:rsidR="00725E92" w:rsidRPr="00265F7B">
              <w:rPr>
                <w:sz w:val="22"/>
                <w:szCs w:val="22"/>
                <w:lang w:val="bg-BG"/>
              </w:rPr>
              <w:t>.2017</w:t>
            </w:r>
            <w:r w:rsidRPr="00265F7B">
              <w:rPr>
                <w:sz w:val="22"/>
                <w:szCs w:val="22"/>
                <w:lang w:val="bg-BG"/>
              </w:rPr>
              <w:t xml:space="preserve"> г.</w:t>
            </w:r>
          </w:p>
        </w:tc>
      </w:tr>
    </w:tbl>
    <w:p w14:paraId="1407D913" w14:textId="77777777" w:rsidR="00FD1848" w:rsidRPr="00D014C7" w:rsidRDefault="00FD1848" w:rsidP="004B59EF">
      <w:pPr>
        <w:rPr>
          <w:szCs w:val="24"/>
        </w:rPr>
      </w:pPr>
    </w:p>
    <w:p w14:paraId="29F342E8" w14:textId="77777777" w:rsidR="00FD1848" w:rsidRPr="00D014C7" w:rsidRDefault="00FD1848" w:rsidP="004B59EF">
      <w:pPr>
        <w:rPr>
          <w:sz w:val="24"/>
          <w:szCs w:val="24"/>
        </w:rPr>
      </w:pPr>
    </w:p>
    <w:p w14:paraId="745A7653" w14:textId="77777777" w:rsidR="00FD1848" w:rsidRPr="00D014C7" w:rsidRDefault="00FD1848">
      <w:pPr>
        <w:spacing w:after="360"/>
        <w:jc w:val="center"/>
        <w:rPr>
          <w:b/>
          <w:sz w:val="24"/>
          <w:szCs w:val="24"/>
        </w:rPr>
      </w:pPr>
      <w:r w:rsidRPr="00D014C7">
        <w:rPr>
          <w:b/>
          <w:sz w:val="24"/>
          <w:szCs w:val="24"/>
        </w:rPr>
        <w:t>МЕТОДОЛОГИЯ ЗА ИДЕНТИФИЦИРАНЕ И ОЦЕНКА НА РИСКА ПРИ УПРАВЛЕНИЕТО НА ОПЕРАТИВНА ПРОГРАМА „</w:t>
      </w:r>
      <w:r w:rsidR="009F3DE2">
        <w:rPr>
          <w:b/>
          <w:sz w:val="24"/>
          <w:szCs w:val="24"/>
        </w:rPr>
        <w:t>ДОБРО УПРАВЛЕНИЕ</w:t>
      </w:r>
      <w:r w:rsidRPr="00D014C7">
        <w:rPr>
          <w:b/>
          <w:sz w:val="24"/>
          <w:szCs w:val="24"/>
        </w:rPr>
        <w:t>”</w:t>
      </w:r>
    </w:p>
    <w:p w14:paraId="67595399" w14:textId="77777777" w:rsidR="00FD1848" w:rsidRPr="00D014C7" w:rsidRDefault="00FD1848" w:rsidP="00367400">
      <w:pPr>
        <w:spacing w:after="120"/>
        <w:ind w:firstLine="706"/>
        <w:jc w:val="both"/>
        <w:rPr>
          <w:sz w:val="24"/>
          <w:szCs w:val="24"/>
        </w:rPr>
      </w:pPr>
      <w:r w:rsidRPr="00D014C7">
        <w:rPr>
          <w:sz w:val="24"/>
          <w:szCs w:val="24"/>
        </w:rPr>
        <w:t>По своята същност управлението на риска представлява съвкупност от процеси по идентифициране, оценка и контрол на риска, чрез които се осигурява изпълнението на целите на съответната организация и се постига ефективно управление.</w:t>
      </w:r>
    </w:p>
    <w:p w14:paraId="68E900A0" w14:textId="77777777" w:rsidR="00FD1848" w:rsidRPr="00D014C7" w:rsidRDefault="00FD1848" w:rsidP="00367400">
      <w:pPr>
        <w:spacing w:after="120"/>
        <w:ind w:firstLine="708"/>
        <w:jc w:val="both"/>
        <w:rPr>
          <w:sz w:val="24"/>
          <w:szCs w:val="24"/>
        </w:rPr>
      </w:pPr>
      <w:r w:rsidRPr="00D014C7">
        <w:rPr>
          <w:sz w:val="24"/>
          <w:szCs w:val="24"/>
        </w:rPr>
        <w:t xml:space="preserve">Управлението на риска е част от системата за управление и контрол. Целта на управлението е да открие рисковете, поставящи под съмнение доброто функциониране на организацията, да ги оцени и да намали критичните рискове. Доброто управление и поемане на риск се разглежда като предпоставка за постигането на устойчиво подобряване на дейността на организацията. </w:t>
      </w:r>
    </w:p>
    <w:p w14:paraId="4DC9F77B" w14:textId="7F873A8E" w:rsidR="00FD1848" w:rsidRPr="00D014C7" w:rsidRDefault="00FD1848" w:rsidP="00E44BF3">
      <w:pPr>
        <w:spacing w:after="120"/>
        <w:ind w:firstLine="708"/>
        <w:jc w:val="both"/>
        <w:rPr>
          <w:sz w:val="24"/>
          <w:szCs w:val="24"/>
        </w:rPr>
      </w:pPr>
      <w:r w:rsidRPr="00D014C7">
        <w:rPr>
          <w:sz w:val="24"/>
          <w:szCs w:val="24"/>
        </w:rPr>
        <w:t>„</w:t>
      </w:r>
      <w:r w:rsidRPr="00D014C7">
        <w:rPr>
          <w:b/>
          <w:sz w:val="24"/>
          <w:szCs w:val="24"/>
        </w:rPr>
        <w:t xml:space="preserve">Риск” </w:t>
      </w:r>
      <w:r w:rsidRPr="00D014C7">
        <w:rPr>
          <w:sz w:val="24"/>
          <w:szCs w:val="24"/>
        </w:rPr>
        <w:t>е събитие, което ще повлияе върху постигането на целите на организацията. Рискът се измерва с неговия ефект и с вероятността от настъпването му</w:t>
      </w:r>
      <w:r w:rsidRPr="00B01BA1">
        <w:rPr>
          <w:sz w:val="24"/>
          <w:szCs w:val="24"/>
        </w:rPr>
        <w:t xml:space="preserve"> </w:t>
      </w:r>
      <w:r w:rsidRPr="00D014C7">
        <w:rPr>
          <w:sz w:val="24"/>
          <w:szCs w:val="24"/>
        </w:rPr>
        <w:t>(§ 1, т. 5 от Закона за финансовото управление и контрол в публичния сектор).</w:t>
      </w:r>
    </w:p>
    <w:p w14:paraId="5827FF1A" w14:textId="01DE5020" w:rsidR="00FD1848" w:rsidRPr="00D014C7" w:rsidRDefault="00FD1848">
      <w:pPr>
        <w:spacing w:after="120"/>
        <w:ind w:firstLine="708"/>
        <w:jc w:val="both"/>
        <w:rPr>
          <w:sz w:val="24"/>
          <w:szCs w:val="24"/>
        </w:rPr>
      </w:pPr>
      <w:r w:rsidRPr="00D014C7">
        <w:rPr>
          <w:sz w:val="24"/>
          <w:szCs w:val="24"/>
        </w:rPr>
        <w:t xml:space="preserve">Международният стандарт за управление на риска - ISO 31000:2009 съдържа по-обща дефиниция за риск, която съответства на ЗФУКПС: </w:t>
      </w:r>
      <w:r w:rsidRPr="00D014C7">
        <w:rPr>
          <w:i/>
          <w:sz w:val="24"/>
          <w:szCs w:val="24"/>
        </w:rPr>
        <w:t xml:space="preserve">„Риск е </w:t>
      </w:r>
      <w:r w:rsidR="00A0767B" w:rsidRPr="00D014C7">
        <w:rPr>
          <w:i/>
          <w:sz w:val="24"/>
          <w:szCs w:val="24"/>
        </w:rPr>
        <w:t>ефект</w:t>
      </w:r>
      <w:r w:rsidR="00A0767B">
        <w:rPr>
          <w:i/>
          <w:sz w:val="24"/>
          <w:szCs w:val="24"/>
        </w:rPr>
        <w:t>ът</w:t>
      </w:r>
      <w:r w:rsidR="00A0767B" w:rsidRPr="00D014C7">
        <w:rPr>
          <w:i/>
          <w:sz w:val="24"/>
          <w:szCs w:val="24"/>
        </w:rPr>
        <w:t xml:space="preserve"> </w:t>
      </w:r>
      <w:r w:rsidRPr="00D014C7">
        <w:rPr>
          <w:i/>
          <w:sz w:val="24"/>
          <w:szCs w:val="24"/>
        </w:rPr>
        <w:t>на несигурност по отношение на цели.”</w:t>
      </w:r>
      <w:r w:rsidRPr="00D014C7">
        <w:rPr>
          <w:rStyle w:val="FootnoteReference"/>
          <w:i/>
        </w:rPr>
        <w:footnoteReference w:id="1"/>
      </w:r>
    </w:p>
    <w:p w14:paraId="117264FC" w14:textId="77777777" w:rsidR="00FD1848" w:rsidRPr="00D014C7" w:rsidRDefault="00FD1848" w:rsidP="00B01BA1">
      <w:pPr>
        <w:spacing w:after="120"/>
        <w:ind w:firstLine="708"/>
        <w:jc w:val="both"/>
        <w:rPr>
          <w:sz w:val="24"/>
          <w:szCs w:val="24"/>
        </w:rPr>
      </w:pPr>
      <w:r w:rsidRPr="00D014C7">
        <w:rPr>
          <w:sz w:val="24"/>
          <w:szCs w:val="24"/>
        </w:rPr>
        <w:t>Според цитирания стандарт рисковете се характеризират с потенциални събития и последствия или тяхната комбинация. Също така могат да бъдат изразени чрез комбинация от въздействието на дадено събитие и вероятността то да се случи. Несигурността е състояние на недостиг на информация за събитие, последствията от него и вероятността то да се случи.</w:t>
      </w:r>
    </w:p>
    <w:p w14:paraId="6C98D789" w14:textId="53F39253" w:rsidR="00FD1848" w:rsidRPr="00D014C7" w:rsidRDefault="00FD1848" w:rsidP="00B01BA1">
      <w:pPr>
        <w:spacing w:after="120"/>
        <w:ind w:firstLine="708"/>
        <w:jc w:val="both"/>
        <w:rPr>
          <w:sz w:val="24"/>
          <w:szCs w:val="24"/>
        </w:rPr>
      </w:pPr>
      <w:r w:rsidRPr="00D014C7">
        <w:rPr>
          <w:sz w:val="24"/>
          <w:szCs w:val="24"/>
        </w:rPr>
        <w:t xml:space="preserve">Съгласно </w:t>
      </w:r>
      <w:r w:rsidRPr="00B01BA1">
        <w:rPr>
          <w:i/>
          <w:sz w:val="24"/>
          <w:szCs w:val="24"/>
        </w:rPr>
        <w:t xml:space="preserve">Регламент на Съвета № </w:t>
      </w:r>
      <w:r w:rsidR="009F3DE2" w:rsidRPr="00B01BA1">
        <w:rPr>
          <w:i/>
          <w:sz w:val="24"/>
          <w:szCs w:val="24"/>
        </w:rPr>
        <w:t>1303</w:t>
      </w:r>
      <w:r w:rsidRPr="00B01BA1">
        <w:rPr>
          <w:i/>
          <w:sz w:val="24"/>
          <w:szCs w:val="24"/>
        </w:rPr>
        <w:t>/</w:t>
      </w:r>
      <w:r w:rsidR="009F3DE2" w:rsidRPr="00B01BA1">
        <w:rPr>
          <w:i/>
          <w:sz w:val="24"/>
          <w:szCs w:val="24"/>
        </w:rPr>
        <w:t>17</w:t>
      </w:r>
      <w:r w:rsidRPr="00B01BA1">
        <w:rPr>
          <w:i/>
          <w:sz w:val="24"/>
          <w:szCs w:val="24"/>
        </w:rPr>
        <w:t>.</w:t>
      </w:r>
      <w:r w:rsidR="009F3DE2" w:rsidRPr="00B01BA1">
        <w:rPr>
          <w:i/>
          <w:sz w:val="24"/>
          <w:szCs w:val="24"/>
        </w:rPr>
        <w:t>12</w:t>
      </w:r>
      <w:r w:rsidRPr="00B01BA1">
        <w:rPr>
          <w:i/>
          <w:sz w:val="24"/>
          <w:szCs w:val="24"/>
        </w:rPr>
        <w:t>.</w:t>
      </w:r>
      <w:r w:rsidR="009F3DE2" w:rsidRPr="00B01BA1">
        <w:rPr>
          <w:i/>
          <w:sz w:val="24"/>
          <w:szCs w:val="24"/>
        </w:rPr>
        <w:t xml:space="preserve">2013 </w:t>
      </w:r>
      <w:r w:rsidRPr="00B01BA1">
        <w:rPr>
          <w:i/>
          <w:sz w:val="24"/>
          <w:szCs w:val="24"/>
        </w:rPr>
        <w:t xml:space="preserve">г. относно определянето на </w:t>
      </w:r>
      <w:r w:rsidR="006C48D8" w:rsidRPr="00B01BA1">
        <w:rPr>
          <w:i/>
          <w:sz w:val="24"/>
          <w:szCs w:val="24"/>
        </w:rPr>
        <w:t xml:space="preserve">общоприоложими </w:t>
      </w:r>
      <w:r w:rsidRPr="00B01BA1">
        <w:rPr>
          <w:i/>
          <w:sz w:val="24"/>
          <w:szCs w:val="24"/>
        </w:rPr>
        <w:t>разпоредби за Европейския фонд за регионално развитие, Европейския социален фонд</w:t>
      </w:r>
      <w:r w:rsidR="00597D9E" w:rsidRPr="00B01BA1">
        <w:rPr>
          <w:i/>
          <w:sz w:val="24"/>
          <w:szCs w:val="24"/>
        </w:rPr>
        <w:t>,</w:t>
      </w:r>
      <w:r w:rsidRPr="00B01BA1">
        <w:rPr>
          <w:i/>
          <w:sz w:val="24"/>
          <w:szCs w:val="24"/>
        </w:rPr>
        <w:t xml:space="preserve"> </w:t>
      </w:r>
      <w:r w:rsidR="00597D9E" w:rsidRPr="00B01BA1">
        <w:rPr>
          <w:i/>
          <w:sz w:val="24"/>
          <w:szCs w:val="24"/>
        </w:rPr>
        <w:t>Кохезионния фонд, Европейския земеделски фонд за развитие на селските райони и Европейския фонд за морско дело и рибарство</w:t>
      </w:r>
      <w:r w:rsidRPr="00D014C7">
        <w:rPr>
          <w:sz w:val="24"/>
          <w:szCs w:val="24"/>
        </w:rPr>
        <w:t xml:space="preserve"> и националното законодателство следва да бъдат изградени системи за управление и контрол на оперативните програми, съфинансирани със средства от фондовете на Европейския съюз. Настоящата методология за идентифициране и оценка на риска е елемент от системите за управление и контрол на Оперативната програма „</w:t>
      </w:r>
      <w:r w:rsidR="009F3DE2">
        <w:rPr>
          <w:sz w:val="24"/>
          <w:szCs w:val="24"/>
        </w:rPr>
        <w:t>Добро управление</w:t>
      </w:r>
      <w:r w:rsidRPr="00D014C7">
        <w:rPr>
          <w:sz w:val="24"/>
          <w:szCs w:val="24"/>
        </w:rPr>
        <w:t>” (</w:t>
      </w:r>
      <w:r w:rsidR="009F3DE2" w:rsidRPr="00D014C7">
        <w:rPr>
          <w:sz w:val="24"/>
          <w:szCs w:val="24"/>
        </w:rPr>
        <w:t>ОП</w:t>
      </w:r>
      <w:r w:rsidR="009F3DE2">
        <w:rPr>
          <w:sz w:val="24"/>
          <w:szCs w:val="24"/>
        </w:rPr>
        <w:t>ДУ</w:t>
      </w:r>
      <w:r w:rsidRPr="00D014C7">
        <w:rPr>
          <w:sz w:val="24"/>
          <w:szCs w:val="24"/>
        </w:rPr>
        <w:t xml:space="preserve">) и е насочена към постигане на целите, заложени в оперативната програма и в частност към подобряване дейността на Управляващия орган (УО) – </w:t>
      </w:r>
      <w:r w:rsidRPr="00D014C7">
        <w:rPr>
          <w:spacing w:val="-4"/>
          <w:sz w:val="24"/>
          <w:szCs w:val="24"/>
        </w:rPr>
        <w:t>дирекция „</w:t>
      </w:r>
      <w:r w:rsidR="00794B0D">
        <w:rPr>
          <w:spacing w:val="-4"/>
          <w:sz w:val="24"/>
          <w:szCs w:val="24"/>
        </w:rPr>
        <w:t>Добро</w:t>
      </w:r>
      <w:r w:rsidR="009F3DE2">
        <w:rPr>
          <w:spacing w:val="-4"/>
          <w:sz w:val="24"/>
          <w:szCs w:val="24"/>
        </w:rPr>
        <w:t xml:space="preserve"> управление</w:t>
      </w:r>
      <w:r w:rsidRPr="00D014C7">
        <w:rPr>
          <w:spacing w:val="-4"/>
          <w:sz w:val="24"/>
          <w:szCs w:val="24"/>
        </w:rPr>
        <w:t xml:space="preserve">” в </w:t>
      </w:r>
      <w:r w:rsidR="00077759">
        <w:rPr>
          <w:spacing w:val="-4"/>
          <w:sz w:val="24"/>
          <w:szCs w:val="24"/>
        </w:rPr>
        <w:t>Администрацията на Министерския съвет</w:t>
      </w:r>
      <w:r w:rsidRPr="00D014C7">
        <w:rPr>
          <w:sz w:val="24"/>
          <w:szCs w:val="24"/>
        </w:rPr>
        <w:t>.</w:t>
      </w:r>
      <w:r w:rsidR="00CB2188">
        <w:rPr>
          <w:sz w:val="24"/>
          <w:szCs w:val="24"/>
        </w:rPr>
        <w:t xml:space="preserve"> В </w:t>
      </w:r>
      <w:r w:rsidR="00CB2188">
        <w:rPr>
          <w:sz w:val="24"/>
          <w:szCs w:val="24"/>
        </w:rPr>
        <w:lastRenderedPageBreak/>
        <w:t xml:space="preserve">настоящата методология са отразени и препоръките на </w:t>
      </w:r>
      <w:r w:rsidR="00CB2188" w:rsidRPr="00B01BA1">
        <w:rPr>
          <w:i/>
          <w:sz w:val="24"/>
          <w:szCs w:val="24"/>
        </w:rPr>
        <w:t>Насоките на ЕК за оценка на риска от измами и ефективни и пропорционални мерки за борба с измамите</w:t>
      </w:r>
      <w:r w:rsidR="00CB2188" w:rsidRPr="00AF1F11">
        <w:rPr>
          <w:sz w:val="24"/>
          <w:szCs w:val="24"/>
        </w:rPr>
        <w:t xml:space="preserve"> (EGESIF_14-0021-00</w:t>
      </w:r>
      <w:r w:rsidR="00127E8B">
        <w:rPr>
          <w:sz w:val="24"/>
          <w:szCs w:val="24"/>
        </w:rPr>
        <w:t xml:space="preserve"> от </w:t>
      </w:r>
      <w:r w:rsidR="00CB2188" w:rsidRPr="00AF1F11">
        <w:rPr>
          <w:sz w:val="24"/>
          <w:szCs w:val="24"/>
        </w:rPr>
        <w:t>16/06/2014)</w:t>
      </w:r>
      <w:r w:rsidR="00A63258">
        <w:rPr>
          <w:sz w:val="24"/>
          <w:szCs w:val="24"/>
        </w:rPr>
        <w:t xml:space="preserve"> – по-долу „</w:t>
      </w:r>
      <w:r w:rsidR="00A63258" w:rsidRPr="00B01BA1">
        <w:rPr>
          <w:i/>
          <w:sz w:val="24"/>
          <w:szCs w:val="24"/>
        </w:rPr>
        <w:t>Насоките на ЕК</w:t>
      </w:r>
      <w:r w:rsidR="00A63258">
        <w:rPr>
          <w:sz w:val="24"/>
          <w:szCs w:val="24"/>
        </w:rPr>
        <w:t>“</w:t>
      </w:r>
      <w:r w:rsidR="00CB2188">
        <w:rPr>
          <w:sz w:val="24"/>
          <w:szCs w:val="24"/>
        </w:rPr>
        <w:t>.</w:t>
      </w:r>
    </w:p>
    <w:p w14:paraId="3E918141" w14:textId="4551C032" w:rsidR="00FD1848" w:rsidRPr="00D014C7" w:rsidRDefault="00FD1848" w:rsidP="00367400">
      <w:pPr>
        <w:tabs>
          <w:tab w:val="left" w:pos="1080"/>
        </w:tabs>
        <w:spacing w:after="120"/>
        <w:ind w:firstLine="708"/>
        <w:jc w:val="both"/>
        <w:rPr>
          <w:sz w:val="24"/>
          <w:szCs w:val="24"/>
        </w:rPr>
      </w:pPr>
      <w:r w:rsidRPr="00D014C7">
        <w:rPr>
          <w:sz w:val="24"/>
          <w:szCs w:val="24"/>
        </w:rPr>
        <w:t xml:space="preserve">Като част от системата за управление и контрол на </w:t>
      </w:r>
      <w:r w:rsidR="009F3DE2" w:rsidRPr="00D014C7">
        <w:rPr>
          <w:sz w:val="24"/>
          <w:szCs w:val="24"/>
        </w:rPr>
        <w:t>ОП</w:t>
      </w:r>
      <w:r w:rsidR="009F3DE2">
        <w:rPr>
          <w:sz w:val="24"/>
          <w:szCs w:val="24"/>
        </w:rPr>
        <w:t>ДУ</w:t>
      </w:r>
      <w:r w:rsidRPr="00D014C7">
        <w:rPr>
          <w:sz w:val="24"/>
          <w:szCs w:val="24"/>
        </w:rPr>
        <w:t>, дейността по идентифициране, оценка и управление на риска</w:t>
      </w:r>
      <w:r w:rsidR="00CB2188">
        <w:rPr>
          <w:sz w:val="24"/>
          <w:szCs w:val="24"/>
        </w:rPr>
        <w:t>, вкл. риска от измами,</w:t>
      </w:r>
      <w:r w:rsidRPr="00D014C7">
        <w:rPr>
          <w:sz w:val="24"/>
          <w:szCs w:val="24"/>
        </w:rPr>
        <w:t xml:space="preserve"> е постоянен процес и е отговорност на ръководството на УО. Тази дейност допринася за увеличаване на ефективността на управлението на </w:t>
      </w:r>
      <w:r w:rsidR="009F3DE2" w:rsidRPr="00D014C7">
        <w:rPr>
          <w:sz w:val="24"/>
          <w:szCs w:val="24"/>
        </w:rPr>
        <w:t>ОП</w:t>
      </w:r>
      <w:r w:rsidR="009F3DE2">
        <w:rPr>
          <w:sz w:val="24"/>
          <w:szCs w:val="24"/>
        </w:rPr>
        <w:t>ДУ</w:t>
      </w:r>
      <w:r w:rsidRPr="00D014C7">
        <w:rPr>
          <w:sz w:val="24"/>
          <w:szCs w:val="24"/>
        </w:rPr>
        <w:t>. Чрез дейността по идентифициране, оценка и управление на риска се определят областите, в които системата за управление и контрол работи най-ефективно, както и областите, където системата не работи. Тази дейност представлява и средство за вземане на стратегически решения.</w:t>
      </w:r>
    </w:p>
    <w:p w14:paraId="6F187666" w14:textId="77777777" w:rsidR="00FD1848" w:rsidRPr="00D014C7" w:rsidRDefault="00FD1848" w:rsidP="00367400">
      <w:pPr>
        <w:spacing w:after="120"/>
        <w:ind w:firstLine="708"/>
        <w:outlineLvl w:val="0"/>
        <w:rPr>
          <w:b/>
          <w:sz w:val="24"/>
          <w:szCs w:val="24"/>
        </w:rPr>
      </w:pPr>
      <w:r w:rsidRPr="00D014C7">
        <w:rPr>
          <w:b/>
          <w:sz w:val="24"/>
          <w:szCs w:val="24"/>
        </w:rPr>
        <w:t>Етапи от дейността по идентифициране, оценка и управление на риска</w:t>
      </w:r>
    </w:p>
    <w:p w14:paraId="18831474" w14:textId="77777777" w:rsidR="00FD1848" w:rsidRPr="00D014C7" w:rsidRDefault="00FD1848" w:rsidP="00367400">
      <w:pPr>
        <w:pStyle w:val="BodyTextIndent2"/>
        <w:spacing w:line="240" w:lineRule="auto"/>
        <w:ind w:left="0" w:firstLine="708"/>
        <w:jc w:val="both"/>
        <w:rPr>
          <w:szCs w:val="24"/>
          <w:lang w:val="bg-BG"/>
        </w:rPr>
      </w:pPr>
      <w:r w:rsidRPr="00D014C7">
        <w:rPr>
          <w:szCs w:val="24"/>
          <w:lang w:val="bg-BG"/>
        </w:rPr>
        <w:t>В общия случай дейностите по идентифициране, оценка и управление на риска преминават през следните етапи:</w:t>
      </w:r>
    </w:p>
    <w:p w14:paraId="77B4611B"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Установяване на контекста – определяне на целите и средата, в която организацията се стреми да ги постигне, организационната среда (структура, процеси, стратегия), както и самата организация на дейностите по управление на риска;</w:t>
      </w:r>
    </w:p>
    <w:p w14:paraId="5DFE4723"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Идентифициране на рисковете – причини и източници на риск, сфери на въздействие, събития (включително техните причини и последствия);</w:t>
      </w:r>
    </w:p>
    <w:p w14:paraId="7EFBED2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Анализ на рисковете –анализ на идентифицираните рискове и техните параметри, който да осигури база за оценка на риска;</w:t>
      </w:r>
    </w:p>
    <w:p w14:paraId="21C57FB5"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Оценка на рисковете – сравнение на нивото на риск, с критериите за оценка на рисковете т.е. дали да се предприемат действия по отношение на конкретните рискове;</w:t>
      </w:r>
    </w:p>
    <w:p w14:paraId="30C0FF86"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Третиране на рисковете съгласно избраната стратегия за конкретните рискове - подготовка и изпълнение на планове за управление на риска</w:t>
      </w:r>
    </w:p>
    <w:p w14:paraId="77177711"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Наблюдение и оценка на процесите – наблюдението и оценката са планирана част от процеса на управление на риска</w:t>
      </w:r>
    </w:p>
    <w:p w14:paraId="5A3FBAA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Комуникация и консултиране – процесът на комуникация и консултиране с външни и вътрешни заинтересовани страни следва да бъде непрекъснат и да обхваща всички етапи</w:t>
      </w:r>
    </w:p>
    <w:p w14:paraId="59E7FBF8" w14:textId="5D585FB6" w:rsidR="00FD1848" w:rsidRPr="00D014C7" w:rsidRDefault="00265F7B">
      <w:pPr>
        <w:pStyle w:val="BodyTextIndent2"/>
        <w:spacing w:line="240" w:lineRule="auto"/>
        <w:ind w:left="0" w:firstLine="708"/>
        <w:jc w:val="center"/>
        <w:rPr>
          <w:lang w:val="bg-BG"/>
        </w:rPr>
      </w:pPr>
      <w:r w:rsidRPr="00D014C7">
        <w:rPr>
          <w:rFonts w:ascii="Verdana" w:hAnsi="Verdana"/>
          <w:lang w:val="bg-BG"/>
        </w:rPr>
        <w:object w:dxaOrig="4707" w:dyaOrig="5588" w14:anchorId="475E5D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65pt;height:309.7pt" o:ole="">
            <v:imagedata r:id="rId8" o:title=""/>
          </v:shape>
          <o:OLEObject Type="Embed" ProgID="Visio.Drawing.11" ShapeID="_x0000_i1025" DrawAspect="Content" ObjectID="_1641188405" r:id="rId9"/>
        </w:object>
      </w:r>
      <w:r w:rsidR="00FD1848" w:rsidRPr="00D014C7">
        <w:rPr>
          <w:lang w:val="bg-BG"/>
        </w:rPr>
        <w:t xml:space="preserve"> </w:t>
      </w:r>
    </w:p>
    <w:p w14:paraId="33BA437E" w14:textId="77777777" w:rsidR="00FD1848" w:rsidRPr="00D014C7" w:rsidRDefault="00FD1848">
      <w:pPr>
        <w:pStyle w:val="BodyTextIndent2"/>
        <w:spacing w:line="240" w:lineRule="auto"/>
        <w:ind w:left="0" w:firstLine="708"/>
        <w:jc w:val="center"/>
        <w:rPr>
          <w:szCs w:val="24"/>
          <w:lang w:val="bg-BG"/>
        </w:rPr>
      </w:pPr>
      <w:r w:rsidRPr="00D014C7">
        <w:rPr>
          <w:b/>
          <w:lang w:val="bg-BG"/>
        </w:rPr>
        <w:t>Цикъл на риска</w:t>
      </w:r>
      <w:r w:rsidRPr="00D014C7">
        <w:rPr>
          <w:lang w:val="bg-BG"/>
        </w:rPr>
        <w:t>, Източник: ISO 31000:2009</w:t>
      </w:r>
    </w:p>
    <w:p w14:paraId="0BBC0FEB" w14:textId="77777777" w:rsidR="00FD1848" w:rsidRPr="00D014C7" w:rsidRDefault="00FD1848">
      <w:pPr>
        <w:spacing w:after="120"/>
        <w:jc w:val="both"/>
        <w:rPr>
          <w:sz w:val="24"/>
          <w:szCs w:val="24"/>
        </w:rPr>
      </w:pPr>
      <w:r w:rsidRPr="00D014C7">
        <w:rPr>
          <w:sz w:val="24"/>
          <w:szCs w:val="24"/>
        </w:rPr>
        <w:t xml:space="preserve">Дейностите на УО на </w:t>
      </w:r>
      <w:r w:rsidR="009F3DE2">
        <w:rPr>
          <w:sz w:val="24"/>
          <w:szCs w:val="24"/>
        </w:rPr>
        <w:t>ОПДУ</w:t>
      </w:r>
      <w:r w:rsidRPr="00D014C7">
        <w:rPr>
          <w:sz w:val="24"/>
          <w:szCs w:val="24"/>
        </w:rPr>
        <w:t xml:space="preserve"> по отношение на оценката и управлението на риска могат да се разделят както следва: </w:t>
      </w:r>
    </w:p>
    <w:p w14:paraId="48BB675D" w14:textId="42414D2C" w:rsidR="00FD1848" w:rsidRPr="00D014C7" w:rsidRDefault="00FD1848" w:rsidP="00D860FC">
      <w:pPr>
        <w:spacing w:after="120"/>
        <w:ind w:left="1200" w:hanging="240"/>
        <w:jc w:val="both"/>
        <w:rPr>
          <w:sz w:val="24"/>
          <w:szCs w:val="24"/>
        </w:rPr>
      </w:pPr>
      <w:r w:rsidRPr="00D014C7">
        <w:rPr>
          <w:sz w:val="24"/>
          <w:szCs w:val="24"/>
        </w:rPr>
        <w:t>I. Оценка на рисковете</w:t>
      </w:r>
      <w:r w:rsidR="00A77896">
        <w:rPr>
          <w:sz w:val="24"/>
          <w:szCs w:val="24"/>
        </w:rPr>
        <w:t>:</w:t>
      </w:r>
    </w:p>
    <w:p w14:paraId="58792F14" w14:textId="77777777" w:rsidR="00FD1848" w:rsidRPr="00D014C7" w:rsidRDefault="00FD1848" w:rsidP="00D860FC">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1: Установяване на контекста</w:t>
      </w:r>
    </w:p>
    <w:p w14:paraId="3C0FF95E" w14:textId="77777777" w:rsidR="00FD1848" w:rsidRPr="00D014C7" w:rsidRDefault="00FD1848">
      <w:pPr>
        <w:spacing w:after="120"/>
        <w:ind w:left="1908" w:firstLine="216"/>
        <w:jc w:val="both"/>
        <w:rPr>
          <w:sz w:val="24"/>
          <w:szCs w:val="24"/>
        </w:rPr>
      </w:pPr>
      <w:r w:rsidRPr="00D014C7">
        <w:rPr>
          <w:sz w:val="24"/>
          <w:szCs w:val="24"/>
        </w:rPr>
        <w:t>Стъпка 2: Идентифициране на рисковете</w:t>
      </w:r>
    </w:p>
    <w:p w14:paraId="4BDE6297"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3: Анализ на риска</w:t>
      </w:r>
    </w:p>
    <w:p w14:paraId="2D7913B9"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4: Оценка на риска</w:t>
      </w:r>
    </w:p>
    <w:p w14:paraId="18F66405" w14:textId="77777777" w:rsidR="00FD1848" w:rsidRPr="00D014C7" w:rsidRDefault="00FD1848" w:rsidP="00D860FC">
      <w:pPr>
        <w:suppressAutoHyphens/>
        <w:spacing w:after="120"/>
        <w:ind w:left="1200" w:hanging="240"/>
        <w:jc w:val="both"/>
        <w:rPr>
          <w:sz w:val="24"/>
          <w:szCs w:val="24"/>
        </w:rPr>
      </w:pPr>
      <w:r w:rsidRPr="00D014C7">
        <w:rPr>
          <w:sz w:val="24"/>
          <w:szCs w:val="24"/>
        </w:rPr>
        <w:t>II.</w:t>
      </w:r>
      <w:r w:rsidRPr="00D014C7">
        <w:t xml:space="preserve"> </w:t>
      </w:r>
      <w:r w:rsidRPr="00D014C7">
        <w:rPr>
          <w:sz w:val="24"/>
          <w:szCs w:val="24"/>
        </w:rPr>
        <w:t xml:space="preserve">Третиране на риска </w:t>
      </w:r>
    </w:p>
    <w:p w14:paraId="3F67D60E" w14:textId="77777777" w:rsidR="00FD1848" w:rsidRPr="00D014C7" w:rsidRDefault="00FD1848" w:rsidP="00D860FC">
      <w:pPr>
        <w:suppressAutoHyphens/>
        <w:spacing w:after="120"/>
        <w:ind w:left="1200" w:hanging="240"/>
        <w:jc w:val="both"/>
        <w:rPr>
          <w:sz w:val="24"/>
          <w:szCs w:val="24"/>
        </w:rPr>
      </w:pPr>
      <w:r w:rsidRPr="00D014C7">
        <w:rPr>
          <w:sz w:val="24"/>
          <w:szCs w:val="24"/>
        </w:rPr>
        <w:t>III. Контрол на риска и наблюдение на процеса по ограничаване на риска</w:t>
      </w:r>
    </w:p>
    <w:p w14:paraId="4096E239" w14:textId="0B5493D1" w:rsidR="00FD1848" w:rsidRDefault="00FD1848" w:rsidP="00682B09">
      <w:pPr>
        <w:pStyle w:val="Heading1"/>
        <w:spacing w:before="0" w:after="0"/>
        <w:rPr>
          <w:lang w:val="bg-BG"/>
        </w:rPr>
      </w:pPr>
      <w:r w:rsidRPr="00D014C7">
        <w:rPr>
          <w:lang w:val="bg-BG"/>
        </w:rPr>
        <w:t>Дейност 1 – Оценка на риска</w:t>
      </w:r>
    </w:p>
    <w:p w14:paraId="46B77C10" w14:textId="77777777" w:rsidR="00D412B3" w:rsidRPr="00413FC7" w:rsidRDefault="00D412B3" w:rsidP="00682B09"/>
    <w:p w14:paraId="61E28BEF" w14:textId="05CF76AC" w:rsidR="00A641D4" w:rsidRDefault="00FD1848" w:rsidP="00682B09">
      <w:pPr>
        <w:ind w:firstLine="708"/>
        <w:jc w:val="both"/>
        <w:rPr>
          <w:sz w:val="24"/>
          <w:szCs w:val="24"/>
        </w:rPr>
      </w:pPr>
      <w:r w:rsidRPr="00D014C7">
        <w:rPr>
          <w:sz w:val="24"/>
          <w:szCs w:val="24"/>
        </w:rPr>
        <w:t>Т</w:t>
      </w:r>
      <w:r w:rsidR="009778CE">
        <w:rPr>
          <w:sz w:val="24"/>
          <w:szCs w:val="24"/>
        </w:rPr>
        <w:t xml:space="preserve">ази </w:t>
      </w:r>
      <w:r w:rsidRPr="00D014C7">
        <w:rPr>
          <w:sz w:val="24"/>
          <w:szCs w:val="24"/>
        </w:rPr>
        <w:t xml:space="preserve">дейност се извършва от Работната група </w:t>
      </w:r>
      <w:r w:rsidR="00460A88">
        <w:rPr>
          <w:sz w:val="24"/>
          <w:szCs w:val="24"/>
        </w:rPr>
        <w:t xml:space="preserve">(РГ) </w:t>
      </w:r>
      <w:r w:rsidRPr="00D014C7">
        <w:rPr>
          <w:sz w:val="24"/>
          <w:szCs w:val="24"/>
        </w:rPr>
        <w:t xml:space="preserve">по оценка на риска, за да се установят съществуващите и потенциалните рискове, </w:t>
      </w:r>
      <w:r w:rsidR="0067283A">
        <w:rPr>
          <w:sz w:val="24"/>
          <w:szCs w:val="24"/>
        </w:rPr>
        <w:t>в това число рисковете от измами,</w:t>
      </w:r>
      <w:r w:rsidR="0067283A" w:rsidRPr="00D014C7">
        <w:rPr>
          <w:sz w:val="24"/>
          <w:szCs w:val="24"/>
        </w:rPr>
        <w:t xml:space="preserve"> </w:t>
      </w:r>
      <w:r w:rsidRPr="00D014C7">
        <w:rPr>
          <w:sz w:val="24"/>
          <w:szCs w:val="24"/>
        </w:rPr>
        <w:t xml:space="preserve">застрашаващи постигането на целите, поставени от УО по </w:t>
      </w:r>
      <w:r w:rsidR="009F3DE2">
        <w:rPr>
          <w:sz w:val="24"/>
          <w:szCs w:val="24"/>
        </w:rPr>
        <w:t>ОПДУ</w:t>
      </w:r>
      <w:r w:rsidRPr="00D014C7">
        <w:rPr>
          <w:sz w:val="24"/>
          <w:szCs w:val="24"/>
        </w:rPr>
        <w:t>. Ръководителят на Управляващия орган</w:t>
      </w:r>
      <w:r w:rsidR="00A641D4">
        <w:rPr>
          <w:sz w:val="24"/>
          <w:szCs w:val="24"/>
        </w:rPr>
        <w:t>/секретарят на РГ</w:t>
      </w:r>
      <w:r w:rsidRPr="00D014C7">
        <w:rPr>
          <w:sz w:val="24"/>
          <w:szCs w:val="24"/>
        </w:rPr>
        <w:t xml:space="preserve"> инициира провеждането на годишната среща на </w:t>
      </w:r>
      <w:r w:rsidR="00460A88">
        <w:rPr>
          <w:sz w:val="24"/>
          <w:szCs w:val="24"/>
        </w:rPr>
        <w:t>РГ</w:t>
      </w:r>
      <w:r w:rsidRPr="00D014C7">
        <w:rPr>
          <w:sz w:val="24"/>
          <w:szCs w:val="24"/>
        </w:rPr>
        <w:t xml:space="preserve"> по оценка на риска</w:t>
      </w:r>
      <w:r w:rsidR="00A641D4">
        <w:rPr>
          <w:sz w:val="24"/>
          <w:szCs w:val="24"/>
        </w:rPr>
        <w:t xml:space="preserve">, на която се </w:t>
      </w:r>
      <w:r w:rsidRPr="00D014C7">
        <w:rPr>
          <w:sz w:val="24"/>
          <w:szCs w:val="24"/>
        </w:rPr>
        <w:t>определя</w:t>
      </w:r>
      <w:r w:rsidR="00A641D4">
        <w:rPr>
          <w:sz w:val="24"/>
          <w:szCs w:val="24"/>
        </w:rPr>
        <w:t>т</w:t>
      </w:r>
      <w:r w:rsidRPr="00D014C7">
        <w:rPr>
          <w:sz w:val="24"/>
          <w:szCs w:val="24"/>
        </w:rPr>
        <w:t xml:space="preserve"> отговорните лица по отделни рискови области – т.нар. оценители на риска. </w:t>
      </w:r>
      <w:r w:rsidR="00460A88">
        <w:rPr>
          <w:sz w:val="24"/>
          <w:szCs w:val="24"/>
        </w:rPr>
        <w:t>РГ</w:t>
      </w:r>
      <w:r w:rsidRPr="00D014C7">
        <w:rPr>
          <w:sz w:val="24"/>
          <w:szCs w:val="24"/>
        </w:rPr>
        <w:t xml:space="preserve"> за оценка на риска </w:t>
      </w:r>
      <w:r w:rsidR="009778CE">
        <w:rPr>
          <w:sz w:val="24"/>
          <w:szCs w:val="24"/>
        </w:rPr>
        <w:t>изпълнява дейността си съгласно</w:t>
      </w:r>
      <w:r w:rsidRPr="00D014C7">
        <w:rPr>
          <w:sz w:val="24"/>
          <w:szCs w:val="24"/>
        </w:rPr>
        <w:t xml:space="preserve"> </w:t>
      </w:r>
      <w:r w:rsidRPr="00B01BA1">
        <w:rPr>
          <w:i/>
          <w:sz w:val="24"/>
          <w:szCs w:val="24"/>
        </w:rPr>
        <w:t xml:space="preserve">Правилата за организацията и дейността на </w:t>
      </w:r>
      <w:r w:rsidR="00460A88" w:rsidRPr="00B01BA1">
        <w:rPr>
          <w:i/>
          <w:sz w:val="24"/>
          <w:szCs w:val="24"/>
        </w:rPr>
        <w:t>РГ</w:t>
      </w:r>
      <w:r w:rsidRPr="00B01BA1">
        <w:rPr>
          <w:i/>
          <w:sz w:val="24"/>
          <w:szCs w:val="24"/>
        </w:rPr>
        <w:t xml:space="preserve"> за оценка на риска в УО по </w:t>
      </w:r>
      <w:r w:rsidR="009F3DE2" w:rsidRPr="00B01BA1">
        <w:rPr>
          <w:i/>
          <w:sz w:val="24"/>
          <w:szCs w:val="24"/>
        </w:rPr>
        <w:t>ОПДУ</w:t>
      </w:r>
      <w:r w:rsidR="00A641D4">
        <w:rPr>
          <w:i/>
          <w:sz w:val="24"/>
          <w:szCs w:val="24"/>
        </w:rPr>
        <w:t xml:space="preserve"> (</w:t>
      </w:r>
      <w:r w:rsidR="00A641D4">
        <w:rPr>
          <w:b/>
          <w:bCs/>
          <w:i/>
          <w:sz w:val="22"/>
          <w:szCs w:val="22"/>
        </w:rPr>
        <w:t>Приложение VIII-T02)</w:t>
      </w:r>
      <w:r w:rsidRPr="00D014C7">
        <w:rPr>
          <w:sz w:val="24"/>
          <w:szCs w:val="24"/>
        </w:rPr>
        <w:t xml:space="preserve">. </w:t>
      </w:r>
    </w:p>
    <w:p w14:paraId="77717002" w14:textId="5FD3F81E" w:rsidR="00FD1848" w:rsidRPr="00D014C7" w:rsidRDefault="00FD1848" w:rsidP="00682B09">
      <w:pPr>
        <w:ind w:firstLine="708"/>
        <w:jc w:val="both"/>
        <w:rPr>
          <w:sz w:val="24"/>
          <w:szCs w:val="24"/>
        </w:rPr>
      </w:pPr>
      <w:r w:rsidRPr="00D014C7">
        <w:rPr>
          <w:sz w:val="24"/>
          <w:szCs w:val="24"/>
        </w:rPr>
        <w:t>Съставът на работната група включва:</w:t>
      </w:r>
    </w:p>
    <w:p w14:paraId="55E2EB9F" w14:textId="70A7DB1B" w:rsidR="00FD1848" w:rsidRPr="00D014C7" w:rsidRDefault="00A77896" w:rsidP="00A77896">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п</w:t>
      </w:r>
      <w:r w:rsidR="00FD1848" w:rsidRPr="00D014C7">
        <w:rPr>
          <w:sz w:val="24"/>
          <w:szCs w:val="24"/>
        </w:rPr>
        <w:t>редседател;</w:t>
      </w:r>
    </w:p>
    <w:p w14:paraId="7D760601" w14:textId="3E77DFA5"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з</w:t>
      </w:r>
      <w:r w:rsidR="00FD1848" w:rsidRPr="00D014C7">
        <w:rPr>
          <w:sz w:val="24"/>
          <w:szCs w:val="24"/>
        </w:rPr>
        <w:t>аместник-председател;</w:t>
      </w:r>
    </w:p>
    <w:p w14:paraId="33D14D00" w14:textId="759B6866"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lastRenderedPageBreak/>
        <w:t>ч</w:t>
      </w:r>
      <w:r w:rsidR="00FD1848" w:rsidRPr="00D014C7">
        <w:rPr>
          <w:sz w:val="24"/>
          <w:szCs w:val="24"/>
        </w:rPr>
        <w:t>ленове (оценители) – служители на дирекцията.</w:t>
      </w:r>
    </w:p>
    <w:p w14:paraId="7F83BD8E" w14:textId="3AA16FF0" w:rsidR="00FD1848" w:rsidRPr="00D014C7" w:rsidRDefault="00FD1848" w:rsidP="00B01BA1">
      <w:pPr>
        <w:suppressAutoHyphens/>
        <w:ind w:firstLine="708"/>
        <w:jc w:val="both"/>
        <w:rPr>
          <w:sz w:val="24"/>
          <w:szCs w:val="24"/>
        </w:rPr>
      </w:pPr>
      <w:r w:rsidRPr="00D014C7">
        <w:rPr>
          <w:sz w:val="24"/>
          <w:szCs w:val="24"/>
        </w:rPr>
        <w:t xml:space="preserve">При необходимост (например в случай, че се изисква специфична експертиза или човешките ресурси са недостатъчни за качествено извършване на оценката) могат да бъдат канени външни оценители и други експерти по решение на председателя на </w:t>
      </w:r>
      <w:r w:rsidR="00682B09">
        <w:rPr>
          <w:sz w:val="24"/>
          <w:szCs w:val="24"/>
        </w:rPr>
        <w:t>Р</w:t>
      </w:r>
      <w:r w:rsidRPr="00D014C7">
        <w:rPr>
          <w:sz w:val="24"/>
          <w:szCs w:val="24"/>
        </w:rPr>
        <w:t>аботната група.</w:t>
      </w:r>
    </w:p>
    <w:p w14:paraId="7C0BF881" w14:textId="2E77B1EC" w:rsidR="00FD1848" w:rsidRPr="00D014C7" w:rsidRDefault="00FD1848" w:rsidP="00B01BA1">
      <w:pPr>
        <w:suppressAutoHyphens/>
        <w:ind w:firstLine="708"/>
        <w:jc w:val="both"/>
        <w:rPr>
          <w:sz w:val="24"/>
          <w:szCs w:val="24"/>
        </w:rPr>
      </w:pPr>
      <w:r w:rsidRPr="00D014C7">
        <w:rPr>
          <w:sz w:val="24"/>
          <w:szCs w:val="24"/>
        </w:rPr>
        <w:t>За оценители на риска се определят служители от четирите отдела на дирекция</w:t>
      </w:r>
      <w:r w:rsidR="00A77896">
        <w:rPr>
          <w:sz w:val="24"/>
          <w:szCs w:val="24"/>
        </w:rPr>
        <w:t>та</w:t>
      </w:r>
      <w:r w:rsidRPr="00D014C7">
        <w:rPr>
          <w:sz w:val="24"/>
          <w:szCs w:val="24"/>
        </w:rPr>
        <w:t xml:space="preserve">, които притежават различна професионална компетентност съобразно различните рискови области, за които отговарят. Годишната среща на </w:t>
      </w:r>
      <w:r w:rsidR="00460A88">
        <w:rPr>
          <w:sz w:val="24"/>
          <w:szCs w:val="24"/>
        </w:rPr>
        <w:t>РГ</w:t>
      </w:r>
      <w:r w:rsidRPr="00D014C7">
        <w:rPr>
          <w:sz w:val="24"/>
          <w:szCs w:val="24"/>
        </w:rPr>
        <w:t xml:space="preserve"> по оценка на риска се провежда веднъж годишно през четвъртото тримесечие.</w:t>
      </w:r>
    </w:p>
    <w:p w14:paraId="724959E2" w14:textId="5E501650" w:rsidR="00FD1848" w:rsidRPr="00D014C7" w:rsidRDefault="00FD1848" w:rsidP="00B01BA1">
      <w:pPr>
        <w:suppressAutoHyphens/>
        <w:ind w:firstLine="708"/>
        <w:jc w:val="both"/>
        <w:rPr>
          <w:sz w:val="24"/>
          <w:szCs w:val="24"/>
        </w:rPr>
      </w:pPr>
      <w:r w:rsidRPr="00D014C7">
        <w:rPr>
          <w:sz w:val="24"/>
          <w:szCs w:val="24"/>
        </w:rPr>
        <w:t>По преценка на УО дейността по оценяване на риска може да се възложи на външен изпълнител</w:t>
      </w:r>
      <w:r w:rsidR="0067283A">
        <w:rPr>
          <w:sz w:val="24"/>
          <w:szCs w:val="24"/>
        </w:rPr>
        <w:t xml:space="preserve"> с изключение на оценяването на рисковете от измами, което се извършва от Работната група по оценка на риска. </w:t>
      </w:r>
      <w:r w:rsidRPr="00D014C7">
        <w:rPr>
          <w:sz w:val="24"/>
          <w:szCs w:val="24"/>
        </w:rPr>
        <w:t>В случай на възлагане на оценката на риска на външен изпълнител, той трябва да следва основните принципи и стъпки</w:t>
      </w:r>
      <w:r w:rsidR="009778CE">
        <w:rPr>
          <w:sz w:val="24"/>
          <w:szCs w:val="24"/>
        </w:rPr>
        <w:t>,</w:t>
      </w:r>
      <w:r w:rsidRPr="00D014C7">
        <w:rPr>
          <w:sz w:val="24"/>
          <w:szCs w:val="24"/>
        </w:rPr>
        <w:t xml:space="preserve"> заложени в настоящата методология и съответния договор. Рисковете се анализират от екипа ключови и краткосрочни експерти на изпълнителя по настоящата методология. Изпълнителят представя оценката на Работната група по оценка на риска за одобрение. В такъв случай УО контролира процеса и чрез Работната група одобрява направената оценка и предложените действия за управление на риска. </w:t>
      </w:r>
    </w:p>
    <w:p w14:paraId="030A1809"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1. Установяване на контекста</w:t>
      </w:r>
    </w:p>
    <w:p w14:paraId="0C83A337" w14:textId="40F16720" w:rsidR="00FD1848" w:rsidRDefault="00FD1848" w:rsidP="00AF1F11">
      <w:pPr>
        <w:suppressAutoHyphens/>
        <w:ind w:firstLine="708"/>
        <w:jc w:val="both"/>
        <w:rPr>
          <w:sz w:val="24"/>
          <w:szCs w:val="24"/>
        </w:rPr>
      </w:pPr>
      <w:r w:rsidRPr="00D014C7">
        <w:rPr>
          <w:sz w:val="24"/>
          <w:szCs w:val="24"/>
        </w:rPr>
        <w:t xml:space="preserve">Преди провеждането на годишната среща на </w:t>
      </w:r>
      <w:r w:rsidR="00460A88">
        <w:rPr>
          <w:sz w:val="24"/>
          <w:szCs w:val="24"/>
        </w:rPr>
        <w:t>РГ</w:t>
      </w:r>
      <w:r w:rsidRPr="00D014C7">
        <w:rPr>
          <w:sz w:val="24"/>
          <w:szCs w:val="24"/>
        </w:rPr>
        <w:t xml:space="preserve"> по оценка на риска следва да бъде извършен преглед, а при необходимост – и ревизиране на целите на УО за следващата година. За цели се използват функциите на УО по регламент, които са заложени и в Устройствения правилник на </w:t>
      </w:r>
      <w:r w:rsidR="00CE5157">
        <w:rPr>
          <w:sz w:val="24"/>
          <w:szCs w:val="24"/>
        </w:rPr>
        <w:t xml:space="preserve">Министерския съвет и </w:t>
      </w:r>
      <w:r w:rsidR="009778CE">
        <w:rPr>
          <w:sz w:val="24"/>
          <w:szCs w:val="24"/>
        </w:rPr>
        <w:t xml:space="preserve">на </w:t>
      </w:r>
      <w:r w:rsidR="00CE5157">
        <w:rPr>
          <w:sz w:val="24"/>
          <w:szCs w:val="24"/>
        </w:rPr>
        <w:t>неговата администрация</w:t>
      </w:r>
      <w:r w:rsidRPr="00D014C7">
        <w:rPr>
          <w:sz w:val="24"/>
          <w:szCs w:val="24"/>
        </w:rPr>
        <w:t>. По преценка за целите на доброто управление могат да се добавят цели. Това определя рамката</w:t>
      </w:r>
      <w:r w:rsidR="009778CE">
        <w:rPr>
          <w:sz w:val="24"/>
          <w:szCs w:val="24"/>
        </w:rPr>
        <w:t>,</w:t>
      </w:r>
      <w:r w:rsidRPr="00D014C7">
        <w:rPr>
          <w:sz w:val="24"/>
          <w:szCs w:val="24"/>
        </w:rPr>
        <w:t xml:space="preserve"> в която се реализират дейностите и съответно могат да се реализират рисковете.</w:t>
      </w:r>
      <w:r w:rsidRPr="00D014C7">
        <w:t xml:space="preserve"> </w:t>
      </w:r>
      <w:r w:rsidRPr="00D014C7">
        <w:rPr>
          <w:sz w:val="24"/>
          <w:szCs w:val="24"/>
        </w:rPr>
        <w:t xml:space="preserve">Тази дейност следва да се извърши от ръководството на УО – Ръководителя на УО и </w:t>
      </w:r>
      <w:r w:rsidRPr="00D014C7">
        <w:rPr>
          <w:spacing w:val="-4"/>
          <w:sz w:val="24"/>
          <w:szCs w:val="24"/>
        </w:rPr>
        <w:t>началниците на отдели.</w:t>
      </w:r>
      <w:r w:rsidR="0067283A">
        <w:rPr>
          <w:spacing w:val="-4"/>
          <w:sz w:val="24"/>
          <w:szCs w:val="24"/>
        </w:rPr>
        <w:t xml:space="preserve"> </w:t>
      </w:r>
      <w:r w:rsidR="0067283A">
        <w:rPr>
          <w:sz w:val="24"/>
          <w:szCs w:val="24"/>
        </w:rPr>
        <w:t>П</w:t>
      </w:r>
      <w:r w:rsidRPr="00D014C7">
        <w:rPr>
          <w:sz w:val="24"/>
          <w:szCs w:val="24"/>
        </w:rPr>
        <w:t xml:space="preserve">рави </w:t>
      </w:r>
      <w:r w:rsidR="0067283A">
        <w:rPr>
          <w:sz w:val="24"/>
          <w:szCs w:val="24"/>
        </w:rPr>
        <w:t xml:space="preserve">се </w:t>
      </w:r>
      <w:r w:rsidRPr="00D014C7">
        <w:rPr>
          <w:sz w:val="24"/>
          <w:szCs w:val="24"/>
        </w:rPr>
        <w:t xml:space="preserve">преглед на външната среда, в която трябва да бъдат постигнати целите. Също така се обсъждат евентуални промени в организационната структура и организацията на дейностите по управление на риска. Когато оценката на риска е възложена на външен изпълнител, негови представители участват в заседанията и подпомагат дейността по установяване на контекста. </w:t>
      </w:r>
    </w:p>
    <w:p w14:paraId="4B87CDEE" w14:textId="77777777" w:rsidR="00D412B3" w:rsidRPr="00D014C7" w:rsidRDefault="00D412B3" w:rsidP="00AF1F11">
      <w:pPr>
        <w:suppressAutoHyphens/>
        <w:ind w:firstLine="708"/>
        <w:jc w:val="both"/>
        <w:rPr>
          <w:sz w:val="24"/>
          <w:szCs w:val="24"/>
        </w:rPr>
      </w:pPr>
    </w:p>
    <w:p w14:paraId="31192190" w14:textId="77777777" w:rsidR="00FD1848" w:rsidRPr="00D014C7" w:rsidRDefault="00FD1848" w:rsidP="00AF1F11">
      <w:pPr>
        <w:pStyle w:val="Heading2"/>
        <w:spacing w:before="0" w:beforeAutospacing="0" w:after="0"/>
        <w:ind w:firstLine="709"/>
        <w:rPr>
          <w:sz w:val="24"/>
          <w:szCs w:val="24"/>
        </w:rPr>
      </w:pPr>
      <w:r w:rsidRPr="00D014C7">
        <w:rPr>
          <w:rFonts w:ascii="Times New Roman" w:hAnsi="Times New Roman" w:cs="Times New Roman"/>
          <w:sz w:val="24"/>
          <w:szCs w:val="24"/>
        </w:rPr>
        <w:t>Стъпка 2. Идентифициране на рисковете</w:t>
      </w:r>
    </w:p>
    <w:p w14:paraId="2C296E13" w14:textId="080E1FE7" w:rsidR="00FD1848" w:rsidRPr="00D014C7" w:rsidRDefault="00FD1848" w:rsidP="00AF1F11">
      <w:pPr>
        <w:suppressAutoHyphens/>
        <w:ind w:firstLine="709"/>
        <w:jc w:val="both"/>
        <w:rPr>
          <w:sz w:val="24"/>
          <w:szCs w:val="24"/>
        </w:rPr>
      </w:pPr>
      <w:r w:rsidRPr="00D014C7">
        <w:rPr>
          <w:sz w:val="24"/>
          <w:szCs w:val="24"/>
        </w:rPr>
        <w:t xml:space="preserve">Идентифицирането на рисковете представлява процеса по определяне на източниците на риск, влиянието на евентуалното въздействие, потенциалните причини и следствия от различни събития, които могат да окажат влияние върху изпълнението на програмата. Целта е да се състави изчерпателен </w:t>
      </w:r>
      <w:r w:rsidR="009778CE">
        <w:rPr>
          <w:sz w:val="24"/>
          <w:szCs w:val="24"/>
        </w:rPr>
        <w:t>с</w:t>
      </w:r>
      <w:r w:rsidRPr="00D014C7">
        <w:rPr>
          <w:sz w:val="24"/>
          <w:szCs w:val="24"/>
        </w:rPr>
        <w:t xml:space="preserve">писък на рисковете, </w:t>
      </w:r>
      <w:r w:rsidR="0067283A">
        <w:rPr>
          <w:sz w:val="24"/>
          <w:szCs w:val="24"/>
        </w:rPr>
        <w:t>вкл. рисковете от измами, които</w:t>
      </w:r>
      <w:r w:rsidRPr="00D014C7">
        <w:rPr>
          <w:sz w:val="24"/>
          <w:szCs w:val="24"/>
        </w:rPr>
        <w:t xml:space="preserve"> да бъдат анализирани и оценени.</w:t>
      </w:r>
    </w:p>
    <w:p w14:paraId="4C70A3CC" w14:textId="29058D8A" w:rsidR="00FD1848" w:rsidRPr="00D014C7" w:rsidRDefault="00FD1848" w:rsidP="00AF1F11">
      <w:pPr>
        <w:suppressAutoHyphens/>
        <w:ind w:firstLine="709"/>
        <w:jc w:val="both"/>
        <w:rPr>
          <w:sz w:val="24"/>
          <w:szCs w:val="24"/>
        </w:rPr>
      </w:pPr>
      <w:r w:rsidRPr="00D014C7">
        <w:rPr>
          <w:sz w:val="24"/>
          <w:szCs w:val="24"/>
        </w:rPr>
        <w:t>Идентифицирането на риск</w:t>
      </w:r>
      <w:r w:rsidR="00682B09">
        <w:rPr>
          <w:sz w:val="24"/>
          <w:szCs w:val="24"/>
        </w:rPr>
        <w:t>овете</w:t>
      </w:r>
      <w:r w:rsidRPr="00D014C7">
        <w:rPr>
          <w:sz w:val="24"/>
          <w:szCs w:val="24"/>
        </w:rPr>
        <w:t xml:space="preserve"> се извършва от </w:t>
      </w:r>
      <w:r w:rsidR="00682B09">
        <w:rPr>
          <w:sz w:val="24"/>
          <w:szCs w:val="24"/>
        </w:rPr>
        <w:t>Работната група</w:t>
      </w:r>
      <w:r w:rsidRPr="00D014C7">
        <w:rPr>
          <w:sz w:val="24"/>
          <w:szCs w:val="24"/>
        </w:rPr>
        <w:t>. При процеса на идентифициране на рисковете се вземат предвид констатациите, направени по време на извършени външни и вътрешни одити, оценки и други анализи.</w:t>
      </w:r>
    </w:p>
    <w:p w14:paraId="18489B3C" w14:textId="77777777" w:rsidR="00FD1848" w:rsidRPr="00D014C7" w:rsidRDefault="00FD1848" w:rsidP="00AF1F11">
      <w:pPr>
        <w:suppressAutoHyphens/>
        <w:ind w:firstLine="709"/>
        <w:jc w:val="both"/>
        <w:rPr>
          <w:sz w:val="24"/>
          <w:szCs w:val="24"/>
        </w:rPr>
      </w:pPr>
      <w:r w:rsidRPr="00D014C7">
        <w:rPr>
          <w:sz w:val="24"/>
          <w:szCs w:val="24"/>
        </w:rPr>
        <w:t xml:space="preserve">Могат да се обособят три основни категории рискове на базата на вида на нежеланите последствия от потенциалното им възникване: </w:t>
      </w:r>
    </w:p>
    <w:p w14:paraId="34780345" w14:textId="20EA9C43"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изическо </w:t>
      </w:r>
      <w:r w:rsidR="00FD1848" w:rsidRPr="00D014C7">
        <w:rPr>
          <w:sz w:val="24"/>
          <w:szCs w:val="24"/>
        </w:rPr>
        <w:t>неизпълнение/забавяне на ниво проекти/програма</w:t>
      </w:r>
      <w:r w:rsidR="000712BF" w:rsidRPr="0005696D">
        <w:rPr>
          <w:sz w:val="24"/>
          <w:szCs w:val="24"/>
        </w:rPr>
        <w:t>;</w:t>
      </w:r>
    </w:p>
    <w:p w14:paraId="7B2249ED" w14:textId="63798AC8"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инансово </w:t>
      </w:r>
      <w:r w:rsidR="00FD1848" w:rsidRPr="00D014C7">
        <w:rPr>
          <w:sz w:val="24"/>
          <w:szCs w:val="24"/>
        </w:rPr>
        <w:t>неизпълнение/забавяне на ниво проекти/програма</w:t>
      </w:r>
      <w:r w:rsidR="000712BF" w:rsidRPr="0005696D">
        <w:rPr>
          <w:sz w:val="24"/>
          <w:szCs w:val="24"/>
        </w:rPr>
        <w:t>;</w:t>
      </w:r>
    </w:p>
    <w:p w14:paraId="6D7AFD75" w14:textId="48CE0FB2"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н</w:t>
      </w:r>
      <w:r w:rsidRPr="00D014C7">
        <w:rPr>
          <w:sz w:val="24"/>
          <w:szCs w:val="24"/>
        </w:rPr>
        <w:t xml:space="preserve">еспазване </w:t>
      </w:r>
      <w:r w:rsidR="00FD1848" w:rsidRPr="00D014C7">
        <w:rPr>
          <w:sz w:val="24"/>
          <w:szCs w:val="24"/>
        </w:rPr>
        <w:t>на процедури и регулации (напр. възникване на нередности, липса на одитна следа и т.н.)</w:t>
      </w:r>
    </w:p>
    <w:p w14:paraId="225A7528" w14:textId="77777777" w:rsidR="00FD1848" w:rsidRPr="00D014C7" w:rsidRDefault="00FD1848" w:rsidP="00CD1DC1">
      <w:pPr>
        <w:spacing w:after="120"/>
        <w:ind w:firstLine="708"/>
        <w:jc w:val="both"/>
        <w:rPr>
          <w:sz w:val="24"/>
          <w:szCs w:val="24"/>
        </w:rPr>
      </w:pPr>
      <w:r w:rsidRPr="00D014C7">
        <w:rPr>
          <w:sz w:val="24"/>
          <w:szCs w:val="24"/>
        </w:rPr>
        <w:t>Трите категории до голяма степен са взаимосвързани, особено физическото и финансовото неизпълнение. Категоризирането на рисковете подпомага анализирането им и насочва вниманието към конкретни мерки.</w:t>
      </w:r>
    </w:p>
    <w:p w14:paraId="034D388E" w14:textId="77777777" w:rsidR="00FD1848" w:rsidRPr="00D014C7" w:rsidRDefault="00FD1848">
      <w:pPr>
        <w:suppressAutoHyphens/>
        <w:autoSpaceDE/>
        <w:autoSpaceDN/>
        <w:adjustRightInd/>
        <w:spacing w:after="120"/>
        <w:ind w:firstLine="708"/>
        <w:jc w:val="both"/>
        <w:rPr>
          <w:sz w:val="24"/>
          <w:szCs w:val="24"/>
        </w:rPr>
      </w:pPr>
      <w:r w:rsidRPr="00D014C7">
        <w:rPr>
          <w:sz w:val="24"/>
          <w:szCs w:val="24"/>
        </w:rPr>
        <w:t xml:space="preserve">Според </w:t>
      </w:r>
      <w:r w:rsidRPr="00D014C7">
        <w:rPr>
          <w:b/>
          <w:sz w:val="24"/>
          <w:szCs w:val="24"/>
        </w:rPr>
        <w:t xml:space="preserve">източника </w:t>
      </w:r>
      <w:r w:rsidRPr="00D014C7">
        <w:rPr>
          <w:sz w:val="24"/>
          <w:szCs w:val="24"/>
        </w:rPr>
        <w:t>рисковете могат да бъдат разделени на следните групи:</w:t>
      </w:r>
    </w:p>
    <w:p w14:paraId="447F5BD4" w14:textId="243CEEDE"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ъншни </w:t>
      </w:r>
      <w:r w:rsidR="00FD1848" w:rsidRPr="00D014C7">
        <w:rPr>
          <w:sz w:val="24"/>
          <w:szCs w:val="24"/>
        </w:rPr>
        <w:t>рискове – това са рискове, свързани с външни за УО обстоятелства, които са извън сферата на контрол на УО и съответно УО може да предприема единствено реактивни мерки;</w:t>
      </w:r>
    </w:p>
    <w:p w14:paraId="64F2AF5B" w14:textId="50A46DE6"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ътрешни </w:t>
      </w:r>
      <w:r w:rsidR="00FD1848" w:rsidRPr="00D014C7">
        <w:rPr>
          <w:sz w:val="24"/>
          <w:szCs w:val="24"/>
        </w:rPr>
        <w:t>рискове – това са рискове, пряко свързани с дейността и функциите на УО, върху които УО може да въздейства и съответно може да предприема проактивни и реактивни мерки.</w:t>
      </w:r>
    </w:p>
    <w:p w14:paraId="4D3E10A5" w14:textId="77777777" w:rsidR="00FD1848" w:rsidRPr="00D014C7" w:rsidRDefault="00FD1848" w:rsidP="00367400">
      <w:pPr>
        <w:spacing w:after="120"/>
        <w:ind w:firstLine="708"/>
        <w:jc w:val="both"/>
        <w:rPr>
          <w:sz w:val="24"/>
          <w:szCs w:val="24"/>
        </w:rPr>
      </w:pPr>
      <w:r w:rsidRPr="00D014C7">
        <w:rPr>
          <w:sz w:val="24"/>
          <w:szCs w:val="24"/>
        </w:rPr>
        <w:t xml:space="preserve">Според </w:t>
      </w:r>
      <w:r w:rsidRPr="00D014C7">
        <w:rPr>
          <w:b/>
          <w:sz w:val="24"/>
          <w:szCs w:val="24"/>
        </w:rPr>
        <w:t xml:space="preserve">проявлението </w:t>
      </w:r>
      <w:r w:rsidRPr="00D014C7">
        <w:rPr>
          <w:sz w:val="24"/>
          <w:szCs w:val="24"/>
        </w:rPr>
        <w:t>си, рисковете могат да бъдат разделени по следния начин:</w:t>
      </w:r>
    </w:p>
    <w:p w14:paraId="61117AEE" w14:textId="4F18F3AF" w:rsidR="00FD1848" w:rsidRPr="00D014C7" w:rsidRDefault="00A77896" w:rsidP="009A665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проектно ниво – влияят се от дейността на УО на проектно ниво и упражняват кумулативно въздействие на програмно ниво;</w:t>
      </w:r>
    </w:p>
    <w:p w14:paraId="76A5F95D" w14:textId="0B496655" w:rsidR="00FD1848" w:rsidRPr="00D014C7" w:rsidRDefault="00A77896" w:rsidP="00BE1C8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програмно ниво – свързани са с дейността на УО на програмно ниво и не водят непременно до последствия на проектно ниво;</w:t>
      </w:r>
    </w:p>
    <w:p w14:paraId="585C5D1E" w14:textId="77777777" w:rsidR="00FD1848" w:rsidRPr="00D014C7" w:rsidRDefault="00FD1848">
      <w:pPr>
        <w:spacing w:after="120"/>
        <w:ind w:firstLine="708"/>
        <w:jc w:val="both"/>
        <w:rPr>
          <w:sz w:val="24"/>
          <w:szCs w:val="24"/>
        </w:rPr>
      </w:pPr>
      <w:r w:rsidRPr="00D014C7">
        <w:rPr>
          <w:sz w:val="24"/>
          <w:szCs w:val="24"/>
        </w:rPr>
        <w:t>Определянето на обхвата на риска отчита рисковите фактори спрямо елементите на проектния/програмния цикъл: а) Програмиране; б) Разработване на проектни предложения/програмата; в) Подбор на проекти/Предварителна оценка на програмата; г) Сключване на договор/Одобрение на програмата; д) Изпълнение и мониторинг на проекта/програмата; е) Оценка на изпълнението на проекта/програмата, включително и оценка на устойчивостта.</w:t>
      </w:r>
    </w:p>
    <w:p w14:paraId="6A6D3D4F" w14:textId="77777777" w:rsidR="00FD1848" w:rsidRPr="00D014C7" w:rsidRDefault="00FD1848" w:rsidP="00367400">
      <w:pPr>
        <w:spacing w:after="120"/>
        <w:ind w:firstLine="708"/>
        <w:jc w:val="both"/>
        <w:rPr>
          <w:sz w:val="24"/>
          <w:szCs w:val="24"/>
        </w:rPr>
      </w:pPr>
      <w:r w:rsidRPr="00D014C7">
        <w:rPr>
          <w:sz w:val="24"/>
          <w:szCs w:val="24"/>
        </w:rPr>
        <w:t>Спрямо обхвата си рисковете могат да се категоризират като:</w:t>
      </w:r>
    </w:p>
    <w:p w14:paraId="7BD5F1BD" w14:textId="19E7719F"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ч</w:t>
      </w:r>
      <w:r w:rsidRPr="00D014C7">
        <w:rPr>
          <w:sz w:val="24"/>
          <w:szCs w:val="24"/>
        </w:rPr>
        <w:t xml:space="preserve">астични </w:t>
      </w:r>
      <w:r w:rsidR="00FD1848" w:rsidRPr="00D014C7">
        <w:rPr>
          <w:sz w:val="24"/>
          <w:szCs w:val="24"/>
        </w:rPr>
        <w:t>рискове – имащи отношение към един или повече от елементите на проектния/програмен цикъл;</w:t>
      </w:r>
    </w:p>
    <w:p w14:paraId="59A7CB08" w14:textId="5EFE90B7"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ц</w:t>
      </w:r>
      <w:r w:rsidRPr="00D014C7">
        <w:rPr>
          <w:sz w:val="24"/>
          <w:szCs w:val="24"/>
        </w:rPr>
        <w:t xml:space="preserve">ялостни </w:t>
      </w:r>
      <w:r w:rsidR="00FD1848" w:rsidRPr="00D014C7">
        <w:rPr>
          <w:sz w:val="24"/>
          <w:szCs w:val="24"/>
        </w:rPr>
        <w:t>рискове – имащи отношение към целия проектен/програмен цикъл.</w:t>
      </w:r>
    </w:p>
    <w:p w14:paraId="74526E34" w14:textId="737E2184" w:rsidR="007167C6" w:rsidRPr="007167C6" w:rsidRDefault="007167C6" w:rsidP="00AF1F11">
      <w:pPr>
        <w:ind w:firstLine="709"/>
        <w:jc w:val="both"/>
        <w:rPr>
          <w:sz w:val="24"/>
          <w:szCs w:val="24"/>
        </w:rPr>
      </w:pPr>
      <w:r>
        <w:rPr>
          <w:sz w:val="24"/>
          <w:szCs w:val="24"/>
        </w:rPr>
        <w:t>Р</w:t>
      </w:r>
      <w:r w:rsidRPr="007167C6">
        <w:rPr>
          <w:sz w:val="24"/>
          <w:szCs w:val="24"/>
        </w:rPr>
        <w:t>искове</w:t>
      </w:r>
      <w:r>
        <w:rPr>
          <w:sz w:val="24"/>
          <w:szCs w:val="24"/>
        </w:rPr>
        <w:t>те</w:t>
      </w:r>
      <w:r w:rsidRPr="007167C6">
        <w:rPr>
          <w:sz w:val="24"/>
          <w:szCs w:val="24"/>
        </w:rPr>
        <w:t xml:space="preserve"> от измам</w:t>
      </w:r>
      <w:r w:rsidR="00D412B3">
        <w:rPr>
          <w:sz w:val="24"/>
          <w:szCs w:val="24"/>
        </w:rPr>
        <w:t>и</w:t>
      </w:r>
      <w:r>
        <w:rPr>
          <w:sz w:val="24"/>
          <w:szCs w:val="24"/>
        </w:rPr>
        <w:t xml:space="preserve"> следва да бъдат идентифицирани в следните</w:t>
      </w:r>
      <w:r w:rsidRPr="007167C6">
        <w:rPr>
          <w:sz w:val="24"/>
          <w:szCs w:val="24"/>
        </w:rPr>
        <w:t xml:space="preserve"> ключови</w:t>
      </w:r>
      <w:r>
        <w:rPr>
          <w:sz w:val="24"/>
          <w:szCs w:val="24"/>
        </w:rPr>
        <w:t xml:space="preserve"> </w:t>
      </w:r>
      <w:r w:rsidRPr="007167C6">
        <w:rPr>
          <w:sz w:val="24"/>
          <w:szCs w:val="24"/>
        </w:rPr>
        <w:t>процеси:</w:t>
      </w:r>
    </w:p>
    <w:p w14:paraId="195AAC91" w14:textId="4B7DD08D"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подбор на кандидати;</w:t>
      </w:r>
    </w:p>
    <w:p w14:paraId="692E5366" w14:textId="0139A179"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sidRPr="007167C6">
        <w:rPr>
          <w:sz w:val="24"/>
          <w:szCs w:val="24"/>
        </w:rPr>
        <w:t>изпълнение на проектите от бенефициентите, с акцент върху</w:t>
      </w:r>
      <w:r>
        <w:rPr>
          <w:sz w:val="24"/>
          <w:szCs w:val="24"/>
        </w:rPr>
        <w:t xml:space="preserve"> </w:t>
      </w:r>
      <w:r w:rsidRPr="007167C6">
        <w:rPr>
          <w:sz w:val="24"/>
          <w:szCs w:val="24"/>
        </w:rPr>
        <w:t>възлагането на обществени поръчки и разходите за труд</w:t>
      </w:r>
      <w:r>
        <w:rPr>
          <w:sz w:val="24"/>
          <w:szCs w:val="24"/>
        </w:rPr>
        <w:t>;</w:t>
      </w:r>
      <w:r w:rsidRPr="007167C6">
        <w:rPr>
          <w:sz w:val="24"/>
          <w:szCs w:val="24"/>
        </w:rPr>
        <w:t xml:space="preserve"> </w:t>
      </w:r>
    </w:p>
    <w:p w14:paraId="31426864" w14:textId="3CAE28ED" w:rsid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верифициране</w:t>
      </w:r>
      <w:r w:rsidRPr="007167C6">
        <w:rPr>
          <w:sz w:val="24"/>
          <w:szCs w:val="24"/>
        </w:rPr>
        <w:t xml:space="preserve"> на разходите и </w:t>
      </w:r>
      <w:r>
        <w:rPr>
          <w:sz w:val="24"/>
          <w:szCs w:val="24"/>
        </w:rPr>
        <w:t xml:space="preserve">извършване на </w:t>
      </w:r>
      <w:r w:rsidRPr="007167C6">
        <w:rPr>
          <w:sz w:val="24"/>
          <w:szCs w:val="24"/>
        </w:rPr>
        <w:t>плащания</w:t>
      </w:r>
      <w:r>
        <w:rPr>
          <w:sz w:val="24"/>
          <w:szCs w:val="24"/>
        </w:rPr>
        <w:t>.</w:t>
      </w:r>
    </w:p>
    <w:p w14:paraId="0064DB9A" w14:textId="1E795758" w:rsidR="00AF1F11" w:rsidRPr="00A63258" w:rsidRDefault="00AF1F11" w:rsidP="00725E92">
      <w:pPr>
        <w:suppressAutoHyphens/>
        <w:autoSpaceDE/>
        <w:autoSpaceDN/>
        <w:adjustRightInd/>
        <w:spacing w:after="120"/>
        <w:jc w:val="both"/>
        <w:rPr>
          <w:sz w:val="24"/>
          <w:szCs w:val="24"/>
        </w:rPr>
      </w:pPr>
      <w:r>
        <w:rPr>
          <w:sz w:val="24"/>
          <w:szCs w:val="24"/>
        </w:rPr>
        <w:t>При идентифицирането</w:t>
      </w:r>
      <w:r w:rsidR="00464238">
        <w:rPr>
          <w:sz w:val="24"/>
          <w:szCs w:val="24"/>
        </w:rPr>
        <w:t xml:space="preserve"> и оценката </w:t>
      </w:r>
      <w:r>
        <w:rPr>
          <w:sz w:val="24"/>
          <w:szCs w:val="24"/>
        </w:rPr>
        <w:t>на рисковете</w:t>
      </w:r>
      <w:r w:rsidR="00464238">
        <w:rPr>
          <w:sz w:val="24"/>
          <w:szCs w:val="24"/>
        </w:rPr>
        <w:t xml:space="preserve"> от измами, </w:t>
      </w:r>
      <w:r>
        <w:rPr>
          <w:sz w:val="24"/>
          <w:szCs w:val="24"/>
        </w:rPr>
        <w:t xml:space="preserve">следва да се </w:t>
      </w:r>
      <w:r w:rsidR="00482D0F">
        <w:rPr>
          <w:sz w:val="24"/>
          <w:szCs w:val="24"/>
        </w:rPr>
        <w:t xml:space="preserve">използва </w:t>
      </w:r>
      <w:r w:rsidR="007B2DFE">
        <w:rPr>
          <w:sz w:val="24"/>
          <w:szCs w:val="24"/>
        </w:rPr>
        <w:t>приложеният към</w:t>
      </w:r>
      <w:r w:rsidR="00482D0F">
        <w:rPr>
          <w:sz w:val="24"/>
          <w:szCs w:val="24"/>
        </w:rPr>
        <w:t xml:space="preserve"> </w:t>
      </w:r>
      <w:r w:rsidRPr="00B01BA1">
        <w:rPr>
          <w:i/>
          <w:sz w:val="24"/>
          <w:szCs w:val="24"/>
        </w:rPr>
        <w:t>Насоките на ЕК</w:t>
      </w:r>
      <w:r w:rsidR="004544B0">
        <w:rPr>
          <w:rStyle w:val="FootnoteReference"/>
          <w:sz w:val="24"/>
          <w:szCs w:val="24"/>
        </w:rPr>
        <w:footnoteReference w:id="2"/>
      </w:r>
      <w:r w:rsidR="007B2DFE">
        <w:rPr>
          <w:sz w:val="24"/>
          <w:szCs w:val="24"/>
        </w:rPr>
        <w:t xml:space="preserve"> инструмент</w:t>
      </w:r>
      <w:r>
        <w:rPr>
          <w:sz w:val="24"/>
          <w:szCs w:val="24"/>
        </w:rPr>
        <w:t xml:space="preserve">, </w:t>
      </w:r>
      <w:r w:rsidR="007D4861">
        <w:rPr>
          <w:sz w:val="24"/>
          <w:szCs w:val="24"/>
        </w:rPr>
        <w:t>следвайки</w:t>
      </w:r>
      <w:r w:rsidR="007B2DFE">
        <w:rPr>
          <w:sz w:val="24"/>
          <w:szCs w:val="24"/>
        </w:rPr>
        <w:t xml:space="preserve"> описаната в Приложение 1 към </w:t>
      </w:r>
      <w:r w:rsidR="007B2DFE" w:rsidRPr="00B01BA1">
        <w:rPr>
          <w:i/>
          <w:sz w:val="24"/>
          <w:szCs w:val="24"/>
        </w:rPr>
        <w:t>Насоки</w:t>
      </w:r>
      <w:r w:rsidR="00A63258" w:rsidRPr="00B01BA1">
        <w:rPr>
          <w:i/>
          <w:sz w:val="24"/>
          <w:szCs w:val="24"/>
        </w:rPr>
        <w:t>те</w:t>
      </w:r>
      <w:r w:rsidR="007B2DFE">
        <w:rPr>
          <w:sz w:val="24"/>
          <w:szCs w:val="24"/>
        </w:rPr>
        <w:t xml:space="preserve"> методика</w:t>
      </w:r>
      <w:r w:rsidR="007B2DFE">
        <w:rPr>
          <w:rStyle w:val="FootnoteReference"/>
          <w:sz w:val="24"/>
          <w:szCs w:val="24"/>
        </w:rPr>
        <w:footnoteReference w:id="3"/>
      </w:r>
      <w:r w:rsidR="00265F7B">
        <w:rPr>
          <w:sz w:val="24"/>
          <w:szCs w:val="24"/>
        </w:rPr>
        <w:t xml:space="preserve"> (</w:t>
      </w:r>
      <w:r w:rsidR="00265F7B" w:rsidRPr="00B01BA1">
        <w:rPr>
          <w:i/>
          <w:sz w:val="24"/>
          <w:szCs w:val="24"/>
        </w:rPr>
        <w:t>Приложение VIII –T05</w:t>
      </w:r>
      <w:r w:rsidR="00265F7B" w:rsidRPr="00B01BA1">
        <w:rPr>
          <w:sz w:val="24"/>
          <w:szCs w:val="24"/>
        </w:rPr>
        <w:t xml:space="preserve"> от Наръчника</w:t>
      </w:r>
      <w:r w:rsidR="00265F7B">
        <w:rPr>
          <w:sz w:val="24"/>
          <w:szCs w:val="24"/>
        </w:rPr>
        <w:t>)</w:t>
      </w:r>
      <w:r w:rsidR="007B2DFE">
        <w:rPr>
          <w:sz w:val="24"/>
          <w:szCs w:val="24"/>
        </w:rPr>
        <w:t xml:space="preserve">. </w:t>
      </w:r>
      <w:r w:rsidR="00FC7975">
        <w:rPr>
          <w:sz w:val="24"/>
          <w:szCs w:val="24"/>
        </w:rPr>
        <w:t xml:space="preserve">Преди провеждане на заседание на Работната група, </w:t>
      </w:r>
      <w:r w:rsidR="00447843">
        <w:rPr>
          <w:sz w:val="24"/>
          <w:szCs w:val="24"/>
        </w:rPr>
        <w:t xml:space="preserve">може да бъде възложена/подготвена предварителна </w:t>
      </w:r>
      <w:r w:rsidR="00447843" w:rsidRPr="00447843">
        <w:rPr>
          <w:sz w:val="24"/>
          <w:szCs w:val="24"/>
        </w:rPr>
        <w:t xml:space="preserve">оценка на риска от измами </w:t>
      </w:r>
      <w:r w:rsidR="00447843">
        <w:rPr>
          <w:sz w:val="24"/>
          <w:szCs w:val="24"/>
        </w:rPr>
        <w:t>от</w:t>
      </w:r>
      <w:r w:rsidR="00447843" w:rsidRPr="00447843">
        <w:rPr>
          <w:sz w:val="24"/>
          <w:szCs w:val="24"/>
        </w:rPr>
        <w:t xml:space="preserve"> </w:t>
      </w:r>
      <w:r w:rsidR="00447843">
        <w:rPr>
          <w:sz w:val="24"/>
          <w:szCs w:val="24"/>
        </w:rPr>
        <w:t>служители/</w:t>
      </w:r>
      <w:r w:rsidR="00447843" w:rsidRPr="00447843">
        <w:rPr>
          <w:sz w:val="24"/>
          <w:szCs w:val="24"/>
        </w:rPr>
        <w:t>работни групи</w:t>
      </w:r>
      <w:r w:rsidR="00447843">
        <w:rPr>
          <w:sz w:val="24"/>
          <w:szCs w:val="24"/>
        </w:rPr>
        <w:t>, която</w:t>
      </w:r>
      <w:r w:rsidR="005B278D">
        <w:rPr>
          <w:sz w:val="24"/>
          <w:szCs w:val="24"/>
        </w:rPr>
        <w:t xml:space="preserve"> след това</w:t>
      </w:r>
      <w:r w:rsidR="00447843">
        <w:rPr>
          <w:sz w:val="24"/>
          <w:szCs w:val="24"/>
        </w:rPr>
        <w:t xml:space="preserve"> </w:t>
      </w:r>
      <w:r w:rsidR="007F2BCE">
        <w:rPr>
          <w:sz w:val="24"/>
          <w:szCs w:val="24"/>
        </w:rPr>
        <w:t>се</w:t>
      </w:r>
      <w:r w:rsidR="00447843">
        <w:rPr>
          <w:sz w:val="24"/>
          <w:szCs w:val="24"/>
        </w:rPr>
        <w:t xml:space="preserve"> подла</w:t>
      </w:r>
      <w:r w:rsidR="007F2BCE">
        <w:rPr>
          <w:sz w:val="24"/>
          <w:szCs w:val="24"/>
        </w:rPr>
        <w:t>га</w:t>
      </w:r>
      <w:r w:rsidR="00447843">
        <w:rPr>
          <w:sz w:val="24"/>
          <w:szCs w:val="24"/>
        </w:rPr>
        <w:t xml:space="preserve"> на разглеждане и одобрение от </w:t>
      </w:r>
      <w:r>
        <w:rPr>
          <w:sz w:val="24"/>
          <w:szCs w:val="24"/>
        </w:rPr>
        <w:t>Работната група</w:t>
      </w:r>
      <w:r w:rsidR="007F2BCE">
        <w:rPr>
          <w:sz w:val="24"/>
          <w:szCs w:val="24"/>
        </w:rPr>
        <w:t xml:space="preserve">. </w:t>
      </w:r>
      <w:r w:rsidR="00460A88">
        <w:rPr>
          <w:sz w:val="24"/>
          <w:szCs w:val="24"/>
        </w:rPr>
        <w:t xml:space="preserve">За улеснение на работните групи по оценка на риска от измами, в Приложение 1 към </w:t>
      </w:r>
      <w:r w:rsidR="00460A88" w:rsidRPr="00B01BA1">
        <w:rPr>
          <w:i/>
          <w:sz w:val="24"/>
          <w:szCs w:val="24"/>
        </w:rPr>
        <w:t>Насоките на ЕК</w:t>
      </w:r>
      <w:r w:rsidR="00460A88">
        <w:rPr>
          <w:sz w:val="24"/>
          <w:szCs w:val="24"/>
        </w:rPr>
        <w:t xml:space="preserve"> са описани предварително определен брой рискове. Всички тези предварително описани рискове следва да бъдат оценени от РГ по оценка на риска, но ако бъдат установени допълнителни рискове, могат да се добавят повече редове.</w:t>
      </w:r>
    </w:p>
    <w:p w14:paraId="1524D6FD" w14:textId="06D83323" w:rsidR="00FD1848" w:rsidRPr="00D014C7" w:rsidRDefault="00FD1848">
      <w:pPr>
        <w:spacing w:after="120"/>
        <w:ind w:firstLine="708"/>
        <w:jc w:val="both"/>
        <w:rPr>
          <w:sz w:val="24"/>
          <w:szCs w:val="24"/>
        </w:rPr>
      </w:pPr>
      <w:r w:rsidRPr="00D014C7">
        <w:rPr>
          <w:sz w:val="24"/>
          <w:szCs w:val="24"/>
        </w:rPr>
        <w:t>Стратегическият подход към оценката на риска зависи от идентифицирането на рисковете, отнасящи се до ключовите цели на организацията. Тези рискове се разглеждат и оценяват и така се стига до малко на брой ключови рискове. Идентифицирането на ключовите рискове е важно не само за идентифицирането на най-важните области, към които трябва да се насочи оценката на риска, но и за разпределяне на отговорностите за управление на тези рискове впоследствие.</w:t>
      </w:r>
    </w:p>
    <w:p w14:paraId="41585CA9" w14:textId="5513B2CF" w:rsidR="00FD1848" w:rsidRPr="00D014C7" w:rsidRDefault="00FD1848" w:rsidP="00367400">
      <w:pPr>
        <w:spacing w:after="120"/>
        <w:ind w:firstLine="708"/>
        <w:jc w:val="both"/>
        <w:rPr>
          <w:sz w:val="24"/>
          <w:szCs w:val="24"/>
        </w:rPr>
      </w:pPr>
      <w:r w:rsidRPr="00D014C7">
        <w:rPr>
          <w:sz w:val="24"/>
          <w:szCs w:val="24"/>
        </w:rPr>
        <w:t>Като резултат се изготвя Списък на рискове, в който идентифицираните рискове се категоризират по цели, източник, проявление и обхват.</w:t>
      </w:r>
    </w:p>
    <w:p w14:paraId="75E7946F" w14:textId="77777777" w:rsidR="00FD1848" w:rsidRPr="00D014C7" w:rsidRDefault="00FD1848">
      <w:pPr>
        <w:spacing w:after="120"/>
        <w:ind w:firstLine="708"/>
        <w:jc w:val="both"/>
        <w:rPr>
          <w:i/>
          <w:sz w:val="24"/>
          <w:szCs w:val="24"/>
        </w:rPr>
      </w:pPr>
      <w:r w:rsidRPr="00D014C7">
        <w:rPr>
          <w:i/>
          <w:sz w:val="24"/>
          <w:szCs w:val="24"/>
        </w:rPr>
        <w:t>Таблица 1. Примерен Списък на рисковете</w:t>
      </w:r>
      <w:r w:rsidRPr="00D014C7">
        <w:rPr>
          <w:rStyle w:val="FootnoteReference"/>
          <w:i/>
          <w:sz w:val="24"/>
          <w:szCs w:val="24"/>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732"/>
        <w:gridCol w:w="1234"/>
        <w:gridCol w:w="1469"/>
        <w:gridCol w:w="1098"/>
        <w:gridCol w:w="1459"/>
        <w:gridCol w:w="1559"/>
        <w:gridCol w:w="1448"/>
      </w:tblGrid>
      <w:tr w:rsidR="00FD1848" w:rsidRPr="00D014C7" w14:paraId="40F00265" w14:textId="77777777" w:rsidTr="007A10FF">
        <w:trPr>
          <w:trHeight w:val="344"/>
        </w:trPr>
        <w:tc>
          <w:tcPr>
            <w:tcW w:w="779" w:type="dxa"/>
            <w:shd w:val="clear" w:color="auto" w:fill="EEECE1"/>
          </w:tcPr>
          <w:p w14:paraId="50366CBF" w14:textId="77777777" w:rsidR="00FD1848" w:rsidRPr="007A10FF" w:rsidRDefault="00FD1848" w:rsidP="007A10FF">
            <w:pPr>
              <w:spacing w:after="120"/>
              <w:jc w:val="both"/>
              <w:rPr>
                <w:b/>
              </w:rPr>
            </w:pPr>
            <w:r w:rsidRPr="007A10FF">
              <w:rPr>
                <w:b/>
              </w:rPr>
              <w:t>Цел</w:t>
            </w:r>
          </w:p>
        </w:tc>
        <w:tc>
          <w:tcPr>
            <w:tcW w:w="732" w:type="dxa"/>
            <w:shd w:val="clear" w:color="auto" w:fill="EEECE1"/>
          </w:tcPr>
          <w:p w14:paraId="52F6B021" w14:textId="77777777" w:rsidR="00FD1848" w:rsidRPr="007A10FF" w:rsidRDefault="00FD1848" w:rsidP="007A10FF">
            <w:pPr>
              <w:spacing w:after="120"/>
              <w:jc w:val="both"/>
              <w:rPr>
                <w:b/>
              </w:rPr>
            </w:pPr>
            <w:r w:rsidRPr="007A10FF">
              <w:rPr>
                <w:b/>
              </w:rPr>
              <w:t>Риск</w:t>
            </w:r>
          </w:p>
        </w:tc>
        <w:tc>
          <w:tcPr>
            <w:tcW w:w="1234" w:type="dxa"/>
            <w:shd w:val="clear" w:color="auto" w:fill="EEECE1"/>
          </w:tcPr>
          <w:p w14:paraId="5CCFCC89" w14:textId="77777777" w:rsidR="00FD1848" w:rsidRPr="007A10FF" w:rsidRDefault="00FD1848" w:rsidP="007A10FF">
            <w:pPr>
              <w:spacing w:after="120"/>
              <w:jc w:val="both"/>
              <w:rPr>
                <w:b/>
              </w:rPr>
            </w:pPr>
            <w:r w:rsidRPr="007A10FF">
              <w:rPr>
                <w:b/>
              </w:rPr>
              <w:t>Източник</w:t>
            </w:r>
          </w:p>
        </w:tc>
        <w:tc>
          <w:tcPr>
            <w:tcW w:w="1469" w:type="dxa"/>
            <w:shd w:val="clear" w:color="auto" w:fill="EEECE1"/>
          </w:tcPr>
          <w:p w14:paraId="2AE688D9" w14:textId="77777777" w:rsidR="00FD1848" w:rsidRPr="007A10FF" w:rsidRDefault="00FD1848" w:rsidP="007A10FF">
            <w:pPr>
              <w:spacing w:after="120"/>
              <w:jc w:val="both"/>
              <w:rPr>
                <w:b/>
              </w:rPr>
            </w:pPr>
            <w:r w:rsidRPr="007A10FF">
              <w:rPr>
                <w:b/>
              </w:rPr>
              <w:t>Проявление</w:t>
            </w:r>
          </w:p>
        </w:tc>
        <w:tc>
          <w:tcPr>
            <w:tcW w:w="1098" w:type="dxa"/>
            <w:shd w:val="clear" w:color="auto" w:fill="EEECE1"/>
          </w:tcPr>
          <w:p w14:paraId="691CC7F1" w14:textId="77777777" w:rsidR="00FD1848" w:rsidRPr="007A10FF" w:rsidRDefault="00FD1848" w:rsidP="007A10FF">
            <w:pPr>
              <w:spacing w:after="120"/>
              <w:jc w:val="both"/>
              <w:rPr>
                <w:b/>
              </w:rPr>
            </w:pPr>
            <w:r w:rsidRPr="007A10FF">
              <w:rPr>
                <w:b/>
              </w:rPr>
              <w:t>Обхват</w:t>
            </w:r>
          </w:p>
        </w:tc>
        <w:tc>
          <w:tcPr>
            <w:tcW w:w="1459" w:type="dxa"/>
            <w:shd w:val="clear" w:color="auto" w:fill="EEECE1"/>
          </w:tcPr>
          <w:p w14:paraId="102F63F6" w14:textId="77777777" w:rsidR="00FD1848" w:rsidRPr="007A10FF" w:rsidRDefault="00FD1848" w:rsidP="007A10FF">
            <w:pPr>
              <w:spacing w:after="120"/>
              <w:jc w:val="both"/>
              <w:rPr>
                <w:b/>
              </w:rPr>
            </w:pPr>
            <w:r w:rsidRPr="007A10FF">
              <w:rPr>
                <w:b/>
              </w:rPr>
              <w:t>Вероятност</w:t>
            </w:r>
          </w:p>
        </w:tc>
        <w:tc>
          <w:tcPr>
            <w:tcW w:w="1559" w:type="dxa"/>
            <w:shd w:val="clear" w:color="auto" w:fill="EEECE1"/>
          </w:tcPr>
          <w:p w14:paraId="051A8E11" w14:textId="77777777" w:rsidR="00FD1848" w:rsidRPr="007A10FF" w:rsidRDefault="00FD1848" w:rsidP="007A10FF">
            <w:pPr>
              <w:spacing w:after="120"/>
              <w:jc w:val="both"/>
              <w:rPr>
                <w:b/>
              </w:rPr>
            </w:pPr>
            <w:r w:rsidRPr="007A10FF">
              <w:rPr>
                <w:b/>
              </w:rPr>
              <w:t>Въздействие</w:t>
            </w:r>
          </w:p>
        </w:tc>
        <w:tc>
          <w:tcPr>
            <w:tcW w:w="1448" w:type="dxa"/>
            <w:shd w:val="clear" w:color="auto" w:fill="EEECE1"/>
          </w:tcPr>
          <w:p w14:paraId="66C8D068" w14:textId="77777777" w:rsidR="00FD1848" w:rsidRPr="007A10FF" w:rsidRDefault="00FD1848" w:rsidP="007A10FF">
            <w:pPr>
              <w:spacing w:after="120"/>
              <w:jc w:val="both"/>
              <w:rPr>
                <w:b/>
              </w:rPr>
            </w:pPr>
            <w:r w:rsidRPr="007A10FF">
              <w:rPr>
                <w:b/>
              </w:rPr>
              <w:t>Интензитет</w:t>
            </w:r>
          </w:p>
        </w:tc>
      </w:tr>
      <w:tr w:rsidR="00FD1848" w:rsidRPr="00D014C7" w14:paraId="2BEE1AE7" w14:textId="77777777" w:rsidTr="007A10FF">
        <w:trPr>
          <w:trHeight w:val="699"/>
        </w:trPr>
        <w:tc>
          <w:tcPr>
            <w:tcW w:w="779" w:type="dxa"/>
          </w:tcPr>
          <w:p w14:paraId="5298A3A6" w14:textId="77777777" w:rsidR="00FD1848" w:rsidRPr="00D014C7" w:rsidRDefault="00FD1848" w:rsidP="007A10FF">
            <w:pPr>
              <w:spacing w:after="120"/>
              <w:jc w:val="center"/>
            </w:pPr>
            <w:r w:rsidRPr="00D014C7">
              <w:t>Цел 1</w:t>
            </w:r>
          </w:p>
        </w:tc>
        <w:tc>
          <w:tcPr>
            <w:tcW w:w="732" w:type="dxa"/>
          </w:tcPr>
          <w:p w14:paraId="44CAF1AB" w14:textId="77777777" w:rsidR="00FD1848" w:rsidRPr="00D014C7" w:rsidRDefault="00FD1848">
            <w:pPr>
              <w:pStyle w:val="NoSpacing"/>
            </w:pPr>
            <w:r w:rsidRPr="00D014C7">
              <w:t xml:space="preserve">1.1  </w:t>
            </w:r>
          </w:p>
        </w:tc>
        <w:tc>
          <w:tcPr>
            <w:tcW w:w="1234" w:type="dxa"/>
          </w:tcPr>
          <w:p w14:paraId="38A60935" w14:textId="77777777" w:rsidR="00FD1848" w:rsidRPr="00D014C7" w:rsidRDefault="00FD1848" w:rsidP="007A10FF">
            <w:pPr>
              <w:spacing w:after="120"/>
              <w:jc w:val="both"/>
            </w:pPr>
            <w:r w:rsidRPr="00D014C7">
              <w:t>вътрешен</w:t>
            </w:r>
          </w:p>
        </w:tc>
        <w:tc>
          <w:tcPr>
            <w:tcW w:w="1469" w:type="dxa"/>
          </w:tcPr>
          <w:p w14:paraId="54BC1929" w14:textId="77777777" w:rsidR="00FD1848" w:rsidRPr="00D014C7" w:rsidRDefault="00FD1848" w:rsidP="007A10FF">
            <w:pPr>
              <w:spacing w:after="120"/>
              <w:jc w:val="both"/>
            </w:pPr>
            <w:r w:rsidRPr="00D014C7">
              <w:t>програма</w:t>
            </w:r>
          </w:p>
        </w:tc>
        <w:tc>
          <w:tcPr>
            <w:tcW w:w="1098" w:type="dxa"/>
          </w:tcPr>
          <w:p w14:paraId="4F1E0ABE" w14:textId="77777777" w:rsidR="00FD1848" w:rsidRPr="00D014C7" w:rsidRDefault="00FD1848" w:rsidP="007A10FF">
            <w:pPr>
              <w:spacing w:after="120"/>
              <w:jc w:val="both"/>
            </w:pPr>
            <w:r w:rsidRPr="00D014C7">
              <w:t>цялостен</w:t>
            </w:r>
          </w:p>
        </w:tc>
        <w:tc>
          <w:tcPr>
            <w:tcW w:w="1459" w:type="dxa"/>
          </w:tcPr>
          <w:p w14:paraId="4E8EF47D" w14:textId="77777777" w:rsidR="00FD1848" w:rsidRPr="00D014C7" w:rsidRDefault="00FD1848" w:rsidP="007A10FF">
            <w:pPr>
              <w:keepNext/>
              <w:tabs>
                <w:tab w:val="num" w:pos="1920"/>
              </w:tabs>
              <w:spacing w:after="120"/>
              <w:ind w:left="1920" w:hanging="720"/>
              <w:jc w:val="both"/>
              <w:outlineLvl w:val="2"/>
            </w:pPr>
          </w:p>
        </w:tc>
        <w:tc>
          <w:tcPr>
            <w:tcW w:w="1559" w:type="dxa"/>
          </w:tcPr>
          <w:p w14:paraId="5D46349A" w14:textId="77777777" w:rsidR="00FD1848" w:rsidRPr="00D014C7" w:rsidRDefault="00FD1848" w:rsidP="007A10FF">
            <w:pPr>
              <w:keepNext/>
              <w:tabs>
                <w:tab w:val="num" w:pos="1920"/>
              </w:tabs>
              <w:spacing w:after="120"/>
              <w:ind w:left="1920" w:hanging="720"/>
              <w:jc w:val="both"/>
              <w:outlineLvl w:val="2"/>
            </w:pPr>
          </w:p>
        </w:tc>
        <w:tc>
          <w:tcPr>
            <w:tcW w:w="1448" w:type="dxa"/>
          </w:tcPr>
          <w:p w14:paraId="695CE5F0" w14:textId="77777777" w:rsidR="00FD1848" w:rsidRPr="00D014C7" w:rsidRDefault="00FD1848" w:rsidP="007A10FF">
            <w:pPr>
              <w:keepNext/>
              <w:tabs>
                <w:tab w:val="num" w:pos="1920"/>
              </w:tabs>
              <w:spacing w:after="120"/>
              <w:ind w:left="1920" w:hanging="720"/>
              <w:jc w:val="both"/>
              <w:outlineLvl w:val="2"/>
            </w:pPr>
          </w:p>
        </w:tc>
      </w:tr>
      <w:tr w:rsidR="00FD1848" w:rsidRPr="00D014C7" w14:paraId="1E23A7EF" w14:textId="77777777" w:rsidTr="007A10FF">
        <w:trPr>
          <w:trHeight w:val="813"/>
        </w:trPr>
        <w:tc>
          <w:tcPr>
            <w:tcW w:w="779" w:type="dxa"/>
          </w:tcPr>
          <w:p w14:paraId="688AED47" w14:textId="77777777" w:rsidR="00FD1848" w:rsidRPr="00D014C7" w:rsidRDefault="00FD1848" w:rsidP="007A10FF">
            <w:pPr>
              <w:spacing w:after="120"/>
              <w:jc w:val="center"/>
            </w:pPr>
            <w:r w:rsidRPr="00D014C7">
              <w:t>Цел 2</w:t>
            </w:r>
          </w:p>
        </w:tc>
        <w:tc>
          <w:tcPr>
            <w:tcW w:w="732" w:type="dxa"/>
          </w:tcPr>
          <w:p w14:paraId="34BDA312" w14:textId="77777777" w:rsidR="00FD1848" w:rsidRPr="00D014C7" w:rsidRDefault="00FD1848">
            <w:pPr>
              <w:pStyle w:val="NoSpacing"/>
            </w:pPr>
            <w:r w:rsidRPr="00D014C7">
              <w:t xml:space="preserve">1.2  </w:t>
            </w:r>
          </w:p>
        </w:tc>
        <w:tc>
          <w:tcPr>
            <w:tcW w:w="1234" w:type="dxa"/>
          </w:tcPr>
          <w:p w14:paraId="6A25C10E" w14:textId="77777777" w:rsidR="00FD1848" w:rsidRPr="00D014C7" w:rsidRDefault="00FD1848" w:rsidP="007A10FF">
            <w:pPr>
              <w:spacing w:after="120"/>
              <w:jc w:val="both"/>
            </w:pPr>
            <w:r w:rsidRPr="00D014C7">
              <w:t>външен</w:t>
            </w:r>
          </w:p>
        </w:tc>
        <w:tc>
          <w:tcPr>
            <w:tcW w:w="1469" w:type="dxa"/>
          </w:tcPr>
          <w:p w14:paraId="456C15EB" w14:textId="77777777" w:rsidR="00FD1848" w:rsidRPr="00D014C7" w:rsidRDefault="00FD1848" w:rsidP="007A10FF">
            <w:pPr>
              <w:spacing w:after="120"/>
              <w:jc w:val="both"/>
            </w:pPr>
            <w:r w:rsidRPr="00D014C7">
              <w:t>проект</w:t>
            </w:r>
          </w:p>
        </w:tc>
        <w:tc>
          <w:tcPr>
            <w:tcW w:w="1098" w:type="dxa"/>
          </w:tcPr>
          <w:p w14:paraId="5E91BE6C" w14:textId="77777777" w:rsidR="00FD1848" w:rsidRPr="00D014C7" w:rsidRDefault="00FD1848" w:rsidP="007A10FF">
            <w:pPr>
              <w:spacing w:after="120"/>
              <w:jc w:val="both"/>
            </w:pPr>
            <w:r w:rsidRPr="00D014C7">
              <w:t>частичен</w:t>
            </w:r>
          </w:p>
        </w:tc>
        <w:tc>
          <w:tcPr>
            <w:tcW w:w="1459" w:type="dxa"/>
          </w:tcPr>
          <w:p w14:paraId="18431E36" w14:textId="77777777" w:rsidR="00FD1848" w:rsidRPr="00D014C7" w:rsidRDefault="00FD1848" w:rsidP="007A10FF">
            <w:pPr>
              <w:keepNext/>
              <w:tabs>
                <w:tab w:val="num" w:pos="1920"/>
              </w:tabs>
              <w:spacing w:after="120"/>
              <w:ind w:left="1920" w:hanging="720"/>
              <w:jc w:val="both"/>
              <w:outlineLvl w:val="2"/>
            </w:pPr>
          </w:p>
        </w:tc>
        <w:tc>
          <w:tcPr>
            <w:tcW w:w="1559" w:type="dxa"/>
          </w:tcPr>
          <w:p w14:paraId="61EAC373" w14:textId="77777777" w:rsidR="00FD1848" w:rsidRPr="00D014C7" w:rsidRDefault="00FD1848" w:rsidP="007A10FF">
            <w:pPr>
              <w:keepNext/>
              <w:tabs>
                <w:tab w:val="num" w:pos="1920"/>
              </w:tabs>
              <w:spacing w:after="120"/>
              <w:ind w:left="1920" w:hanging="720"/>
              <w:jc w:val="both"/>
              <w:outlineLvl w:val="2"/>
            </w:pPr>
          </w:p>
        </w:tc>
        <w:tc>
          <w:tcPr>
            <w:tcW w:w="1448" w:type="dxa"/>
          </w:tcPr>
          <w:p w14:paraId="0658F7B6" w14:textId="77777777" w:rsidR="00FD1848" w:rsidRPr="00D014C7" w:rsidRDefault="00FD1848" w:rsidP="007A10FF">
            <w:pPr>
              <w:keepNext/>
              <w:tabs>
                <w:tab w:val="num" w:pos="1920"/>
              </w:tabs>
              <w:spacing w:after="120"/>
              <w:ind w:left="1920" w:hanging="720"/>
              <w:jc w:val="both"/>
              <w:outlineLvl w:val="2"/>
            </w:pPr>
          </w:p>
        </w:tc>
      </w:tr>
      <w:tr w:rsidR="00FD1848" w:rsidRPr="00D014C7" w14:paraId="7935C6B2" w14:textId="77777777" w:rsidTr="007A10FF">
        <w:trPr>
          <w:trHeight w:val="453"/>
        </w:trPr>
        <w:tc>
          <w:tcPr>
            <w:tcW w:w="779" w:type="dxa"/>
          </w:tcPr>
          <w:p w14:paraId="58EE32BF" w14:textId="77777777" w:rsidR="00FD1848" w:rsidRPr="00D014C7" w:rsidRDefault="00FD1848" w:rsidP="007A10FF">
            <w:pPr>
              <w:spacing w:after="120"/>
              <w:jc w:val="both"/>
            </w:pPr>
            <w:r w:rsidRPr="00D014C7">
              <w:t>Цел х</w:t>
            </w:r>
          </w:p>
        </w:tc>
        <w:tc>
          <w:tcPr>
            <w:tcW w:w="732" w:type="dxa"/>
          </w:tcPr>
          <w:p w14:paraId="451DA8B2" w14:textId="77777777" w:rsidR="00FD1848" w:rsidRPr="00D014C7" w:rsidRDefault="00FD1848" w:rsidP="00493FB6">
            <w:pPr>
              <w:pStyle w:val="NoSpacing"/>
            </w:pPr>
            <w:r w:rsidRPr="00D014C7">
              <w:t>...</w:t>
            </w:r>
          </w:p>
        </w:tc>
        <w:tc>
          <w:tcPr>
            <w:tcW w:w="1234" w:type="dxa"/>
          </w:tcPr>
          <w:p w14:paraId="1DDD904E" w14:textId="77777777" w:rsidR="00FD1848" w:rsidRPr="00D014C7" w:rsidRDefault="00FD1848" w:rsidP="007A10FF">
            <w:pPr>
              <w:spacing w:after="120"/>
              <w:jc w:val="both"/>
            </w:pPr>
          </w:p>
        </w:tc>
        <w:tc>
          <w:tcPr>
            <w:tcW w:w="1469" w:type="dxa"/>
          </w:tcPr>
          <w:p w14:paraId="57F5B96E" w14:textId="77777777" w:rsidR="00FD1848" w:rsidRPr="00D014C7" w:rsidRDefault="00FD1848" w:rsidP="007A10FF">
            <w:pPr>
              <w:spacing w:after="120"/>
              <w:jc w:val="both"/>
            </w:pPr>
          </w:p>
        </w:tc>
        <w:tc>
          <w:tcPr>
            <w:tcW w:w="1098" w:type="dxa"/>
          </w:tcPr>
          <w:p w14:paraId="08D79A8A" w14:textId="77777777" w:rsidR="00FD1848" w:rsidRPr="00D014C7" w:rsidRDefault="00FD1848" w:rsidP="007A10FF">
            <w:pPr>
              <w:spacing w:after="120"/>
              <w:jc w:val="both"/>
            </w:pPr>
          </w:p>
        </w:tc>
        <w:tc>
          <w:tcPr>
            <w:tcW w:w="1459" w:type="dxa"/>
          </w:tcPr>
          <w:p w14:paraId="525050FC" w14:textId="77777777" w:rsidR="00FD1848" w:rsidRPr="00D014C7" w:rsidRDefault="00FD1848" w:rsidP="007A10FF">
            <w:pPr>
              <w:spacing w:after="120"/>
              <w:jc w:val="both"/>
            </w:pPr>
          </w:p>
        </w:tc>
        <w:tc>
          <w:tcPr>
            <w:tcW w:w="1559" w:type="dxa"/>
          </w:tcPr>
          <w:p w14:paraId="6E3FBDDE" w14:textId="77777777" w:rsidR="00FD1848" w:rsidRPr="00D014C7" w:rsidRDefault="00FD1848" w:rsidP="007A10FF">
            <w:pPr>
              <w:spacing w:after="120"/>
              <w:jc w:val="both"/>
            </w:pPr>
          </w:p>
        </w:tc>
        <w:tc>
          <w:tcPr>
            <w:tcW w:w="1448" w:type="dxa"/>
          </w:tcPr>
          <w:p w14:paraId="1E63E430" w14:textId="77777777" w:rsidR="00FD1848" w:rsidRPr="00D014C7" w:rsidRDefault="00FD1848" w:rsidP="007A10FF">
            <w:pPr>
              <w:spacing w:after="120"/>
              <w:jc w:val="both"/>
            </w:pPr>
          </w:p>
        </w:tc>
      </w:tr>
    </w:tbl>
    <w:p w14:paraId="1F14A2E3" w14:textId="3BDF3BED" w:rsidR="00FD1848" w:rsidRDefault="00FD1848" w:rsidP="00367400">
      <w:pPr>
        <w:spacing w:after="120"/>
        <w:ind w:firstLine="708"/>
        <w:jc w:val="both"/>
        <w:rPr>
          <w:sz w:val="24"/>
          <w:szCs w:val="24"/>
        </w:rPr>
      </w:pPr>
      <w:r w:rsidRPr="00D014C7">
        <w:rPr>
          <w:sz w:val="24"/>
          <w:szCs w:val="24"/>
        </w:rPr>
        <w:t xml:space="preserve">Когато има избран външен изпълнител, неговият екип от експерти извършва идентифицирането на риска </w:t>
      </w:r>
      <w:r w:rsidR="007167C6">
        <w:rPr>
          <w:sz w:val="24"/>
          <w:szCs w:val="24"/>
        </w:rPr>
        <w:t>(с изключение на рисковете от измам</w:t>
      </w:r>
      <w:r w:rsidR="00D412B3">
        <w:rPr>
          <w:sz w:val="24"/>
          <w:szCs w:val="24"/>
        </w:rPr>
        <w:t>и</w:t>
      </w:r>
      <w:r w:rsidR="007167C6">
        <w:rPr>
          <w:sz w:val="24"/>
          <w:szCs w:val="24"/>
        </w:rPr>
        <w:t xml:space="preserve">, които се </w:t>
      </w:r>
      <w:r w:rsidR="00682B09">
        <w:rPr>
          <w:sz w:val="24"/>
          <w:szCs w:val="24"/>
        </w:rPr>
        <w:t>идентифицират</w:t>
      </w:r>
      <w:r w:rsidR="007167C6">
        <w:rPr>
          <w:sz w:val="24"/>
          <w:szCs w:val="24"/>
        </w:rPr>
        <w:t xml:space="preserve"> от Работната група) </w:t>
      </w:r>
      <w:r w:rsidRPr="00D014C7">
        <w:rPr>
          <w:sz w:val="24"/>
          <w:szCs w:val="24"/>
        </w:rPr>
        <w:t>според описаната методология и предоставя резултатите на Работната група по оценка на риска.</w:t>
      </w:r>
    </w:p>
    <w:p w14:paraId="75B99AA1" w14:textId="6FBF9A92" w:rsidR="00FD1848" w:rsidRPr="00D014C7" w:rsidRDefault="00D412B3" w:rsidP="00AF1F11">
      <w:pPr>
        <w:pStyle w:val="Heading2"/>
        <w:spacing w:before="0" w:beforeAutospacing="0" w:after="0"/>
        <w:rPr>
          <w:sz w:val="24"/>
          <w:szCs w:val="24"/>
        </w:rPr>
      </w:pPr>
      <w:r>
        <w:rPr>
          <w:sz w:val="24"/>
          <w:szCs w:val="24"/>
        </w:rPr>
        <w:tab/>
      </w:r>
      <w:r w:rsidR="00FD1848" w:rsidRPr="00D014C7">
        <w:rPr>
          <w:rFonts w:ascii="Times New Roman" w:hAnsi="Times New Roman" w:cs="Times New Roman"/>
          <w:sz w:val="24"/>
          <w:szCs w:val="24"/>
        </w:rPr>
        <w:t xml:space="preserve">Стъпка 3. Анализ на риска </w:t>
      </w:r>
    </w:p>
    <w:p w14:paraId="6C6E0D38" w14:textId="2499B80B" w:rsidR="00FD1848" w:rsidRPr="00D014C7" w:rsidRDefault="00FD1848" w:rsidP="00AF1F11">
      <w:pPr>
        <w:ind w:firstLine="709"/>
        <w:jc w:val="both"/>
        <w:rPr>
          <w:sz w:val="24"/>
          <w:szCs w:val="24"/>
        </w:rPr>
      </w:pPr>
      <w:r w:rsidRPr="00D014C7">
        <w:rPr>
          <w:sz w:val="24"/>
          <w:szCs w:val="24"/>
        </w:rPr>
        <w:t xml:space="preserve">Анализът на риска е третата стъпка от годишната среща на Работната група по оценка на риска и се извършва индивидуално от оценителите на базата на изготвения Списък с рискове. </w:t>
      </w:r>
      <w:r w:rsidRPr="001906C4">
        <w:rPr>
          <w:sz w:val="24"/>
          <w:szCs w:val="24"/>
        </w:rPr>
        <w:t xml:space="preserve">Всеки конкретен риск се разглежда отделно. Оценителите от </w:t>
      </w:r>
      <w:r w:rsidR="00682B09" w:rsidRPr="001906C4">
        <w:rPr>
          <w:sz w:val="24"/>
          <w:szCs w:val="24"/>
        </w:rPr>
        <w:t>Р</w:t>
      </w:r>
      <w:r w:rsidRPr="001906C4">
        <w:rPr>
          <w:sz w:val="24"/>
          <w:szCs w:val="24"/>
        </w:rPr>
        <w:t>аботната група разглеждат вече идентифицираните рискове и обсъждат мерки за третиране</w:t>
      </w:r>
      <w:r w:rsidR="00682B09" w:rsidRPr="001906C4">
        <w:rPr>
          <w:sz w:val="24"/>
          <w:szCs w:val="24"/>
        </w:rPr>
        <w:t>то им</w:t>
      </w:r>
      <w:r w:rsidRPr="001906C4">
        <w:rPr>
          <w:sz w:val="24"/>
          <w:szCs w:val="24"/>
        </w:rPr>
        <w:t>.</w:t>
      </w:r>
    </w:p>
    <w:p w14:paraId="54FE0B90" w14:textId="3748D68E" w:rsidR="00FD1848" w:rsidRPr="00D014C7" w:rsidRDefault="00FD1848">
      <w:pPr>
        <w:autoSpaceDE/>
        <w:autoSpaceDN/>
        <w:adjustRightInd/>
        <w:spacing w:after="120"/>
        <w:ind w:firstLine="708"/>
        <w:jc w:val="both"/>
        <w:rPr>
          <w:sz w:val="24"/>
          <w:szCs w:val="24"/>
        </w:rPr>
      </w:pPr>
      <w:r w:rsidRPr="00D014C7">
        <w:rPr>
          <w:sz w:val="24"/>
          <w:szCs w:val="24"/>
        </w:rPr>
        <w:t xml:space="preserve">Една от основните цели на анализа е да се определи </w:t>
      </w:r>
      <w:r w:rsidR="00460A88" w:rsidRPr="00D014C7">
        <w:rPr>
          <w:sz w:val="24"/>
          <w:szCs w:val="24"/>
        </w:rPr>
        <w:t>интензитет</w:t>
      </w:r>
      <w:r w:rsidR="00460A88">
        <w:rPr>
          <w:sz w:val="24"/>
          <w:szCs w:val="24"/>
        </w:rPr>
        <w:t>ът</w:t>
      </w:r>
      <w:r w:rsidR="00460A88" w:rsidRPr="00D014C7">
        <w:rPr>
          <w:sz w:val="24"/>
          <w:szCs w:val="24"/>
        </w:rPr>
        <w:t xml:space="preserve"> </w:t>
      </w:r>
      <w:r w:rsidRPr="00D014C7">
        <w:rPr>
          <w:sz w:val="24"/>
          <w:szCs w:val="24"/>
        </w:rPr>
        <w:t xml:space="preserve">на рисковете с оглед взимането на решение за необходимостта и приоритета на предприемане на мерки за тяхното третиране. Тази информация служи за основа на управленските решения по отношение на рисковете, на които трябва да се обърне внимание (например рисковете с голямо потенциално въздействие и/или рисковете с голяма вероятност от възникване). </w:t>
      </w:r>
    </w:p>
    <w:p w14:paraId="310E74A5" w14:textId="77777777" w:rsidR="00FD1848" w:rsidRPr="00D014C7" w:rsidRDefault="00FD1848" w:rsidP="00C956F4">
      <w:pPr>
        <w:spacing w:after="120"/>
        <w:ind w:firstLine="708"/>
        <w:jc w:val="both"/>
        <w:rPr>
          <w:sz w:val="24"/>
          <w:szCs w:val="24"/>
        </w:rPr>
      </w:pPr>
      <w:r w:rsidRPr="00D014C7">
        <w:rPr>
          <w:sz w:val="24"/>
          <w:szCs w:val="24"/>
        </w:rPr>
        <w:t>Методът, който се прилага за анализ на идентифицираните рисковете, е експертно оценяване на рисковете чрез два фактора:</w:t>
      </w:r>
    </w:p>
    <w:p w14:paraId="129DB5E9" w14:textId="005BE1DD"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 xml:space="preserve">ероятност </w:t>
      </w:r>
      <w:r w:rsidR="00FD1848" w:rsidRPr="00D014C7">
        <w:rPr>
          <w:sz w:val="24"/>
          <w:szCs w:val="24"/>
        </w:rPr>
        <w:t>от настъпването на риска;</w:t>
      </w:r>
    </w:p>
    <w:p w14:paraId="47586890" w14:textId="5FF49607"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ъздействие</w:t>
      </w:r>
      <w:r w:rsidR="00FD1848" w:rsidRPr="00D014C7">
        <w:rPr>
          <w:sz w:val="24"/>
          <w:szCs w:val="24"/>
        </w:rPr>
        <w:t>,</w:t>
      </w:r>
      <w:r w:rsidR="00FD1848" w:rsidRPr="00D014C7">
        <w:rPr>
          <w:b/>
          <w:sz w:val="24"/>
          <w:szCs w:val="24"/>
        </w:rPr>
        <w:t xml:space="preserve"> </w:t>
      </w:r>
      <w:r w:rsidR="00FD1848" w:rsidRPr="00D014C7">
        <w:rPr>
          <w:sz w:val="24"/>
          <w:szCs w:val="24"/>
        </w:rPr>
        <w:t>което рискът ще окаже при възникване.</w:t>
      </w:r>
    </w:p>
    <w:p w14:paraId="25B029A4" w14:textId="76F8D8DE" w:rsidR="00FD1848" w:rsidRDefault="00FD1848" w:rsidP="00367400">
      <w:pPr>
        <w:spacing w:after="120"/>
        <w:ind w:firstLine="709"/>
        <w:jc w:val="both"/>
        <w:rPr>
          <w:sz w:val="24"/>
          <w:szCs w:val="24"/>
        </w:rPr>
      </w:pPr>
      <w:r w:rsidRPr="00D014C7">
        <w:rPr>
          <w:sz w:val="24"/>
          <w:szCs w:val="24"/>
        </w:rPr>
        <w:t>Това става по следната таблица, като вероятността и въздействието за всеки отделен риск се оценява по скала от 1</w:t>
      </w:r>
      <w:r w:rsidR="00A63258">
        <w:rPr>
          <w:sz w:val="24"/>
          <w:szCs w:val="24"/>
        </w:rPr>
        <w:t xml:space="preserve"> </w:t>
      </w:r>
      <w:r w:rsidRPr="00D014C7">
        <w:rPr>
          <w:sz w:val="24"/>
          <w:szCs w:val="24"/>
        </w:rPr>
        <w:t>(малко) до 5 (много голямо):</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4"/>
        <w:gridCol w:w="3022"/>
        <w:gridCol w:w="1472"/>
      </w:tblGrid>
      <w:tr w:rsidR="00FD1848" w:rsidRPr="00D014C7" w14:paraId="787376A7" w14:textId="77777777" w:rsidTr="009A32B6">
        <w:trPr>
          <w:jc w:val="center"/>
        </w:trPr>
        <w:tc>
          <w:tcPr>
            <w:tcW w:w="3784" w:type="dxa"/>
            <w:shd w:val="clear" w:color="auto" w:fill="E6E6E6"/>
          </w:tcPr>
          <w:p w14:paraId="723A3D6F" w14:textId="77777777" w:rsidR="00FD1848" w:rsidRPr="00D014C7" w:rsidRDefault="00FD1848" w:rsidP="009A1C83">
            <w:pPr>
              <w:spacing w:before="60" w:after="60"/>
              <w:rPr>
                <w:b/>
                <w:sz w:val="24"/>
                <w:szCs w:val="24"/>
              </w:rPr>
            </w:pPr>
            <w:r w:rsidRPr="00D014C7">
              <w:rPr>
                <w:b/>
                <w:sz w:val="24"/>
                <w:szCs w:val="24"/>
              </w:rPr>
              <w:t>Вероятност</w:t>
            </w:r>
          </w:p>
        </w:tc>
        <w:tc>
          <w:tcPr>
            <w:tcW w:w="3022" w:type="dxa"/>
            <w:shd w:val="clear" w:color="auto" w:fill="E6E6E6"/>
          </w:tcPr>
          <w:p w14:paraId="3F53C8C1" w14:textId="77777777" w:rsidR="00FD1848" w:rsidRPr="00D014C7" w:rsidRDefault="00FD1848" w:rsidP="0058791A">
            <w:pPr>
              <w:spacing w:before="60" w:after="60"/>
              <w:rPr>
                <w:b/>
                <w:sz w:val="24"/>
                <w:szCs w:val="24"/>
              </w:rPr>
            </w:pPr>
            <w:r w:rsidRPr="00D014C7">
              <w:rPr>
                <w:b/>
                <w:sz w:val="24"/>
                <w:szCs w:val="24"/>
              </w:rPr>
              <w:t>Въздействие</w:t>
            </w:r>
          </w:p>
        </w:tc>
        <w:tc>
          <w:tcPr>
            <w:tcW w:w="1472" w:type="dxa"/>
            <w:shd w:val="clear" w:color="auto" w:fill="E6E6E6"/>
          </w:tcPr>
          <w:p w14:paraId="0C4970A7" w14:textId="77777777" w:rsidR="00FD1848" w:rsidRPr="00D014C7" w:rsidRDefault="00FD1848">
            <w:pPr>
              <w:spacing w:before="60" w:after="60"/>
              <w:jc w:val="center"/>
              <w:rPr>
                <w:b/>
                <w:sz w:val="24"/>
                <w:szCs w:val="24"/>
              </w:rPr>
            </w:pPr>
            <w:r w:rsidRPr="00D014C7">
              <w:rPr>
                <w:b/>
                <w:sz w:val="24"/>
                <w:szCs w:val="24"/>
              </w:rPr>
              <w:t>Оценка</w:t>
            </w:r>
          </w:p>
        </w:tc>
      </w:tr>
      <w:tr w:rsidR="00FD1848" w:rsidRPr="00D014C7" w14:paraId="7695CDF4" w14:textId="77777777" w:rsidTr="009A32B6">
        <w:trPr>
          <w:trHeight w:val="77"/>
          <w:jc w:val="center"/>
        </w:trPr>
        <w:tc>
          <w:tcPr>
            <w:tcW w:w="3784" w:type="dxa"/>
            <w:shd w:val="clear" w:color="auto" w:fill="FF0000"/>
          </w:tcPr>
          <w:p w14:paraId="009BE985" w14:textId="16C51035" w:rsidR="00FD1848" w:rsidRPr="00D014C7" w:rsidRDefault="00FD1848" w:rsidP="009A1C83">
            <w:pPr>
              <w:spacing w:before="60" w:after="60"/>
              <w:rPr>
                <w:color w:val="FFFFFF"/>
                <w:sz w:val="24"/>
                <w:szCs w:val="24"/>
              </w:rPr>
            </w:pPr>
            <w:r w:rsidRPr="00D014C7">
              <w:rPr>
                <w:color w:val="FFFFFF"/>
                <w:sz w:val="24"/>
                <w:szCs w:val="24"/>
              </w:rPr>
              <w:t>Много голяма вероятност</w:t>
            </w:r>
            <w:r w:rsidR="00820D1E">
              <w:rPr>
                <w:color w:val="FFFFFF"/>
                <w:sz w:val="24"/>
                <w:szCs w:val="24"/>
              </w:rPr>
              <w:t>, сигурно събитие (вече се е случило)</w:t>
            </w:r>
          </w:p>
        </w:tc>
        <w:tc>
          <w:tcPr>
            <w:tcW w:w="3022" w:type="dxa"/>
            <w:shd w:val="clear" w:color="auto" w:fill="FF0000"/>
          </w:tcPr>
          <w:p w14:paraId="785A48BD" w14:textId="77777777" w:rsidR="00FD1848" w:rsidRPr="00D014C7" w:rsidRDefault="00FD1848" w:rsidP="0058791A">
            <w:pPr>
              <w:spacing w:before="60" w:after="60"/>
              <w:rPr>
                <w:color w:val="FFFFFF"/>
                <w:sz w:val="24"/>
                <w:szCs w:val="24"/>
              </w:rPr>
            </w:pPr>
            <w:r w:rsidRPr="00D014C7">
              <w:rPr>
                <w:color w:val="FFFFFF"/>
                <w:sz w:val="24"/>
                <w:szCs w:val="24"/>
              </w:rPr>
              <w:t>Много голямо въздействие</w:t>
            </w:r>
          </w:p>
        </w:tc>
        <w:tc>
          <w:tcPr>
            <w:tcW w:w="1472" w:type="dxa"/>
            <w:shd w:val="clear" w:color="auto" w:fill="FF0000"/>
          </w:tcPr>
          <w:p w14:paraId="3AA5680F" w14:textId="77777777" w:rsidR="00FD1848" w:rsidRPr="00D014C7" w:rsidRDefault="00FD1848">
            <w:pPr>
              <w:spacing w:before="60" w:after="60"/>
              <w:jc w:val="center"/>
              <w:rPr>
                <w:color w:val="FFFFFF"/>
                <w:sz w:val="24"/>
                <w:szCs w:val="24"/>
              </w:rPr>
            </w:pPr>
            <w:r w:rsidRPr="00D014C7">
              <w:rPr>
                <w:color w:val="FFFFFF"/>
                <w:sz w:val="24"/>
                <w:szCs w:val="24"/>
              </w:rPr>
              <w:t>5</w:t>
            </w:r>
          </w:p>
        </w:tc>
      </w:tr>
      <w:tr w:rsidR="00FD1848" w:rsidRPr="00D014C7" w14:paraId="4E7FD4DB" w14:textId="77777777" w:rsidTr="009A32B6">
        <w:trPr>
          <w:trHeight w:val="89"/>
          <w:jc w:val="center"/>
        </w:trPr>
        <w:tc>
          <w:tcPr>
            <w:tcW w:w="3784" w:type="dxa"/>
            <w:shd w:val="clear" w:color="auto" w:fill="F79646"/>
          </w:tcPr>
          <w:p w14:paraId="6C0B06EB" w14:textId="77777777" w:rsidR="00FD1848" w:rsidRPr="00D014C7" w:rsidRDefault="00FD1848" w:rsidP="009A1C83">
            <w:pPr>
              <w:spacing w:before="60" w:after="60"/>
              <w:rPr>
                <w:sz w:val="24"/>
                <w:szCs w:val="24"/>
                <w:lang w:eastAsia="cs-CZ"/>
              </w:rPr>
            </w:pPr>
            <w:r w:rsidRPr="00D014C7">
              <w:rPr>
                <w:sz w:val="24"/>
                <w:szCs w:val="24"/>
                <w:lang w:eastAsia="cs-CZ"/>
              </w:rPr>
              <w:t>Вероятността е над средното равнище</w:t>
            </w:r>
          </w:p>
        </w:tc>
        <w:tc>
          <w:tcPr>
            <w:tcW w:w="3022" w:type="dxa"/>
            <w:shd w:val="clear" w:color="auto" w:fill="F79646"/>
          </w:tcPr>
          <w:p w14:paraId="7E155A2E" w14:textId="77777777" w:rsidR="00FD1848" w:rsidRPr="00D014C7" w:rsidRDefault="00FD1848" w:rsidP="009A1C83">
            <w:pPr>
              <w:spacing w:before="60" w:after="60"/>
              <w:rPr>
                <w:sz w:val="24"/>
                <w:szCs w:val="24"/>
              </w:rPr>
            </w:pPr>
            <w:r w:rsidRPr="00D014C7">
              <w:rPr>
                <w:sz w:val="24"/>
                <w:szCs w:val="24"/>
              </w:rPr>
              <w:t xml:space="preserve">Въздействието е над </w:t>
            </w:r>
            <w:r w:rsidRPr="00D014C7">
              <w:rPr>
                <w:sz w:val="24"/>
                <w:szCs w:val="24"/>
                <w:lang w:eastAsia="cs-CZ"/>
              </w:rPr>
              <w:t>средното равнище</w:t>
            </w:r>
          </w:p>
        </w:tc>
        <w:tc>
          <w:tcPr>
            <w:tcW w:w="1472" w:type="dxa"/>
            <w:shd w:val="clear" w:color="auto" w:fill="F79646"/>
          </w:tcPr>
          <w:p w14:paraId="14319DCF" w14:textId="77777777" w:rsidR="00FD1848" w:rsidRPr="00D014C7" w:rsidRDefault="00FD1848">
            <w:pPr>
              <w:spacing w:before="60" w:after="60"/>
              <w:jc w:val="center"/>
              <w:rPr>
                <w:sz w:val="24"/>
                <w:szCs w:val="24"/>
              </w:rPr>
            </w:pPr>
            <w:r w:rsidRPr="00D014C7">
              <w:rPr>
                <w:sz w:val="24"/>
                <w:szCs w:val="24"/>
              </w:rPr>
              <w:t>4</w:t>
            </w:r>
          </w:p>
        </w:tc>
      </w:tr>
      <w:tr w:rsidR="00FD1848" w:rsidRPr="00D014C7" w14:paraId="02856667" w14:textId="77777777" w:rsidTr="009A32B6">
        <w:trPr>
          <w:trHeight w:val="77"/>
          <w:jc w:val="center"/>
        </w:trPr>
        <w:tc>
          <w:tcPr>
            <w:tcW w:w="3784" w:type="dxa"/>
            <w:shd w:val="clear" w:color="auto" w:fill="FFC000"/>
          </w:tcPr>
          <w:p w14:paraId="1915BA6A" w14:textId="77777777" w:rsidR="00FD1848" w:rsidRPr="00D014C7" w:rsidRDefault="00FD1848" w:rsidP="009A1C83">
            <w:pPr>
              <w:spacing w:before="60" w:after="60"/>
              <w:rPr>
                <w:sz w:val="24"/>
                <w:szCs w:val="24"/>
              </w:rPr>
            </w:pPr>
            <w:r w:rsidRPr="00D014C7">
              <w:rPr>
                <w:sz w:val="24"/>
                <w:szCs w:val="24"/>
              </w:rPr>
              <w:t xml:space="preserve">Средна вероятност </w:t>
            </w:r>
          </w:p>
        </w:tc>
        <w:tc>
          <w:tcPr>
            <w:tcW w:w="3022" w:type="dxa"/>
            <w:shd w:val="clear" w:color="auto" w:fill="FFC000"/>
          </w:tcPr>
          <w:p w14:paraId="719D3AB7" w14:textId="77777777" w:rsidR="00FD1848" w:rsidRPr="00D014C7" w:rsidRDefault="00FD1848" w:rsidP="0058791A">
            <w:pPr>
              <w:spacing w:before="60" w:after="60"/>
              <w:rPr>
                <w:sz w:val="24"/>
                <w:szCs w:val="24"/>
              </w:rPr>
            </w:pPr>
            <w:r w:rsidRPr="00D014C7">
              <w:rPr>
                <w:sz w:val="24"/>
                <w:szCs w:val="24"/>
              </w:rPr>
              <w:t>Средно въздействие</w:t>
            </w:r>
          </w:p>
        </w:tc>
        <w:tc>
          <w:tcPr>
            <w:tcW w:w="1472" w:type="dxa"/>
            <w:shd w:val="clear" w:color="auto" w:fill="FFC000"/>
          </w:tcPr>
          <w:p w14:paraId="37E25FE3" w14:textId="77777777" w:rsidR="00FD1848" w:rsidRPr="00D014C7" w:rsidRDefault="00FD1848">
            <w:pPr>
              <w:spacing w:before="60" w:after="60"/>
              <w:jc w:val="center"/>
              <w:rPr>
                <w:sz w:val="24"/>
                <w:szCs w:val="24"/>
              </w:rPr>
            </w:pPr>
            <w:r w:rsidRPr="00D014C7">
              <w:rPr>
                <w:sz w:val="24"/>
                <w:szCs w:val="24"/>
              </w:rPr>
              <w:t>3</w:t>
            </w:r>
          </w:p>
        </w:tc>
      </w:tr>
      <w:tr w:rsidR="00FD1848" w:rsidRPr="00D014C7" w14:paraId="404ACEC4" w14:textId="77777777" w:rsidTr="009A32B6">
        <w:trPr>
          <w:trHeight w:val="223"/>
          <w:jc w:val="center"/>
        </w:trPr>
        <w:tc>
          <w:tcPr>
            <w:tcW w:w="3784" w:type="dxa"/>
            <w:shd w:val="clear" w:color="auto" w:fill="FFFF00"/>
          </w:tcPr>
          <w:p w14:paraId="52B63636" w14:textId="77777777" w:rsidR="00FD1848" w:rsidRPr="00D014C7" w:rsidRDefault="00FD1848" w:rsidP="009A1C83">
            <w:pPr>
              <w:spacing w:before="60" w:after="60"/>
              <w:rPr>
                <w:sz w:val="24"/>
                <w:szCs w:val="24"/>
              </w:rPr>
            </w:pPr>
            <w:r w:rsidRPr="00D014C7">
              <w:rPr>
                <w:sz w:val="24"/>
                <w:szCs w:val="24"/>
                <w:lang w:eastAsia="cs-CZ"/>
              </w:rPr>
              <w:t>Вероятността е под средното равнище</w:t>
            </w:r>
          </w:p>
        </w:tc>
        <w:tc>
          <w:tcPr>
            <w:tcW w:w="3022" w:type="dxa"/>
            <w:shd w:val="clear" w:color="auto" w:fill="FFFF00"/>
          </w:tcPr>
          <w:p w14:paraId="334AA9AF" w14:textId="77777777" w:rsidR="00FD1848" w:rsidRPr="00D014C7" w:rsidRDefault="00FD1848" w:rsidP="009A1C83">
            <w:pPr>
              <w:spacing w:before="60" w:after="60"/>
              <w:rPr>
                <w:sz w:val="24"/>
                <w:szCs w:val="24"/>
              </w:rPr>
            </w:pPr>
            <w:r w:rsidRPr="00D014C7">
              <w:rPr>
                <w:sz w:val="24"/>
                <w:szCs w:val="24"/>
              </w:rPr>
              <w:t xml:space="preserve">Въздействието е под </w:t>
            </w:r>
            <w:r w:rsidRPr="00D014C7">
              <w:rPr>
                <w:sz w:val="24"/>
                <w:szCs w:val="24"/>
                <w:lang w:eastAsia="cs-CZ"/>
              </w:rPr>
              <w:t>средното равнище</w:t>
            </w:r>
          </w:p>
        </w:tc>
        <w:tc>
          <w:tcPr>
            <w:tcW w:w="1472" w:type="dxa"/>
            <w:shd w:val="clear" w:color="auto" w:fill="FFFF00"/>
          </w:tcPr>
          <w:p w14:paraId="525C76EA" w14:textId="77777777" w:rsidR="00FD1848" w:rsidRPr="00D014C7" w:rsidRDefault="00FD1848">
            <w:pPr>
              <w:spacing w:before="60" w:after="60"/>
              <w:jc w:val="center"/>
              <w:rPr>
                <w:sz w:val="24"/>
                <w:szCs w:val="24"/>
              </w:rPr>
            </w:pPr>
            <w:r w:rsidRPr="00D014C7">
              <w:rPr>
                <w:sz w:val="24"/>
                <w:szCs w:val="24"/>
              </w:rPr>
              <w:t>2</w:t>
            </w:r>
          </w:p>
        </w:tc>
      </w:tr>
      <w:tr w:rsidR="00FD1848" w:rsidRPr="00D014C7" w14:paraId="1F740D03" w14:textId="77777777" w:rsidTr="009A32B6">
        <w:trPr>
          <w:trHeight w:val="77"/>
          <w:jc w:val="center"/>
        </w:trPr>
        <w:tc>
          <w:tcPr>
            <w:tcW w:w="3784" w:type="dxa"/>
            <w:shd w:val="clear" w:color="auto" w:fill="92D050"/>
          </w:tcPr>
          <w:p w14:paraId="10EB144A" w14:textId="77777777" w:rsidR="00FD1848" w:rsidRPr="00D014C7" w:rsidRDefault="00FD1848" w:rsidP="009A1C83">
            <w:pPr>
              <w:spacing w:before="60" w:after="60"/>
              <w:rPr>
                <w:sz w:val="24"/>
                <w:szCs w:val="24"/>
              </w:rPr>
            </w:pPr>
            <w:r w:rsidRPr="00D014C7">
              <w:rPr>
                <w:sz w:val="24"/>
                <w:szCs w:val="24"/>
              </w:rPr>
              <w:t>Малка вероятност</w:t>
            </w:r>
          </w:p>
        </w:tc>
        <w:tc>
          <w:tcPr>
            <w:tcW w:w="3022" w:type="dxa"/>
            <w:shd w:val="clear" w:color="auto" w:fill="92D050"/>
          </w:tcPr>
          <w:p w14:paraId="2576219E" w14:textId="77777777" w:rsidR="00FD1848" w:rsidRPr="00D014C7" w:rsidRDefault="00FD1848" w:rsidP="0058791A">
            <w:pPr>
              <w:spacing w:before="60" w:after="60"/>
              <w:rPr>
                <w:sz w:val="24"/>
                <w:szCs w:val="24"/>
              </w:rPr>
            </w:pPr>
            <w:r w:rsidRPr="00D014C7">
              <w:rPr>
                <w:sz w:val="24"/>
                <w:szCs w:val="24"/>
              </w:rPr>
              <w:t>Незначително въздействие</w:t>
            </w:r>
          </w:p>
        </w:tc>
        <w:tc>
          <w:tcPr>
            <w:tcW w:w="1472" w:type="dxa"/>
            <w:shd w:val="clear" w:color="auto" w:fill="92D050"/>
          </w:tcPr>
          <w:p w14:paraId="3FF46FDB" w14:textId="77777777" w:rsidR="00FD1848" w:rsidRPr="00D014C7" w:rsidRDefault="00FD1848">
            <w:pPr>
              <w:spacing w:before="60" w:after="60"/>
              <w:jc w:val="center"/>
              <w:rPr>
                <w:sz w:val="24"/>
                <w:szCs w:val="24"/>
              </w:rPr>
            </w:pPr>
            <w:r w:rsidRPr="00D014C7">
              <w:rPr>
                <w:sz w:val="24"/>
                <w:szCs w:val="24"/>
              </w:rPr>
              <w:t>1</w:t>
            </w:r>
          </w:p>
        </w:tc>
      </w:tr>
    </w:tbl>
    <w:p w14:paraId="4223E782" w14:textId="77777777" w:rsidR="00FD1848" w:rsidRPr="00D014C7" w:rsidRDefault="00FD1848" w:rsidP="004B59EF">
      <w:pPr>
        <w:rPr>
          <w:sz w:val="24"/>
          <w:szCs w:val="24"/>
        </w:rPr>
      </w:pPr>
    </w:p>
    <w:p w14:paraId="767541A3" w14:textId="77777777" w:rsidR="00FD1848" w:rsidRPr="00D014C7" w:rsidRDefault="00FD1848" w:rsidP="00367400">
      <w:pPr>
        <w:spacing w:after="120"/>
        <w:ind w:firstLine="708"/>
        <w:jc w:val="both"/>
        <w:rPr>
          <w:sz w:val="24"/>
          <w:szCs w:val="24"/>
        </w:rPr>
      </w:pPr>
      <w:r w:rsidRPr="00D014C7">
        <w:rPr>
          <w:sz w:val="24"/>
          <w:szCs w:val="24"/>
        </w:rPr>
        <w:t xml:space="preserve">Таблицата по-долу илюстрира Списъка на рисковете и примерни резултати от индивидуалните оценки на рисковете. </w:t>
      </w:r>
    </w:p>
    <w:p w14:paraId="0B63FB23" w14:textId="77777777" w:rsidR="00FD1848" w:rsidRPr="00D014C7" w:rsidRDefault="00FD1848" w:rsidP="00C956F4">
      <w:pPr>
        <w:spacing w:after="120"/>
        <w:ind w:firstLine="708"/>
        <w:jc w:val="both"/>
        <w:rPr>
          <w:i/>
          <w:sz w:val="24"/>
          <w:szCs w:val="24"/>
        </w:rPr>
      </w:pPr>
      <w:r w:rsidRPr="00D014C7">
        <w:rPr>
          <w:i/>
          <w:sz w:val="24"/>
          <w:szCs w:val="24"/>
        </w:rPr>
        <w:t>Таблица 2. Примерен Списък на рисковете</w:t>
      </w:r>
    </w:p>
    <w:tbl>
      <w:tblPr>
        <w:tblW w:w="9816" w:type="dxa"/>
        <w:tblCellMar>
          <w:left w:w="0" w:type="dxa"/>
          <w:right w:w="0" w:type="dxa"/>
        </w:tblCellMar>
        <w:tblLook w:val="00A0" w:firstRow="1" w:lastRow="0" w:firstColumn="1" w:lastColumn="0" w:noHBand="0" w:noVBand="0"/>
      </w:tblPr>
      <w:tblGrid>
        <w:gridCol w:w="917"/>
        <w:gridCol w:w="977"/>
        <w:gridCol w:w="1288"/>
        <w:gridCol w:w="1447"/>
        <w:gridCol w:w="1163"/>
        <w:gridCol w:w="1084"/>
        <w:gridCol w:w="1299"/>
        <w:gridCol w:w="1641"/>
      </w:tblGrid>
      <w:tr w:rsidR="00FD1848" w:rsidRPr="00D014C7" w14:paraId="30CB81B4" w14:textId="77777777" w:rsidTr="00F24453">
        <w:trPr>
          <w:trHeight w:val="561"/>
        </w:trPr>
        <w:tc>
          <w:tcPr>
            <w:tcW w:w="91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5A61701" w14:textId="77777777" w:rsidR="00FD1848" w:rsidRPr="00D014C7" w:rsidRDefault="00FD1848">
            <w:pPr>
              <w:spacing w:after="120"/>
              <w:jc w:val="both"/>
              <w:rPr>
                <w:i/>
              </w:rPr>
            </w:pPr>
            <w:r w:rsidRPr="00D014C7">
              <w:rPr>
                <w:b/>
                <w:bCs/>
                <w:i/>
              </w:rPr>
              <w:t>Цел</w:t>
            </w:r>
            <w:r w:rsidRPr="00D014C7">
              <w:rPr>
                <w:i/>
              </w:rPr>
              <w:t xml:space="preserve"> </w:t>
            </w:r>
          </w:p>
        </w:tc>
        <w:tc>
          <w:tcPr>
            <w:tcW w:w="97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FCD3810" w14:textId="77777777" w:rsidR="00FD1848" w:rsidRPr="00D014C7" w:rsidRDefault="00FD1848">
            <w:pPr>
              <w:spacing w:after="120"/>
              <w:jc w:val="both"/>
              <w:rPr>
                <w:i/>
              </w:rPr>
            </w:pPr>
            <w:r w:rsidRPr="00D014C7">
              <w:rPr>
                <w:b/>
                <w:bCs/>
                <w:i/>
              </w:rPr>
              <w:t>Риск</w:t>
            </w: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EEC8838" w14:textId="77777777" w:rsidR="00FD1848" w:rsidRPr="00D014C7" w:rsidRDefault="00FD1848">
            <w:pPr>
              <w:spacing w:after="120"/>
              <w:jc w:val="both"/>
              <w:rPr>
                <w:i/>
              </w:rPr>
            </w:pPr>
            <w:r w:rsidRPr="00D014C7">
              <w:rPr>
                <w:b/>
                <w:bCs/>
                <w:i/>
              </w:rPr>
              <w:t>Източник</w:t>
            </w:r>
            <w:r w:rsidRPr="00D014C7">
              <w:rPr>
                <w:i/>
              </w:rPr>
              <w:t xml:space="preserve"> </w:t>
            </w:r>
          </w:p>
        </w:tc>
        <w:tc>
          <w:tcPr>
            <w:tcW w:w="144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3328DFA" w14:textId="77777777" w:rsidR="00FD1848" w:rsidRPr="00D014C7" w:rsidRDefault="00FD1848">
            <w:pPr>
              <w:spacing w:after="120"/>
              <w:jc w:val="both"/>
              <w:rPr>
                <w:i/>
              </w:rPr>
            </w:pPr>
            <w:r w:rsidRPr="00D014C7">
              <w:rPr>
                <w:b/>
                <w:bCs/>
                <w:i/>
              </w:rPr>
              <w:t>Проявление</w:t>
            </w:r>
            <w:r w:rsidRPr="00D014C7">
              <w:rPr>
                <w:i/>
              </w:rPr>
              <w:t xml:space="preserve"> </w:t>
            </w:r>
          </w:p>
        </w:tc>
        <w:tc>
          <w:tcPr>
            <w:tcW w:w="1163"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57DB484" w14:textId="77777777" w:rsidR="00FD1848" w:rsidRPr="00D014C7" w:rsidRDefault="00FD1848">
            <w:pPr>
              <w:spacing w:after="120"/>
              <w:jc w:val="both"/>
              <w:rPr>
                <w:i/>
              </w:rPr>
            </w:pPr>
            <w:r w:rsidRPr="00D014C7">
              <w:rPr>
                <w:b/>
                <w:bCs/>
                <w:i/>
              </w:rPr>
              <w:t>Обхват</w:t>
            </w:r>
            <w:r w:rsidRPr="00D014C7">
              <w:rPr>
                <w:i/>
              </w:rPr>
              <w:t xml:space="preserve"> </w:t>
            </w:r>
          </w:p>
        </w:tc>
        <w:tc>
          <w:tcPr>
            <w:tcW w:w="1084"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283202A" w14:textId="77777777" w:rsidR="00FD1848" w:rsidRPr="00D014C7" w:rsidRDefault="00FD1848">
            <w:pPr>
              <w:spacing w:after="120"/>
              <w:jc w:val="both"/>
              <w:rPr>
                <w:i/>
              </w:rPr>
            </w:pPr>
            <w:r w:rsidRPr="00D014C7">
              <w:rPr>
                <w:b/>
                <w:bCs/>
                <w:i/>
              </w:rPr>
              <w:t>Вероят-ност</w:t>
            </w:r>
            <w:r w:rsidRPr="00D014C7">
              <w:rPr>
                <w:i/>
              </w:rPr>
              <w:t xml:space="preserve"> </w:t>
            </w:r>
          </w:p>
        </w:tc>
        <w:tc>
          <w:tcPr>
            <w:tcW w:w="1299"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2B75E0F9" w14:textId="77777777" w:rsidR="00FD1848" w:rsidRPr="00D014C7" w:rsidRDefault="00FD1848">
            <w:pPr>
              <w:spacing w:after="120"/>
              <w:jc w:val="both"/>
              <w:rPr>
                <w:i/>
              </w:rPr>
            </w:pPr>
            <w:r w:rsidRPr="00D014C7">
              <w:rPr>
                <w:b/>
                <w:bCs/>
                <w:i/>
              </w:rPr>
              <w:t>Въздейст-вие</w:t>
            </w:r>
            <w:r w:rsidRPr="00D014C7">
              <w:rPr>
                <w:i/>
              </w:rPr>
              <w:t xml:space="preserve"> </w:t>
            </w:r>
          </w:p>
        </w:tc>
        <w:tc>
          <w:tcPr>
            <w:tcW w:w="1641"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644471B8" w14:textId="77777777" w:rsidR="00FD1848" w:rsidRPr="00D014C7" w:rsidRDefault="00FD1848">
            <w:pPr>
              <w:spacing w:after="120"/>
              <w:jc w:val="both"/>
              <w:rPr>
                <w:i/>
              </w:rPr>
            </w:pPr>
            <w:r w:rsidRPr="00D014C7">
              <w:rPr>
                <w:b/>
                <w:bCs/>
                <w:i/>
              </w:rPr>
              <w:t>Интензитет</w:t>
            </w:r>
            <w:r w:rsidRPr="00D014C7">
              <w:rPr>
                <w:i/>
              </w:rPr>
              <w:t xml:space="preserve"> </w:t>
            </w:r>
          </w:p>
        </w:tc>
      </w:tr>
      <w:tr w:rsidR="00FD1848" w:rsidRPr="00D014C7" w14:paraId="3FF78459" w14:textId="77777777" w:rsidTr="00F24453">
        <w:trPr>
          <w:trHeight w:val="512"/>
        </w:trPr>
        <w:tc>
          <w:tcPr>
            <w:tcW w:w="917" w:type="dxa"/>
            <w:vMerge w:val="restart"/>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A3B9269" w14:textId="77777777" w:rsidR="00FD1848" w:rsidRPr="00D014C7" w:rsidRDefault="00FD1848">
            <w:pPr>
              <w:spacing w:after="120"/>
              <w:jc w:val="both"/>
              <w:rPr>
                <w:i/>
              </w:rPr>
            </w:pPr>
            <w:r w:rsidRPr="00D014C7">
              <w:rPr>
                <w:i/>
              </w:rPr>
              <w:t>Цел 1</w:t>
            </w: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A6C8C94" w14:textId="77777777" w:rsidR="00FD1848" w:rsidRPr="00D014C7" w:rsidRDefault="00FD1848">
            <w:pPr>
              <w:spacing w:after="120"/>
              <w:jc w:val="both"/>
              <w:rPr>
                <w:i/>
              </w:rPr>
            </w:pPr>
            <w:r w:rsidRPr="00D014C7">
              <w:rPr>
                <w:i/>
              </w:rPr>
              <w:t xml:space="preserve">1.3 </w:t>
            </w:r>
          </w:p>
          <w:p w14:paraId="2159D9B7" w14:textId="77777777" w:rsidR="00FD1848" w:rsidRPr="00D014C7" w:rsidRDefault="00FD1848" w:rsidP="00872F6C">
            <w:pPr>
              <w:spacing w:after="120"/>
              <w:ind w:firstLine="708"/>
              <w:jc w:val="both"/>
              <w:rPr>
                <w:i/>
              </w:rPr>
            </w:pP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02140E" w14:textId="77777777" w:rsidR="00FD1848" w:rsidRPr="00D014C7" w:rsidRDefault="00FD1848">
            <w:pPr>
              <w:spacing w:after="120"/>
              <w:jc w:val="both"/>
              <w:rPr>
                <w:i/>
              </w:rPr>
            </w:pPr>
            <w:r w:rsidRPr="00D014C7">
              <w:rPr>
                <w:i/>
              </w:rPr>
              <w:t>вътрешен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C81701" w14:textId="77777777" w:rsidR="00FD1848" w:rsidRPr="00D014C7" w:rsidRDefault="00FD1848">
            <w:pPr>
              <w:spacing w:after="120"/>
              <w:jc w:val="both"/>
              <w:rPr>
                <w:i/>
              </w:rPr>
            </w:pPr>
            <w:r w:rsidRPr="00D014C7">
              <w:rPr>
                <w:i/>
              </w:rPr>
              <w:t>програма</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0276ADC" w14:textId="77777777" w:rsidR="00FD1848" w:rsidRPr="00D014C7" w:rsidRDefault="00FD1848">
            <w:pPr>
              <w:spacing w:after="120"/>
              <w:jc w:val="both"/>
              <w:rPr>
                <w:i/>
              </w:rPr>
            </w:pPr>
            <w:r w:rsidRPr="00D014C7">
              <w:rPr>
                <w:i/>
              </w:rPr>
              <w:t>цялостен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33B7088" w14:textId="77777777" w:rsidR="00FD1848" w:rsidRPr="00D014C7" w:rsidRDefault="00FD1848">
            <w:pPr>
              <w:spacing w:after="120"/>
              <w:jc w:val="center"/>
              <w:rPr>
                <w:i/>
              </w:rPr>
            </w:pPr>
            <w:r w:rsidRPr="00D014C7">
              <w:rPr>
                <w:i/>
              </w:rPr>
              <w:t>4</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A58FFD9" w14:textId="77777777" w:rsidR="00FD1848" w:rsidRPr="00D014C7" w:rsidRDefault="00FD1848">
            <w:pPr>
              <w:spacing w:after="120"/>
              <w:jc w:val="center"/>
              <w:rPr>
                <w:i/>
              </w:rPr>
            </w:pPr>
            <w:r w:rsidRPr="00D014C7">
              <w:rPr>
                <w:i/>
              </w:rPr>
              <w:t>5</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35C1DFE" w14:textId="77777777" w:rsidR="00FD1848" w:rsidRPr="00D014C7" w:rsidRDefault="00FD1848">
            <w:pPr>
              <w:spacing w:after="120"/>
              <w:jc w:val="center"/>
              <w:rPr>
                <w:i/>
              </w:rPr>
            </w:pPr>
            <w:r w:rsidRPr="00D014C7">
              <w:rPr>
                <w:i/>
              </w:rPr>
              <w:t>20</w:t>
            </w:r>
          </w:p>
        </w:tc>
      </w:tr>
      <w:tr w:rsidR="00FD1848" w:rsidRPr="00D014C7" w14:paraId="390CC0F1" w14:textId="77777777" w:rsidTr="00F24453">
        <w:trPr>
          <w:trHeight w:val="480"/>
        </w:trPr>
        <w:tc>
          <w:tcPr>
            <w:tcW w:w="0" w:type="auto"/>
            <w:vMerge/>
            <w:tcBorders>
              <w:top w:val="single" w:sz="8" w:space="0" w:color="000000"/>
              <w:left w:val="single" w:sz="8" w:space="0" w:color="000000"/>
              <w:bottom w:val="single" w:sz="8" w:space="0" w:color="000000"/>
              <w:right w:val="single" w:sz="8" w:space="0" w:color="000000"/>
            </w:tcBorders>
            <w:vAlign w:val="center"/>
          </w:tcPr>
          <w:p w14:paraId="159D1377"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6007A7F" w14:textId="77777777" w:rsidR="00FD1848" w:rsidRPr="00D014C7" w:rsidRDefault="00FD1848">
            <w:pPr>
              <w:spacing w:after="120"/>
              <w:jc w:val="both"/>
              <w:rPr>
                <w:i/>
              </w:rPr>
            </w:pPr>
            <w:r w:rsidRPr="00D014C7">
              <w:rPr>
                <w:i/>
              </w:rPr>
              <w:t>1.1</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B6831CE" w14:textId="77777777" w:rsidR="00FD1848" w:rsidRPr="00D014C7" w:rsidRDefault="00FD1848">
            <w:pPr>
              <w:spacing w:after="120"/>
              <w:jc w:val="both"/>
              <w:rPr>
                <w:i/>
              </w:rPr>
            </w:pPr>
            <w:r w:rsidRPr="00D014C7">
              <w:rPr>
                <w:i/>
              </w:rPr>
              <w:t>външен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74B733F" w14:textId="77777777" w:rsidR="00FD1848" w:rsidRPr="00D014C7" w:rsidRDefault="00FD1848">
            <w:pPr>
              <w:spacing w:after="120"/>
              <w:jc w:val="both"/>
              <w:rPr>
                <w:i/>
              </w:rPr>
            </w:pPr>
            <w:r w:rsidRPr="00D014C7">
              <w:rPr>
                <w:i/>
              </w:rPr>
              <w:t>проект</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490EF55" w14:textId="77777777" w:rsidR="00FD1848" w:rsidRPr="00D014C7" w:rsidRDefault="00FD1848">
            <w:pPr>
              <w:spacing w:after="120"/>
              <w:jc w:val="both"/>
              <w:rPr>
                <w:i/>
              </w:rPr>
            </w:pPr>
            <w:r w:rsidRPr="00D014C7">
              <w:rPr>
                <w:i/>
              </w:rPr>
              <w:t>частичен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73A799A" w14:textId="77777777" w:rsidR="00FD1848" w:rsidRPr="00D014C7" w:rsidRDefault="00FD1848">
            <w:pPr>
              <w:spacing w:after="120"/>
              <w:jc w:val="center"/>
              <w:rPr>
                <w:i/>
              </w:rPr>
            </w:pPr>
            <w:r w:rsidRPr="00D014C7">
              <w:rPr>
                <w:i/>
              </w:rPr>
              <w:t>5</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957EE2D" w14:textId="77777777" w:rsidR="00FD1848" w:rsidRPr="00D014C7" w:rsidRDefault="00FD1848">
            <w:pPr>
              <w:spacing w:after="120"/>
              <w:jc w:val="center"/>
              <w:rPr>
                <w:i/>
              </w:rPr>
            </w:pPr>
            <w:r w:rsidRPr="00D014C7">
              <w:rPr>
                <w:i/>
              </w:rPr>
              <w:t>2</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58F71B" w14:textId="77777777" w:rsidR="00FD1848" w:rsidRPr="00D014C7" w:rsidRDefault="00FD1848">
            <w:pPr>
              <w:spacing w:after="120"/>
              <w:jc w:val="center"/>
              <w:rPr>
                <w:i/>
              </w:rPr>
            </w:pPr>
            <w:r w:rsidRPr="00D014C7">
              <w:rPr>
                <w:i/>
              </w:rPr>
              <w:t>10</w:t>
            </w:r>
          </w:p>
        </w:tc>
      </w:tr>
      <w:tr w:rsidR="00FD1848" w:rsidRPr="00D014C7" w14:paraId="415D7681" w14:textId="77777777" w:rsidTr="00F24453">
        <w:trPr>
          <w:trHeight w:val="401"/>
        </w:trPr>
        <w:tc>
          <w:tcPr>
            <w:tcW w:w="0" w:type="auto"/>
            <w:vMerge/>
            <w:tcBorders>
              <w:top w:val="single" w:sz="8" w:space="0" w:color="000000"/>
              <w:left w:val="single" w:sz="8" w:space="0" w:color="000000"/>
              <w:bottom w:val="single" w:sz="8" w:space="0" w:color="000000"/>
              <w:right w:val="single" w:sz="8" w:space="0" w:color="000000"/>
            </w:tcBorders>
            <w:vAlign w:val="center"/>
          </w:tcPr>
          <w:p w14:paraId="3952BA3D"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BF8416" w14:textId="77777777" w:rsidR="00FD1848" w:rsidRPr="00D014C7" w:rsidRDefault="00FD1848">
            <w:pPr>
              <w:spacing w:after="120"/>
              <w:jc w:val="both"/>
              <w:rPr>
                <w:i/>
              </w:rPr>
            </w:pPr>
            <w:r w:rsidRPr="00D014C7">
              <w:rPr>
                <w:i/>
              </w:rPr>
              <w:t>1.2</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3B163D" w14:textId="77777777" w:rsidR="00FD1848" w:rsidRPr="00D014C7" w:rsidRDefault="00FD1848" w:rsidP="00872F6C">
            <w:pPr>
              <w:spacing w:after="120"/>
              <w:ind w:firstLine="708"/>
              <w:jc w:val="both"/>
              <w:rPr>
                <w:i/>
              </w:rPr>
            </w:pP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8D0D842" w14:textId="77777777" w:rsidR="00FD1848" w:rsidRPr="00D014C7" w:rsidRDefault="00FD1848" w:rsidP="00872F6C">
            <w:pPr>
              <w:spacing w:after="120"/>
              <w:ind w:firstLine="708"/>
              <w:jc w:val="both"/>
              <w:rPr>
                <w:i/>
              </w:rPr>
            </w:pP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F053B5D" w14:textId="77777777" w:rsidR="00FD1848" w:rsidRPr="00D014C7" w:rsidRDefault="00FD1848" w:rsidP="00872F6C">
            <w:pPr>
              <w:spacing w:after="120"/>
              <w:ind w:firstLine="708"/>
              <w:jc w:val="both"/>
              <w:rPr>
                <w:i/>
              </w:rPr>
            </w:pP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6C31B06" w14:textId="77777777" w:rsidR="00FD1848" w:rsidRPr="00D014C7" w:rsidRDefault="00FD1848">
            <w:pPr>
              <w:spacing w:after="120"/>
              <w:jc w:val="center"/>
              <w:rPr>
                <w:i/>
              </w:rPr>
            </w:pPr>
            <w:r w:rsidRPr="00D014C7">
              <w:rPr>
                <w:i/>
              </w:rPr>
              <w:t>2</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F0B6E2" w14:textId="77777777" w:rsidR="00FD1848" w:rsidRPr="00D014C7" w:rsidRDefault="00FD1848">
            <w:pPr>
              <w:spacing w:after="120"/>
              <w:jc w:val="center"/>
              <w:rPr>
                <w:i/>
              </w:rPr>
            </w:pPr>
            <w:r w:rsidRPr="00D014C7">
              <w:rPr>
                <w:i/>
              </w:rPr>
              <w:t>3</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EA4BFC2" w14:textId="77777777" w:rsidR="00FD1848" w:rsidRPr="00D014C7" w:rsidRDefault="00FD1848">
            <w:pPr>
              <w:spacing w:after="120"/>
              <w:jc w:val="center"/>
              <w:rPr>
                <w:i/>
              </w:rPr>
            </w:pPr>
            <w:r w:rsidRPr="00D014C7">
              <w:rPr>
                <w:i/>
              </w:rPr>
              <w:t>6</w:t>
            </w:r>
          </w:p>
        </w:tc>
      </w:tr>
    </w:tbl>
    <w:p w14:paraId="17F5B508" w14:textId="77777777" w:rsidR="00FD1848" w:rsidRPr="00D014C7" w:rsidRDefault="00FD1848" w:rsidP="00682B09">
      <w:pPr>
        <w:autoSpaceDE/>
        <w:autoSpaceDN/>
        <w:adjustRightInd/>
        <w:ind w:firstLine="708"/>
        <w:jc w:val="both"/>
        <w:rPr>
          <w:sz w:val="24"/>
          <w:szCs w:val="24"/>
        </w:rPr>
      </w:pPr>
      <w:r w:rsidRPr="00D014C7">
        <w:rPr>
          <w:sz w:val="24"/>
          <w:szCs w:val="24"/>
        </w:rPr>
        <w:t>При оценяването се взема предвид средна стойност от резултатите на отделните оценители.</w:t>
      </w:r>
    </w:p>
    <w:p w14:paraId="482EBE03" w14:textId="16FA083F" w:rsidR="00FD1848" w:rsidRPr="00D014C7" w:rsidRDefault="00FD1848" w:rsidP="00682B09">
      <w:pPr>
        <w:tabs>
          <w:tab w:val="left" w:pos="1080"/>
          <w:tab w:val="left" w:pos="1800"/>
        </w:tabs>
        <w:suppressAutoHyphens/>
        <w:autoSpaceDE/>
        <w:autoSpaceDN/>
        <w:adjustRightInd/>
        <w:ind w:firstLine="709"/>
        <w:jc w:val="both"/>
        <w:rPr>
          <w:sz w:val="24"/>
          <w:szCs w:val="24"/>
        </w:rPr>
      </w:pPr>
      <w:r w:rsidRPr="00D014C7">
        <w:rPr>
          <w:sz w:val="24"/>
          <w:szCs w:val="24"/>
        </w:rPr>
        <w:t xml:space="preserve">Стойностите на „въздействие” и „вероятност” за всички рискове се умножават и се получава </w:t>
      </w:r>
      <w:r w:rsidRPr="00B01BA1">
        <w:rPr>
          <w:b/>
          <w:sz w:val="24"/>
          <w:szCs w:val="24"/>
        </w:rPr>
        <w:t>интензитетът на риска</w:t>
      </w:r>
      <w:r w:rsidRPr="00D014C7">
        <w:rPr>
          <w:sz w:val="24"/>
          <w:szCs w:val="24"/>
        </w:rPr>
        <w:t xml:space="preserve">. </w:t>
      </w:r>
    </w:p>
    <w:p w14:paraId="443C4538" w14:textId="111B1236" w:rsidR="00FD1848" w:rsidRPr="00D014C7" w:rsidRDefault="00FD1848" w:rsidP="00682B09">
      <w:pPr>
        <w:suppressAutoHyphens/>
        <w:ind w:firstLine="709"/>
        <w:jc w:val="both"/>
        <w:rPr>
          <w:sz w:val="24"/>
          <w:szCs w:val="24"/>
        </w:rPr>
      </w:pPr>
      <w:r w:rsidRPr="00D014C7">
        <w:rPr>
          <w:sz w:val="24"/>
          <w:szCs w:val="24"/>
        </w:rPr>
        <w:t>Като част от анализа Работната група обсъжда основните методи и мерки за третиране на рискове. Изборът на метод или комбинация от методи за ограничаване на риска е свързан с естеството на съответния риск. Трябва да се има предвид, че не всички рискове могат да бъдат предотвратени. Някои от методите (например приемането на риска) по същността си не предполагат активни действия, а само предвиждане на корективни мерки. Възможни са различни методи за третиране на риска:</w:t>
      </w:r>
    </w:p>
    <w:p w14:paraId="57383DCC" w14:textId="77777777" w:rsidR="00FD1848" w:rsidRPr="00D014C7" w:rsidRDefault="00FD1848" w:rsidP="00B17FB7">
      <w:pPr>
        <w:spacing w:after="120"/>
        <w:ind w:left="2040" w:hanging="2040"/>
        <w:jc w:val="both"/>
        <w:rPr>
          <w:sz w:val="24"/>
          <w:szCs w:val="24"/>
        </w:rPr>
      </w:pPr>
      <w:r w:rsidRPr="00D014C7">
        <w:rPr>
          <w:sz w:val="24"/>
          <w:szCs w:val="24"/>
        </w:rPr>
        <w:t>Избягване</w:t>
      </w:r>
      <w:r w:rsidRPr="00D014C7">
        <w:rPr>
          <w:sz w:val="24"/>
          <w:szCs w:val="24"/>
        </w:rPr>
        <w:tab/>
        <w:t>Реорганизиране на процеса или дейността по начин, който да позволи рискът да бъде избегнат като цяло</w:t>
      </w:r>
    </w:p>
    <w:p w14:paraId="23A7ADC0" w14:textId="77777777" w:rsidR="00FD1848" w:rsidRPr="00D014C7" w:rsidRDefault="00FD1848" w:rsidP="00B17FB7">
      <w:pPr>
        <w:spacing w:after="120"/>
        <w:ind w:left="2040" w:hanging="2040"/>
        <w:jc w:val="both"/>
        <w:rPr>
          <w:sz w:val="24"/>
          <w:szCs w:val="24"/>
        </w:rPr>
      </w:pPr>
      <w:r w:rsidRPr="00D014C7">
        <w:rPr>
          <w:sz w:val="24"/>
          <w:szCs w:val="24"/>
        </w:rPr>
        <w:t xml:space="preserve">Намаляване </w:t>
      </w:r>
      <w:r w:rsidRPr="00D014C7">
        <w:rPr>
          <w:sz w:val="24"/>
          <w:szCs w:val="24"/>
        </w:rPr>
        <w:tab/>
        <w:t xml:space="preserve">Намалява се вероятността от възникване и/или въздействието на риска </w:t>
      </w:r>
    </w:p>
    <w:p w14:paraId="72C17524" w14:textId="77777777" w:rsidR="00FD1848" w:rsidRPr="00D014C7" w:rsidRDefault="00FD1848" w:rsidP="00B17FB7">
      <w:pPr>
        <w:spacing w:after="120"/>
        <w:ind w:left="2040" w:hanging="2040"/>
        <w:jc w:val="both"/>
        <w:rPr>
          <w:sz w:val="24"/>
          <w:szCs w:val="24"/>
        </w:rPr>
      </w:pPr>
      <w:r w:rsidRPr="00D014C7">
        <w:rPr>
          <w:sz w:val="24"/>
          <w:szCs w:val="24"/>
        </w:rPr>
        <w:t>Контролиране</w:t>
      </w:r>
      <w:r w:rsidRPr="00D014C7">
        <w:rPr>
          <w:sz w:val="24"/>
          <w:szCs w:val="24"/>
        </w:rPr>
        <w:tab/>
        <w:t xml:space="preserve">Разработване и прилагане на контролни механизми, които да предотвратят, разкрият или коригират рисковите събития и техните последствия </w:t>
      </w:r>
    </w:p>
    <w:p w14:paraId="02B7D07B" w14:textId="77777777" w:rsidR="00FD1848" w:rsidRPr="00D014C7" w:rsidRDefault="00FD1848" w:rsidP="00B17FB7">
      <w:pPr>
        <w:spacing w:after="120"/>
        <w:ind w:left="2040" w:hanging="2040"/>
        <w:jc w:val="both"/>
        <w:rPr>
          <w:sz w:val="24"/>
          <w:szCs w:val="24"/>
        </w:rPr>
      </w:pPr>
      <w:r w:rsidRPr="00D014C7">
        <w:rPr>
          <w:sz w:val="24"/>
          <w:szCs w:val="24"/>
        </w:rPr>
        <w:t>Споделяне</w:t>
      </w:r>
      <w:r w:rsidRPr="00D014C7">
        <w:rPr>
          <w:sz w:val="24"/>
          <w:szCs w:val="24"/>
        </w:rPr>
        <w:tab/>
        <w:t xml:space="preserve">Споделяне на риска между партньори или между страните по договорите, заинтересовани страни по Оперативната програма и т.н. </w:t>
      </w:r>
    </w:p>
    <w:p w14:paraId="60C5AF76" w14:textId="77777777" w:rsidR="00FD1848" w:rsidRPr="00D014C7" w:rsidRDefault="00FD1848" w:rsidP="00B17FB7">
      <w:pPr>
        <w:spacing w:after="120"/>
        <w:ind w:left="2040" w:hanging="2040"/>
        <w:jc w:val="both"/>
        <w:rPr>
          <w:i/>
          <w:sz w:val="24"/>
          <w:szCs w:val="24"/>
        </w:rPr>
      </w:pPr>
      <w:r w:rsidRPr="00D014C7">
        <w:rPr>
          <w:sz w:val="24"/>
          <w:szCs w:val="24"/>
        </w:rPr>
        <w:t>Трансфериране</w:t>
      </w:r>
      <w:r w:rsidRPr="00D014C7">
        <w:rPr>
          <w:sz w:val="24"/>
          <w:szCs w:val="24"/>
        </w:rPr>
        <w:tab/>
        <w:t xml:space="preserve">Изнасяне на идентифицирания риск към външна организация </w:t>
      </w:r>
    </w:p>
    <w:p w14:paraId="1AE9253A" w14:textId="77777777" w:rsidR="00FD1848" w:rsidRPr="00D014C7" w:rsidRDefault="00FD1848" w:rsidP="00B17FB7">
      <w:pPr>
        <w:suppressAutoHyphens/>
        <w:spacing w:after="120"/>
        <w:ind w:left="2040" w:hanging="2040"/>
        <w:jc w:val="both"/>
        <w:rPr>
          <w:sz w:val="24"/>
          <w:szCs w:val="24"/>
        </w:rPr>
      </w:pPr>
      <w:r w:rsidRPr="00D014C7">
        <w:rPr>
          <w:sz w:val="24"/>
          <w:szCs w:val="24"/>
        </w:rPr>
        <w:t>Приемане</w:t>
      </w:r>
      <w:r w:rsidRPr="00D014C7">
        <w:rPr>
          <w:sz w:val="24"/>
          <w:szCs w:val="24"/>
        </w:rPr>
        <w:tab/>
        <w:t xml:space="preserve">Когато няма какво да се предприеме в отговор на риска или неговото ограничаване е свързано с повече ресурси, отколкото ще струват неговите последствия, той следва да се приеме, като се предвидят все пак корективни мерки в случай на възникване. </w:t>
      </w:r>
    </w:p>
    <w:p w14:paraId="7D45E700" w14:textId="77777777" w:rsidR="00FD1848" w:rsidRPr="00D014C7" w:rsidRDefault="00FD1848" w:rsidP="00B17FB7">
      <w:pPr>
        <w:spacing w:after="120"/>
        <w:ind w:firstLine="708"/>
        <w:jc w:val="both"/>
        <w:rPr>
          <w:sz w:val="24"/>
          <w:szCs w:val="24"/>
        </w:rPr>
      </w:pPr>
      <w:r w:rsidRPr="00D014C7">
        <w:rPr>
          <w:sz w:val="24"/>
          <w:szCs w:val="24"/>
        </w:rPr>
        <w:t>Изборът на най-подходящ метод включва балансиране на необходимите разходи за управление на риска с ефективността, т.е. те да са пропорционални. В много случаи използването само на един метод не е достатъчно за ограничаване на конкретен риск. Често е необходимо да се използва комбинация от методи, които да ограничат риска.</w:t>
      </w:r>
    </w:p>
    <w:p w14:paraId="7DBBEF65" w14:textId="77777777" w:rsidR="00FD1848" w:rsidRPr="00D014C7" w:rsidRDefault="00FD1848">
      <w:pPr>
        <w:spacing w:after="120"/>
        <w:ind w:firstLine="708"/>
        <w:jc w:val="both"/>
        <w:rPr>
          <w:i/>
          <w:sz w:val="24"/>
          <w:szCs w:val="24"/>
        </w:rPr>
      </w:pPr>
      <w:r w:rsidRPr="00D014C7">
        <w:rPr>
          <w:sz w:val="24"/>
          <w:szCs w:val="24"/>
        </w:rPr>
        <w:t>Избраните методи следва да се изпълнят съгласно плана за третиране на конкретния риск. Според методите се определят и конкретни мерки. Примерни мерки могат да бъдат: А</w:t>
      </w:r>
      <w:r w:rsidRPr="00D014C7">
        <w:rPr>
          <w:i/>
          <w:sz w:val="24"/>
          <w:szCs w:val="24"/>
        </w:rPr>
        <w:t>ктуализиране на ръководства и наръчници, Извършване на корекции на подадени проектни предложения</w:t>
      </w:r>
      <w:r w:rsidRPr="00B01BA1">
        <w:rPr>
          <w:i/>
          <w:sz w:val="24"/>
          <w:szCs w:val="24"/>
        </w:rPr>
        <w:t>, В</w:t>
      </w:r>
      <w:r w:rsidRPr="00D014C7">
        <w:rPr>
          <w:i/>
          <w:sz w:val="24"/>
          <w:szCs w:val="24"/>
        </w:rPr>
        <w:t>ъзлагането на определени дейности, заедно със свързаните с тях отговорности, на външна организация, Провеждане на проверки на място и др.</w:t>
      </w:r>
    </w:p>
    <w:p w14:paraId="7F1A095E" w14:textId="643A7EB1" w:rsidR="001906C4" w:rsidRPr="0093604B" w:rsidRDefault="001906C4" w:rsidP="001906C4">
      <w:pPr>
        <w:widowControl/>
        <w:ind w:firstLine="708"/>
        <w:jc w:val="both"/>
        <w:rPr>
          <w:rFonts w:ascii="TimesNewRoman,Bold" w:hAnsi="TimesNewRoman,Bold" w:cs="TimesNewRoman,Bold"/>
          <w:bCs/>
          <w:sz w:val="24"/>
          <w:szCs w:val="24"/>
        </w:rPr>
      </w:pPr>
      <w:r w:rsidRPr="0093604B">
        <w:rPr>
          <w:sz w:val="24"/>
          <w:szCs w:val="24"/>
        </w:rPr>
        <w:t>При определяне на мерките за третиране на рисковете</w:t>
      </w:r>
      <w:r w:rsidR="00A63258">
        <w:rPr>
          <w:sz w:val="24"/>
          <w:szCs w:val="24"/>
        </w:rPr>
        <w:t xml:space="preserve"> от Приложение 1 към </w:t>
      </w:r>
      <w:r w:rsidR="00A63258" w:rsidRPr="00B01BA1">
        <w:rPr>
          <w:i/>
          <w:sz w:val="24"/>
          <w:szCs w:val="24"/>
        </w:rPr>
        <w:t>Насоките на ЕК</w:t>
      </w:r>
      <w:r w:rsidRPr="0093604B">
        <w:rPr>
          <w:sz w:val="24"/>
          <w:szCs w:val="24"/>
        </w:rPr>
        <w:t xml:space="preserve"> Работната група следва да вземе предвид </w:t>
      </w:r>
      <w:r w:rsidRPr="0093604B">
        <w:rPr>
          <w:rFonts w:ascii="TimesNewRoman" w:hAnsi="TimesNewRoman" w:cs="TimesNewRoman"/>
          <w:sz w:val="24"/>
          <w:szCs w:val="24"/>
        </w:rPr>
        <w:t xml:space="preserve">списъка на </w:t>
      </w:r>
      <w:r w:rsidRPr="00B01BA1">
        <w:rPr>
          <w:rFonts w:ascii="TimesNewRoman" w:hAnsi="TimesNewRoman" w:cs="TimesNewRoman"/>
          <w:b/>
          <w:sz w:val="24"/>
          <w:szCs w:val="24"/>
        </w:rPr>
        <w:t>препоръчителните</w:t>
      </w:r>
      <w:r w:rsidR="00A63258">
        <w:rPr>
          <w:rFonts w:ascii="TimesNewRoman" w:hAnsi="TimesNewRoman" w:cs="TimesNewRoman"/>
          <w:b/>
          <w:sz w:val="24"/>
          <w:szCs w:val="24"/>
        </w:rPr>
        <w:t>, но не задължителни ограничителни контролни</w:t>
      </w:r>
      <w:r w:rsidRPr="00B01BA1">
        <w:rPr>
          <w:rFonts w:ascii="TimesNewRoman" w:hAnsi="TimesNewRoman" w:cs="TimesNewRoman"/>
          <w:b/>
          <w:sz w:val="24"/>
          <w:szCs w:val="24"/>
        </w:rPr>
        <w:t xml:space="preserve"> мерки</w:t>
      </w:r>
      <w:r w:rsidRPr="00C61FBE">
        <w:rPr>
          <w:rFonts w:ascii="TimesNewRoman" w:hAnsi="TimesNewRoman" w:cs="TimesNewRoman"/>
          <w:sz w:val="24"/>
          <w:szCs w:val="24"/>
        </w:rPr>
        <w:t>, предвидени в П</w:t>
      </w:r>
      <w:r w:rsidRPr="0093604B">
        <w:rPr>
          <w:rFonts w:ascii="TimesNewRoman,Bold" w:hAnsi="TimesNewRoman,Bold" w:cs="TimesNewRoman,Bold"/>
          <w:bCs/>
          <w:sz w:val="24"/>
          <w:szCs w:val="24"/>
        </w:rPr>
        <w:t xml:space="preserve">риложение 2 към </w:t>
      </w:r>
      <w:r w:rsidRPr="00B01BA1">
        <w:rPr>
          <w:i/>
          <w:sz w:val="24"/>
          <w:szCs w:val="24"/>
        </w:rPr>
        <w:t>Насоките на ЕК</w:t>
      </w:r>
      <w:r w:rsidR="00A63258" w:rsidRPr="00B01BA1">
        <w:rPr>
          <w:sz w:val="24"/>
          <w:szCs w:val="24"/>
        </w:rPr>
        <w:t xml:space="preserve">. </w:t>
      </w:r>
      <w:r w:rsidR="002E2DF1" w:rsidRPr="00B01BA1">
        <w:rPr>
          <w:sz w:val="24"/>
          <w:szCs w:val="24"/>
        </w:rPr>
        <w:t>Примерните</w:t>
      </w:r>
      <w:r w:rsidR="002E2DF1">
        <w:rPr>
          <w:sz w:val="24"/>
          <w:szCs w:val="24"/>
        </w:rPr>
        <w:t xml:space="preserve"> мерки от инструмента могат да бъдат премахнати от оценителите, ако такива не са налице, и могат да бъдат добавени редове, ако са въведени други допълнителни контролни мерки за противодействие на установения риск.</w:t>
      </w:r>
      <w:r w:rsidR="002E2DF1" w:rsidRPr="00B01BA1">
        <w:rPr>
          <w:sz w:val="24"/>
          <w:szCs w:val="24"/>
        </w:rPr>
        <w:t xml:space="preserve"> </w:t>
      </w:r>
      <w:r w:rsidR="002E2DF1">
        <w:rPr>
          <w:sz w:val="24"/>
          <w:szCs w:val="24"/>
        </w:rPr>
        <w:t>Въведените контролни дейности и процедури минимизират съответните брутни рискове и са организирани по начин, който дава разумна увереност, че целите на ОПДУ ще бъдат постигнати ефикасно и икономично. На практика РГ оценява нетния (остатъчен) риск или този идентифициран риск, чието въздействие или вероятност са вече ограничени със съществуващите контролни дейности. Колкото по-неадекватни и неефективни са контролите, толкова по-висок е остатъчният/нетен риск. След получаване на нетния риск</w:t>
      </w:r>
      <w:r w:rsidR="00A63258" w:rsidRPr="002E2DF1">
        <w:rPr>
          <w:rFonts w:ascii="TimesNewRoman,Bold" w:hAnsi="TimesNewRoman,Bold" w:cs="TimesNewRoman,Bold"/>
          <w:bCs/>
          <w:sz w:val="24"/>
          <w:szCs w:val="24"/>
        </w:rPr>
        <w:t>,</w:t>
      </w:r>
      <w:r w:rsidR="00A63258">
        <w:rPr>
          <w:rFonts w:ascii="TimesNewRoman,Bold" w:hAnsi="TimesNewRoman,Bold" w:cs="TimesNewRoman,Bold"/>
          <w:bCs/>
          <w:sz w:val="24"/>
          <w:szCs w:val="24"/>
        </w:rPr>
        <w:t xml:space="preserve"> </w:t>
      </w:r>
      <w:r w:rsidR="002E2DF1">
        <w:rPr>
          <w:rFonts w:ascii="TimesNewRoman,Bold" w:hAnsi="TimesNewRoman,Bold" w:cs="TimesNewRoman,Bold"/>
          <w:bCs/>
          <w:sz w:val="24"/>
          <w:szCs w:val="24"/>
        </w:rPr>
        <w:t xml:space="preserve">РГ преценява кои от рисковете следва да включи </w:t>
      </w:r>
      <w:r w:rsidRPr="0093604B">
        <w:rPr>
          <w:rFonts w:ascii="TimesNewRoman,Bold" w:hAnsi="TimesNewRoman,Bold" w:cs="TimesNewRoman,Bold"/>
          <w:bCs/>
          <w:sz w:val="24"/>
          <w:szCs w:val="24"/>
        </w:rPr>
        <w:t xml:space="preserve">в Плана </w:t>
      </w:r>
      <w:r>
        <w:rPr>
          <w:rFonts w:ascii="TimesNewRoman,Bold" w:hAnsi="TimesNewRoman,Bold" w:cs="TimesNewRoman,Bold"/>
          <w:bCs/>
          <w:sz w:val="24"/>
          <w:szCs w:val="24"/>
        </w:rPr>
        <w:t xml:space="preserve">за </w:t>
      </w:r>
      <w:r w:rsidR="002E2DF1">
        <w:rPr>
          <w:rFonts w:ascii="TimesNewRoman,Bold" w:hAnsi="TimesNewRoman,Bold" w:cs="TimesNewRoman,Bold"/>
          <w:bCs/>
          <w:sz w:val="24"/>
          <w:szCs w:val="24"/>
        </w:rPr>
        <w:t>действие/</w:t>
      </w:r>
      <w:r>
        <w:rPr>
          <w:rFonts w:ascii="TimesNewRoman,Bold" w:hAnsi="TimesNewRoman,Bold" w:cs="TimesNewRoman,Bold"/>
          <w:bCs/>
          <w:sz w:val="24"/>
          <w:szCs w:val="24"/>
        </w:rPr>
        <w:t>управление на риска.</w:t>
      </w:r>
    </w:p>
    <w:p w14:paraId="2DDBF466" w14:textId="5696535E" w:rsidR="00FD1848" w:rsidRPr="00D014C7" w:rsidRDefault="00FD1848">
      <w:pPr>
        <w:suppressAutoHyphens/>
        <w:spacing w:after="120"/>
        <w:ind w:firstLine="709"/>
        <w:jc w:val="both"/>
        <w:rPr>
          <w:sz w:val="24"/>
          <w:szCs w:val="24"/>
        </w:rPr>
      </w:pPr>
      <w:r w:rsidRPr="00D014C7">
        <w:rPr>
          <w:sz w:val="24"/>
          <w:szCs w:val="24"/>
        </w:rPr>
        <w:t>Когато има избран външен изпълнител, неговият екип от експерт</w:t>
      </w:r>
      <w:r w:rsidR="00502CCA">
        <w:rPr>
          <w:sz w:val="24"/>
          <w:szCs w:val="24"/>
        </w:rPr>
        <w:t>и</w:t>
      </w:r>
      <w:r w:rsidRPr="00D014C7">
        <w:rPr>
          <w:sz w:val="24"/>
          <w:szCs w:val="24"/>
        </w:rPr>
        <w:t xml:space="preserve"> извършва анализ</w:t>
      </w:r>
      <w:r>
        <w:rPr>
          <w:sz w:val="24"/>
          <w:szCs w:val="24"/>
        </w:rPr>
        <w:t>а</w:t>
      </w:r>
      <w:r w:rsidRPr="00D014C7">
        <w:rPr>
          <w:sz w:val="24"/>
          <w:szCs w:val="24"/>
        </w:rPr>
        <w:t xml:space="preserve"> на риска </w:t>
      </w:r>
      <w:r w:rsidR="00D412B3">
        <w:rPr>
          <w:sz w:val="24"/>
          <w:szCs w:val="24"/>
        </w:rPr>
        <w:t>(с изключение на рисковете</w:t>
      </w:r>
      <w:r w:rsidR="00820D1E">
        <w:rPr>
          <w:sz w:val="24"/>
          <w:szCs w:val="24"/>
        </w:rPr>
        <w:t xml:space="preserve"> от измами) </w:t>
      </w:r>
      <w:r w:rsidRPr="00D014C7">
        <w:rPr>
          <w:sz w:val="24"/>
          <w:szCs w:val="24"/>
        </w:rPr>
        <w:t>според описаната по</w:t>
      </w:r>
      <w:r w:rsidR="00820D1E">
        <w:rPr>
          <w:sz w:val="24"/>
          <w:szCs w:val="24"/>
        </w:rPr>
        <w:t>-</w:t>
      </w:r>
      <w:r w:rsidRPr="00D014C7">
        <w:rPr>
          <w:sz w:val="24"/>
          <w:szCs w:val="24"/>
        </w:rPr>
        <w:t>горе методология и предоставя резултатите на Работната група. В такъв случай изпълнителят предлага методи и мерки за третиране на риска</w:t>
      </w:r>
      <w:r w:rsidR="00820D1E">
        <w:rPr>
          <w:sz w:val="24"/>
          <w:szCs w:val="24"/>
        </w:rPr>
        <w:t>.</w:t>
      </w:r>
    </w:p>
    <w:p w14:paraId="6A3BA686"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4. Оценка на риска</w:t>
      </w:r>
    </w:p>
    <w:p w14:paraId="0D7048BC" w14:textId="77777777" w:rsidR="00FD1848" w:rsidRPr="00D014C7" w:rsidRDefault="00FD1848" w:rsidP="00AF1F11">
      <w:pPr>
        <w:jc w:val="both"/>
        <w:rPr>
          <w:sz w:val="24"/>
          <w:szCs w:val="24"/>
        </w:rPr>
      </w:pPr>
      <w:r w:rsidRPr="00D014C7">
        <w:rPr>
          <w:b/>
          <w:sz w:val="24"/>
          <w:szCs w:val="24"/>
        </w:rPr>
        <w:tab/>
      </w:r>
      <w:r w:rsidRPr="00D014C7">
        <w:rPr>
          <w:sz w:val="24"/>
          <w:szCs w:val="24"/>
        </w:rPr>
        <w:t>В четвъртия етап от работата на годишната среща на Работната група по оценка на риска се извършва следното:</w:t>
      </w:r>
    </w:p>
    <w:p w14:paraId="27A316E9" w14:textId="704018E6"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Определяне на ниво на толериране на риска, основано на рискови приоритети</w:t>
      </w:r>
      <w:r w:rsidR="007E7A28">
        <w:rPr>
          <w:sz w:val="24"/>
          <w:szCs w:val="24"/>
        </w:rPr>
        <w:t>;</w:t>
      </w:r>
      <w:r w:rsidRPr="00D014C7">
        <w:rPr>
          <w:sz w:val="24"/>
          <w:szCs w:val="24"/>
        </w:rPr>
        <w:t xml:space="preserve">  </w:t>
      </w:r>
    </w:p>
    <w:p w14:paraId="36B2AE7B" w14:textId="52F7D803"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Анализ на третирания риск – оценка на остатъчно въздействие и вероятност</w:t>
      </w:r>
      <w:r w:rsidR="007E7A28">
        <w:rPr>
          <w:sz w:val="24"/>
          <w:szCs w:val="24"/>
        </w:rPr>
        <w:t>;</w:t>
      </w:r>
    </w:p>
    <w:p w14:paraId="7FDC633F" w14:textId="60092E5D"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Изготвяне на План за управление на риска</w:t>
      </w:r>
      <w:r w:rsidR="007E7A28">
        <w:rPr>
          <w:sz w:val="24"/>
          <w:szCs w:val="24"/>
        </w:rPr>
        <w:t>;</w:t>
      </w:r>
      <w:r w:rsidRPr="00D014C7">
        <w:rPr>
          <w:sz w:val="24"/>
          <w:szCs w:val="24"/>
        </w:rPr>
        <w:t xml:space="preserve"> </w:t>
      </w:r>
    </w:p>
    <w:p w14:paraId="5A43FA3F" w14:textId="5B44913B" w:rsidR="007E7A28" w:rsidRDefault="00FD1848" w:rsidP="007E7A28">
      <w:pPr>
        <w:numPr>
          <w:ilvl w:val="0"/>
          <w:numId w:val="40"/>
        </w:numPr>
        <w:autoSpaceDE/>
        <w:autoSpaceDN/>
        <w:adjustRightInd/>
        <w:spacing w:after="120"/>
        <w:jc w:val="both"/>
        <w:rPr>
          <w:sz w:val="24"/>
          <w:szCs w:val="24"/>
        </w:rPr>
      </w:pPr>
      <w:r w:rsidRPr="00D014C7">
        <w:rPr>
          <w:sz w:val="24"/>
          <w:szCs w:val="24"/>
        </w:rPr>
        <w:t>Определяне на отговорни отдели/</w:t>
      </w:r>
      <w:r w:rsidR="00CA5163">
        <w:rPr>
          <w:sz w:val="24"/>
          <w:szCs w:val="24"/>
        </w:rPr>
        <w:t>служители</w:t>
      </w:r>
      <w:r w:rsidR="00CA5163" w:rsidRPr="00D014C7">
        <w:rPr>
          <w:sz w:val="24"/>
          <w:szCs w:val="24"/>
        </w:rPr>
        <w:t xml:space="preserve"> </w:t>
      </w:r>
      <w:r w:rsidRPr="00D014C7">
        <w:rPr>
          <w:sz w:val="24"/>
          <w:szCs w:val="24"/>
        </w:rPr>
        <w:t>за прилагането на План</w:t>
      </w:r>
      <w:r w:rsidR="00820D1E">
        <w:rPr>
          <w:sz w:val="24"/>
          <w:szCs w:val="24"/>
        </w:rPr>
        <w:t>а</w:t>
      </w:r>
      <w:r w:rsidRPr="00D014C7">
        <w:rPr>
          <w:sz w:val="24"/>
          <w:szCs w:val="24"/>
        </w:rPr>
        <w:t xml:space="preserve"> за управление на риска</w:t>
      </w:r>
      <w:r w:rsidR="007E7A28">
        <w:rPr>
          <w:sz w:val="24"/>
          <w:szCs w:val="24"/>
        </w:rPr>
        <w:t>;</w:t>
      </w:r>
      <w:r w:rsidR="007E7A28" w:rsidRPr="007E7A28">
        <w:rPr>
          <w:sz w:val="24"/>
          <w:szCs w:val="24"/>
        </w:rPr>
        <w:t xml:space="preserve"> </w:t>
      </w:r>
    </w:p>
    <w:p w14:paraId="44D85B6D" w14:textId="238E1D7E" w:rsidR="00FD1848" w:rsidRPr="00D014C7" w:rsidRDefault="007E7A28" w:rsidP="007E7A28">
      <w:pPr>
        <w:numPr>
          <w:ilvl w:val="0"/>
          <w:numId w:val="40"/>
        </w:numPr>
        <w:autoSpaceDE/>
        <w:autoSpaceDN/>
        <w:adjustRightInd/>
        <w:spacing w:after="120"/>
        <w:jc w:val="both"/>
        <w:rPr>
          <w:sz w:val="24"/>
          <w:szCs w:val="24"/>
        </w:rPr>
      </w:pPr>
      <w:r>
        <w:rPr>
          <w:sz w:val="24"/>
          <w:szCs w:val="24"/>
        </w:rPr>
        <w:t xml:space="preserve">Изготвяне </w:t>
      </w:r>
      <w:r w:rsidR="00B80925">
        <w:rPr>
          <w:sz w:val="24"/>
          <w:szCs w:val="24"/>
        </w:rPr>
        <w:t xml:space="preserve">(ако е необходимо) </w:t>
      </w:r>
      <w:r>
        <w:rPr>
          <w:sz w:val="24"/>
          <w:szCs w:val="24"/>
        </w:rPr>
        <w:t>на Планове за ограничаване на всеки от рисковете.</w:t>
      </w:r>
    </w:p>
    <w:p w14:paraId="3B384209" w14:textId="35B80C0D" w:rsidR="00FD1848" w:rsidRPr="00D014C7" w:rsidRDefault="00FD1848">
      <w:pPr>
        <w:suppressAutoHyphens/>
        <w:spacing w:after="120"/>
        <w:ind w:firstLine="708"/>
        <w:jc w:val="both"/>
        <w:rPr>
          <w:sz w:val="24"/>
          <w:szCs w:val="24"/>
        </w:rPr>
      </w:pPr>
      <w:r w:rsidRPr="00D014C7">
        <w:rPr>
          <w:sz w:val="24"/>
          <w:szCs w:val="24"/>
        </w:rPr>
        <w:t xml:space="preserve">Резултатите от анализа на риска </w:t>
      </w:r>
      <w:r w:rsidR="007A248D">
        <w:rPr>
          <w:sz w:val="24"/>
          <w:szCs w:val="24"/>
        </w:rPr>
        <w:t xml:space="preserve">вкл. и на този от измами </w:t>
      </w:r>
      <w:r w:rsidRPr="00D014C7">
        <w:rPr>
          <w:sz w:val="24"/>
          <w:szCs w:val="24"/>
        </w:rPr>
        <w:t xml:space="preserve">се предоставят </w:t>
      </w:r>
      <w:r w:rsidR="007A248D">
        <w:rPr>
          <w:sz w:val="24"/>
          <w:szCs w:val="24"/>
        </w:rPr>
        <w:t xml:space="preserve">от секретаря </w:t>
      </w:r>
      <w:r w:rsidRPr="00D014C7">
        <w:rPr>
          <w:sz w:val="24"/>
          <w:szCs w:val="24"/>
        </w:rPr>
        <w:t xml:space="preserve">на членовете на </w:t>
      </w:r>
      <w:r w:rsidR="007A248D">
        <w:rPr>
          <w:sz w:val="24"/>
          <w:szCs w:val="24"/>
        </w:rPr>
        <w:t>РГ</w:t>
      </w:r>
      <w:r w:rsidRPr="00D014C7">
        <w:rPr>
          <w:sz w:val="24"/>
          <w:szCs w:val="24"/>
        </w:rPr>
        <w:t xml:space="preserve"> в табличен вид</w:t>
      </w:r>
      <w:r w:rsidR="00B76EEE">
        <w:rPr>
          <w:sz w:val="24"/>
          <w:szCs w:val="24"/>
        </w:rPr>
        <w:t xml:space="preserve"> </w:t>
      </w:r>
      <w:r w:rsidR="007A248D">
        <w:rPr>
          <w:sz w:val="24"/>
          <w:szCs w:val="24"/>
        </w:rPr>
        <w:t>(вкл. подредени в низходящ ред т.е. от най-висок към най-нисък брутен/нетен риск)</w:t>
      </w:r>
      <w:r w:rsidRPr="00D014C7">
        <w:rPr>
          <w:sz w:val="24"/>
          <w:szCs w:val="24"/>
        </w:rPr>
        <w:t xml:space="preserve"> и/или чрез графика, изготвена на базата на таблицата.</w:t>
      </w:r>
    </w:p>
    <w:p w14:paraId="784A1A26"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определяне нивото на риска:</w:t>
      </w:r>
    </w:p>
    <w:p w14:paraId="4DDA1D90" w14:textId="540B40F4" w:rsidR="00FD1848" w:rsidRPr="00D014C7" w:rsidRDefault="00AF1F11" w:rsidP="00A4645C">
      <w:pPr>
        <w:suppressAutoHyphens/>
        <w:spacing w:after="120"/>
        <w:jc w:val="both"/>
        <w:rPr>
          <w:sz w:val="24"/>
          <w:szCs w:val="24"/>
        </w:rPr>
      </w:pPr>
      <w:r>
        <w:rPr>
          <w:noProof/>
          <w:sz w:val="24"/>
          <w:szCs w:val="24"/>
        </w:rPr>
        <w:drawing>
          <wp:inline distT="0" distB="0" distL="0" distR="0" wp14:anchorId="0A48B60A" wp14:editId="4D9F2A17">
            <wp:extent cx="6141720" cy="2967355"/>
            <wp:effectExtent l="0" t="0" r="11430" b="4445"/>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ACFD98" w14:textId="70B31441" w:rsidR="00FD1848" w:rsidRPr="00D014C7" w:rsidRDefault="00FD1848" w:rsidP="00367400">
      <w:pPr>
        <w:suppressAutoHyphens/>
        <w:spacing w:after="120"/>
        <w:ind w:firstLine="708"/>
        <w:jc w:val="both"/>
        <w:rPr>
          <w:sz w:val="24"/>
          <w:szCs w:val="24"/>
        </w:rPr>
      </w:pPr>
      <w:r w:rsidRPr="00D014C7">
        <w:rPr>
          <w:sz w:val="24"/>
          <w:szCs w:val="24"/>
        </w:rPr>
        <w:t xml:space="preserve">Определянето на </w:t>
      </w:r>
      <w:r w:rsidRPr="00B01BA1">
        <w:rPr>
          <w:b/>
          <w:sz w:val="24"/>
          <w:szCs w:val="24"/>
        </w:rPr>
        <w:t>ниво на толериране на риска</w:t>
      </w:r>
      <w:r w:rsidRPr="00D014C7">
        <w:rPr>
          <w:sz w:val="24"/>
          <w:szCs w:val="24"/>
        </w:rPr>
        <w:t xml:space="preserve"> означава поставяне на разграничителна линия между рисковете, които изискват незабавно действие от страна на Управляващия орган, и рисковете, които могат да бъдат поставени под наблюдение. По принцип се взимат средни стойности (</w:t>
      </w:r>
      <w:r w:rsidR="00D412B3">
        <w:rPr>
          <w:sz w:val="24"/>
          <w:szCs w:val="24"/>
        </w:rPr>
        <w:t xml:space="preserve">оценка 3 на </w:t>
      </w:r>
      <w:r w:rsidR="00D412B3" w:rsidRPr="00D014C7">
        <w:rPr>
          <w:sz w:val="24"/>
          <w:szCs w:val="24"/>
        </w:rPr>
        <w:t>двата фактора</w:t>
      </w:r>
      <w:r w:rsidR="00D412B3">
        <w:rPr>
          <w:sz w:val="24"/>
          <w:szCs w:val="24"/>
        </w:rPr>
        <w:t xml:space="preserve"> (</w:t>
      </w:r>
      <w:r w:rsidR="00D412B3" w:rsidRPr="00D014C7">
        <w:rPr>
          <w:sz w:val="24"/>
          <w:szCs w:val="24"/>
        </w:rPr>
        <w:t>въздействие и вероятност</w:t>
      </w:r>
      <w:r w:rsidR="00D412B3">
        <w:rPr>
          <w:sz w:val="24"/>
          <w:szCs w:val="24"/>
        </w:rPr>
        <w:t>)</w:t>
      </w:r>
      <w:r w:rsidRPr="00D014C7">
        <w:rPr>
          <w:sz w:val="24"/>
          <w:szCs w:val="24"/>
        </w:rPr>
        <w:t xml:space="preserve">), като се допуска Работната група да го определи индивидуално към конкретните резултати от оценката. </w:t>
      </w:r>
      <w:r w:rsidR="00654651">
        <w:rPr>
          <w:sz w:val="24"/>
          <w:szCs w:val="24"/>
        </w:rPr>
        <w:t xml:space="preserve">Според определеното ниво на толериране на риска и извършения анализ, част от рисковете се поставят под наблюдение, а останалите се включват в </w:t>
      </w:r>
      <w:r w:rsidR="00654651" w:rsidRPr="00B01BA1">
        <w:rPr>
          <w:b/>
          <w:sz w:val="24"/>
          <w:szCs w:val="24"/>
        </w:rPr>
        <w:t>Плана за управление на риска</w:t>
      </w:r>
      <w:r w:rsidR="00654651">
        <w:rPr>
          <w:sz w:val="24"/>
          <w:szCs w:val="24"/>
        </w:rPr>
        <w:t xml:space="preserve"> и се определят конкретни мерки за третирането им. </w:t>
      </w:r>
      <w:r w:rsidR="00E076EC">
        <w:rPr>
          <w:sz w:val="24"/>
          <w:szCs w:val="24"/>
        </w:rPr>
        <w:t xml:space="preserve">Във връзка с </w:t>
      </w:r>
      <w:r w:rsidR="00574D7B">
        <w:rPr>
          <w:sz w:val="24"/>
          <w:szCs w:val="24"/>
        </w:rPr>
        <w:t xml:space="preserve">възприетата политика на нулева толерантност към измамите и корупцията съгласно Политиката за противодействие на измамите, корупцията и конфликта на интереси </w:t>
      </w:r>
      <w:r w:rsidR="00574D7B" w:rsidRPr="00233C2E">
        <w:rPr>
          <w:sz w:val="24"/>
          <w:szCs w:val="24"/>
        </w:rPr>
        <w:t>(</w:t>
      </w:r>
      <w:r w:rsidR="00574D7B" w:rsidRPr="00AF1F11">
        <w:rPr>
          <w:bCs/>
          <w:i/>
          <w:sz w:val="24"/>
          <w:szCs w:val="24"/>
        </w:rPr>
        <w:t xml:space="preserve">Приложение </w:t>
      </w:r>
      <w:r w:rsidR="00574D7B" w:rsidRPr="00AF1F11">
        <w:rPr>
          <w:bCs/>
          <w:i/>
          <w:sz w:val="24"/>
          <w:szCs w:val="24"/>
          <w:lang w:val="en-US"/>
        </w:rPr>
        <w:t>VI</w:t>
      </w:r>
      <w:r w:rsidR="00574D7B" w:rsidRPr="0005696D">
        <w:rPr>
          <w:bCs/>
          <w:i/>
          <w:sz w:val="24"/>
          <w:szCs w:val="24"/>
        </w:rPr>
        <w:t>-</w:t>
      </w:r>
      <w:r w:rsidR="00574D7B" w:rsidRPr="00AF1F11">
        <w:rPr>
          <w:bCs/>
          <w:i/>
          <w:sz w:val="24"/>
          <w:szCs w:val="24"/>
          <w:lang w:val="en-US"/>
        </w:rPr>
        <w:t>T</w:t>
      </w:r>
      <w:r w:rsidR="00574D7B" w:rsidRPr="0005696D">
        <w:rPr>
          <w:bCs/>
          <w:i/>
          <w:sz w:val="24"/>
          <w:szCs w:val="24"/>
        </w:rPr>
        <w:t>01-1</w:t>
      </w:r>
      <w:r w:rsidR="00574D7B" w:rsidRPr="00AF1F11">
        <w:rPr>
          <w:bCs/>
          <w:sz w:val="24"/>
          <w:szCs w:val="24"/>
        </w:rPr>
        <w:t xml:space="preserve"> към Наръчника)</w:t>
      </w:r>
      <w:r w:rsidR="00574D7B">
        <w:rPr>
          <w:bCs/>
          <w:sz w:val="22"/>
          <w:szCs w:val="22"/>
        </w:rPr>
        <w:t xml:space="preserve"> </w:t>
      </w:r>
      <w:r w:rsidR="001906C4">
        <w:rPr>
          <w:sz w:val="24"/>
          <w:szCs w:val="24"/>
        </w:rPr>
        <w:t xml:space="preserve">всички идентифицирани рискове от измами, независимо от определеното </w:t>
      </w:r>
      <w:r w:rsidR="00E076EC">
        <w:rPr>
          <w:sz w:val="24"/>
          <w:szCs w:val="24"/>
        </w:rPr>
        <w:t>ниво на толериране</w:t>
      </w:r>
      <w:r w:rsidR="001906C4">
        <w:rPr>
          <w:sz w:val="24"/>
          <w:szCs w:val="24"/>
        </w:rPr>
        <w:t xml:space="preserve"> на риска,</w:t>
      </w:r>
      <w:r w:rsidR="00E076EC">
        <w:rPr>
          <w:sz w:val="24"/>
          <w:szCs w:val="24"/>
        </w:rPr>
        <w:t xml:space="preserve"> задължително се включват в</w:t>
      </w:r>
      <w:r w:rsidR="00574D7B">
        <w:rPr>
          <w:sz w:val="24"/>
          <w:szCs w:val="24"/>
        </w:rPr>
        <w:t xml:space="preserve"> Плана за управление на риска.</w:t>
      </w:r>
      <w:r w:rsidR="00E076EC">
        <w:rPr>
          <w:sz w:val="24"/>
          <w:szCs w:val="24"/>
        </w:rPr>
        <w:t xml:space="preserve"> </w:t>
      </w:r>
    </w:p>
    <w:p w14:paraId="5E8999B7" w14:textId="77777777" w:rsidR="00FD1848" w:rsidRPr="00D014C7" w:rsidRDefault="00FD1848" w:rsidP="00367400">
      <w:pPr>
        <w:suppressAutoHyphens/>
        <w:spacing w:after="120"/>
        <w:ind w:firstLine="708"/>
        <w:jc w:val="both"/>
        <w:rPr>
          <w:sz w:val="24"/>
          <w:szCs w:val="24"/>
        </w:rPr>
      </w:pPr>
      <w:r w:rsidRPr="00D014C7">
        <w:rPr>
          <w:sz w:val="24"/>
          <w:szCs w:val="24"/>
        </w:rPr>
        <w:t>При определяне на нивото на толериране на риска се използва следната интерпретация на рисковите приоритети:</w:t>
      </w:r>
    </w:p>
    <w:p w14:paraId="5FDAF817" w14:textId="0823D9B7" w:rsidR="00FD1848" w:rsidRPr="00D014C7" w:rsidRDefault="00AF1F11" w:rsidP="0052102D">
      <w:pPr>
        <w:suppressAutoHyphens/>
        <w:spacing w:after="120"/>
        <w:ind w:firstLine="708"/>
        <w:jc w:val="both"/>
        <w:rPr>
          <w:sz w:val="24"/>
          <w:szCs w:val="24"/>
        </w:rPr>
      </w:pPr>
      <w:r>
        <w:rPr>
          <w:noProof/>
          <w:sz w:val="24"/>
          <w:szCs w:val="24"/>
        </w:rPr>
        <mc:AlternateContent>
          <mc:Choice Requires="wpc">
            <w:drawing>
              <wp:inline distT="0" distB="0" distL="0" distR="0" wp14:anchorId="1582B962" wp14:editId="15D2AC10">
                <wp:extent cx="4095750" cy="3103734"/>
                <wp:effectExtent l="0" t="0" r="19050" b="20955"/>
                <wp:docPr id="1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w="12700" cap="flat" cmpd="sng" algn="ctr">
                          <a:solidFill>
                            <a:srgbClr val="000000"/>
                          </a:solidFill>
                          <a:prstDash val="dash"/>
                          <a:miter lim="800000"/>
                          <a:headEnd type="none" w="med" len="med"/>
                          <a:tailEnd type="none" w="med" len="med"/>
                        </a:ln>
                      </wpc:whole>
                      <wps:wsp>
                        <wps:cNvPr id="1" name="Line 4"/>
                        <wps:cNvCnPr>
                          <a:cxnSpLocks noChangeShapeType="1"/>
                        </wps:cNvCnPr>
                        <wps:spPr bwMode="auto">
                          <a:xfrm flipV="1">
                            <a:off x="457148" y="131934"/>
                            <a:ext cx="0" cy="25146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57148" y="2646534"/>
                            <a:ext cx="331433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6"/>
                        <wps:cNvSpPr txBox="1">
                          <a:spLocks noChangeArrowheads="1"/>
                        </wps:cNvSpPr>
                        <wps:spPr bwMode="auto">
                          <a:xfrm>
                            <a:off x="0" y="246234"/>
                            <a:ext cx="303972" cy="240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wps:txbx>
                        <wps:bodyPr rot="0" vert="horz" wrap="square" lIns="91440" tIns="45720" rIns="91440" bIns="45720" anchor="ctr" anchorCtr="0" upright="1">
                          <a:noAutofit/>
                        </wps:bodyPr>
                      </wps:wsp>
                      <wps:wsp>
                        <wps:cNvPr id="9" name="Text Box 7"/>
                        <wps:cNvSpPr txBox="1">
                          <a:spLocks noChangeArrowheads="1"/>
                        </wps:cNvSpPr>
                        <wps:spPr bwMode="auto">
                          <a:xfrm>
                            <a:off x="457148" y="2760834"/>
                            <a:ext cx="308575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9C6F4" w14:textId="77777777" w:rsidR="00367C6F" w:rsidRPr="00507FFE" w:rsidRDefault="00367C6F" w:rsidP="004B59EF">
                              <w:pPr>
                                <w:jc w:val="center"/>
                                <w:rPr>
                                  <w:b/>
                                </w:rPr>
                              </w:pPr>
                              <w:r>
                                <w:rPr>
                                  <w:b/>
                                </w:rPr>
                                <w:t>ВЕРОЯТНОСТ</w:t>
                              </w:r>
                            </w:p>
                          </w:txbxContent>
                        </wps:txbx>
                        <wps:bodyPr rot="0" vert="horz" wrap="square" lIns="91440" tIns="45720" rIns="91440" bIns="45720" anchor="t" anchorCtr="0" upright="1">
                          <a:noAutofit/>
                        </wps:bodyPr>
                      </wps:wsp>
                      <wps:wsp>
                        <wps:cNvPr id="10" name="Oval 8"/>
                        <wps:cNvSpPr>
                          <a:spLocks noChangeArrowheads="1"/>
                        </wps:cNvSpPr>
                        <wps:spPr bwMode="auto">
                          <a:xfrm>
                            <a:off x="571436"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1" name="Text Box 9"/>
                        <wps:cNvSpPr txBox="1">
                          <a:spLocks noChangeArrowheads="1"/>
                        </wps:cNvSpPr>
                        <wps:spPr bwMode="auto">
                          <a:xfrm>
                            <a:off x="685723" y="703434"/>
                            <a:ext cx="1257160" cy="342900"/>
                          </a:xfrm>
                          <a:prstGeom prst="rect">
                            <a:avLst/>
                          </a:prstGeom>
                          <a:solidFill>
                            <a:srgbClr val="FFFF00"/>
                          </a:solidFill>
                          <a:ln w="9525">
                            <a:solidFill>
                              <a:srgbClr val="000000"/>
                            </a:solidFill>
                            <a:miter lim="800000"/>
                            <a:headEnd/>
                            <a:tailEnd/>
                          </a:ln>
                        </wps:spPr>
                        <wps:txbx>
                          <w:txbxContent>
                            <w:p w14:paraId="7BF6DF43" w14:textId="77777777" w:rsidR="00367C6F" w:rsidRPr="005C4EEF" w:rsidRDefault="00367C6F" w:rsidP="004B59EF">
                              <w:pPr>
                                <w:rPr>
                                  <w:b/>
                                </w:rPr>
                              </w:pPr>
                              <w:r>
                                <w:rPr>
                                  <w:b/>
                                </w:rPr>
                                <w:t>несистемни</w:t>
                              </w:r>
                            </w:p>
                          </w:txbxContent>
                        </wps:txbx>
                        <wps:bodyPr rot="0" vert="horz" wrap="square" lIns="91440" tIns="45720" rIns="91440" bIns="45720" anchor="t" anchorCtr="0" upright="1">
                          <a:noAutofit/>
                        </wps:bodyPr>
                      </wps:wsp>
                      <wps:wsp>
                        <wps:cNvPr id="12" name="Oval 10"/>
                        <wps:cNvSpPr>
                          <a:spLocks noChangeArrowheads="1"/>
                        </wps:cNvSpPr>
                        <wps:spPr bwMode="auto">
                          <a:xfrm>
                            <a:off x="2171457"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3" name="Oval 11"/>
                        <wps:cNvSpPr>
                          <a:spLocks noChangeArrowheads="1"/>
                        </wps:cNvSpPr>
                        <wps:spPr bwMode="auto">
                          <a:xfrm>
                            <a:off x="571436"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4" name="Oval 12"/>
                        <wps:cNvSpPr>
                          <a:spLocks noChangeArrowheads="1"/>
                        </wps:cNvSpPr>
                        <wps:spPr bwMode="auto">
                          <a:xfrm>
                            <a:off x="2171457"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5" name="Text Box 13"/>
                        <wps:cNvSpPr txBox="1">
                          <a:spLocks noChangeArrowheads="1"/>
                        </wps:cNvSpPr>
                        <wps:spPr bwMode="auto">
                          <a:xfrm>
                            <a:off x="2285744" y="703434"/>
                            <a:ext cx="1257160" cy="342900"/>
                          </a:xfrm>
                          <a:prstGeom prst="rect">
                            <a:avLst/>
                          </a:prstGeom>
                          <a:solidFill>
                            <a:srgbClr val="FFFF00"/>
                          </a:solidFill>
                          <a:ln w="9525">
                            <a:solidFill>
                              <a:srgbClr val="000000"/>
                            </a:solidFill>
                            <a:miter lim="800000"/>
                            <a:headEnd/>
                            <a:tailEnd/>
                          </a:ln>
                        </wps:spPr>
                        <wps:txbx>
                          <w:txbxContent>
                            <w:p w14:paraId="574ED56A" w14:textId="77777777" w:rsidR="00367C6F" w:rsidRPr="005C4EEF" w:rsidRDefault="00367C6F" w:rsidP="004B59EF">
                              <w:pPr>
                                <w:jc w:val="center"/>
                                <w:rPr>
                                  <w:b/>
                                </w:rPr>
                              </w:pPr>
                              <w:r>
                                <w:rPr>
                                  <w:b/>
                                </w:rPr>
                                <w:t>критични</w:t>
                              </w:r>
                            </w:p>
                          </w:txbxContent>
                        </wps:txbx>
                        <wps:bodyPr rot="0" vert="horz" wrap="square" lIns="91440" tIns="45720" rIns="91440" bIns="45720" anchor="t" anchorCtr="0" upright="1">
                          <a:noAutofit/>
                        </wps:bodyPr>
                      </wps:wsp>
                      <wps:wsp>
                        <wps:cNvPr id="16" name="Text Box 14"/>
                        <wps:cNvSpPr txBox="1">
                          <a:spLocks noChangeArrowheads="1"/>
                        </wps:cNvSpPr>
                        <wps:spPr bwMode="auto">
                          <a:xfrm>
                            <a:off x="685723" y="1846434"/>
                            <a:ext cx="1257160" cy="342900"/>
                          </a:xfrm>
                          <a:prstGeom prst="rect">
                            <a:avLst/>
                          </a:prstGeom>
                          <a:solidFill>
                            <a:srgbClr val="FFFF00"/>
                          </a:solidFill>
                          <a:ln w="9525">
                            <a:solidFill>
                              <a:srgbClr val="000000"/>
                            </a:solidFill>
                            <a:miter lim="800000"/>
                            <a:headEnd/>
                            <a:tailEnd/>
                          </a:ln>
                        </wps:spPr>
                        <wps:txbx>
                          <w:txbxContent>
                            <w:p w14:paraId="63A1509D" w14:textId="77777777" w:rsidR="00367C6F" w:rsidRPr="005C4EEF" w:rsidRDefault="00367C6F" w:rsidP="004B59EF">
                              <w:pPr>
                                <w:jc w:val="center"/>
                                <w:rPr>
                                  <w:b/>
                                </w:rPr>
                              </w:pPr>
                              <w:r>
                                <w:rPr>
                                  <w:b/>
                                </w:rPr>
                                <w:t>незначителни</w:t>
                              </w:r>
                            </w:p>
                          </w:txbxContent>
                        </wps:txbx>
                        <wps:bodyPr rot="0" vert="horz" wrap="square" lIns="91440" tIns="45720" rIns="91440" bIns="45720" anchor="t" anchorCtr="0" upright="1">
                          <a:noAutofit/>
                        </wps:bodyPr>
                      </wps:wsp>
                      <wps:wsp>
                        <wps:cNvPr id="17" name="Text Box 15"/>
                        <wps:cNvSpPr txBox="1">
                          <a:spLocks noChangeArrowheads="1"/>
                        </wps:cNvSpPr>
                        <wps:spPr bwMode="auto">
                          <a:xfrm>
                            <a:off x="2285744" y="1846434"/>
                            <a:ext cx="1257160" cy="342900"/>
                          </a:xfrm>
                          <a:prstGeom prst="rect">
                            <a:avLst/>
                          </a:prstGeom>
                          <a:solidFill>
                            <a:srgbClr val="FFFF00"/>
                          </a:solidFill>
                          <a:ln w="9525">
                            <a:solidFill>
                              <a:srgbClr val="000000"/>
                            </a:solidFill>
                            <a:miter lim="800000"/>
                            <a:headEnd/>
                            <a:tailEnd/>
                          </a:ln>
                        </wps:spPr>
                        <wps:txbx>
                          <w:txbxContent>
                            <w:p w14:paraId="633146F2" w14:textId="77777777" w:rsidR="00367C6F" w:rsidRPr="005C4EEF" w:rsidRDefault="00367C6F" w:rsidP="004B59EF">
                              <w:pPr>
                                <w:jc w:val="center"/>
                                <w:rPr>
                                  <w:b/>
                                </w:rPr>
                              </w:pPr>
                              <w:r>
                                <w:rPr>
                                  <w:b/>
                                </w:rPr>
                                <w:t>системни</w:t>
                              </w:r>
                            </w:p>
                          </w:txbxContent>
                        </wps:txbx>
                        <wps:bodyPr rot="0" vert="horz" wrap="square" lIns="91440" tIns="45720" rIns="91440" bIns="45720" anchor="t" anchorCtr="0" upright="1">
                          <a:noAutofit/>
                        </wps:bodyPr>
                      </wps:wsp>
                    </wpc:wpc>
                  </a:graphicData>
                </a:graphic>
              </wp:inline>
            </w:drawing>
          </mc:Choice>
          <mc:Fallback>
            <w:pict>
              <v:group w14:anchorId="1582B962" id="Canvas 2" o:spid="_x0000_s1026" editas="canvas" style="width:322.5pt;height:244.4pt;mso-position-horizontal-relative:char;mso-position-vertical-relative:line" coordsize="40957,3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1oYAUAAOAlAAAOAAAAZHJzL2Uyb0RvYy54bWzsWltv6kYQfq/U/2D5neC11zcUcpRAqCql&#10;PZGSnvfFF7Bq77prJ5BT9b93ZhccA4Gck1OokMwD+LIez+588803NpeflkVuPCeyygQfmuTCMo2E&#10;RyLO+Gxo/vE46QWmUdWMxywXPBmaL0llfrr6+afLRTlIbDEXeZxIA4zwarAoh+a8rstBv19F86Rg&#10;1YUoEw4nUyELVsOunPVjyRZgvcj7tmV5/YWQcSlFlFQVHB3rk+aVsp+mSVR/TtMqqY18aIJvtfqW&#10;6nuK3/2rSzaYSVbOs2jlBvuAFwXLONy0MTVmNTOeZLZjqsgiKSqR1heRKPoiTbMoUXOA2RBrazYj&#10;xp9ZpSYTweqsHYSt/9DudIZ+VyLP4kmW52pHzqajXBrPDFZtoj64UP2NYX1wY4AX4+8CApngpTk3&#10;FoAD27dgtSMGEU1zVsNmUcZDs+Iz02D5DKAS1VIt2P4bW+qze2M2KGVVj1k11w7GsKXjWGQ1gCnP&#10;iqEZNBezwTxh8S2PjfqlBARywKGJThZJbBp5Ar7glgJCzbL8W0bCSuQcFqQ19UUJAK7KBsrVj4Xo&#10;Yc7KREW+GkS/P99LI4P1I6bBWQGTuMt4YlB0Gu8LA0b8XuL6R0v+UN6J6M/K4GI0Z3yWKFOPau5E&#10;rebGJbhTlWB/uvhNxGCaPdVCRWaZysJI86z8gjdG4wBXYzk0qesTCnn9AscdEjrKDzZIlrURwWkM&#10;PJyyXUI9QIEGDhpDExi6XxJRGLgxNHOYhzLNnu+qWg9dD8HhXCAmVWw0spyAgE089RHgSPHEY2Vt&#10;hQm1vRn1WmawavkejKwir2YLHqMjOG+V6n+HVngb3Aa0R23vtket8bh3PRnRnjchvjt2xqPRmPyD&#10;zhM6mGdxnHCc3Zp2CP02yKwIUBNGQzzNSvU3rau0BRfXv8ppAK6OusbPVMQv9xJXH48DivXho8PZ&#10;2YCze3w4Y7h2QWx71HO3Uew4hDrOCssdijsUg7p4m5SBCTUpPyIT3Iil4bWQ/IDcWi/h8JpFqy1+&#10;vpZSLJCPoGRsEDReqjNxP0G3EA1YRdqlnr2DZcsJfXtFy9SynPdoWYJuOkTL+7l3n1rQBbNF6IeJ&#10;lNjUurHD3sQL/B6dULcX+lbQs0h4E3oWDel4skmkqiBqGQn891EiRVkQurb74QJzWIG0qw2y7StT&#10;o/trhl7/vsXU9XK6hCuRpjVpG1JAGYXQgwaHjbmQX0HcgJ4FsfXXE5NQxvJfOSArJJTCsFrtQAW3&#10;YUe2z0zbZxiPwJRWaYbeGdVaNj+VMpvN4V5aE3BxDYIhzVTxfvXr5LUk3MlC/3/JwpY4sn3PCnZz&#10;MXB919XJ6FA77HIRW6BdUXMWubhS5adMSWimziIhCRCMroufoY80gq1sxMJ1rEqI/YnjqXLoBiHZ&#10;TkFoXlwfDqo2Bca676VgkkMXVB1sVA5XxOYGG8N0R/ND9eZgQ6NKzLpR3dX7Ry4dZ4PTpqlu9Fu4&#10;hdXT6DcPUGlDSwQizrccuoNaG6DqQVJhc338wnE0yH6nRHoLv6iCFPPa60CdRAydDaJB6reYF4h4&#10;VZ/gOZHuKY5HvTYB7nX9jnuVil89JOy4d0/rTJonQEojENX+YhNxAqS2RALxHbtTCfrpHz5qOGGD&#10;eTacCnKxzalN5TkBUtuc2kH1LUHQlf/2SyJ4uLD1QBJ4dlMCnEbR2jZIWgqZ00na1TumvS1ZI2mb&#10;SHWYbmMauvltTLdff6KsPQ2mW10aCajXtWn4PvX1fXhb6jaYbiLVYbqNaeiStjHdfgd6Oky3eboD&#10;tfoLyPugbkJ1LqDW/1YpI5Wuq7884f+U2vuw3f5j1tW/AAAA//8DAFBLAwQUAAYACAAAACEAYV2v&#10;KdsAAAAFAQAADwAAAGRycy9kb3ducmV2LnhtbEyPQUvDQBCF74L/YRnBm90oNYaYTSmKFBEPbfU+&#10;3UyTYHY2ZDdp9Nc7etHLg8cb3vumWM2uUxMNofVs4HqRgCK2vmq5NvC2f7rKQIWIXGHnmQx8UoBV&#10;eX5WYF75E29p2sVaSQmHHA00Mfa51sE25DAsfE8s2dEPDqPYodbVgCcpd52+SZJUO2xZFhrs6aEh&#10;+7EbnQGc1pN1x+f0xY7vX3z3uNn3rxtjLi/m9T2oSHP8O4YffEGHUpgOfuQqqM6APBJ/VbJ0eSv2&#10;YGCZZRnostD/6ctvAAAA//8DAFBLAQItABQABgAIAAAAIQC2gziS/gAAAOEBAAATAAAAAAAAAAAA&#10;AAAAAAAAAABbQ29udGVudF9UeXBlc10ueG1sUEsBAi0AFAAGAAgAAAAhADj9If/WAAAAlAEAAAsA&#10;AAAAAAAAAAAAAAAALwEAAF9yZWxzLy5yZWxzUEsBAi0AFAAGAAgAAAAhAHOqTWhgBQAA4CUAAA4A&#10;AAAAAAAAAAAAAAAALgIAAGRycy9lMm9Eb2MueG1sUEsBAi0AFAAGAAgAAAAhAGFdrynbAAAABQEA&#10;AA8AAAAAAAAAAAAAAAAAugcAAGRycy9kb3ducmV2LnhtbFBLBQYAAAAABAAEAPMAAADCCAAAAAA=&#10;">
                <v:shape id="_x0000_s1027" type="#_x0000_t75" style="position:absolute;width:40957;height:31032;visibility:visible;mso-wrap-style:square" filled="t" stroked="t" strokeweight="1pt">
                  <v:fill o:detectmouseclick="t"/>
                  <v:stroke dashstyle="dash"/>
                  <v:path o:connecttype="none"/>
                </v:shape>
                <v:line id="Line 4" o:spid="_x0000_s1028" style="position:absolute;flip:y;visibility:visible;mso-wrap-style:square" from="4571,1319" to="4571,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L6wAAAANoAAAAPAAAAZHJzL2Rvd25yZXYueG1sRE9LawIx&#10;EL4X/A9hBC+lZmurtKtRirDQm9THobchGXcXN5M1iev23zeC4Gn4+J6zWPW2ER35UDtW8DrOQBBr&#10;Z2ouFex3xcsHiBCRDTaOScEfBVgtB08LzI278g9121iKFMIhRwVVjG0uZdAVWQxj1xIn7ui8xZig&#10;L6XxeE3htpGTLJtJizWnhgpbWlekT9uLVXAuZtZvXNHh77N9e//UYXrQQanRsP+ag4jUx4f47v42&#10;aT7cXrldufwHAAD//wMAUEsBAi0AFAAGAAgAAAAhANvh9svuAAAAhQEAABMAAAAAAAAAAAAAAAAA&#10;AAAAAFtDb250ZW50X1R5cGVzXS54bWxQSwECLQAUAAYACAAAACEAWvQsW78AAAAVAQAACwAAAAAA&#10;AAAAAAAAAAAfAQAAX3JlbHMvLnJlbHNQSwECLQAUAAYACAAAACEAkf9C+sAAAADaAAAADwAAAAAA&#10;AAAAAAAAAAAHAgAAZHJzL2Rvd25yZXYueG1sUEsFBgAAAAADAAMAtwAAAPQCAAAAAA==&#10;" strokeweight="3pt">
                  <v:stroke endarrow="block"/>
                </v:line>
                <v:line id="Line 5" o:spid="_x0000_s1029" style="position:absolute;visibility:visible;mso-wrap-style:square" from="4571,26465" to="37714,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8IEwAAAANoAAAAPAAAAZHJzL2Rvd25yZXYueG1sRI9Bi8Iw&#10;FITvC/6H8ARva6qCSjWKCoIgHqoLe302z7bYvJQk2vrvjbCwx2FmvmGW687U4knOV5YVjIYJCOLc&#10;6ooLBT+X/fcchA/IGmvLpOBFHtar3tcSU21bzuh5DoWIEPYpKihDaFIpfV6SQT+0DXH0btYZDFG6&#10;QmqHbYSbWo6TZCoNVhwXSmxoV1J+Pz+Mgu2pyV76OvPJ7nc2v3St0xkelRr0u80CRKAu/If/2get&#10;YAKfK/EGyNUbAAD//wMAUEsBAi0AFAAGAAgAAAAhANvh9svuAAAAhQEAABMAAAAAAAAAAAAAAAAA&#10;AAAAAFtDb250ZW50X1R5cGVzXS54bWxQSwECLQAUAAYACAAAACEAWvQsW78AAAAVAQAACwAAAAAA&#10;AAAAAAAAAAAfAQAAX3JlbHMvLnJlbHNQSwECLQAUAAYACAAAACEAoLvCBMAAAADaAAAADwAAAAAA&#10;AAAAAAAAAAAHAgAAZHJzL2Rvd25yZXYueG1sUEsFBgAAAAADAAMAtwAAAPQCAAAAAA==&#10;" strokeweight="3pt">
                  <v:stroke endarrow="block"/>
                </v:line>
                <v:shapetype id="_x0000_t202" coordsize="21600,21600" o:spt="202" path="m,l,21600r21600,l21600,xe">
                  <v:stroke joinstyle="miter"/>
                  <v:path gradientshapeok="t" o:connecttype="rect"/>
                </v:shapetype>
                <v:shape id="Text Box 6" o:spid="_x0000_s1030" type="#_x0000_t202" style="position:absolute;top:2462;width:3039;height:24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v:textbox>
                </v:shape>
                <v:shape id="Text Box 7" o:spid="_x0000_s1031" type="#_x0000_t202" style="position:absolute;left:4571;top:27608;width:30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4629C6F4" w14:textId="77777777" w:rsidR="00367C6F" w:rsidRPr="00507FFE" w:rsidRDefault="00367C6F" w:rsidP="004B59EF">
                        <w:pPr>
                          <w:jc w:val="center"/>
                          <w:rPr>
                            <w:b/>
                          </w:rPr>
                        </w:pPr>
                        <w:r>
                          <w:rPr>
                            <w:b/>
                          </w:rPr>
                          <w:t>ВЕРОЯТНОСТ</w:t>
                        </w:r>
                      </w:p>
                    </w:txbxContent>
                  </v:textbox>
                </v:shape>
                <v:oval id="Oval 8" o:spid="_x0000_s1032" style="position:absolute;left:5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6pYxAAAANsAAAAPAAAAZHJzL2Rvd25yZXYueG1sRI9BawIx&#10;EIXvhf6HMIVeimbbSpHVKLVQaD3pWjwPm3F3dTMJSarrv3cOhd5meG/e+2a+HFyvzhRT59nA87gA&#10;RVx723Fj4Gf3OZqCShnZYu+ZDFwpwXJxfzfH0voLb+lc5UZJCKcSDbQ5h1LrVLfkMI19IBbt4KPD&#10;LGtstI14kXDX65eieNMOO5aGFgN9tFSfql9nwE1WTxu33r3Sqg66uk7D/hi/jXl8GN5noDIN+d/8&#10;d/1lBV/o5RcZQC9uAAAA//8DAFBLAQItABQABgAIAAAAIQDb4fbL7gAAAIUBAAATAAAAAAAAAAAA&#10;AAAAAAAAAABbQ29udGVudF9UeXBlc10ueG1sUEsBAi0AFAAGAAgAAAAhAFr0LFu/AAAAFQEAAAsA&#10;AAAAAAAAAAAAAAAAHwEAAF9yZWxzLy5yZWxzUEsBAi0AFAAGAAgAAAAhAFtPqljEAAAA2wAAAA8A&#10;AAAAAAAAAAAAAAAABwIAAGRycy9kb3ducmV2LnhtbFBLBQYAAAAAAwADALcAAAD4AgAAAAA=&#10;" fillcolor="yellow"/>
                <v:shape id="Text Box 9" o:spid="_x0000_s1033" type="#_x0000_t202" style="position:absolute;left:6857;top:703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14:paraId="7BF6DF43" w14:textId="77777777" w:rsidR="00367C6F" w:rsidRPr="005C4EEF" w:rsidRDefault="00367C6F" w:rsidP="004B59EF">
                        <w:pPr>
                          <w:rPr>
                            <w:b/>
                          </w:rPr>
                        </w:pPr>
                        <w:r>
                          <w:rPr>
                            <w:b/>
                          </w:rPr>
                          <w:t>несистемни</w:t>
                        </w:r>
                      </w:p>
                    </w:txbxContent>
                  </v:textbox>
                </v:shape>
                <v:oval id="Oval 10" o:spid="_x0000_s1034" style="position:absolute;left:21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ZG0wAAAANsAAAAPAAAAZHJzL2Rvd25yZXYueG1sRE9NawIx&#10;EL0L/Q9hCl6kZqtSZGuUKgjqSdfS87CZ7m67mYQk6vrvjSB4m8f7nNmiM604kw+NZQXvwwwEcWl1&#10;w5WC7+P6bQoiRGSNrWVScKUAi/lLb4a5thc+0LmIlUghHHJUUMfocilDWZPBMLSOOHG/1huMCfpK&#10;ao+XFG5aOcqyD2mw4dRQo6NVTeV/cTIKzGQ52JvdcUzL0sniOnU/f36rVP+1+/oEEamLT/HDvdFp&#10;/gjuv6QD5PwGAAD//wMAUEsBAi0AFAAGAAgAAAAhANvh9svuAAAAhQEAABMAAAAAAAAAAAAAAAAA&#10;AAAAAFtDb250ZW50X1R5cGVzXS54bWxQSwECLQAUAAYACAAAACEAWvQsW78AAAAVAQAACwAAAAAA&#10;AAAAAAAAAAAfAQAAX3JlbHMvLnJlbHNQSwECLQAUAAYACAAAACEAxNGRtMAAAADbAAAADwAAAAAA&#10;AAAAAAAAAAAHAgAAZHJzL2Rvd25yZXYueG1sUEsFBgAAAAADAAMAtwAAAPQCAAAAAA==&#10;" fillcolor="yellow"/>
                <v:oval id="Oval 11" o:spid="_x0000_s1035" style="position:absolute;left:5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TQvwAAAANsAAAAPAAAAZHJzL2Rvd25yZXYueG1sRE9NawIx&#10;EL0L/Q9hCl6kZqtSZGuUKgjqSdfS87CZ7m67mYQk6vrvjSB4m8f7nNmiM604kw+NZQXvwwwEcWl1&#10;w5WC7+P6bQoiRGSNrWVScKUAi/lLb4a5thc+0LmIlUghHHJUUMfocilDWZPBMLSOOHG/1huMCfpK&#10;ao+XFG5aOcqyD2mw4dRQo6NVTeV/cTIKzGQ52JvdcUzL0sniOnU/f36rVP+1+/oEEamLT/HDvdFp&#10;/hjuv6QD5PwGAAD//wMAUEsBAi0AFAAGAAgAAAAhANvh9svuAAAAhQEAABMAAAAAAAAAAAAAAAAA&#10;AAAAAFtDb250ZW50X1R5cGVzXS54bWxQSwECLQAUAAYACAAAACEAWvQsW78AAAAVAQAACwAAAAAA&#10;AAAAAAAAAAAfAQAAX3JlbHMvLnJlbHNQSwECLQAUAAYACAAAACEAq500L8AAAADbAAAADwAAAAAA&#10;AAAAAAAAAAAHAgAAZHJzL2Rvd25yZXYueG1sUEsFBgAAAAADAAMAtwAAAPQCAAAAAA==&#10;" fillcolor="yellow"/>
                <v:oval id="Oval 12" o:spid="_x0000_s1036" style="position:absolute;left:21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KxbwQAAANsAAAAPAAAAZHJzL2Rvd25yZXYueG1sRE/fa8Iw&#10;EH4f7H8IN9jL0HROhlTTMgVh82nW4fPRnG235hKSqPW/N4Kwt/v4ft6iHEwvTuRDZ1nB6zgDQVxb&#10;3XGj4Ge3Hs1AhIissbdMCi4UoCweHxaYa3vmLZ2q2IgUwiFHBW2MLpcy1C0ZDGPriBN3sN5gTNA3&#10;Uns8p3DTy0mWvUuDHaeGFh2tWqr/qqNRYKbLl2+z2b3Rsnayuszc/td/KfX8NHzMQUQa4r/47v7U&#10;af4Ubr+kA2RxBQAA//8DAFBLAQItABQABgAIAAAAIQDb4fbL7gAAAIUBAAATAAAAAAAAAAAAAAAA&#10;AAAAAABbQ29udGVudF9UeXBlc10ueG1sUEsBAi0AFAAGAAgAAAAhAFr0LFu/AAAAFQEAAAsAAAAA&#10;AAAAAAAAAAAAHwEAAF9yZWxzLy5yZWxzUEsBAi0AFAAGAAgAAAAhACR0rFvBAAAA2wAAAA8AAAAA&#10;AAAAAAAAAAAABwIAAGRycy9kb3ducmV2LnhtbFBLBQYAAAAAAwADALcAAAD1AgAAAAA=&#10;" fillcolor="yellow"/>
                <v:shape id="Text Box 13" o:spid="_x0000_s1037" type="#_x0000_t202" style="position:absolute;left:22857;top:703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qOhwwAAANsAAAAPAAAAZHJzL2Rvd25yZXYueG1sRE9LawIx&#10;EL4L/Q9hCr3VrELF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bqjocMAAADbAAAADwAA&#10;AAAAAAAAAAAAAAAHAgAAZHJzL2Rvd25yZXYueG1sUEsFBgAAAAADAAMAtwAAAPcCAAAAAA==&#10;" fillcolor="yellow">
                  <v:textbox>
                    <w:txbxContent>
                      <w:p w14:paraId="574ED56A" w14:textId="77777777" w:rsidR="00367C6F" w:rsidRPr="005C4EEF" w:rsidRDefault="00367C6F" w:rsidP="004B59EF">
                        <w:pPr>
                          <w:jc w:val="center"/>
                          <w:rPr>
                            <w:b/>
                          </w:rPr>
                        </w:pPr>
                        <w:r>
                          <w:rPr>
                            <w:b/>
                          </w:rPr>
                          <w:t>критични</w:t>
                        </w:r>
                      </w:p>
                    </w:txbxContent>
                  </v:textbox>
                </v:shape>
                <v:shape id="Text Box 14" o:spid="_x0000_s1038" type="#_x0000_t202" style="position:absolute;left:6857;top:1846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D3WwgAAANsAAAAPAAAAZHJzL2Rvd25yZXYueG1sRE9LawIx&#10;EL4L/Q9hhN40qwepq1FEsLQHa10F8TZsZh+6maybqNt/bwqCt/n4njOdt6YSN2pcaVnBoB+BIE6t&#10;LjlXsN+teh8gnEfWWFkmBX/kYD5760wx1vbOW7olPhchhF2MCgrv61hKlxZk0PVtTRy4zDYGfYBN&#10;LnWD9xBuKjmMopE0WHJoKLCmZUHpObkaBcfLNdscTnv+HP7Sz+V7NV5nyVqp9267mIDw1PqX+On+&#10;0mH+CP5/CQfI2QMAAP//AwBQSwECLQAUAAYACAAAACEA2+H2y+4AAACFAQAAEwAAAAAAAAAAAAAA&#10;AAAAAAAAW0NvbnRlbnRfVHlwZXNdLnhtbFBLAQItABQABgAIAAAAIQBa9CxbvwAAABUBAAALAAAA&#10;AAAAAAAAAAAAAB8BAABfcmVscy8ucmVsc1BLAQItABQABgAIAAAAIQAJaD3WwgAAANsAAAAPAAAA&#10;AAAAAAAAAAAAAAcCAABkcnMvZG93bnJldi54bWxQSwUGAAAAAAMAAwC3AAAA9gIAAAAA&#10;" fillcolor="yellow">
                  <v:textbox>
                    <w:txbxContent>
                      <w:p w14:paraId="63A1509D" w14:textId="77777777" w:rsidR="00367C6F" w:rsidRPr="005C4EEF" w:rsidRDefault="00367C6F" w:rsidP="004B59EF">
                        <w:pPr>
                          <w:jc w:val="center"/>
                          <w:rPr>
                            <w:b/>
                          </w:rPr>
                        </w:pPr>
                        <w:r>
                          <w:rPr>
                            <w:b/>
                          </w:rPr>
                          <w:t>незначителни</w:t>
                        </w:r>
                      </w:p>
                    </w:txbxContent>
                  </v:textbox>
                </v:shape>
                <v:shape id="Text Box 15" o:spid="_x0000_s1039" type="#_x0000_t202" style="position:absolute;left:22857;top:1846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hNwwAAANsAAAAPAAAAZHJzL2Rvd25yZXYueG1sRE9LawIx&#10;EL4L/Q9hCr3VrB6qXY0iBUUPVt0K4m3YzD7sZrJuom7/vREK3ubje8542ppKXKlxpWUFvW4Egji1&#10;uuRcwf5n/j4E4TyyxsoyKfgjB9PJS2eMsbY33tE18bkIIexiVFB4X8dSurQgg65ra+LAZbYx6ANs&#10;cqkbvIVwU8l+FH1IgyWHhgJr+ioo/U0uRsHxfMk2h9OeF/0tfZ9X8891lqyVenttZyMQnlr/FP+7&#10;lzrMH8Djl3CAnNwBAAD//wMAUEsBAi0AFAAGAAgAAAAhANvh9svuAAAAhQEAABMAAAAAAAAAAAAA&#10;AAAAAAAAAFtDb250ZW50X1R5cGVzXS54bWxQSwECLQAUAAYACAAAACEAWvQsW78AAAAVAQAACwAA&#10;AAAAAAAAAAAAAAAfAQAAX3JlbHMvLnJlbHNQSwECLQAUAAYACAAAACEAZiSYTcMAAADbAAAADwAA&#10;AAAAAAAAAAAAAAAHAgAAZHJzL2Rvd25yZXYueG1sUEsFBgAAAAADAAMAtwAAAPcCAAAAAA==&#10;" fillcolor="yellow">
                  <v:textbox>
                    <w:txbxContent>
                      <w:p w14:paraId="633146F2" w14:textId="77777777" w:rsidR="00367C6F" w:rsidRPr="005C4EEF" w:rsidRDefault="00367C6F" w:rsidP="004B59EF">
                        <w:pPr>
                          <w:jc w:val="center"/>
                          <w:rPr>
                            <w:b/>
                          </w:rPr>
                        </w:pPr>
                        <w:r>
                          <w:rPr>
                            <w:b/>
                          </w:rPr>
                          <w:t>системни</w:t>
                        </w:r>
                      </w:p>
                    </w:txbxContent>
                  </v:textbox>
                </v:shape>
                <w10:anchorlock/>
              </v:group>
            </w:pict>
          </mc:Fallback>
        </mc:AlternateContent>
      </w:r>
    </w:p>
    <w:p w14:paraId="6E6C78CC" w14:textId="1DD02149" w:rsidR="00FD1848" w:rsidRPr="00D014C7" w:rsidRDefault="00FD1848" w:rsidP="00367400">
      <w:pPr>
        <w:spacing w:after="120"/>
        <w:ind w:left="2126" w:hanging="2126"/>
        <w:jc w:val="both"/>
        <w:rPr>
          <w:sz w:val="24"/>
          <w:szCs w:val="24"/>
        </w:rPr>
      </w:pPr>
      <w:r w:rsidRPr="00D014C7">
        <w:rPr>
          <w:sz w:val="24"/>
          <w:szCs w:val="24"/>
        </w:rPr>
        <w:t>Приоритет 1</w:t>
      </w:r>
      <w:r w:rsidRPr="00D014C7">
        <w:rPr>
          <w:sz w:val="24"/>
          <w:szCs w:val="24"/>
        </w:rPr>
        <w:tab/>
      </w:r>
      <w:r w:rsidRPr="00D014C7">
        <w:rPr>
          <w:b/>
          <w:sz w:val="24"/>
          <w:szCs w:val="24"/>
        </w:rPr>
        <w:t>Критични рискове:</w:t>
      </w:r>
      <w:r w:rsidRPr="00D014C7">
        <w:rPr>
          <w:sz w:val="24"/>
          <w:szCs w:val="24"/>
        </w:rPr>
        <w:t xml:space="preserve"> това са рисковете, при които и двата фактора (въздействие и вероятност) са оценени със стойност над или равна на 3. Обикновено това е група рискове, които изискват незабавно внимание и подробно разглеждане на дейностите, свързани с управление на риска</w:t>
      </w:r>
      <w:r w:rsidR="007A248D">
        <w:rPr>
          <w:sz w:val="24"/>
          <w:szCs w:val="24"/>
        </w:rPr>
        <w:t xml:space="preserve"> (напр. подробен преглед на контролните дейности и тяхната адекватност и ефективност)</w:t>
      </w:r>
      <w:r w:rsidRPr="00D014C7">
        <w:rPr>
          <w:sz w:val="24"/>
          <w:szCs w:val="24"/>
        </w:rPr>
        <w:t>. Решението дали е налице критичен риск трябва да бъде взето с оглед на следните съображения:</w:t>
      </w:r>
    </w:p>
    <w:p w14:paraId="5263204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наличие на мерки за управление на риска по отношение на критичните рискове;</w:t>
      </w:r>
    </w:p>
    <w:p w14:paraId="3FD9E224"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достатъчност на наличните мерки;</w:t>
      </w:r>
    </w:p>
    <w:p w14:paraId="24C54836"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създаване на нови мерки по отношение на нови критични рискове;</w:t>
      </w:r>
    </w:p>
    <w:p w14:paraId="3F6FFDE2"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засилване на мерките за ограничаване на риска, когато се установи недостатъчност;</w:t>
      </w:r>
    </w:p>
    <w:p w14:paraId="466B9EC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отслабване на мерките за ограничаване на риска, когато е налице свръхконтрол;</w:t>
      </w:r>
    </w:p>
    <w:p w14:paraId="29B6B2FA"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определяне на срокове и отговорности за активиране на горепосочените точки.</w:t>
      </w:r>
    </w:p>
    <w:p w14:paraId="60FCD844" w14:textId="77777777" w:rsidR="00FD1848" w:rsidRPr="00D014C7" w:rsidRDefault="00FD1848" w:rsidP="00367400">
      <w:pPr>
        <w:spacing w:after="120"/>
        <w:ind w:left="2126" w:hanging="2126"/>
        <w:jc w:val="both"/>
        <w:rPr>
          <w:sz w:val="24"/>
          <w:szCs w:val="24"/>
        </w:rPr>
      </w:pPr>
      <w:r w:rsidRPr="00D014C7">
        <w:rPr>
          <w:sz w:val="24"/>
          <w:szCs w:val="24"/>
        </w:rPr>
        <w:t>Приоритет 2</w:t>
      </w:r>
      <w:r w:rsidRPr="00D014C7">
        <w:rPr>
          <w:sz w:val="24"/>
          <w:szCs w:val="24"/>
        </w:rPr>
        <w:tab/>
      </w:r>
      <w:r w:rsidRPr="00D014C7">
        <w:rPr>
          <w:b/>
          <w:sz w:val="24"/>
          <w:szCs w:val="24"/>
        </w:rPr>
        <w:t>Несистемни рискове:</w:t>
      </w:r>
      <w:r w:rsidRPr="00D014C7">
        <w:rPr>
          <w:sz w:val="24"/>
          <w:szCs w:val="24"/>
        </w:rPr>
        <w:t xml:space="preserve"> Това са рискове при които въздействието е над средните стойности (3). Тези рискове трябва да бъдат контролирани преди „системните рискове”, тъй като влиянието им може да бъде значително, въпреки че вероятността да се случат е по-малка, отколкото при критичните рискове. За такива рискове обикновено се вземат допълнителни предпазни мерки.</w:t>
      </w:r>
    </w:p>
    <w:p w14:paraId="5F01926D" w14:textId="77777777" w:rsidR="00FD1848" w:rsidRPr="00D014C7" w:rsidRDefault="00FD1848" w:rsidP="00367400">
      <w:pPr>
        <w:spacing w:after="120"/>
        <w:ind w:left="2126" w:hanging="2126"/>
        <w:jc w:val="both"/>
        <w:rPr>
          <w:sz w:val="24"/>
          <w:szCs w:val="24"/>
        </w:rPr>
      </w:pPr>
      <w:r w:rsidRPr="00D014C7">
        <w:rPr>
          <w:sz w:val="24"/>
          <w:szCs w:val="24"/>
        </w:rPr>
        <w:t>Приоритет 3</w:t>
      </w:r>
      <w:r w:rsidRPr="00D014C7">
        <w:rPr>
          <w:sz w:val="24"/>
          <w:szCs w:val="24"/>
        </w:rPr>
        <w:tab/>
      </w:r>
      <w:r w:rsidRPr="00D014C7">
        <w:rPr>
          <w:b/>
          <w:sz w:val="24"/>
          <w:szCs w:val="24"/>
        </w:rPr>
        <w:t>Системни рискове:</w:t>
      </w:r>
      <w:r w:rsidRPr="00D014C7">
        <w:rPr>
          <w:sz w:val="24"/>
          <w:szCs w:val="24"/>
        </w:rPr>
        <w:t xml:space="preserve"> Тези рискове са с голяма вероятност да се случат, но въздействието им е сравнително ниско. За такива рискове обикновено се вземат предпазни мерки. При тях по-скоро трябва да се има предвид ефектът на натрупването (например поредица от малки проблеми с голямо въздействие при натрупване).</w:t>
      </w:r>
    </w:p>
    <w:p w14:paraId="5A5B44C0" w14:textId="211CF109" w:rsidR="00FD1848" w:rsidRPr="00D014C7" w:rsidRDefault="00FD1848" w:rsidP="00367400">
      <w:pPr>
        <w:suppressAutoHyphens/>
        <w:spacing w:after="120"/>
        <w:ind w:left="2124" w:hanging="2124"/>
        <w:jc w:val="both"/>
        <w:rPr>
          <w:sz w:val="24"/>
          <w:szCs w:val="24"/>
        </w:rPr>
      </w:pPr>
      <w:r w:rsidRPr="00D014C7">
        <w:rPr>
          <w:sz w:val="24"/>
          <w:szCs w:val="24"/>
        </w:rPr>
        <w:t>Приоритет 4</w:t>
      </w:r>
      <w:r w:rsidRPr="00D014C7">
        <w:rPr>
          <w:sz w:val="24"/>
          <w:szCs w:val="24"/>
        </w:rPr>
        <w:tab/>
      </w:r>
      <w:r w:rsidRPr="00D014C7">
        <w:rPr>
          <w:b/>
          <w:sz w:val="24"/>
          <w:szCs w:val="24"/>
        </w:rPr>
        <w:t>Незначителни рискове:</w:t>
      </w:r>
      <w:r w:rsidRPr="00D014C7">
        <w:rPr>
          <w:sz w:val="24"/>
          <w:szCs w:val="24"/>
        </w:rPr>
        <w:t xml:space="preserve"> такива са рисковете, при които и двата фактора (въздействие и вероятност) са оценени под 3. Предвид </w:t>
      </w:r>
      <w:r w:rsidR="007A248D">
        <w:rPr>
          <w:sz w:val="24"/>
          <w:szCs w:val="24"/>
        </w:rPr>
        <w:t xml:space="preserve">установеното </w:t>
      </w:r>
      <w:r w:rsidRPr="00D014C7">
        <w:rPr>
          <w:sz w:val="24"/>
          <w:szCs w:val="24"/>
        </w:rPr>
        <w:t xml:space="preserve">ниво на толериране на риска тези рискове могат да се вземат или да не се вземат под внимание. </w:t>
      </w:r>
    </w:p>
    <w:p w14:paraId="1B1717FC" w14:textId="23E2ED38" w:rsidR="007A248D" w:rsidRPr="00B01BA1" w:rsidRDefault="00BC76EF">
      <w:pPr>
        <w:suppressAutoHyphens/>
        <w:spacing w:after="120"/>
        <w:ind w:firstLine="708"/>
        <w:jc w:val="both"/>
        <w:rPr>
          <w:b/>
          <w:sz w:val="24"/>
          <w:szCs w:val="24"/>
        </w:rPr>
      </w:pPr>
      <w:r>
        <w:rPr>
          <w:sz w:val="24"/>
          <w:szCs w:val="24"/>
        </w:rPr>
        <w:t xml:space="preserve">В своята </w:t>
      </w:r>
      <w:r>
        <w:rPr>
          <w:i/>
          <w:sz w:val="24"/>
          <w:szCs w:val="24"/>
        </w:rPr>
        <w:t xml:space="preserve">Политика за противодействие на измамите, корупцията и конфликт на интереси (Приложение </w:t>
      </w:r>
      <w:r>
        <w:rPr>
          <w:i/>
          <w:sz w:val="24"/>
          <w:szCs w:val="24"/>
          <w:lang w:val="en-US"/>
        </w:rPr>
        <w:t>VI</w:t>
      </w:r>
      <w:r w:rsidRPr="0005696D">
        <w:rPr>
          <w:i/>
          <w:sz w:val="24"/>
          <w:szCs w:val="24"/>
        </w:rPr>
        <w:t>-</w:t>
      </w:r>
      <w:r>
        <w:rPr>
          <w:i/>
          <w:sz w:val="24"/>
          <w:szCs w:val="24"/>
        </w:rPr>
        <w:t xml:space="preserve">Т01-1 от Наръчника) </w:t>
      </w:r>
      <w:r w:rsidRPr="00B01BA1">
        <w:rPr>
          <w:sz w:val="24"/>
          <w:szCs w:val="24"/>
        </w:rPr>
        <w:t xml:space="preserve">УО е възприел политика за </w:t>
      </w:r>
      <w:r w:rsidRPr="00B01BA1">
        <w:rPr>
          <w:b/>
          <w:sz w:val="24"/>
          <w:szCs w:val="24"/>
        </w:rPr>
        <w:t>нулева толерантност към измамите и корупцията</w:t>
      </w:r>
      <w:r w:rsidRPr="00B01BA1">
        <w:rPr>
          <w:sz w:val="24"/>
          <w:szCs w:val="24"/>
        </w:rPr>
        <w:t xml:space="preserve"> и в тази връзка </w:t>
      </w:r>
      <w:r>
        <w:rPr>
          <w:sz w:val="24"/>
          <w:szCs w:val="24"/>
        </w:rPr>
        <w:t>всички рискове следва да са внимателно наблюдавани и управлявани.</w:t>
      </w:r>
    </w:p>
    <w:p w14:paraId="7A695BD4" w14:textId="6E579DA4" w:rsidR="00FD1848" w:rsidRPr="00D014C7" w:rsidRDefault="00FD1848">
      <w:pPr>
        <w:suppressAutoHyphens/>
        <w:spacing w:after="120"/>
        <w:ind w:firstLine="708"/>
        <w:jc w:val="both"/>
        <w:rPr>
          <w:sz w:val="24"/>
          <w:szCs w:val="24"/>
        </w:rPr>
      </w:pPr>
      <w:r w:rsidRPr="00D014C7">
        <w:rPr>
          <w:sz w:val="24"/>
          <w:szCs w:val="24"/>
        </w:rPr>
        <w:t>Следващата стъпка е анализирането на ефекта на мерките за третиране на риска и определяне на интензитета на рискове след предприемане на мерките. По този начин се преценява очакваният ефект от предприетите действия. Отново се оценяват вероятността и въздействието за риска, като се отчита към кой от двата показателя е насочена конкретната мярка. След това резултат</w:t>
      </w:r>
      <w:r w:rsidR="00654651">
        <w:rPr>
          <w:sz w:val="24"/>
          <w:szCs w:val="24"/>
        </w:rPr>
        <w:t>ът</w:t>
      </w:r>
      <w:r w:rsidRPr="00D014C7">
        <w:rPr>
          <w:sz w:val="24"/>
          <w:szCs w:val="24"/>
        </w:rPr>
        <w:t xml:space="preserve"> се използва</w:t>
      </w:r>
      <w:r w:rsidR="00574D7B">
        <w:rPr>
          <w:sz w:val="24"/>
          <w:szCs w:val="24"/>
        </w:rPr>
        <w:t>,</w:t>
      </w:r>
      <w:r w:rsidRPr="00D014C7">
        <w:rPr>
          <w:sz w:val="24"/>
          <w:szCs w:val="24"/>
        </w:rPr>
        <w:t xml:space="preserve"> за да се проследи динамиката по отношение на първоначалната таблица:</w:t>
      </w:r>
    </w:p>
    <w:p w14:paraId="36F4CB4D"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проследяване на ефекта на мерките:</w:t>
      </w:r>
    </w:p>
    <w:p w14:paraId="68282967" w14:textId="59CAA640" w:rsidR="00FD1848" w:rsidRPr="00D014C7" w:rsidRDefault="00AF1F11" w:rsidP="0070294A">
      <w:pPr>
        <w:suppressAutoHyphens/>
        <w:spacing w:after="120"/>
        <w:jc w:val="both"/>
        <w:rPr>
          <w:sz w:val="24"/>
          <w:szCs w:val="24"/>
        </w:rPr>
      </w:pPr>
      <w:r>
        <w:rPr>
          <w:noProof/>
          <w:sz w:val="24"/>
          <w:szCs w:val="24"/>
        </w:rPr>
        <w:drawing>
          <wp:inline distT="0" distB="0" distL="0" distR="0" wp14:anchorId="530E9B13" wp14:editId="274FEE2C">
            <wp:extent cx="6144895" cy="3464560"/>
            <wp:effectExtent l="0" t="0" r="8255" b="2540"/>
            <wp:docPr id="4"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7C94BDA" w14:textId="77777777" w:rsidR="00FD1848" w:rsidRPr="00D014C7" w:rsidRDefault="00FD1848">
      <w:pPr>
        <w:suppressAutoHyphens/>
        <w:spacing w:after="120"/>
        <w:ind w:firstLine="720"/>
        <w:jc w:val="both"/>
        <w:rPr>
          <w:sz w:val="24"/>
          <w:szCs w:val="24"/>
        </w:rPr>
      </w:pPr>
      <w:r w:rsidRPr="00D014C7">
        <w:rPr>
          <w:sz w:val="24"/>
          <w:szCs w:val="24"/>
        </w:rPr>
        <w:t xml:space="preserve">Рисковете с висока обща оценка след оценка на третирания риск изискват специално внимание от страна на УО (и/или външните изпълнители на оценката/наблюдението на риска). </w:t>
      </w:r>
    </w:p>
    <w:p w14:paraId="306FD891" w14:textId="45F37E9E" w:rsidR="00FD1848" w:rsidRPr="00D014C7" w:rsidRDefault="00FD1848" w:rsidP="00897DB2">
      <w:pPr>
        <w:spacing w:after="120"/>
        <w:ind w:firstLine="708"/>
        <w:jc w:val="both"/>
        <w:rPr>
          <w:sz w:val="24"/>
          <w:szCs w:val="24"/>
        </w:rPr>
      </w:pPr>
      <w:r w:rsidRPr="00D014C7">
        <w:rPr>
          <w:sz w:val="24"/>
          <w:szCs w:val="24"/>
        </w:rPr>
        <w:t xml:space="preserve">Крайният резултат от годишната работната среща за риска е </w:t>
      </w:r>
      <w:r w:rsidRPr="00B01BA1">
        <w:rPr>
          <w:b/>
          <w:snapToGrid w:val="0"/>
          <w:sz w:val="24"/>
          <w:szCs w:val="24"/>
          <w:lang w:eastAsia="en-US"/>
        </w:rPr>
        <w:t xml:space="preserve">План за управление на </w:t>
      </w:r>
      <w:r w:rsidRPr="003427A5">
        <w:rPr>
          <w:snapToGrid w:val="0"/>
          <w:sz w:val="24"/>
          <w:szCs w:val="24"/>
          <w:lang w:eastAsia="en-US"/>
        </w:rPr>
        <w:t>риска</w:t>
      </w:r>
      <w:r w:rsidR="00462905" w:rsidRPr="00B01BA1">
        <w:rPr>
          <w:snapToGrid w:val="0"/>
          <w:sz w:val="24"/>
          <w:szCs w:val="24"/>
          <w:lang w:eastAsia="en-US"/>
        </w:rPr>
        <w:t xml:space="preserve"> и планове за действие (</w:t>
      </w:r>
      <w:r w:rsidR="00C66393" w:rsidRPr="00B01BA1">
        <w:rPr>
          <w:snapToGrid w:val="0"/>
          <w:sz w:val="24"/>
          <w:szCs w:val="24"/>
          <w:lang w:eastAsia="en-US"/>
        </w:rPr>
        <w:t xml:space="preserve">съгласно </w:t>
      </w:r>
      <w:r w:rsidR="00B76EEE">
        <w:rPr>
          <w:snapToGrid w:val="0"/>
          <w:sz w:val="24"/>
          <w:szCs w:val="24"/>
          <w:lang w:eastAsia="en-US"/>
        </w:rPr>
        <w:t>Приложение</w:t>
      </w:r>
      <w:r w:rsidR="00C66393" w:rsidRPr="00B01BA1">
        <w:rPr>
          <w:snapToGrid w:val="0"/>
          <w:sz w:val="24"/>
          <w:szCs w:val="24"/>
          <w:lang w:eastAsia="en-US"/>
        </w:rPr>
        <w:t xml:space="preserve"> 1 към Насоките </w:t>
      </w:r>
      <w:r w:rsidR="00C217FB">
        <w:rPr>
          <w:snapToGrid w:val="0"/>
          <w:sz w:val="24"/>
          <w:szCs w:val="24"/>
          <w:lang w:eastAsia="en-US"/>
        </w:rPr>
        <w:t xml:space="preserve">на ЕК – Приложение </w:t>
      </w:r>
      <w:r w:rsidR="00C217FB" w:rsidRPr="00C217FB">
        <w:rPr>
          <w:snapToGrid w:val="0"/>
          <w:sz w:val="24"/>
          <w:szCs w:val="24"/>
          <w:lang w:eastAsia="en-US"/>
        </w:rPr>
        <w:t>VIII –T0</w:t>
      </w:r>
      <w:r w:rsidR="00C217FB">
        <w:rPr>
          <w:snapToGrid w:val="0"/>
          <w:sz w:val="24"/>
          <w:szCs w:val="24"/>
          <w:lang w:eastAsia="en-US"/>
        </w:rPr>
        <w:t>4 от Наръчника</w:t>
      </w:r>
      <w:r w:rsidR="00C66393" w:rsidRPr="00B01BA1">
        <w:rPr>
          <w:snapToGrid w:val="0"/>
          <w:sz w:val="24"/>
          <w:szCs w:val="24"/>
          <w:lang w:eastAsia="en-US"/>
        </w:rPr>
        <w:t>)</w:t>
      </w:r>
      <w:r w:rsidRPr="00B01BA1">
        <w:rPr>
          <w:snapToGrid w:val="0"/>
          <w:sz w:val="24"/>
          <w:szCs w:val="24"/>
          <w:lang w:eastAsia="en-US"/>
        </w:rPr>
        <w:t>,</w:t>
      </w:r>
      <w:r w:rsidRPr="003427A5">
        <w:rPr>
          <w:snapToGrid w:val="0"/>
          <w:sz w:val="24"/>
          <w:szCs w:val="24"/>
          <w:lang w:eastAsia="en-US"/>
        </w:rPr>
        <w:t xml:space="preserve"> </w:t>
      </w:r>
      <w:r w:rsidRPr="00D014C7">
        <w:rPr>
          <w:snapToGrid w:val="0"/>
          <w:sz w:val="24"/>
          <w:szCs w:val="24"/>
          <w:lang w:eastAsia="en-US"/>
        </w:rPr>
        <w:t>включващ</w:t>
      </w:r>
      <w:r w:rsidR="002C2D45">
        <w:rPr>
          <w:snapToGrid w:val="0"/>
          <w:sz w:val="24"/>
          <w:szCs w:val="24"/>
          <w:lang w:eastAsia="en-US"/>
        </w:rPr>
        <w:t xml:space="preserve"> (когато е приложимо)</w:t>
      </w:r>
      <w:r w:rsidRPr="00D014C7">
        <w:rPr>
          <w:snapToGrid w:val="0"/>
          <w:sz w:val="24"/>
          <w:szCs w:val="24"/>
          <w:lang w:eastAsia="en-US"/>
        </w:rPr>
        <w:t xml:space="preserve"> плановете за ограничаване на отделните рискове</w:t>
      </w:r>
      <w:r w:rsidRPr="00D014C7">
        <w:rPr>
          <w:sz w:val="24"/>
          <w:szCs w:val="24"/>
        </w:rPr>
        <w:t xml:space="preserve">, изготвени от отговорните </w:t>
      </w:r>
      <w:r w:rsidR="00CA5163">
        <w:rPr>
          <w:sz w:val="24"/>
          <w:szCs w:val="24"/>
        </w:rPr>
        <w:t>служители</w:t>
      </w:r>
      <w:r w:rsidRPr="00D014C7">
        <w:rPr>
          <w:sz w:val="24"/>
          <w:szCs w:val="24"/>
        </w:rPr>
        <w:t xml:space="preserve">. Целта е да бъде документирано и наблюдавано изпълнението на мерки за третиране на рисковете. </w:t>
      </w:r>
    </w:p>
    <w:p w14:paraId="5212EE0F" w14:textId="77777777" w:rsidR="00654651" w:rsidRPr="00D014C7" w:rsidRDefault="00654651" w:rsidP="00897DB2">
      <w:pPr>
        <w:spacing w:after="120"/>
        <w:ind w:firstLine="708"/>
        <w:jc w:val="both"/>
        <w:rPr>
          <w:sz w:val="24"/>
          <w:szCs w:val="24"/>
        </w:rPr>
      </w:pPr>
    </w:p>
    <w:p w14:paraId="19397C27" w14:textId="7E1F0724" w:rsidR="00FD1848" w:rsidRPr="00D014C7" w:rsidRDefault="00FD1848" w:rsidP="000A45F4">
      <w:pPr>
        <w:spacing w:after="120"/>
        <w:ind w:firstLine="708"/>
        <w:jc w:val="both"/>
        <w:rPr>
          <w:i/>
          <w:sz w:val="24"/>
          <w:szCs w:val="24"/>
        </w:rPr>
      </w:pPr>
      <w:r w:rsidRPr="00D014C7">
        <w:rPr>
          <w:i/>
          <w:sz w:val="24"/>
          <w:szCs w:val="24"/>
        </w:rPr>
        <w:t xml:space="preserve">Таблица </w:t>
      </w:r>
      <w:r w:rsidR="00233C2E">
        <w:rPr>
          <w:i/>
          <w:sz w:val="24"/>
          <w:szCs w:val="24"/>
        </w:rPr>
        <w:t>3</w:t>
      </w:r>
      <w:r w:rsidRPr="00D014C7">
        <w:rPr>
          <w:i/>
          <w:sz w:val="24"/>
          <w:szCs w:val="24"/>
        </w:rPr>
        <w:t>. Примерен План за управление на риска</w:t>
      </w: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
        <w:gridCol w:w="581"/>
        <w:gridCol w:w="1016"/>
        <w:gridCol w:w="1887"/>
        <w:gridCol w:w="2032"/>
        <w:gridCol w:w="1307"/>
        <w:gridCol w:w="1307"/>
        <w:gridCol w:w="1307"/>
      </w:tblGrid>
      <w:tr w:rsidR="00FD1848" w:rsidRPr="00D014C7" w14:paraId="0C50FD89" w14:textId="77777777" w:rsidTr="007A10FF">
        <w:trPr>
          <w:trHeight w:val="701"/>
        </w:trPr>
        <w:tc>
          <w:tcPr>
            <w:tcW w:w="293" w:type="dxa"/>
          </w:tcPr>
          <w:p w14:paraId="4D5CA9B3" w14:textId="77777777" w:rsidR="00FD1848" w:rsidRPr="00D014C7" w:rsidRDefault="00FD1848" w:rsidP="007A10FF">
            <w:pPr>
              <w:jc w:val="center"/>
            </w:pPr>
            <w:r w:rsidRPr="00D014C7">
              <w:t>№</w:t>
            </w:r>
          </w:p>
        </w:tc>
        <w:tc>
          <w:tcPr>
            <w:tcW w:w="581" w:type="dxa"/>
          </w:tcPr>
          <w:p w14:paraId="76E72771" w14:textId="77777777" w:rsidR="00FD1848" w:rsidRPr="00D014C7" w:rsidRDefault="00FD1848" w:rsidP="007A10FF">
            <w:pPr>
              <w:jc w:val="center"/>
            </w:pPr>
            <w:r w:rsidRPr="00D014C7">
              <w:t xml:space="preserve">Цел </w:t>
            </w:r>
          </w:p>
        </w:tc>
        <w:tc>
          <w:tcPr>
            <w:tcW w:w="1016" w:type="dxa"/>
          </w:tcPr>
          <w:p w14:paraId="1CE11E14" w14:textId="77777777" w:rsidR="00FD1848" w:rsidRPr="00D014C7" w:rsidRDefault="00FD1848" w:rsidP="007A10FF">
            <w:pPr>
              <w:jc w:val="center"/>
            </w:pPr>
            <w:r w:rsidRPr="00D014C7">
              <w:t>Риск</w:t>
            </w:r>
          </w:p>
        </w:tc>
        <w:tc>
          <w:tcPr>
            <w:tcW w:w="1887" w:type="dxa"/>
          </w:tcPr>
          <w:p w14:paraId="034B9AD8" w14:textId="77777777" w:rsidR="00FD1848" w:rsidRPr="00D014C7" w:rsidRDefault="00FD1848" w:rsidP="007A10FF">
            <w:pPr>
              <w:jc w:val="center"/>
            </w:pPr>
            <w:r w:rsidRPr="00D014C7">
              <w:t>Дейности/ Мерки за третиране на риска</w:t>
            </w:r>
          </w:p>
        </w:tc>
        <w:tc>
          <w:tcPr>
            <w:tcW w:w="2032" w:type="dxa"/>
          </w:tcPr>
          <w:p w14:paraId="067FFF14" w14:textId="77777777" w:rsidR="00FD1848" w:rsidRPr="00D014C7" w:rsidRDefault="00FD1848" w:rsidP="007A10FF">
            <w:pPr>
              <w:jc w:val="center"/>
            </w:pPr>
            <w:r w:rsidRPr="00D014C7">
              <w:t>Отговорен отдел/ Отговорни лица</w:t>
            </w:r>
          </w:p>
        </w:tc>
        <w:tc>
          <w:tcPr>
            <w:tcW w:w="1307" w:type="dxa"/>
          </w:tcPr>
          <w:p w14:paraId="776954FE" w14:textId="77777777" w:rsidR="00FD1848" w:rsidRPr="00D014C7" w:rsidRDefault="00FD1848" w:rsidP="007A10FF">
            <w:pPr>
              <w:jc w:val="center"/>
            </w:pPr>
            <w:r w:rsidRPr="00D014C7">
              <w:t>Краен/ Междинен срок</w:t>
            </w:r>
          </w:p>
        </w:tc>
        <w:tc>
          <w:tcPr>
            <w:tcW w:w="1307" w:type="dxa"/>
          </w:tcPr>
          <w:p w14:paraId="1EEE83FC" w14:textId="77777777" w:rsidR="00FD1848" w:rsidRPr="00D014C7" w:rsidRDefault="00FD1848" w:rsidP="007A10FF">
            <w:pPr>
              <w:jc w:val="center"/>
            </w:pPr>
            <w:r w:rsidRPr="00D014C7">
              <w:t>Отчет</w:t>
            </w:r>
          </w:p>
          <w:p w14:paraId="3F4A1E82" w14:textId="77777777" w:rsidR="00FD1848" w:rsidRPr="00D014C7" w:rsidRDefault="00FD1848" w:rsidP="007A10FF">
            <w:pPr>
              <w:jc w:val="center"/>
            </w:pPr>
            <w:r w:rsidRPr="00D014C7">
              <w:t>(дата/резултат)</w:t>
            </w:r>
          </w:p>
        </w:tc>
        <w:tc>
          <w:tcPr>
            <w:tcW w:w="1307" w:type="dxa"/>
          </w:tcPr>
          <w:p w14:paraId="19813167" w14:textId="77777777" w:rsidR="00FD1848" w:rsidRPr="00D014C7" w:rsidRDefault="00FD1848" w:rsidP="007A10FF">
            <w:pPr>
              <w:jc w:val="center"/>
            </w:pPr>
            <w:r w:rsidRPr="00D014C7">
              <w:t>Срещнати трудности</w:t>
            </w:r>
          </w:p>
        </w:tc>
      </w:tr>
      <w:tr w:rsidR="00FD1848" w:rsidRPr="00D014C7" w14:paraId="75EDCE04" w14:textId="77777777" w:rsidTr="007A10FF">
        <w:trPr>
          <w:trHeight w:val="416"/>
        </w:trPr>
        <w:tc>
          <w:tcPr>
            <w:tcW w:w="293" w:type="dxa"/>
          </w:tcPr>
          <w:p w14:paraId="1A1B1E54" w14:textId="77777777" w:rsidR="00FD1848" w:rsidRPr="00D014C7" w:rsidRDefault="00FD1848"/>
        </w:tc>
        <w:tc>
          <w:tcPr>
            <w:tcW w:w="581" w:type="dxa"/>
          </w:tcPr>
          <w:p w14:paraId="1D6740C7" w14:textId="77777777" w:rsidR="00FD1848" w:rsidRPr="007A10FF" w:rsidRDefault="00FD1848" w:rsidP="007A10FF">
            <w:pPr>
              <w:pStyle w:val="OPACbullet"/>
              <w:numPr>
                <w:ilvl w:val="0"/>
                <w:numId w:val="0"/>
              </w:numPr>
              <w:rPr>
                <w:spacing w:val="-4"/>
              </w:rPr>
            </w:pPr>
            <w:r w:rsidRPr="007A10FF">
              <w:rPr>
                <w:spacing w:val="-4"/>
              </w:rPr>
              <w:t xml:space="preserve"> </w:t>
            </w:r>
          </w:p>
        </w:tc>
        <w:tc>
          <w:tcPr>
            <w:tcW w:w="1016" w:type="dxa"/>
          </w:tcPr>
          <w:p w14:paraId="1D2CD7FB" w14:textId="77777777" w:rsidR="00FD1848" w:rsidRPr="00D014C7" w:rsidRDefault="00FD1848" w:rsidP="007A10FF">
            <w:pPr>
              <w:jc w:val="both"/>
            </w:pPr>
            <w:r w:rsidRPr="00D014C7">
              <w:t xml:space="preserve"> </w:t>
            </w:r>
          </w:p>
        </w:tc>
        <w:tc>
          <w:tcPr>
            <w:tcW w:w="1887" w:type="dxa"/>
          </w:tcPr>
          <w:p w14:paraId="5C6668D0" w14:textId="77777777" w:rsidR="00FD1848" w:rsidRPr="007A10FF" w:rsidRDefault="00FD1848" w:rsidP="007A10FF">
            <w:pPr>
              <w:widowControl/>
              <w:autoSpaceDE/>
              <w:autoSpaceDN/>
              <w:adjustRightInd/>
              <w:jc w:val="both"/>
              <w:rPr>
                <w:i/>
                <w:lang w:eastAsia="en-GB"/>
              </w:rPr>
            </w:pPr>
          </w:p>
        </w:tc>
        <w:tc>
          <w:tcPr>
            <w:tcW w:w="2032" w:type="dxa"/>
          </w:tcPr>
          <w:p w14:paraId="5FCFC8FB" w14:textId="77777777" w:rsidR="00FD1848" w:rsidRPr="00D014C7" w:rsidRDefault="00FD1848" w:rsidP="000A45F4"/>
        </w:tc>
        <w:tc>
          <w:tcPr>
            <w:tcW w:w="1307" w:type="dxa"/>
          </w:tcPr>
          <w:p w14:paraId="415E21B8" w14:textId="77777777" w:rsidR="00FD1848" w:rsidRPr="00D014C7" w:rsidRDefault="00FD1848" w:rsidP="000A45F4"/>
        </w:tc>
        <w:tc>
          <w:tcPr>
            <w:tcW w:w="1307" w:type="dxa"/>
          </w:tcPr>
          <w:p w14:paraId="53407632" w14:textId="77777777" w:rsidR="00FD1848" w:rsidRPr="00D014C7" w:rsidRDefault="00FD1848" w:rsidP="000A45F4"/>
        </w:tc>
        <w:tc>
          <w:tcPr>
            <w:tcW w:w="1307" w:type="dxa"/>
          </w:tcPr>
          <w:p w14:paraId="6B033AA5" w14:textId="77777777" w:rsidR="00FD1848" w:rsidRPr="00D014C7" w:rsidRDefault="00FD1848" w:rsidP="000A45F4"/>
        </w:tc>
      </w:tr>
    </w:tbl>
    <w:p w14:paraId="3F0555E1" w14:textId="3CBA1C0D" w:rsidR="00FD1848" w:rsidRPr="00D014C7" w:rsidRDefault="00FD1848" w:rsidP="00574D7B">
      <w:pPr>
        <w:spacing w:after="120"/>
        <w:ind w:firstLine="708"/>
        <w:jc w:val="both"/>
        <w:rPr>
          <w:sz w:val="24"/>
          <w:szCs w:val="24"/>
        </w:rPr>
      </w:pPr>
      <w:r w:rsidRPr="00D014C7">
        <w:rPr>
          <w:sz w:val="24"/>
          <w:szCs w:val="24"/>
        </w:rPr>
        <w:t xml:space="preserve">Ако оценката на рисковете е направена от външен изпълнител, той </w:t>
      </w:r>
      <w:r w:rsidR="00D57D7C" w:rsidRPr="0005696D">
        <w:rPr>
          <w:sz w:val="24"/>
          <w:szCs w:val="24"/>
        </w:rPr>
        <w:t xml:space="preserve"> </w:t>
      </w:r>
      <w:r w:rsidRPr="00D014C7">
        <w:rPr>
          <w:sz w:val="24"/>
          <w:szCs w:val="24"/>
        </w:rPr>
        <w:t>предлага План за управлението на риска, ко</w:t>
      </w:r>
      <w:r w:rsidR="00FA4C77">
        <w:rPr>
          <w:sz w:val="24"/>
          <w:szCs w:val="24"/>
        </w:rPr>
        <w:t>й</w:t>
      </w:r>
      <w:r w:rsidRPr="00D014C7">
        <w:rPr>
          <w:sz w:val="24"/>
          <w:szCs w:val="24"/>
        </w:rPr>
        <w:t>то трябва да бъд</w:t>
      </w:r>
      <w:r w:rsidR="004C07E0">
        <w:rPr>
          <w:sz w:val="24"/>
          <w:szCs w:val="24"/>
          <w:lang w:val="en-US"/>
        </w:rPr>
        <w:t>e</w:t>
      </w:r>
      <w:r w:rsidRPr="00D014C7">
        <w:rPr>
          <w:sz w:val="24"/>
          <w:szCs w:val="24"/>
        </w:rPr>
        <w:t xml:space="preserve"> одобрен от УО (чрез свикване на годишна среща на Работната група по оценка на риска).</w:t>
      </w:r>
      <w:r w:rsidR="00574D7B">
        <w:rPr>
          <w:sz w:val="24"/>
          <w:szCs w:val="24"/>
        </w:rPr>
        <w:t xml:space="preserve"> </w:t>
      </w:r>
      <w:r w:rsidRPr="00D014C7">
        <w:rPr>
          <w:sz w:val="24"/>
          <w:szCs w:val="24"/>
        </w:rPr>
        <w:t>Представители на изпълнителя следва да вземат участие в заседанията на Работната група. Ако Работната група отхвърли предложения</w:t>
      </w:r>
      <w:r w:rsidR="00574D7B">
        <w:rPr>
          <w:sz w:val="24"/>
          <w:szCs w:val="24"/>
        </w:rPr>
        <w:t xml:space="preserve"> от изпълнителя</w:t>
      </w:r>
      <w:r w:rsidRPr="00D014C7">
        <w:rPr>
          <w:sz w:val="24"/>
          <w:szCs w:val="24"/>
        </w:rPr>
        <w:t xml:space="preserve"> план, УО го връща за ревизиране или извършва самостоятелна оценка на риска по настоящата методология.</w:t>
      </w:r>
    </w:p>
    <w:p w14:paraId="4ABC7E44" w14:textId="77777777" w:rsidR="00FD1848" w:rsidRPr="00D014C7" w:rsidRDefault="00FD1848" w:rsidP="00367400">
      <w:pPr>
        <w:suppressAutoHyphens/>
        <w:spacing w:after="120"/>
        <w:ind w:firstLine="708"/>
        <w:jc w:val="both"/>
        <w:rPr>
          <w:sz w:val="24"/>
          <w:szCs w:val="24"/>
        </w:rPr>
      </w:pPr>
      <w:r w:rsidRPr="00D014C7">
        <w:rPr>
          <w:sz w:val="24"/>
          <w:szCs w:val="24"/>
        </w:rPr>
        <w:t>На годишната среща на Работната група по оценка на риска се определят отговорните отдели/лица за изпълнение на мерките за ограничаване на рисковете:</w:t>
      </w:r>
    </w:p>
    <w:p w14:paraId="3C44D543" w14:textId="4AD2E7C7"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н</w:t>
      </w:r>
      <w:r w:rsidRPr="00D014C7">
        <w:rPr>
          <w:sz w:val="24"/>
          <w:szCs w:val="24"/>
        </w:rPr>
        <w:t xml:space="preserve">ачалниците </w:t>
      </w:r>
      <w:r w:rsidR="00FD1848" w:rsidRPr="00D014C7">
        <w:rPr>
          <w:sz w:val="24"/>
          <w:szCs w:val="24"/>
        </w:rPr>
        <w:t>на отдели определят съответните отговорни лица за прилагане на мерки за третиране по отношение на рисковете;</w:t>
      </w:r>
    </w:p>
    <w:p w14:paraId="37B64E05" w14:textId="25D6B99B"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о</w:t>
      </w:r>
      <w:r w:rsidRPr="00D014C7">
        <w:rPr>
          <w:sz w:val="24"/>
          <w:szCs w:val="24"/>
        </w:rPr>
        <w:t xml:space="preserve">пределените </w:t>
      </w:r>
      <w:r w:rsidR="00FD1848" w:rsidRPr="00D014C7">
        <w:rPr>
          <w:sz w:val="24"/>
          <w:szCs w:val="24"/>
        </w:rPr>
        <w:t xml:space="preserve">отговорни </w:t>
      </w:r>
      <w:r w:rsidR="00CA5163">
        <w:rPr>
          <w:sz w:val="24"/>
          <w:szCs w:val="24"/>
        </w:rPr>
        <w:t>служители</w:t>
      </w:r>
      <w:r w:rsidR="00CA5163" w:rsidRPr="00D014C7">
        <w:rPr>
          <w:sz w:val="24"/>
          <w:szCs w:val="24"/>
        </w:rPr>
        <w:t xml:space="preserve"> </w:t>
      </w:r>
      <w:r w:rsidR="00FD1848" w:rsidRPr="00D014C7">
        <w:rPr>
          <w:sz w:val="24"/>
          <w:szCs w:val="24"/>
        </w:rPr>
        <w:t xml:space="preserve">за прилагане на ограничаващи риска мерки, следвайки инструкциите на ръководството на Управляващия орган, </w:t>
      </w:r>
      <w:r w:rsidR="003427A5">
        <w:rPr>
          <w:sz w:val="24"/>
          <w:szCs w:val="24"/>
        </w:rPr>
        <w:t>прилагат предвидените мерки</w:t>
      </w:r>
      <w:r w:rsidR="00FD1848" w:rsidRPr="00D014C7">
        <w:rPr>
          <w:sz w:val="24"/>
          <w:szCs w:val="24"/>
        </w:rPr>
        <w:t xml:space="preserve"> за ограничаване на рисковете в рамките на своето ниво на компетентност. Тези </w:t>
      </w:r>
      <w:r w:rsidR="003427A5">
        <w:rPr>
          <w:sz w:val="24"/>
          <w:szCs w:val="24"/>
        </w:rPr>
        <w:t>мерки</w:t>
      </w:r>
      <w:r w:rsidR="003427A5" w:rsidRPr="00D014C7">
        <w:rPr>
          <w:sz w:val="24"/>
          <w:szCs w:val="24"/>
        </w:rPr>
        <w:t xml:space="preserve"> </w:t>
      </w:r>
      <w:r w:rsidR="00FD1848" w:rsidRPr="00D014C7">
        <w:rPr>
          <w:sz w:val="24"/>
          <w:szCs w:val="24"/>
        </w:rPr>
        <w:t>включват следното:</w:t>
      </w:r>
    </w:p>
    <w:p w14:paraId="67DBF81F" w14:textId="399B4746" w:rsidR="00FD1848" w:rsidRPr="00D014C7" w:rsidRDefault="00FD1848" w:rsidP="00EB17D7">
      <w:pPr>
        <w:numPr>
          <w:ilvl w:val="1"/>
          <w:numId w:val="43"/>
        </w:numPr>
        <w:tabs>
          <w:tab w:val="clear" w:pos="1788"/>
          <w:tab w:val="left" w:pos="1080"/>
          <w:tab w:val="num" w:pos="2127"/>
        </w:tabs>
        <w:suppressAutoHyphens/>
        <w:autoSpaceDE/>
        <w:autoSpaceDN/>
        <w:adjustRightInd/>
        <w:spacing w:after="120"/>
        <w:ind w:left="2127" w:hanging="327"/>
        <w:jc w:val="both"/>
        <w:rPr>
          <w:bCs/>
          <w:sz w:val="24"/>
          <w:szCs w:val="24"/>
        </w:rPr>
      </w:pPr>
      <w:r w:rsidRPr="00D014C7">
        <w:rPr>
          <w:bCs/>
          <w:sz w:val="24"/>
          <w:szCs w:val="24"/>
        </w:rPr>
        <w:t xml:space="preserve">конкретни превантивни и/или ограничителни </w:t>
      </w:r>
      <w:r w:rsidR="003427A5">
        <w:rPr>
          <w:bCs/>
          <w:sz w:val="24"/>
          <w:szCs w:val="24"/>
        </w:rPr>
        <w:t>действия</w:t>
      </w:r>
      <w:r w:rsidR="003427A5" w:rsidRPr="00D014C7">
        <w:rPr>
          <w:bCs/>
          <w:sz w:val="24"/>
          <w:szCs w:val="24"/>
        </w:rPr>
        <w:t xml:space="preserve"> </w:t>
      </w:r>
      <w:r w:rsidRPr="00D014C7">
        <w:rPr>
          <w:bCs/>
          <w:sz w:val="24"/>
          <w:szCs w:val="24"/>
        </w:rPr>
        <w:t xml:space="preserve">за </w:t>
      </w:r>
      <w:r w:rsidR="00EB17D7">
        <w:rPr>
          <w:bCs/>
          <w:sz w:val="24"/>
          <w:szCs w:val="24"/>
        </w:rPr>
        <w:t>съответния</w:t>
      </w:r>
      <w:r w:rsidR="00EB17D7" w:rsidRPr="00D014C7">
        <w:rPr>
          <w:bCs/>
          <w:sz w:val="24"/>
          <w:szCs w:val="24"/>
        </w:rPr>
        <w:t xml:space="preserve"> </w:t>
      </w:r>
      <w:r w:rsidRPr="00D014C7">
        <w:rPr>
          <w:bCs/>
          <w:sz w:val="24"/>
          <w:szCs w:val="24"/>
        </w:rPr>
        <w:t>риск;</w:t>
      </w:r>
    </w:p>
    <w:p w14:paraId="036D9CC2" w14:textId="07AE0C87" w:rsidR="00322235" w:rsidRDefault="003427A5" w:rsidP="00233C2E">
      <w:pPr>
        <w:numPr>
          <w:ilvl w:val="1"/>
          <w:numId w:val="43"/>
        </w:numPr>
        <w:tabs>
          <w:tab w:val="clear" w:pos="1788"/>
          <w:tab w:val="left" w:pos="1080"/>
          <w:tab w:val="num" w:pos="2160"/>
        </w:tabs>
        <w:autoSpaceDE/>
        <w:autoSpaceDN/>
        <w:adjustRightInd/>
        <w:spacing w:after="120"/>
        <w:ind w:left="2160"/>
        <w:jc w:val="both"/>
        <w:rPr>
          <w:sz w:val="24"/>
          <w:szCs w:val="24"/>
        </w:rPr>
      </w:pPr>
      <w:r>
        <w:rPr>
          <w:bCs/>
          <w:sz w:val="24"/>
          <w:szCs w:val="24"/>
        </w:rPr>
        <w:t xml:space="preserve">използване на подходящ </w:t>
      </w:r>
      <w:r w:rsidR="00FD1848" w:rsidRPr="00D014C7">
        <w:rPr>
          <w:bCs/>
          <w:sz w:val="24"/>
          <w:szCs w:val="24"/>
        </w:rPr>
        <w:t xml:space="preserve">начин на изпълнение на тези дейности с цел ограничаване на рисковете до </w:t>
      </w:r>
      <w:r>
        <w:rPr>
          <w:bCs/>
          <w:sz w:val="24"/>
          <w:szCs w:val="24"/>
        </w:rPr>
        <w:t xml:space="preserve">предварително определеното от РГ </w:t>
      </w:r>
      <w:r w:rsidR="00FD1848" w:rsidRPr="00D014C7">
        <w:rPr>
          <w:bCs/>
          <w:sz w:val="24"/>
          <w:szCs w:val="24"/>
        </w:rPr>
        <w:t>ниво</w:t>
      </w:r>
      <w:r>
        <w:rPr>
          <w:bCs/>
          <w:sz w:val="24"/>
          <w:szCs w:val="24"/>
        </w:rPr>
        <w:t>.</w:t>
      </w:r>
    </w:p>
    <w:p w14:paraId="04DF7D6E" w14:textId="77777777" w:rsidR="00FD1848" w:rsidRPr="00D014C7" w:rsidRDefault="00FD1848" w:rsidP="005F5239">
      <w:pPr>
        <w:pStyle w:val="Heading1"/>
        <w:rPr>
          <w:lang w:val="bg-BG"/>
        </w:rPr>
      </w:pPr>
      <w:r w:rsidRPr="00D014C7">
        <w:rPr>
          <w:lang w:val="bg-BG"/>
        </w:rPr>
        <w:t>Дейност 2 – Третиране на риска</w:t>
      </w:r>
    </w:p>
    <w:p w14:paraId="0CDB90F3" w14:textId="3B234918" w:rsidR="00FD1848" w:rsidRPr="00D014C7" w:rsidRDefault="00FD1848" w:rsidP="00B01BA1">
      <w:pPr>
        <w:spacing w:after="120"/>
        <w:ind w:firstLine="708"/>
        <w:jc w:val="both"/>
        <w:rPr>
          <w:sz w:val="24"/>
          <w:szCs w:val="24"/>
        </w:rPr>
      </w:pPr>
      <w:r w:rsidRPr="00D014C7">
        <w:rPr>
          <w:sz w:val="24"/>
          <w:szCs w:val="24"/>
        </w:rPr>
        <w:t>Служителите, определени за изпълнението на мерки по ограничаване на риска, изпълняват плановете за ограничаване на риска по критичните рискове в конкретните области на планиране в съответствие с конкретната възложена отговорност и в рамките на тяхната компетентност. Изпълняването на плановете за ограничаване на риска включва най-общо:</w:t>
      </w:r>
    </w:p>
    <w:p w14:paraId="5E545F4A" w14:textId="77777777"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изпълняване на превантивни мерки за съответния риск;</w:t>
      </w:r>
    </w:p>
    <w:p w14:paraId="65D88FBE" w14:textId="3A848B09"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извършване на дейности за ограничаване на риска до минималните възможни нива</w:t>
      </w:r>
      <w:r w:rsidR="00322235">
        <w:rPr>
          <w:sz w:val="24"/>
          <w:szCs w:val="24"/>
        </w:rPr>
        <w:t>;</w:t>
      </w:r>
    </w:p>
    <w:p w14:paraId="400F6183" w14:textId="4B2662D4"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приемане на риска</w:t>
      </w:r>
      <w:r w:rsidR="00322235">
        <w:rPr>
          <w:sz w:val="24"/>
          <w:szCs w:val="24"/>
        </w:rPr>
        <w:t>.</w:t>
      </w:r>
    </w:p>
    <w:p w14:paraId="291CB13D" w14:textId="53B80472" w:rsidR="00FD1848" w:rsidRPr="00D014C7" w:rsidRDefault="00FD1848" w:rsidP="005F5239">
      <w:pPr>
        <w:pStyle w:val="Heading1"/>
        <w:rPr>
          <w:lang w:val="bg-BG"/>
        </w:rPr>
      </w:pPr>
      <w:r w:rsidRPr="00D014C7">
        <w:rPr>
          <w:lang w:val="bg-BG"/>
        </w:rPr>
        <w:t>Дейност 3 – Контрол на риска и наблюдение на процеса по ограничаване на риска</w:t>
      </w:r>
    </w:p>
    <w:p w14:paraId="4CC8320C" w14:textId="558F6460" w:rsidR="00FD1848" w:rsidRPr="00D014C7" w:rsidRDefault="00FD1848" w:rsidP="00B01BA1">
      <w:pPr>
        <w:spacing w:after="120"/>
        <w:ind w:firstLine="708"/>
        <w:jc w:val="both"/>
        <w:rPr>
          <w:sz w:val="24"/>
          <w:szCs w:val="24"/>
        </w:rPr>
      </w:pPr>
      <w:r w:rsidRPr="00D014C7">
        <w:rPr>
          <w:sz w:val="24"/>
          <w:szCs w:val="24"/>
        </w:rPr>
        <w:t>Управлението на риска е постоянен процес. Работната група по оценка на риска провежда редовното си заседание веднъж годишно</w:t>
      </w:r>
      <w:r w:rsidR="00322235">
        <w:rPr>
          <w:sz w:val="24"/>
          <w:szCs w:val="24"/>
        </w:rPr>
        <w:t xml:space="preserve"> </w:t>
      </w:r>
      <w:r w:rsidR="00322235" w:rsidRPr="00D014C7">
        <w:rPr>
          <w:sz w:val="24"/>
          <w:szCs w:val="24"/>
        </w:rPr>
        <w:t>през четвъртото тримесечие</w:t>
      </w:r>
      <w:r w:rsidR="00322235">
        <w:rPr>
          <w:sz w:val="24"/>
          <w:szCs w:val="24"/>
        </w:rPr>
        <w:t>.</w:t>
      </w:r>
      <w:r w:rsidRPr="00D014C7">
        <w:rPr>
          <w:sz w:val="24"/>
          <w:szCs w:val="24"/>
        </w:rPr>
        <w:t xml:space="preserve"> </w:t>
      </w:r>
      <w:r w:rsidR="00322235">
        <w:rPr>
          <w:sz w:val="24"/>
          <w:szCs w:val="24"/>
        </w:rPr>
        <w:t>О</w:t>
      </w:r>
      <w:r w:rsidRPr="00D014C7">
        <w:rPr>
          <w:sz w:val="24"/>
          <w:szCs w:val="24"/>
        </w:rPr>
        <w:t xml:space="preserve">тговорните отдели и лица за прилагане на ограничаващи мерки относно риска, както и целият персонал на Управляващия орган участват перманентно в управление на рисковете. </w:t>
      </w:r>
    </w:p>
    <w:p w14:paraId="3734DBBD" w14:textId="77777777" w:rsidR="00FD1848" w:rsidRPr="00D014C7" w:rsidRDefault="00FD1848" w:rsidP="00B01BA1">
      <w:pPr>
        <w:spacing w:after="120"/>
        <w:ind w:firstLine="708"/>
        <w:jc w:val="both"/>
        <w:rPr>
          <w:sz w:val="24"/>
          <w:szCs w:val="24"/>
        </w:rPr>
      </w:pPr>
      <w:r w:rsidRPr="00D014C7">
        <w:rPr>
          <w:sz w:val="24"/>
          <w:szCs w:val="24"/>
        </w:rPr>
        <w:t>За целите на наблюдението на процеса по ограничаване на рисковете, се предприемат следните мерки:</w:t>
      </w:r>
    </w:p>
    <w:p w14:paraId="01DEB24A" w14:textId="77777777" w:rsidR="00FD1848" w:rsidRPr="00D014C7" w:rsidRDefault="00FD1848" w:rsidP="009C7D23">
      <w:pPr>
        <w:numPr>
          <w:ilvl w:val="1"/>
          <w:numId w:val="44"/>
        </w:numPr>
        <w:tabs>
          <w:tab w:val="left" w:pos="900"/>
          <w:tab w:val="left" w:pos="1320"/>
        </w:tabs>
        <w:suppressAutoHyphens/>
        <w:autoSpaceDE/>
        <w:autoSpaceDN/>
        <w:adjustRightInd/>
        <w:spacing w:after="120"/>
        <w:ind w:hanging="708"/>
        <w:jc w:val="both"/>
        <w:rPr>
          <w:sz w:val="24"/>
          <w:szCs w:val="24"/>
        </w:rPr>
      </w:pPr>
      <w:r w:rsidRPr="00D014C7">
        <w:rPr>
          <w:sz w:val="24"/>
          <w:szCs w:val="24"/>
        </w:rPr>
        <w:t>поддържа се</w:t>
      </w:r>
      <w:r w:rsidRPr="00D014C7">
        <w:rPr>
          <w:b/>
          <w:sz w:val="24"/>
          <w:szCs w:val="24"/>
        </w:rPr>
        <w:t xml:space="preserve"> </w:t>
      </w:r>
      <w:r w:rsidRPr="00D014C7">
        <w:rPr>
          <w:sz w:val="24"/>
          <w:szCs w:val="24"/>
        </w:rPr>
        <w:t>база данни на риска;</w:t>
      </w:r>
    </w:p>
    <w:p w14:paraId="58CA1D28" w14:textId="6AFF755D" w:rsidR="001703B5" w:rsidRPr="00B01BA1" w:rsidRDefault="00FD1848" w:rsidP="008B4B7D">
      <w:pPr>
        <w:numPr>
          <w:ilvl w:val="1"/>
          <w:numId w:val="44"/>
        </w:numPr>
        <w:tabs>
          <w:tab w:val="clear" w:pos="1788"/>
          <w:tab w:val="left" w:pos="900"/>
          <w:tab w:val="num" w:pos="1134"/>
          <w:tab w:val="left" w:pos="1320"/>
        </w:tabs>
        <w:suppressAutoHyphens/>
        <w:autoSpaceDE/>
        <w:autoSpaceDN/>
        <w:adjustRightInd/>
        <w:spacing w:after="120"/>
        <w:ind w:left="1276" w:hanging="196"/>
        <w:jc w:val="both"/>
        <w:rPr>
          <w:b/>
          <w:sz w:val="24"/>
          <w:szCs w:val="24"/>
        </w:rPr>
      </w:pPr>
      <w:r w:rsidRPr="008B4B7D">
        <w:rPr>
          <w:sz w:val="24"/>
          <w:szCs w:val="24"/>
        </w:rPr>
        <w:t>провежда се шестмесечна среща за наблюдение на рисковете</w:t>
      </w:r>
      <w:r w:rsidR="001703B5">
        <w:rPr>
          <w:sz w:val="24"/>
          <w:szCs w:val="24"/>
        </w:rPr>
        <w:t>.</w:t>
      </w:r>
      <w:r w:rsidR="00682F9D" w:rsidRPr="0005696D">
        <w:rPr>
          <w:sz w:val="24"/>
          <w:szCs w:val="24"/>
        </w:rPr>
        <w:t xml:space="preserve"> </w:t>
      </w:r>
    </w:p>
    <w:p w14:paraId="26CE63D4" w14:textId="07F839B2" w:rsidR="00FD1848" w:rsidRPr="008B4B7D" w:rsidRDefault="00FD1848" w:rsidP="00B01BA1">
      <w:pPr>
        <w:spacing w:after="120"/>
        <w:ind w:firstLine="708"/>
        <w:jc w:val="both"/>
        <w:rPr>
          <w:b/>
          <w:sz w:val="24"/>
          <w:szCs w:val="24"/>
        </w:rPr>
      </w:pPr>
      <w:r w:rsidRPr="008B4B7D">
        <w:rPr>
          <w:b/>
          <w:sz w:val="24"/>
          <w:szCs w:val="24"/>
        </w:rPr>
        <w:t>База данни на риска</w:t>
      </w:r>
    </w:p>
    <w:p w14:paraId="56D87329" w14:textId="790AA458" w:rsidR="00FD1848" w:rsidRPr="00D014C7" w:rsidRDefault="00FD1848" w:rsidP="00367400">
      <w:pPr>
        <w:spacing w:after="120"/>
        <w:ind w:firstLine="708"/>
        <w:jc w:val="both"/>
        <w:rPr>
          <w:sz w:val="24"/>
          <w:szCs w:val="24"/>
        </w:rPr>
      </w:pPr>
      <w:r w:rsidRPr="00D014C7">
        <w:rPr>
          <w:sz w:val="24"/>
          <w:szCs w:val="24"/>
        </w:rPr>
        <w:t xml:space="preserve">Базата данни се състои от </w:t>
      </w:r>
      <w:r w:rsidR="001703B5">
        <w:rPr>
          <w:sz w:val="24"/>
          <w:szCs w:val="24"/>
        </w:rPr>
        <w:t>следните</w:t>
      </w:r>
      <w:r w:rsidR="001703B5" w:rsidRPr="00D014C7">
        <w:rPr>
          <w:sz w:val="24"/>
          <w:szCs w:val="24"/>
        </w:rPr>
        <w:t xml:space="preserve"> </w:t>
      </w:r>
      <w:r w:rsidRPr="00D014C7">
        <w:rPr>
          <w:sz w:val="24"/>
          <w:szCs w:val="24"/>
        </w:rPr>
        <w:t>части:</w:t>
      </w:r>
    </w:p>
    <w:p w14:paraId="24E5DDEC" w14:textId="284FAC45"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 xml:space="preserve">списък </w:t>
      </w:r>
      <w:r w:rsidR="00413FC7">
        <w:rPr>
          <w:sz w:val="24"/>
          <w:szCs w:val="24"/>
        </w:rPr>
        <w:t>с идентифицираните рискове;</w:t>
      </w:r>
    </w:p>
    <w:p w14:paraId="539D166C" w14:textId="1390A6EA"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документи</w:t>
      </w:r>
      <w:r w:rsidR="00413FC7">
        <w:rPr>
          <w:sz w:val="24"/>
          <w:szCs w:val="24"/>
        </w:rPr>
        <w:t xml:space="preserve">, свързани с </w:t>
      </w:r>
      <w:r w:rsidR="00654651">
        <w:rPr>
          <w:sz w:val="24"/>
          <w:szCs w:val="24"/>
        </w:rPr>
        <w:t>анализа</w:t>
      </w:r>
      <w:r w:rsidR="00413FC7">
        <w:rPr>
          <w:sz w:val="24"/>
          <w:szCs w:val="24"/>
        </w:rPr>
        <w:t xml:space="preserve"> на риска;</w:t>
      </w:r>
    </w:p>
    <w:p w14:paraId="48C6E01C" w14:textId="1A74CBEA" w:rsidR="00FD1848" w:rsidRPr="00D014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Pr="00D014C7">
        <w:rPr>
          <w:sz w:val="24"/>
          <w:szCs w:val="24"/>
        </w:rPr>
        <w:t xml:space="preserve">лан </w:t>
      </w:r>
      <w:r w:rsidR="00FD1848" w:rsidRPr="00D014C7">
        <w:rPr>
          <w:sz w:val="24"/>
          <w:szCs w:val="24"/>
        </w:rPr>
        <w:t xml:space="preserve">за </w:t>
      </w:r>
      <w:r w:rsidR="009858D3">
        <w:rPr>
          <w:sz w:val="24"/>
          <w:szCs w:val="24"/>
        </w:rPr>
        <w:t>действие/</w:t>
      </w:r>
      <w:r w:rsidR="00FD1848" w:rsidRPr="00D014C7">
        <w:rPr>
          <w:sz w:val="24"/>
          <w:szCs w:val="24"/>
        </w:rPr>
        <w:t>управление на риска</w:t>
      </w:r>
      <w:r w:rsidR="00413FC7">
        <w:rPr>
          <w:sz w:val="24"/>
          <w:szCs w:val="24"/>
        </w:rPr>
        <w:t>;</w:t>
      </w:r>
    </w:p>
    <w:p w14:paraId="10906173" w14:textId="0DBF8296" w:rsidR="00FD1848" w:rsidRPr="00D014C7" w:rsidRDefault="00C217FB" w:rsidP="00442A9F">
      <w:pPr>
        <w:numPr>
          <w:ilvl w:val="1"/>
          <w:numId w:val="44"/>
        </w:numPr>
        <w:tabs>
          <w:tab w:val="left" w:pos="900"/>
          <w:tab w:val="left" w:pos="1320"/>
        </w:tabs>
        <w:suppressAutoHyphens/>
        <w:autoSpaceDE/>
        <w:autoSpaceDN/>
        <w:adjustRightInd/>
        <w:spacing w:after="120"/>
        <w:ind w:hanging="708"/>
        <w:jc w:val="both"/>
        <w:rPr>
          <w:sz w:val="24"/>
          <w:szCs w:val="24"/>
        </w:rPr>
      </w:pPr>
      <w:r>
        <w:rPr>
          <w:sz w:val="24"/>
          <w:szCs w:val="24"/>
        </w:rPr>
        <w:t>п</w:t>
      </w:r>
      <w:r w:rsidRPr="00D014C7">
        <w:rPr>
          <w:sz w:val="24"/>
          <w:szCs w:val="24"/>
        </w:rPr>
        <w:t xml:space="preserve">ланове </w:t>
      </w:r>
      <w:r w:rsidR="00FD1848" w:rsidRPr="00D014C7">
        <w:rPr>
          <w:sz w:val="24"/>
          <w:szCs w:val="24"/>
        </w:rPr>
        <w:t>за ограничаване на риск</w:t>
      </w:r>
      <w:r w:rsidR="00654651">
        <w:rPr>
          <w:sz w:val="24"/>
          <w:szCs w:val="24"/>
        </w:rPr>
        <w:t>овете</w:t>
      </w:r>
      <w:r w:rsidR="00413FC7">
        <w:rPr>
          <w:sz w:val="24"/>
          <w:szCs w:val="24"/>
        </w:rPr>
        <w:t>;</w:t>
      </w:r>
    </w:p>
    <w:p w14:paraId="0DF73300" w14:textId="07017F46" w:rsidR="00FD1848" w:rsidRPr="00D014C7" w:rsidRDefault="001703B5" w:rsidP="00B01BA1">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00FD1848" w:rsidRPr="00D014C7">
        <w:rPr>
          <w:sz w:val="24"/>
          <w:szCs w:val="24"/>
        </w:rPr>
        <w:t>ротоколи от заседанията на Работната група по оценка на риска.</w:t>
      </w:r>
    </w:p>
    <w:p w14:paraId="5F6C3FA5" w14:textId="658B7281" w:rsidR="00FD1848" w:rsidRPr="00D014C7" w:rsidRDefault="00FD1848" w:rsidP="00B01BA1">
      <w:pPr>
        <w:spacing w:after="120"/>
        <w:ind w:firstLine="708"/>
        <w:jc w:val="both"/>
        <w:rPr>
          <w:sz w:val="24"/>
          <w:szCs w:val="24"/>
        </w:rPr>
      </w:pPr>
      <w:r w:rsidRPr="00D014C7">
        <w:rPr>
          <w:sz w:val="24"/>
          <w:szCs w:val="24"/>
        </w:rPr>
        <w:t xml:space="preserve">Базата данни на риска се поддържа от секретаря на </w:t>
      </w:r>
      <w:r w:rsidR="001703B5">
        <w:rPr>
          <w:sz w:val="24"/>
          <w:szCs w:val="24"/>
        </w:rPr>
        <w:t xml:space="preserve">РГ </w:t>
      </w:r>
      <w:r w:rsidRPr="00D014C7">
        <w:rPr>
          <w:sz w:val="24"/>
          <w:szCs w:val="24"/>
        </w:rPr>
        <w:t>по оценка на риска</w:t>
      </w:r>
      <w:r w:rsidR="00C401C6">
        <w:rPr>
          <w:sz w:val="24"/>
          <w:szCs w:val="24"/>
        </w:rPr>
        <w:t xml:space="preserve">, като достъп до нея </w:t>
      </w:r>
      <w:r w:rsidR="00A97FC5">
        <w:rPr>
          <w:sz w:val="24"/>
          <w:szCs w:val="24"/>
        </w:rPr>
        <w:t xml:space="preserve">(в електронен формат) </w:t>
      </w:r>
      <w:r w:rsidR="00C401C6">
        <w:rPr>
          <w:sz w:val="24"/>
          <w:szCs w:val="24"/>
        </w:rPr>
        <w:t xml:space="preserve">се осигурява за всички </w:t>
      </w:r>
      <w:r w:rsidR="00A97FC5">
        <w:rPr>
          <w:sz w:val="24"/>
          <w:szCs w:val="24"/>
        </w:rPr>
        <w:t>ангажирани с оценката на риска</w:t>
      </w:r>
      <w:r w:rsidR="00D86D18">
        <w:rPr>
          <w:sz w:val="24"/>
          <w:szCs w:val="24"/>
        </w:rPr>
        <w:t xml:space="preserve"> служители</w:t>
      </w:r>
      <w:r w:rsidR="00C401C6">
        <w:rPr>
          <w:sz w:val="24"/>
          <w:szCs w:val="24"/>
        </w:rPr>
        <w:t>.</w:t>
      </w:r>
    </w:p>
    <w:p w14:paraId="56D28311" w14:textId="222D7AA7" w:rsidR="00FD1848" w:rsidRPr="00D014C7" w:rsidRDefault="00FD1848" w:rsidP="00367400">
      <w:pPr>
        <w:spacing w:after="120"/>
        <w:ind w:firstLine="708"/>
        <w:jc w:val="both"/>
        <w:rPr>
          <w:b/>
          <w:sz w:val="24"/>
          <w:szCs w:val="24"/>
        </w:rPr>
      </w:pPr>
      <w:r w:rsidRPr="00D014C7">
        <w:rPr>
          <w:b/>
          <w:sz w:val="24"/>
          <w:szCs w:val="24"/>
        </w:rPr>
        <w:t xml:space="preserve">Шестмесечна среща </w:t>
      </w:r>
      <w:r w:rsidR="00981D4B">
        <w:rPr>
          <w:b/>
          <w:sz w:val="24"/>
          <w:szCs w:val="24"/>
        </w:rPr>
        <w:t xml:space="preserve">на Работната група </w:t>
      </w:r>
      <w:r w:rsidRPr="00D014C7">
        <w:rPr>
          <w:b/>
          <w:sz w:val="24"/>
          <w:szCs w:val="24"/>
        </w:rPr>
        <w:t xml:space="preserve">за </w:t>
      </w:r>
      <w:r w:rsidR="00981D4B">
        <w:rPr>
          <w:b/>
          <w:sz w:val="24"/>
          <w:szCs w:val="24"/>
        </w:rPr>
        <w:t>оценка на риска</w:t>
      </w:r>
    </w:p>
    <w:p w14:paraId="01F9B1EC" w14:textId="0BA546F0" w:rsidR="00981D4B" w:rsidRDefault="00FD1848" w:rsidP="00725E92">
      <w:pPr>
        <w:spacing w:after="120"/>
        <w:ind w:firstLine="708"/>
        <w:jc w:val="both"/>
        <w:rPr>
          <w:sz w:val="24"/>
          <w:szCs w:val="24"/>
        </w:rPr>
      </w:pPr>
      <w:r w:rsidRPr="00C217FB">
        <w:rPr>
          <w:sz w:val="24"/>
          <w:szCs w:val="24"/>
        </w:rPr>
        <w:t xml:space="preserve">Тези срещи се </w:t>
      </w:r>
      <w:r w:rsidR="00981D4B" w:rsidRPr="00C217FB">
        <w:rPr>
          <w:sz w:val="24"/>
          <w:szCs w:val="24"/>
        </w:rPr>
        <w:t xml:space="preserve">свикват и </w:t>
      </w:r>
      <w:r w:rsidRPr="00C217FB">
        <w:rPr>
          <w:sz w:val="24"/>
          <w:szCs w:val="24"/>
        </w:rPr>
        <w:t>ръководят от председателя</w:t>
      </w:r>
      <w:r w:rsidR="003427A5" w:rsidRPr="00C217FB">
        <w:rPr>
          <w:sz w:val="24"/>
          <w:szCs w:val="24"/>
        </w:rPr>
        <w:t>, заместник-председателя (ако е приложимо) или секретаря</w:t>
      </w:r>
      <w:r w:rsidRPr="00C217FB">
        <w:rPr>
          <w:sz w:val="24"/>
          <w:szCs w:val="24"/>
        </w:rPr>
        <w:t xml:space="preserve"> на Работната група по оценка на риска. На шестмесечните срещи за наблюдение на риска се извършва преглед на базата данни на риска. Проследява се изпълнението на Плана за управление на риска</w:t>
      </w:r>
      <w:r w:rsidR="00C217FB" w:rsidRPr="00C217FB">
        <w:rPr>
          <w:sz w:val="24"/>
          <w:szCs w:val="24"/>
        </w:rPr>
        <w:t>,</w:t>
      </w:r>
      <w:r w:rsidR="00C66393" w:rsidRPr="00B01BA1">
        <w:rPr>
          <w:sz w:val="24"/>
          <w:szCs w:val="24"/>
        </w:rPr>
        <w:t xml:space="preserve"> </w:t>
      </w:r>
      <w:r w:rsidR="003427A5" w:rsidRPr="00B01BA1">
        <w:rPr>
          <w:sz w:val="24"/>
          <w:szCs w:val="24"/>
        </w:rPr>
        <w:t xml:space="preserve">плановете за </w:t>
      </w:r>
      <w:r w:rsidR="00C66393" w:rsidRPr="00B01BA1">
        <w:rPr>
          <w:sz w:val="24"/>
          <w:szCs w:val="24"/>
        </w:rPr>
        <w:t>действие</w:t>
      </w:r>
      <w:r w:rsidR="003427A5" w:rsidRPr="00B01BA1">
        <w:rPr>
          <w:sz w:val="24"/>
          <w:szCs w:val="24"/>
        </w:rPr>
        <w:t xml:space="preserve"> </w:t>
      </w:r>
      <w:r w:rsidR="003427A5" w:rsidRPr="00C217FB">
        <w:rPr>
          <w:snapToGrid w:val="0"/>
          <w:sz w:val="24"/>
          <w:szCs w:val="24"/>
          <w:lang w:eastAsia="en-US"/>
        </w:rPr>
        <w:t xml:space="preserve">(съгласно </w:t>
      </w:r>
      <w:r w:rsidR="007639B3" w:rsidRPr="00C217FB">
        <w:rPr>
          <w:snapToGrid w:val="0"/>
          <w:sz w:val="24"/>
          <w:szCs w:val="24"/>
          <w:lang w:eastAsia="en-US"/>
        </w:rPr>
        <w:t xml:space="preserve">Приложение </w:t>
      </w:r>
      <w:r w:rsidR="003427A5" w:rsidRPr="00C217FB">
        <w:rPr>
          <w:snapToGrid w:val="0"/>
          <w:sz w:val="24"/>
          <w:szCs w:val="24"/>
          <w:lang w:eastAsia="en-US"/>
        </w:rPr>
        <w:t xml:space="preserve">1 към Насоките </w:t>
      </w:r>
      <w:r w:rsidR="00C217FB" w:rsidRPr="00C217FB">
        <w:rPr>
          <w:snapToGrid w:val="0"/>
          <w:sz w:val="24"/>
          <w:szCs w:val="24"/>
          <w:lang w:eastAsia="en-US"/>
        </w:rPr>
        <w:t>на ЕК</w:t>
      </w:r>
      <w:r w:rsidR="003427A5" w:rsidRPr="00C217FB">
        <w:rPr>
          <w:snapToGrid w:val="0"/>
          <w:sz w:val="24"/>
          <w:szCs w:val="24"/>
          <w:lang w:eastAsia="en-US"/>
        </w:rPr>
        <w:t xml:space="preserve">) </w:t>
      </w:r>
      <w:r w:rsidRPr="00C217FB">
        <w:rPr>
          <w:sz w:val="24"/>
          <w:szCs w:val="24"/>
        </w:rPr>
        <w:t xml:space="preserve">. </w:t>
      </w:r>
      <w:r w:rsidR="00C94992" w:rsidRPr="00C217FB">
        <w:rPr>
          <w:sz w:val="24"/>
          <w:szCs w:val="24"/>
        </w:rPr>
        <w:t>Преди всяка шестмесечна среща служителите, отговорни за ограничаването на критичните рискове, актуализират съответните Планове за ограничаване</w:t>
      </w:r>
      <w:r w:rsidR="00FA4C77" w:rsidRPr="00B01BA1">
        <w:rPr>
          <w:sz w:val="24"/>
          <w:szCs w:val="24"/>
        </w:rPr>
        <w:t>/</w:t>
      </w:r>
      <w:r w:rsidR="00462905" w:rsidRPr="00B01BA1">
        <w:rPr>
          <w:sz w:val="24"/>
          <w:szCs w:val="24"/>
        </w:rPr>
        <w:t xml:space="preserve">управление на риска и планове </w:t>
      </w:r>
      <w:r w:rsidR="00C66393" w:rsidRPr="00B01BA1">
        <w:rPr>
          <w:sz w:val="24"/>
          <w:szCs w:val="24"/>
        </w:rPr>
        <w:t xml:space="preserve">за действие </w:t>
      </w:r>
      <w:r w:rsidR="00C94992" w:rsidRPr="00C217FB">
        <w:rPr>
          <w:sz w:val="24"/>
          <w:szCs w:val="24"/>
        </w:rPr>
        <w:t xml:space="preserve">и ги изпращат на председателя </w:t>
      </w:r>
      <w:r w:rsidR="002E3AFE" w:rsidRPr="00B01BA1">
        <w:rPr>
          <w:sz w:val="24"/>
          <w:szCs w:val="24"/>
        </w:rPr>
        <w:t xml:space="preserve">и/или секретаря </w:t>
      </w:r>
      <w:r w:rsidR="00C94992" w:rsidRPr="00C217FB">
        <w:rPr>
          <w:sz w:val="24"/>
          <w:szCs w:val="24"/>
        </w:rPr>
        <w:t xml:space="preserve">на Работната група в електронен вариант. По време на самите срещи тези служители следва да направят кратко представяне на състоянието на процеса по ограничаване на рисковете, за които те отговарят. Извършва се </w:t>
      </w:r>
      <w:r w:rsidR="00C94992" w:rsidRPr="00C217FB">
        <w:rPr>
          <w:bCs/>
          <w:sz w:val="24"/>
          <w:szCs w:val="24"/>
        </w:rPr>
        <w:t>оценка на ефекта на приложените ограничителни мерки</w:t>
      </w:r>
      <w:r w:rsidR="00913398" w:rsidRPr="00C217FB">
        <w:rPr>
          <w:bCs/>
          <w:sz w:val="24"/>
          <w:szCs w:val="24"/>
        </w:rPr>
        <w:t xml:space="preserve"> </w:t>
      </w:r>
      <w:r w:rsidR="003427A5" w:rsidRPr="00C217FB">
        <w:rPr>
          <w:bCs/>
          <w:sz w:val="24"/>
          <w:szCs w:val="24"/>
        </w:rPr>
        <w:t xml:space="preserve">и </w:t>
      </w:r>
      <w:r w:rsidR="00913398" w:rsidRPr="00C217FB">
        <w:rPr>
          <w:bCs/>
          <w:sz w:val="24"/>
          <w:szCs w:val="24"/>
        </w:rPr>
        <w:t>по отношение на рисковете от измами</w:t>
      </w:r>
      <w:r w:rsidR="003F504C" w:rsidRPr="00C217FB">
        <w:rPr>
          <w:bCs/>
          <w:sz w:val="24"/>
          <w:szCs w:val="24"/>
        </w:rPr>
        <w:t>.</w:t>
      </w:r>
      <w:r w:rsidR="003F504C">
        <w:rPr>
          <w:bCs/>
          <w:sz w:val="24"/>
          <w:szCs w:val="24"/>
        </w:rPr>
        <w:t xml:space="preserve"> </w:t>
      </w:r>
    </w:p>
    <w:p w14:paraId="32E1A8D1" w14:textId="192E7BAC" w:rsidR="00FD1848" w:rsidRPr="00D014C7" w:rsidRDefault="00FD1848" w:rsidP="00B01BA1">
      <w:pPr>
        <w:tabs>
          <w:tab w:val="left" w:pos="720"/>
        </w:tabs>
        <w:suppressAutoHyphens/>
        <w:spacing w:after="120"/>
        <w:ind w:firstLine="709"/>
        <w:jc w:val="both"/>
        <w:rPr>
          <w:sz w:val="24"/>
          <w:szCs w:val="24"/>
        </w:rPr>
      </w:pPr>
      <w:r w:rsidRPr="00D014C7">
        <w:rPr>
          <w:sz w:val="24"/>
          <w:szCs w:val="24"/>
        </w:rPr>
        <w:t>Председателят на Работната група по оценка на риска може по своя преценка да смени отговорните отдели/лица за прилагане на мерките за третиране на отделните рискове. На шестмесечната среща може да се вземе решение за промяна на сроковете, ако това се налага.</w:t>
      </w:r>
    </w:p>
    <w:p w14:paraId="6DEC2AF1" w14:textId="324650C6" w:rsidR="00FD1848" w:rsidRPr="00D014C7" w:rsidRDefault="00FD1848" w:rsidP="00725E92">
      <w:pPr>
        <w:tabs>
          <w:tab w:val="left" w:pos="720"/>
        </w:tabs>
        <w:suppressAutoHyphens/>
        <w:spacing w:after="120"/>
        <w:ind w:firstLine="709"/>
        <w:jc w:val="both"/>
        <w:rPr>
          <w:sz w:val="24"/>
          <w:szCs w:val="24"/>
        </w:rPr>
      </w:pPr>
      <w:r w:rsidRPr="00D014C7">
        <w:rPr>
          <w:sz w:val="24"/>
          <w:szCs w:val="24"/>
        </w:rPr>
        <w:t xml:space="preserve">При идентифициране на </w:t>
      </w:r>
      <w:r w:rsidRPr="00725E92">
        <w:rPr>
          <w:sz w:val="24"/>
          <w:szCs w:val="24"/>
        </w:rPr>
        <w:t>нов риск</w:t>
      </w:r>
      <w:r w:rsidRPr="00981D4B">
        <w:rPr>
          <w:sz w:val="24"/>
          <w:szCs w:val="24"/>
        </w:rPr>
        <w:t xml:space="preserve"> той се </w:t>
      </w:r>
      <w:r w:rsidR="00981D4B">
        <w:rPr>
          <w:sz w:val="24"/>
          <w:szCs w:val="24"/>
        </w:rPr>
        <w:t>оценява</w:t>
      </w:r>
      <w:r w:rsidR="00981D4B" w:rsidRPr="00981D4B">
        <w:rPr>
          <w:sz w:val="24"/>
          <w:szCs w:val="24"/>
        </w:rPr>
        <w:t xml:space="preserve"> </w:t>
      </w:r>
      <w:r w:rsidRPr="00D014C7">
        <w:rPr>
          <w:sz w:val="24"/>
          <w:szCs w:val="24"/>
        </w:rPr>
        <w:t>и евентуално се добавя към базата данни на риска</w:t>
      </w:r>
      <w:r w:rsidR="00682F9D">
        <w:rPr>
          <w:sz w:val="24"/>
          <w:szCs w:val="24"/>
        </w:rPr>
        <w:t>, като се</w:t>
      </w:r>
      <w:r w:rsidRPr="00D014C7">
        <w:rPr>
          <w:sz w:val="24"/>
          <w:szCs w:val="24"/>
        </w:rPr>
        <w:t xml:space="preserve"> определя отговор</w:t>
      </w:r>
      <w:r w:rsidR="008B4B7D">
        <w:rPr>
          <w:sz w:val="24"/>
          <w:szCs w:val="24"/>
        </w:rPr>
        <w:t>ен</w:t>
      </w:r>
      <w:r w:rsidRPr="00D014C7">
        <w:rPr>
          <w:sz w:val="24"/>
          <w:szCs w:val="24"/>
        </w:rPr>
        <w:t xml:space="preserve"> служител, който </w:t>
      </w:r>
      <w:r w:rsidR="00C66393">
        <w:rPr>
          <w:sz w:val="24"/>
          <w:szCs w:val="24"/>
        </w:rPr>
        <w:t>отговаря за прилагането на определените мерки за ограничаването му</w:t>
      </w:r>
      <w:r w:rsidRPr="00D014C7">
        <w:rPr>
          <w:sz w:val="24"/>
          <w:szCs w:val="24"/>
        </w:rPr>
        <w:t xml:space="preserve">. Ако оценката на риска е възложена на външен </w:t>
      </w:r>
      <w:r w:rsidRPr="00C217FB">
        <w:rPr>
          <w:sz w:val="24"/>
          <w:szCs w:val="24"/>
        </w:rPr>
        <w:t>изпълнител</w:t>
      </w:r>
      <w:r w:rsidR="00413FC7" w:rsidRPr="00C217FB">
        <w:rPr>
          <w:sz w:val="24"/>
          <w:szCs w:val="24"/>
        </w:rPr>
        <w:t>,</w:t>
      </w:r>
      <w:r w:rsidRPr="00C217FB">
        <w:rPr>
          <w:sz w:val="24"/>
          <w:szCs w:val="24"/>
        </w:rPr>
        <w:t xml:space="preserve"> той изготвя предложение </w:t>
      </w:r>
      <w:r w:rsidR="00413FC7" w:rsidRPr="00C217FB">
        <w:rPr>
          <w:sz w:val="24"/>
          <w:szCs w:val="24"/>
        </w:rPr>
        <w:t>з</w:t>
      </w:r>
      <w:r w:rsidRPr="00C217FB">
        <w:rPr>
          <w:sz w:val="24"/>
          <w:szCs w:val="24"/>
        </w:rPr>
        <w:t xml:space="preserve">а План за </w:t>
      </w:r>
      <w:r w:rsidR="00C66393" w:rsidRPr="00B01BA1">
        <w:rPr>
          <w:sz w:val="24"/>
          <w:szCs w:val="24"/>
        </w:rPr>
        <w:t>управление</w:t>
      </w:r>
      <w:r w:rsidR="00C66393" w:rsidRPr="00C217FB">
        <w:rPr>
          <w:sz w:val="24"/>
          <w:szCs w:val="24"/>
        </w:rPr>
        <w:t xml:space="preserve"> </w:t>
      </w:r>
      <w:r w:rsidRPr="00C217FB">
        <w:rPr>
          <w:sz w:val="24"/>
          <w:szCs w:val="24"/>
        </w:rPr>
        <w:t>на риска</w:t>
      </w:r>
      <w:r w:rsidR="00C94992" w:rsidRPr="00C217FB">
        <w:rPr>
          <w:sz w:val="24"/>
          <w:szCs w:val="24"/>
        </w:rPr>
        <w:t>.</w:t>
      </w:r>
    </w:p>
    <w:p w14:paraId="4A3E4FF2" w14:textId="0BC89336" w:rsidR="00212C40" w:rsidRDefault="00981D4B" w:rsidP="00B01BA1">
      <w:pPr>
        <w:tabs>
          <w:tab w:val="left" w:pos="720"/>
        </w:tabs>
        <w:suppressAutoHyphens/>
        <w:spacing w:after="120"/>
        <w:ind w:firstLine="709"/>
        <w:jc w:val="both"/>
        <w:rPr>
          <w:sz w:val="24"/>
          <w:szCs w:val="24"/>
        </w:rPr>
      </w:pPr>
      <w:r>
        <w:rPr>
          <w:sz w:val="24"/>
          <w:szCs w:val="24"/>
        </w:rPr>
        <w:t>На шестмесечните срещи се и</w:t>
      </w:r>
      <w:r w:rsidR="00C94992" w:rsidRPr="008B4B7D">
        <w:rPr>
          <w:sz w:val="24"/>
          <w:szCs w:val="24"/>
        </w:rPr>
        <w:t xml:space="preserve">звършва </w:t>
      </w:r>
      <w:r w:rsidR="00C94992">
        <w:rPr>
          <w:sz w:val="24"/>
          <w:szCs w:val="24"/>
        </w:rPr>
        <w:t xml:space="preserve">и </w:t>
      </w:r>
      <w:r w:rsidR="00C94992" w:rsidRPr="008B4B7D">
        <w:rPr>
          <w:sz w:val="24"/>
          <w:szCs w:val="24"/>
        </w:rPr>
        <w:t>мониторинг на идентифицираните рискове, които са извън плана за управление на риска за текущата година</w:t>
      </w:r>
      <w:r w:rsidR="003F504C">
        <w:rPr>
          <w:sz w:val="24"/>
          <w:szCs w:val="24"/>
        </w:rPr>
        <w:t xml:space="preserve"> (поставените под наблюдение рискове)</w:t>
      </w:r>
      <w:r w:rsidR="00C94992">
        <w:rPr>
          <w:sz w:val="24"/>
          <w:szCs w:val="24"/>
        </w:rPr>
        <w:t>.</w:t>
      </w:r>
      <w:r>
        <w:rPr>
          <w:sz w:val="24"/>
          <w:szCs w:val="24"/>
        </w:rPr>
        <w:t xml:space="preserve"> </w:t>
      </w:r>
      <w:r w:rsidR="00FD1848" w:rsidRPr="00D014C7">
        <w:rPr>
          <w:sz w:val="24"/>
          <w:szCs w:val="24"/>
        </w:rPr>
        <w:t>При необходимост (например на базата на доклад от вътрешна среща) някои от рисковете могат да бъдат определени като критични, с оглед на което следва да се определи</w:t>
      </w:r>
      <w:r w:rsidR="00C66393">
        <w:rPr>
          <w:sz w:val="24"/>
          <w:szCs w:val="24"/>
        </w:rPr>
        <w:t>/ят</w:t>
      </w:r>
      <w:r w:rsidR="00FD1848" w:rsidRPr="00D014C7">
        <w:rPr>
          <w:sz w:val="24"/>
          <w:szCs w:val="24"/>
        </w:rPr>
        <w:t xml:space="preserve"> отговорен</w:t>
      </w:r>
      <w:r w:rsidR="00C66393">
        <w:rPr>
          <w:sz w:val="24"/>
          <w:szCs w:val="24"/>
        </w:rPr>
        <w:t>/ни</w:t>
      </w:r>
      <w:r w:rsidR="00FD1848" w:rsidRPr="00D014C7">
        <w:rPr>
          <w:sz w:val="24"/>
          <w:szCs w:val="24"/>
        </w:rPr>
        <w:t xml:space="preserve"> служител</w:t>
      </w:r>
      <w:r w:rsidR="00C66393">
        <w:rPr>
          <w:sz w:val="24"/>
          <w:szCs w:val="24"/>
        </w:rPr>
        <w:t>/и</w:t>
      </w:r>
      <w:r w:rsidR="00FD1848" w:rsidRPr="00D014C7">
        <w:rPr>
          <w:sz w:val="24"/>
          <w:szCs w:val="24"/>
        </w:rPr>
        <w:t>, който</w:t>
      </w:r>
      <w:r w:rsidR="00C66393">
        <w:rPr>
          <w:sz w:val="24"/>
          <w:szCs w:val="24"/>
        </w:rPr>
        <w:t>/които</w:t>
      </w:r>
      <w:r w:rsidR="00FD1848" w:rsidRPr="00D014C7">
        <w:rPr>
          <w:sz w:val="24"/>
          <w:szCs w:val="24"/>
        </w:rPr>
        <w:t xml:space="preserve"> да </w:t>
      </w:r>
      <w:r w:rsidR="00C66393">
        <w:rPr>
          <w:sz w:val="24"/>
          <w:szCs w:val="24"/>
        </w:rPr>
        <w:t>отговаря/т за прилагането на определените мерки за ограничаването на съответния/ите риск/ове</w:t>
      </w:r>
      <w:r w:rsidR="00C66393" w:rsidRPr="00D014C7">
        <w:rPr>
          <w:sz w:val="24"/>
          <w:szCs w:val="24"/>
        </w:rPr>
        <w:t>.</w:t>
      </w:r>
      <w:r w:rsidR="00FA4C77">
        <w:rPr>
          <w:sz w:val="24"/>
          <w:szCs w:val="24"/>
        </w:rPr>
        <w:t>(</w:t>
      </w:r>
      <w:r w:rsidR="00C217FB">
        <w:rPr>
          <w:sz w:val="24"/>
          <w:szCs w:val="24"/>
        </w:rPr>
        <w:t>включително</w:t>
      </w:r>
      <w:r w:rsidR="00FA4C77">
        <w:rPr>
          <w:sz w:val="24"/>
          <w:szCs w:val="24"/>
        </w:rPr>
        <w:t xml:space="preserve">, може да им бъде възложено да </w:t>
      </w:r>
      <w:r w:rsidR="00FD1848" w:rsidRPr="00C217FB">
        <w:rPr>
          <w:sz w:val="24"/>
          <w:szCs w:val="24"/>
        </w:rPr>
        <w:t>разработ</w:t>
      </w:r>
      <w:r w:rsidR="00FA4C77" w:rsidRPr="00C217FB">
        <w:rPr>
          <w:sz w:val="24"/>
          <w:szCs w:val="24"/>
        </w:rPr>
        <w:t>ят</w:t>
      </w:r>
      <w:r w:rsidR="00FD1848" w:rsidRPr="00C217FB">
        <w:rPr>
          <w:sz w:val="24"/>
          <w:szCs w:val="24"/>
        </w:rPr>
        <w:t xml:space="preserve"> План за ограничаване на риска</w:t>
      </w:r>
      <w:r w:rsidR="00705285" w:rsidRPr="00C217FB">
        <w:rPr>
          <w:sz w:val="24"/>
          <w:szCs w:val="24"/>
        </w:rPr>
        <w:t>)</w:t>
      </w:r>
      <w:r w:rsidR="00FD1848" w:rsidRPr="00C217FB">
        <w:rPr>
          <w:sz w:val="24"/>
          <w:szCs w:val="24"/>
        </w:rPr>
        <w:t xml:space="preserve">. </w:t>
      </w:r>
      <w:r w:rsidR="00913398" w:rsidRPr="00C217FB">
        <w:rPr>
          <w:sz w:val="24"/>
          <w:szCs w:val="24"/>
        </w:rPr>
        <w:t>Може да се извърши и обратния</w:t>
      </w:r>
      <w:r w:rsidR="00E4120C" w:rsidRPr="00C217FB">
        <w:rPr>
          <w:sz w:val="24"/>
          <w:szCs w:val="24"/>
        </w:rPr>
        <w:t>т</w:t>
      </w:r>
      <w:r w:rsidR="00913398" w:rsidRPr="00C217FB">
        <w:rPr>
          <w:sz w:val="24"/>
          <w:szCs w:val="24"/>
        </w:rPr>
        <w:t xml:space="preserve"> процес – да бъде</w:t>
      </w:r>
      <w:r w:rsidR="00913398">
        <w:rPr>
          <w:sz w:val="24"/>
          <w:szCs w:val="24"/>
        </w:rPr>
        <w:t xml:space="preserve"> понижен интензитетът</w:t>
      </w:r>
      <w:r w:rsidR="00913398" w:rsidRPr="00D014C7">
        <w:rPr>
          <w:sz w:val="24"/>
          <w:szCs w:val="24"/>
        </w:rPr>
        <w:t xml:space="preserve"> на някой риск с оглед на променените обстоятелства и/или изпълнените мерки за третиране. В този случай може да се пренасочат ресурси (отговорни за наблюдението служители) към други критични рискове.  </w:t>
      </w:r>
    </w:p>
    <w:p w14:paraId="689F6E7B" w14:textId="102B4172" w:rsidR="00FD1848" w:rsidRPr="00D014C7" w:rsidRDefault="00212C40" w:rsidP="00B01BA1">
      <w:pPr>
        <w:tabs>
          <w:tab w:val="left" w:pos="720"/>
        </w:tabs>
        <w:suppressAutoHyphens/>
        <w:spacing w:after="120"/>
        <w:ind w:firstLine="709"/>
        <w:jc w:val="both"/>
        <w:rPr>
          <w:sz w:val="24"/>
          <w:szCs w:val="24"/>
        </w:rPr>
      </w:pPr>
      <w:r w:rsidRPr="00D014C7">
        <w:rPr>
          <w:sz w:val="24"/>
          <w:szCs w:val="24"/>
        </w:rPr>
        <w:t>Секретарят на Работната група по оценка на риска е отговорен за актуализирането на базата данни на риска.</w:t>
      </w:r>
    </w:p>
    <w:sectPr w:rsidR="00FD1848" w:rsidRPr="00D014C7" w:rsidSect="00B01BA1">
      <w:headerReference w:type="even" r:id="rId12"/>
      <w:headerReference w:type="default" r:id="rId13"/>
      <w:footerReference w:type="even" r:id="rId14"/>
      <w:footerReference w:type="default" r:id="rId15"/>
      <w:pgSz w:w="11906" w:h="16838"/>
      <w:pgMar w:top="2336" w:right="1287" w:bottom="851" w:left="902" w:header="35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7AE16" w14:textId="77777777" w:rsidR="00447011" w:rsidRDefault="00447011">
      <w:r>
        <w:separator/>
      </w:r>
    </w:p>
  </w:endnote>
  <w:endnote w:type="continuationSeparator" w:id="0">
    <w:p w14:paraId="6645C1A5" w14:textId="77777777" w:rsidR="00447011" w:rsidRDefault="0044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2A8CD" w14:textId="50A64408"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696D">
      <w:rPr>
        <w:rStyle w:val="PageNumber"/>
        <w:noProof/>
      </w:rPr>
      <w:t>10</w:t>
    </w:r>
    <w:r>
      <w:rPr>
        <w:rStyle w:val="PageNumber"/>
      </w:rPr>
      <w:fldChar w:fldCharType="end"/>
    </w:r>
  </w:p>
  <w:p w14:paraId="645282DB" w14:textId="77777777" w:rsidR="00367C6F" w:rsidRDefault="00367C6F"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4DE8" w14:textId="5FCA1828"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696D">
      <w:rPr>
        <w:rStyle w:val="PageNumber"/>
        <w:noProof/>
      </w:rPr>
      <w:t>1</w:t>
    </w:r>
    <w:r>
      <w:rPr>
        <w:rStyle w:val="PageNumber"/>
      </w:rPr>
      <w:fldChar w:fldCharType="end"/>
    </w:r>
  </w:p>
  <w:p w14:paraId="3BFAAFB3" w14:textId="77777777" w:rsidR="00367C6F" w:rsidRDefault="00367C6F"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4434D" w14:textId="77777777" w:rsidR="00447011" w:rsidRDefault="00447011">
      <w:r>
        <w:separator/>
      </w:r>
    </w:p>
  </w:footnote>
  <w:footnote w:type="continuationSeparator" w:id="0">
    <w:p w14:paraId="236DEA65" w14:textId="77777777" w:rsidR="00447011" w:rsidRDefault="00447011">
      <w:r>
        <w:continuationSeparator/>
      </w:r>
    </w:p>
  </w:footnote>
  <w:footnote w:id="1">
    <w:p w14:paraId="542C6FD7" w14:textId="77777777" w:rsidR="00367C6F" w:rsidRPr="009778CE" w:rsidRDefault="00367C6F" w:rsidP="009778CE">
      <w:pPr>
        <w:pStyle w:val="ListParagraph"/>
        <w:autoSpaceDE w:val="0"/>
        <w:autoSpaceDN w:val="0"/>
        <w:adjustRightInd w:val="0"/>
        <w:spacing w:after="0" w:line="240" w:lineRule="auto"/>
        <w:ind w:left="0" w:right="146"/>
        <w:jc w:val="both"/>
        <w:rPr>
          <w:rStyle w:val="FootnoteReference"/>
          <w:rFonts w:ascii="Times New Roman" w:hAnsi="Times New Roman"/>
          <w:sz w:val="20"/>
        </w:rPr>
      </w:pPr>
      <w:r>
        <w:rPr>
          <w:rStyle w:val="FootnoteReference"/>
        </w:rPr>
        <w:footnoteRef/>
      </w:r>
      <w:r w:rsidRPr="00C27C1B">
        <w:rPr>
          <w:sz w:val="20"/>
          <w:szCs w:val="20"/>
        </w:rPr>
        <w:t xml:space="preserve"> </w:t>
      </w:r>
      <w:r w:rsidRPr="009778CE">
        <w:rPr>
          <w:rStyle w:val="FootnoteReference"/>
          <w:rFonts w:ascii="Times New Roman" w:hAnsi="Times New Roman"/>
          <w:sz w:val="20"/>
          <w:szCs w:val="20"/>
          <w:lang w:val="bg-BG"/>
        </w:rPr>
        <w:t>Ефект като отклонение от очакваното – положителен и/или отрицателен</w:t>
      </w:r>
      <w:r w:rsidRPr="009778CE">
        <w:rPr>
          <w:rStyle w:val="FootnoteReference"/>
          <w:rFonts w:ascii="Times New Roman" w:hAnsi="Times New Roman"/>
        </w:rPr>
        <w:t xml:space="preserve">, </w:t>
      </w:r>
      <w:r w:rsidRPr="009778CE">
        <w:rPr>
          <w:rStyle w:val="FootnoteReference"/>
          <w:rFonts w:ascii="Times New Roman" w:hAnsi="Times New Roman"/>
          <w:sz w:val="20"/>
          <w:szCs w:val="20"/>
          <w:lang w:val="bg-BG"/>
        </w:rPr>
        <w:t xml:space="preserve">като целите могат да имат различни аспекти (напр. финансови; свързани със здравето, сигурността и околната среда) и могат да бъдат прилагани на различни нива (напр. стратегически, в рамките на организацията, продукт и процес); 2.1, </w:t>
      </w:r>
      <w:r w:rsidRPr="009778CE">
        <w:rPr>
          <w:rStyle w:val="FootnoteReference"/>
          <w:rFonts w:ascii="Times New Roman" w:hAnsi="Times New Roman"/>
          <w:sz w:val="20"/>
          <w:szCs w:val="20"/>
        </w:rPr>
        <w:t>ISO 31000:2009</w:t>
      </w:r>
      <w:r w:rsidRPr="009778CE">
        <w:rPr>
          <w:rStyle w:val="FootnoteReference"/>
          <w:rFonts w:ascii="Times New Roman" w:hAnsi="Times New Roman"/>
          <w:sz w:val="20"/>
          <w:szCs w:val="20"/>
          <w:lang w:val="bg-BG"/>
        </w:rPr>
        <w:t xml:space="preserve"> </w:t>
      </w:r>
      <w:r w:rsidRPr="009778CE">
        <w:rPr>
          <w:rStyle w:val="FootnoteReference"/>
          <w:rFonts w:ascii="Times New Roman" w:hAnsi="Times New Roman"/>
          <w:sz w:val="20"/>
          <w:szCs w:val="20"/>
        </w:rPr>
        <w:t xml:space="preserve"> </w:t>
      </w:r>
      <w:r w:rsidRPr="009778CE">
        <w:rPr>
          <w:rStyle w:val="FootnoteReference"/>
          <w:rFonts w:ascii="Times New Roman" w:hAnsi="Times New Roman"/>
          <w:sz w:val="20"/>
        </w:rPr>
        <w:t xml:space="preserve"> </w:t>
      </w:r>
    </w:p>
    <w:p w14:paraId="47CB72E2" w14:textId="77777777" w:rsidR="00367C6F" w:rsidRPr="009778CE" w:rsidRDefault="00367C6F" w:rsidP="009778CE">
      <w:pPr>
        <w:pStyle w:val="ListParagraph"/>
        <w:autoSpaceDE w:val="0"/>
        <w:autoSpaceDN w:val="0"/>
        <w:adjustRightInd w:val="0"/>
        <w:spacing w:after="0" w:line="240" w:lineRule="auto"/>
        <w:ind w:left="0" w:right="146"/>
        <w:jc w:val="both"/>
        <w:rPr>
          <w:rFonts w:ascii="Times New Roman" w:hAnsi="Times New Roman"/>
        </w:rPr>
      </w:pPr>
    </w:p>
  </w:footnote>
  <w:footnote w:id="2">
    <w:p w14:paraId="45A94941" w14:textId="30C82003" w:rsidR="004544B0" w:rsidRPr="004544B0" w:rsidRDefault="004544B0">
      <w:pPr>
        <w:pStyle w:val="FootnoteText"/>
      </w:pPr>
      <w:r>
        <w:rPr>
          <w:rStyle w:val="FootnoteReference"/>
        </w:rPr>
        <w:footnoteRef/>
      </w:r>
      <w:r>
        <w:t xml:space="preserve"> </w:t>
      </w:r>
      <w:hyperlink r:id="rId1" w:history="1">
        <w:r w:rsidRPr="00B01BA1">
          <w:rPr>
            <w:rStyle w:val="Hyperlink"/>
            <w:sz w:val="18"/>
            <w:szCs w:val="18"/>
          </w:rPr>
          <w:t>http://ec.europa.eu/regional_policy/bg/information/publications/guidelines/2014/fraud-risk-assessment-and-effective-and-proportionate-anti-fraud-measures</w:t>
        </w:r>
      </w:hyperlink>
    </w:p>
  </w:footnote>
  <w:footnote w:id="3">
    <w:p w14:paraId="6C110142" w14:textId="02053D99" w:rsidR="007B2DFE" w:rsidRPr="00B01BA1" w:rsidRDefault="007B2DFE">
      <w:pPr>
        <w:pStyle w:val="FootnoteText"/>
        <w:rPr>
          <w:sz w:val="18"/>
          <w:szCs w:val="18"/>
        </w:rPr>
      </w:pPr>
      <w:r>
        <w:rPr>
          <w:rStyle w:val="FootnoteReference"/>
        </w:rPr>
        <w:footnoteRef/>
      </w:r>
      <w:r w:rsidR="00F32C1B">
        <w:t xml:space="preserve"> </w:t>
      </w:r>
      <w:hyperlink r:id="rId2" w:history="1">
        <w:r w:rsidR="00F32C1B" w:rsidRPr="00B01BA1">
          <w:rPr>
            <w:rStyle w:val="Hyperlink"/>
            <w:sz w:val="18"/>
            <w:szCs w:val="18"/>
          </w:rPr>
          <w:t>http://ec.europa.eu/regional_policy/sources/docgener/informat/2014/zips/guidance_fraud_risk_assessment_annex_bg.zip</w:t>
        </w:r>
      </w:hyperlink>
    </w:p>
  </w:footnote>
  <w:footnote w:id="4">
    <w:p w14:paraId="63031188" w14:textId="77777777" w:rsidR="00367C6F" w:rsidRDefault="00367C6F">
      <w:pPr>
        <w:spacing w:after="120"/>
        <w:jc w:val="both"/>
        <w:rPr>
          <w:sz w:val="24"/>
          <w:szCs w:val="24"/>
        </w:rPr>
      </w:pPr>
      <w:r>
        <w:rPr>
          <w:rStyle w:val="FootnoteReference"/>
        </w:rPr>
        <w:footnoteRef/>
      </w:r>
      <w:r>
        <w:t xml:space="preserve"> </w:t>
      </w:r>
      <w:r w:rsidRPr="00BE29B6">
        <w:rPr>
          <w:rStyle w:val="FootnoteReference"/>
        </w:rPr>
        <w:t>Таблицата е налична и в Excel формат, като приложение към настоящата методология.</w:t>
      </w:r>
    </w:p>
    <w:p w14:paraId="07C4688C" w14:textId="77777777" w:rsidR="00367C6F" w:rsidRDefault="00367C6F">
      <w:pPr>
        <w:spacing w:after="12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EA4AE" w14:textId="77777777" w:rsidR="00367C6F" w:rsidRDefault="00367C6F"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600B" w14:textId="6149A806" w:rsidR="00367C6F" w:rsidRPr="00580FC6" w:rsidRDefault="00AF1F11" w:rsidP="00580FC6">
    <w:pPr>
      <w:pStyle w:val="Header"/>
      <w:jc w:val="center"/>
      <w:rPr>
        <w:lang w:val="en-US"/>
      </w:rPr>
    </w:pPr>
    <w:r w:rsidRPr="00DD6E6C">
      <w:rPr>
        <w:noProof/>
      </w:rPr>
      <w:drawing>
        <wp:inline distT="0" distB="0" distL="0" distR="0" wp14:anchorId="489F1677" wp14:editId="73716C03">
          <wp:extent cx="708025" cy="541020"/>
          <wp:effectExtent l="0" t="0" r="0" b="0"/>
          <wp:docPr id="34" name="Picture 34"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25" cy="541020"/>
                  </a:xfrm>
                  <a:prstGeom prst="rect">
                    <a:avLst/>
                  </a:prstGeom>
                  <a:noFill/>
                  <a:ln>
                    <a:noFill/>
                  </a:ln>
                </pic:spPr>
              </pic:pic>
            </a:graphicData>
          </a:graphic>
        </wp:inline>
      </w:drawing>
    </w:r>
    <w:r w:rsidR="00580FC6">
      <w:rPr>
        <w:lang w:val="en-US"/>
      </w:rPr>
      <w:t xml:space="preserve">    </w:t>
    </w:r>
    <w:hyperlink r:id="rId2"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325556D2" wp14:editId="19B93264">
          <wp:extent cx="3599815" cy="418465"/>
          <wp:effectExtent l="0" t="0" r="0" b="0"/>
          <wp:docPr id="35" name="Picture 35"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815" cy="418465"/>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4"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23FB9435" wp14:editId="1036C31D">
          <wp:extent cx="618490" cy="560070"/>
          <wp:effectExtent l="0" t="0" r="0" b="0"/>
          <wp:docPr id="36" name="Picture 36"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ачал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490" cy="560070"/>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6" w:tooltip="&quot;Начало&quot; " w:history="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8C0207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0BC693B"/>
    <w:multiLevelType w:val="hybridMultilevel"/>
    <w:tmpl w:val="8426156C"/>
    <w:lvl w:ilvl="0" w:tplc="0EF2C0AE">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C246F06"/>
    <w:multiLevelType w:val="hybridMultilevel"/>
    <w:tmpl w:val="1DD00DD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457491"/>
    <w:multiLevelType w:val="hybridMultilevel"/>
    <w:tmpl w:val="46E8AC8C"/>
    <w:lvl w:ilvl="0" w:tplc="0CAEEA62">
      <w:start w:val="1"/>
      <w:numFmt w:val="bullet"/>
      <w:lvlText w:val=""/>
      <w:lvlJc w:val="left"/>
      <w:pPr>
        <w:tabs>
          <w:tab w:val="num" w:pos="720"/>
        </w:tabs>
        <w:ind w:left="720" w:hanging="360"/>
      </w:pPr>
      <w:rPr>
        <w:rFonts w:ascii="Wingdings" w:hAnsi="Wingdings" w:hint="default"/>
      </w:rPr>
    </w:lvl>
    <w:lvl w:ilvl="1" w:tplc="5DCCD8AE" w:tentative="1">
      <w:start w:val="1"/>
      <w:numFmt w:val="bullet"/>
      <w:lvlText w:val=""/>
      <w:lvlJc w:val="left"/>
      <w:pPr>
        <w:tabs>
          <w:tab w:val="num" w:pos="1440"/>
        </w:tabs>
        <w:ind w:left="1440" w:hanging="360"/>
      </w:pPr>
      <w:rPr>
        <w:rFonts w:ascii="Wingdings" w:hAnsi="Wingdings" w:hint="default"/>
      </w:rPr>
    </w:lvl>
    <w:lvl w:ilvl="2" w:tplc="0CEACA00" w:tentative="1">
      <w:start w:val="1"/>
      <w:numFmt w:val="bullet"/>
      <w:lvlText w:val=""/>
      <w:lvlJc w:val="left"/>
      <w:pPr>
        <w:tabs>
          <w:tab w:val="num" w:pos="2160"/>
        </w:tabs>
        <w:ind w:left="2160" w:hanging="360"/>
      </w:pPr>
      <w:rPr>
        <w:rFonts w:ascii="Wingdings" w:hAnsi="Wingdings" w:hint="default"/>
      </w:rPr>
    </w:lvl>
    <w:lvl w:ilvl="3" w:tplc="DDAA6F40" w:tentative="1">
      <w:start w:val="1"/>
      <w:numFmt w:val="bullet"/>
      <w:lvlText w:val=""/>
      <w:lvlJc w:val="left"/>
      <w:pPr>
        <w:tabs>
          <w:tab w:val="num" w:pos="2880"/>
        </w:tabs>
        <w:ind w:left="2880" w:hanging="360"/>
      </w:pPr>
      <w:rPr>
        <w:rFonts w:ascii="Wingdings" w:hAnsi="Wingdings" w:hint="default"/>
      </w:rPr>
    </w:lvl>
    <w:lvl w:ilvl="4" w:tplc="5EAA0DBC" w:tentative="1">
      <w:start w:val="1"/>
      <w:numFmt w:val="bullet"/>
      <w:lvlText w:val=""/>
      <w:lvlJc w:val="left"/>
      <w:pPr>
        <w:tabs>
          <w:tab w:val="num" w:pos="3600"/>
        </w:tabs>
        <w:ind w:left="3600" w:hanging="360"/>
      </w:pPr>
      <w:rPr>
        <w:rFonts w:ascii="Wingdings" w:hAnsi="Wingdings" w:hint="default"/>
      </w:rPr>
    </w:lvl>
    <w:lvl w:ilvl="5" w:tplc="46EAEA12" w:tentative="1">
      <w:start w:val="1"/>
      <w:numFmt w:val="bullet"/>
      <w:lvlText w:val=""/>
      <w:lvlJc w:val="left"/>
      <w:pPr>
        <w:tabs>
          <w:tab w:val="num" w:pos="4320"/>
        </w:tabs>
        <w:ind w:left="4320" w:hanging="360"/>
      </w:pPr>
      <w:rPr>
        <w:rFonts w:ascii="Wingdings" w:hAnsi="Wingdings" w:hint="default"/>
      </w:rPr>
    </w:lvl>
    <w:lvl w:ilvl="6" w:tplc="41244CDE" w:tentative="1">
      <w:start w:val="1"/>
      <w:numFmt w:val="bullet"/>
      <w:lvlText w:val=""/>
      <w:lvlJc w:val="left"/>
      <w:pPr>
        <w:tabs>
          <w:tab w:val="num" w:pos="5040"/>
        </w:tabs>
        <w:ind w:left="5040" w:hanging="360"/>
      </w:pPr>
      <w:rPr>
        <w:rFonts w:ascii="Wingdings" w:hAnsi="Wingdings" w:hint="default"/>
      </w:rPr>
    </w:lvl>
    <w:lvl w:ilvl="7" w:tplc="7116D3C0" w:tentative="1">
      <w:start w:val="1"/>
      <w:numFmt w:val="bullet"/>
      <w:lvlText w:val=""/>
      <w:lvlJc w:val="left"/>
      <w:pPr>
        <w:tabs>
          <w:tab w:val="num" w:pos="5760"/>
        </w:tabs>
        <w:ind w:left="5760" w:hanging="360"/>
      </w:pPr>
      <w:rPr>
        <w:rFonts w:ascii="Wingdings" w:hAnsi="Wingdings" w:hint="default"/>
      </w:rPr>
    </w:lvl>
    <w:lvl w:ilvl="8" w:tplc="29D42F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5C2823"/>
    <w:multiLevelType w:val="hybridMultilevel"/>
    <w:tmpl w:val="E3109DDC"/>
    <w:lvl w:ilvl="0" w:tplc="C69E348C">
      <w:start w:val="1"/>
      <w:numFmt w:val="bullet"/>
      <w:lvlText w:val=""/>
      <w:lvlJc w:val="left"/>
      <w:pPr>
        <w:tabs>
          <w:tab w:val="num" w:pos="720"/>
        </w:tabs>
        <w:ind w:left="720" w:hanging="360"/>
      </w:pPr>
      <w:rPr>
        <w:rFonts w:ascii="Wingdings" w:hAnsi="Wingding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51634A"/>
    <w:multiLevelType w:val="hybridMultilevel"/>
    <w:tmpl w:val="C6925C76"/>
    <w:lvl w:ilvl="0" w:tplc="9C2E2E16">
      <w:start w:val="1"/>
      <w:numFmt w:val="bullet"/>
      <w:lvlText w:val=""/>
      <w:lvlJc w:val="left"/>
      <w:pPr>
        <w:tabs>
          <w:tab w:val="num" w:pos="720"/>
        </w:tabs>
        <w:ind w:left="720" w:hanging="360"/>
      </w:pPr>
      <w:rPr>
        <w:rFonts w:ascii="Wingdings" w:hAnsi="Wingdings" w:hint="default"/>
      </w:rPr>
    </w:lvl>
    <w:lvl w:ilvl="1" w:tplc="8EFCF74A" w:tentative="1">
      <w:start w:val="1"/>
      <w:numFmt w:val="bullet"/>
      <w:lvlText w:val=""/>
      <w:lvlJc w:val="left"/>
      <w:pPr>
        <w:tabs>
          <w:tab w:val="num" w:pos="1440"/>
        </w:tabs>
        <w:ind w:left="1440" w:hanging="360"/>
      </w:pPr>
      <w:rPr>
        <w:rFonts w:ascii="Wingdings" w:hAnsi="Wingdings" w:hint="default"/>
      </w:rPr>
    </w:lvl>
    <w:lvl w:ilvl="2" w:tplc="7BEEF542" w:tentative="1">
      <w:start w:val="1"/>
      <w:numFmt w:val="bullet"/>
      <w:lvlText w:val=""/>
      <w:lvlJc w:val="left"/>
      <w:pPr>
        <w:tabs>
          <w:tab w:val="num" w:pos="2160"/>
        </w:tabs>
        <w:ind w:left="2160" w:hanging="360"/>
      </w:pPr>
      <w:rPr>
        <w:rFonts w:ascii="Wingdings" w:hAnsi="Wingdings" w:hint="default"/>
      </w:rPr>
    </w:lvl>
    <w:lvl w:ilvl="3" w:tplc="810648F2" w:tentative="1">
      <w:start w:val="1"/>
      <w:numFmt w:val="bullet"/>
      <w:lvlText w:val=""/>
      <w:lvlJc w:val="left"/>
      <w:pPr>
        <w:tabs>
          <w:tab w:val="num" w:pos="2880"/>
        </w:tabs>
        <w:ind w:left="2880" w:hanging="360"/>
      </w:pPr>
      <w:rPr>
        <w:rFonts w:ascii="Wingdings" w:hAnsi="Wingdings" w:hint="default"/>
      </w:rPr>
    </w:lvl>
    <w:lvl w:ilvl="4" w:tplc="E99EFDB4" w:tentative="1">
      <w:start w:val="1"/>
      <w:numFmt w:val="bullet"/>
      <w:lvlText w:val=""/>
      <w:lvlJc w:val="left"/>
      <w:pPr>
        <w:tabs>
          <w:tab w:val="num" w:pos="3600"/>
        </w:tabs>
        <w:ind w:left="3600" w:hanging="360"/>
      </w:pPr>
      <w:rPr>
        <w:rFonts w:ascii="Wingdings" w:hAnsi="Wingdings" w:hint="default"/>
      </w:rPr>
    </w:lvl>
    <w:lvl w:ilvl="5" w:tplc="806070C6" w:tentative="1">
      <w:start w:val="1"/>
      <w:numFmt w:val="bullet"/>
      <w:lvlText w:val=""/>
      <w:lvlJc w:val="left"/>
      <w:pPr>
        <w:tabs>
          <w:tab w:val="num" w:pos="4320"/>
        </w:tabs>
        <w:ind w:left="4320" w:hanging="360"/>
      </w:pPr>
      <w:rPr>
        <w:rFonts w:ascii="Wingdings" w:hAnsi="Wingdings" w:hint="default"/>
      </w:rPr>
    </w:lvl>
    <w:lvl w:ilvl="6" w:tplc="D1928668" w:tentative="1">
      <w:start w:val="1"/>
      <w:numFmt w:val="bullet"/>
      <w:lvlText w:val=""/>
      <w:lvlJc w:val="left"/>
      <w:pPr>
        <w:tabs>
          <w:tab w:val="num" w:pos="5040"/>
        </w:tabs>
        <w:ind w:left="5040" w:hanging="360"/>
      </w:pPr>
      <w:rPr>
        <w:rFonts w:ascii="Wingdings" w:hAnsi="Wingdings" w:hint="default"/>
      </w:rPr>
    </w:lvl>
    <w:lvl w:ilvl="7" w:tplc="C978AFA4" w:tentative="1">
      <w:start w:val="1"/>
      <w:numFmt w:val="bullet"/>
      <w:lvlText w:val=""/>
      <w:lvlJc w:val="left"/>
      <w:pPr>
        <w:tabs>
          <w:tab w:val="num" w:pos="5760"/>
        </w:tabs>
        <w:ind w:left="5760" w:hanging="360"/>
      </w:pPr>
      <w:rPr>
        <w:rFonts w:ascii="Wingdings" w:hAnsi="Wingdings" w:hint="default"/>
      </w:rPr>
    </w:lvl>
    <w:lvl w:ilvl="8" w:tplc="9A4499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56E77"/>
    <w:multiLevelType w:val="hybridMultilevel"/>
    <w:tmpl w:val="37227C0C"/>
    <w:lvl w:ilvl="0" w:tplc="6870F072">
      <w:start w:val="1"/>
      <w:numFmt w:val="bullet"/>
      <w:lvlText w:val=""/>
      <w:lvlJc w:val="left"/>
      <w:pPr>
        <w:tabs>
          <w:tab w:val="num" w:pos="720"/>
        </w:tabs>
        <w:ind w:left="720" w:hanging="360"/>
      </w:pPr>
      <w:rPr>
        <w:rFonts w:ascii="Wingdings" w:hAnsi="Wingdings" w:hint="default"/>
      </w:rPr>
    </w:lvl>
    <w:lvl w:ilvl="1" w:tplc="EF8EB03A" w:tentative="1">
      <w:start w:val="1"/>
      <w:numFmt w:val="bullet"/>
      <w:lvlText w:val=""/>
      <w:lvlJc w:val="left"/>
      <w:pPr>
        <w:tabs>
          <w:tab w:val="num" w:pos="1440"/>
        </w:tabs>
        <w:ind w:left="1440" w:hanging="360"/>
      </w:pPr>
      <w:rPr>
        <w:rFonts w:ascii="Wingdings" w:hAnsi="Wingdings" w:hint="default"/>
      </w:rPr>
    </w:lvl>
    <w:lvl w:ilvl="2" w:tplc="2DE04438" w:tentative="1">
      <w:start w:val="1"/>
      <w:numFmt w:val="bullet"/>
      <w:lvlText w:val=""/>
      <w:lvlJc w:val="left"/>
      <w:pPr>
        <w:tabs>
          <w:tab w:val="num" w:pos="2160"/>
        </w:tabs>
        <w:ind w:left="2160" w:hanging="360"/>
      </w:pPr>
      <w:rPr>
        <w:rFonts w:ascii="Wingdings" w:hAnsi="Wingdings" w:hint="default"/>
      </w:rPr>
    </w:lvl>
    <w:lvl w:ilvl="3" w:tplc="AB7AFABC" w:tentative="1">
      <w:start w:val="1"/>
      <w:numFmt w:val="bullet"/>
      <w:lvlText w:val=""/>
      <w:lvlJc w:val="left"/>
      <w:pPr>
        <w:tabs>
          <w:tab w:val="num" w:pos="2880"/>
        </w:tabs>
        <w:ind w:left="2880" w:hanging="360"/>
      </w:pPr>
      <w:rPr>
        <w:rFonts w:ascii="Wingdings" w:hAnsi="Wingdings" w:hint="default"/>
      </w:rPr>
    </w:lvl>
    <w:lvl w:ilvl="4" w:tplc="B0042C68" w:tentative="1">
      <w:start w:val="1"/>
      <w:numFmt w:val="bullet"/>
      <w:lvlText w:val=""/>
      <w:lvlJc w:val="left"/>
      <w:pPr>
        <w:tabs>
          <w:tab w:val="num" w:pos="3600"/>
        </w:tabs>
        <w:ind w:left="3600" w:hanging="360"/>
      </w:pPr>
      <w:rPr>
        <w:rFonts w:ascii="Wingdings" w:hAnsi="Wingdings" w:hint="default"/>
      </w:rPr>
    </w:lvl>
    <w:lvl w:ilvl="5" w:tplc="00B20C5A" w:tentative="1">
      <w:start w:val="1"/>
      <w:numFmt w:val="bullet"/>
      <w:lvlText w:val=""/>
      <w:lvlJc w:val="left"/>
      <w:pPr>
        <w:tabs>
          <w:tab w:val="num" w:pos="4320"/>
        </w:tabs>
        <w:ind w:left="4320" w:hanging="360"/>
      </w:pPr>
      <w:rPr>
        <w:rFonts w:ascii="Wingdings" w:hAnsi="Wingdings" w:hint="default"/>
      </w:rPr>
    </w:lvl>
    <w:lvl w:ilvl="6" w:tplc="2AC0783A" w:tentative="1">
      <w:start w:val="1"/>
      <w:numFmt w:val="bullet"/>
      <w:lvlText w:val=""/>
      <w:lvlJc w:val="left"/>
      <w:pPr>
        <w:tabs>
          <w:tab w:val="num" w:pos="5040"/>
        </w:tabs>
        <w:ind w:left="5040" w:hanging="360"/>
      </w:pPr>
      <w:rPr>
        <w:rFonts w:ascii="Wingdings" w:hAnsi="Wingdings" w:hint="default"/>
      </w:rPr>
    </w:lvl>
    <w:lvl w:ilvl="7" w:tplc="AEB281AE" w:tentative="1">
      <w:start w:val="1"/>
      <w:numFmt w:val="bullet"/>
      <w:lvlText w:val=""/>
      <w:lvlJc w:val="left"/>
      <w:pPr>
        <w:tabs>
          <w:tab w:val="num" w:pos="5760"/>
        </w:tabs>
        <w:ind w:left="5760" w:hanging="360"/>
      </w:pPr>
      <w:rPr>
        <w:rFonts w:ascii="Wingdings" w:hAnsi="Wingdings" w:hint="default"/>
      </w:rPr>
    </w:lvl>
    <w:lvl w:ilvl="8" w:tplc="8CCAA7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731B0"/>
    <w:multiLevelType w:val="hybridMultilevel"/>
    <w:tmpl w:val="ECC6F4DA"/>
    <w:lvl w:ilvl="0" w:tplc="8214C85A">
      <w:numFmt w:val="bullet"/>
      <w:lvlText w:val="-"/>
      <w:lvlJc w:val="left"/>
      <w:pPr>
        <w:tabs>
          <w:tab w:val="num" w:pos="720"/>
        </w:tabs>
        <w:ind w:left="720" w:hanging="360"/>
      </w:pPr>
      <w:rPr>
        <w:rFonts w:ascii="Times New Roman" w:eastAsia="MS Mincho" w:hAnsi="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001CB"/>
    <w:multiLevelType w:val="hybridMultilevel"/>
    <w:tmpl w:val="1C2AEAD6"/>
    <w:lvl w:ilvl="0" w:tplc="3028E2B8">
      <w:start w:val="1"/>
      <w:numFmt w:val="decimal"/>
      <w:lvlText w:val="%1."/>
      <w:lvlJc w:val="left"/>
      <w:pPr>
        <w:tabs>
          <w:tab w:val="num" w:pos="1070"/>
        </w:tabs>
        <w:ind w:left="1070" w:hanging="360"/>
      </w:pPr>
      <w:rPr>
        <w:rFonts w:cs="Times New Roman" w:hint="default"/>
      </w:rPr>
    </w:lvl>
    <w:lvl w:ilvl="1" w:tplc="04020001">
      <w:start w:val="1"/>
      <w:numFmt w:val="bullet"/>
      <w:lvlText w:val=""/>
      <w:lvlJc w:val="left"/>
      <w:pPr>
        <w:tabs>
          <w:tab w:val="num" w:pos="1790"/>
        </w:tabs>
        <w:ind w:left="1790" w:hanging="360"/>
      </w:pPr>
      <w:rPr>
        <w:rFonts w:ascii="Symbol" w:hAnsi="Symbol" w:hint="default"/>
      </w:rPr>
    </w:lvl>
    <w:lvl w:ilvl="2" w:tplc="0402001B" w:tentative="1">
      <w:start w:val="1"/>
      <w:numFmt w:val="lowerRoman"/>
      <w:lvlText w:val="%3."/>
      <w:lvlJc w:val="right"/>
      <w:pPr>
        <w:tabs>
          <w:tab w:val="num" w:pos="2510"/>
        </w:tabs>
        <w:ind w:left="2510" w:hanging="180"/>
      </w:pPr>
      <w:rPr>
        <w:rFonts w:cs="Times New Roman"/>
      </w:rPr>
    </w:lvl>
    <w:lvl w:ilvl="3" w:tplc="0402000F" w:tentative="1">
      <w:start w:val="1"/>
      <w:numFmt w:val="decimal"/>
      <w:lvlText w:val="%4."/>
      <w:lvlJc w:val="left"/>
      <w:pPr>
        <w:tabs>
          <w:tab w:val="num" w:pos="3230"/>
        </w:tabs>
        <w:ind w:left="3230" w:hanging="360"/>
      </w:pPr>
      <w:rPr>
        <w:rFonts w:cs="Times New Roman"/>
      </w:rPr>
    </w:lvl>
    <w:lvl w:ilvl="4" w:tplc="04020019" w:tentative="1">
      <w:start w:val="1"/>
      <w:numFmt w:val="lowerLetter"/>
      <w:lvlText w:val="%5."/>
      <w:lvlJc w:val="left"/>
      <w:pPr>
        <w:tabs>
          <w:tab w:val="num" w:pos="3950"/>
        </w:tabs>
        <w:ind w:left="3950" w:hanging="360"/>
      </w:pPr>
      <w:rPr>
        <w:rFonts w:cs="Times New Roman"/>
      </w:rPr>
    </w:lvl>
    <w:lvl w:ilvl="5" w:tplc="0402001B" w:tentative="1">
      <w:start w:val="1"/>
      <w:numFmt w:val="lowerRoman"/>
      <w:lvlText w:val="%6."/>
      <w:lvlJc w:val="right"/>
      <w:pPr>
        <w:tabs>
          <w:tab w:val="num" w:pos="4670"/>
        </w:tabs>
        <w:ind w:left="4670" w:hanging="180"/>
      </w:pPr>
      <w:rPr>
        <w:rFonts w:cs="Times New Roman"/>
      </w:rPr>
    </w:lvl>
    <w:lvl w:ilvl="6" w:tplc="0402000F" w:tentative="1">
      <w:start w:val="1"/>
      <w:numFmt w:val="decimal"/>
      <w:lvlText w:val="%7."/>
      <w:lvlJc w:val="left"/>
      <w:pPr>
        <w:tabs>
          <w:tab w:val="num" w:pos="5390"/>
        </w:tabs>
        <w:ind w:left="5390" w:hanging="360"/>
      </w:pPr>
      <w:rPr>
        <w:rFonts w:cs="Times New Roman"/>
      </w:rPr>
    </w:lvl>
    <w:lvl w:ilvl="7" w:tplc="04020019" w:tentative="1">
      <w:start w:val="1"/>
      <w:numFmt w:val="lowerLetter"/>
      <w:lvlText w:val="%8."/>
      <w:lvlJc w:val="left"/>
      <w:pPr>
        <w:tabs>
          <w:tab w:val="num" w:pos="6110"/>
        </w:tabs>
        <w:ind w:left="6110" w:hanging="360"/>
      </w:pPr>
      <w:rPr>
        <w:rFonts w:cs="Times New Roman"/>
      </w:rPr>
    </w:lvl>
    <w:lvl w:ilvl="8" w:tplc="0402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1D086FF4"/>
    <w:multiLevelType w:val="hybridMultilevel"/>
    <w:tmpl w:val="43BCFD6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201F7041"/>
    <w:multiLevelType w:val="hybridMultilevel"/>
    <w:tmpl w:val="68447B26"/>
    <w:lvl w:ilvl="0" w:tplc="0402000F">
      <w:start w:val="1"/>
      <w:numFmt w:val="decimal"/>
      <w:lvlText w:val="%1."/>
      <w:lvlJc w:val="left"/>
      <w:pPr>
        <w:ind w:left="1004" w:hanging="360"/>
      </w:pPr>
      <w:rPr>
        <w:rFonts w:cs="Times New Roman"/>
      </w:rPr>
    </w:lvl>
    <w:lvl w:ilvl="1" w:tplc="04020019" w:tentative="1">
      <w:start w:val="1"/>
      <w:numFmt w:val="lowerLetter"/>
      <w:lvlText w:val="%2."/>
      <w:lvlJc w:val="left"/>
      <w:pPr>
        <w:ind w:left="1724" w:hanging="360"/>
      </w:pPr>
      <w:rPr>
        <w:rFonts w:cs="Times New Roman"/>
      </w:rPr>
    </w:lvl>
    <w:lvl w:ilvl="2" w:tplc="0402001B" w:tentative="1">
      <w:start w:val="1"/>
      <w:numFmt w:val="lowerRoman"/>
      <w:lvlText w:val="%3."/>
      <w:lvlJc w:val="right"/>
      <w:pPr>
        <w:ind w:left="2444" w:hanging="180"/>
      </w:pPr>
      <w:rPr>
        <w:rFonts w:cs="Times New Roman"/>
      </w:rPr>
    </w:lvl>
    <w:lvl w:ilvl="3" w:tplc="0402000F" w:tentative="1">
      <w:start w:val="1"/>
      <w:numFmt w:val="decimal"/>
      <w:lvlText w:val="%4."/>
      <w:lvlJc w:val="left"/>
      <w:pPr>
        <w:ind w:left="3164" w:hanging="360"/>
      </w:pPr>
      <w:rPr>
        <w:rFonts w:cs="Times New Roman"/>
      </w:rPr>
    </w:lvl>
    <w:lvl w:ilvl="4" w:tplc="04020019" w:tentative="1">
      <w:start w:val="1"/>
      <w:numFmt w:val="lowerLetter"/>
      <w:lvlText w:val="%5."/>
      <w:lvlJc w:val="left"/>
      <w:pPr>
        <w:ind w:left="3884" w:hanging="360"/>
      </w:pPr>
      <w:rPr>
        <w:rFonts w:cs="Times New Roman"/>
      </w:rPr>
    </w:lvl>
    <w:lvl w:ilvl="5" w:tplc="0402001B" w:tentative="1">
      <w:start w:val="1"/>
      <w:numFmt w:val="lowerRoman"/>
      <w:lvlText w:val="%6."/>
      <w:lvlJc w:val="right"/>
      <w:pPr>
        <w:ind w:left="4604" w:hanging="180"/>
      </w:pPr>
      <w:rPr>
        <w:rFonts w:cs="Times New Roman"/>
      </w:rPr>
    </w:lvl>
    <w:lvl w:ilvl="6" w:tplc="0402000F" w:tentative="1">
      <w:start w:val="1"/>
      <w:numFmt w:val="decimal"/>
      <w:lvlText w:val="%7."/>
      <w:lvlJc w:val="left"/>
      <w:pPr>
        <w:ind w:left="5324" w:hanging="360"/>
      </w:pPr>
      <w:rPr>
        <w:rFonts w:cs="Times New Roman"/>
      </w:rPr>
    </w:lvl>
    <w:lvl w:ilvl="7" w:tplc="04020019" w:tentative="1">
      <w:start w:val="1"/>
      <w:numFmt w:val="lowerLetter"/>
      <w:lvlText w:val="%8."/>
      <w:lvlJc w:val="left"/>
      <w:pPr>
        <w:ind w:left="6044" w:hanging="360"/>
      </w:pPr>
      <w:rPr>
        <w:rFonts w:cs="Times New Roman"/>
      </w:rPr>
    </w:lvl>
    <w:lvl w:ilvl="8" w:tplc="0402001B" w:tentative="1">
      <w:start w:val="1"/>
      <w:numFmt w:val="lowerRoman"/>
      <w:lvlText w:val="%9."/>
      <w:lvlJc w:val="right"/>
      <w:pPr>
        <w:ind w:left="6764" w:hanging="180"/>
      </w:pPr>
      <w:rPr>
        <w:rFonts w:cs="Times New Roman"/>
      </w:rPr>
    </w:lvl>
  </w:abstractNum>
  <w:abstractNum w:abstractNumId="14" w15:restartNumberingAfterBreak="0">
    <w:nsid w:val="26676AB4"/>
    <w:multiLevelType w:val="hybridMultilevel"/>
    <w:tmpl w:val="8D9AD8A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72913F4"/>
    <w:multiLevelType w:val="hybridMultilevel"/>
    <w:tmpl w:val="4448FABE"/>
    <w:lvl w:ilvl="0" w:tplc="C69E348C">
      <w:start w:val="1"/>
      <w:numFmt w:val="bullet"/>
      <w:lvlText w:val=""/>
      <w:lvlJc w:val="left"/>
      <w:pPr>
        <w:tabs>
          <w:tab w:val="num" w:pos="1428"/>
        </w:tabs>
        <w:ind w:left="1428" w:hanging="360"/>
      </w:pPr>
      <w:rPr>
        <w:rFonts w:ascii="Wingdings" w:hAnsi="Wingdings" w:hint="default"/>
        <w:sz w:val="2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9014010"/>
    <w:multiLevelType w:val="hybridMultilevel"/>
    <w:tmpl w:val="B19AF41A"/>
    <w:lvl w:ilvl="0" w:tplc="8214C85A">
      <w:numFmt w:val="bullet"/>
      <w:lvlText w:val="-"/>
      <w:lvlJc w:val="left"/>
      <w:pPr>
        <w:tabs>
          <w:tab w:val="num" w:pos="720"/>
        </w:tabs>
        <w:ind w:left="720" w:hanging="360"/>
      </w:pPr>
      <w:rPr>
        <w:rFonts w:ascii="Times New Roman" w:eastAsia="MS Mincho" w:hAnsi="Times New Roman" w:hint="default"/>
      </w:rPr>
    </w:lvl>
    <w:lvl w:ilvl="1" w:tplc="04020001">
      <w:start w:val="1"/>
      <w:numFmt w:val="bullet"/>
      <w:lvlText w:val=""/>
      <w:lvlJc w:val="left"/>
      <w:pPr>
        <w:tabs>
          <w:tab w:val="num" w:pos="1788"/>
        </w:tabs>
        <w:ind w:left="1788"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F714F"/>
    <w:multiLevelType w:val="hybridMultilevel"/>
    <w:tmpl w:val="3A5ADD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07705C7"/>
    <w:multiLevelType w:val="hybridMultilevel"/>
    <w:tmpl w:val="BA7A7B58"/>
    <w:lvl w:ilvl="0" w:tplc="5CD83C20">
      <w:start w:val="1"/>
      <w:numFmt w:val="bullet"/>
      <w:lvlText w:val=""/>
      <w:lvlJc w:val="left"/>
      <w:pPr>
        <w:tabs>
          <w:tab w:val="num" w:pos="720"/>
        </w:tabs>
        <w:ind w:left="720" w:hanging="360"/>
      </w:pPr>
      <w:rPr>
        <w:rFonts w:ascii="Wingdings" w:hAnsi="Wingdings" w:hint="default"/>
      </w:rPr>
    </w:lvl>
    <w:lvl w:ilvl="1" w:tplc="150236C8" w:tentative="1">
      <w:start w:val="1"/>
      <w:numFmt w:val="bullet"/>
      <w:lvlText w:val=""/>
      <w:lvlJc w:val="left"/>
      <w:pPr>
        <w:tabs>
          <w:tab w:val="num" w:pos="1440"/>
        </w:tabs>
        <w:ind w:left="1440" w:hanging="360"/>
      </w:pPr>
      <w:rPr>
        <w:rFonts w:ascii="Wingdings" w:hAnsi="Wingdings" w:hint="default"/>
      </w:rPr>
    </w:lvl>
    <w:lvl w:ilvl="2" w:tplc="E6165EFC" w:tentative="1">
      <w:start w:val="1"/>
      <w:numFmt w:val="bullet"/>
      <w:lvlText w:val=""/>
      <w:lvlJc w:val="left"/>
      <w:pPr>
        <w:tabs>
          <w:tab w:val="num" w:pos="2160"/>
        </w:tabs>
        <w:ind w:left="2160" w:hanging="360"/>
      </w:pPr>
      <w:rPr>
        <w:rFonts w:ascii="Wingdings" w:hAnsi="Wingdings" w:hint="default"/>
      </w:rPr>
    </w:lvl>
    <w:lvl w:ilvl="3" w:tplc="6F267272" w:tentative="1">
      <w:start w:val="1"/>
      <w:numFmt w:val="bullet"/>
      <w:lvlText w:val=""/>
      <w:lvlJc w:val="left"/>
      <w:pPr>
        <w:tabs>
          <w:tab w:val="num" w:pos="2880"/>
        </w:tabs>
        <w:ind w:left="2880" w:hanging="360"/>
      </w:pPr>
      <w:rPr>
        <w:rFonts w:ascii="Wingdings" w:hAnsi="Wingdings" w:hint="default"/>
      </w:rPr>
    </w:lvl>
    <w:lvl w:ilvl="4" w:tplc="0C988D5A" w:tentative="1">
      <w:start w:val="1"/>
      <w:numFmt w:val="bullet"/>
      <w:lvlText w:val=""/>
      <w:lvlJc w:val="left"/>
      <w:pPr>
        <w:tabs>
          <w:tab w:val="num" w:pos="3600"/>
        </w:tabs>
        <w:ind w:left="3600" w:hanging="360"/>
      </w:pPr>
      <w:rPr>
        <w:rFonts w:ascii="Wingdings" w:hAnsi="Wingdings" w:hint="default"/>
      </w:rPr>
    </w:lvl>
    <w:lvl w:ilvl="5" w:tplc="25385D52" w:tentative="1">
      <w:start w:val="1"/>
      <w:numFmt w:val="bullet"/>
      <w:lvlText w:val=""/>
      <w:lvlJc w:val="left"/>
      <w:pPr>
        <w:tabs>
          <w:tab w:val="num" w:pos="4320"/>
        </w:tabs>
        <w:ind w:left="4320" w:hanging="360"/>
      </w:pPr>
      <w:rPr>
        <w:rFonts w:ascii="Wingdings" w:hAnsi="Wingdings" w:hint="default"/>
      </w:rPr>
    </w:lvl>
    <w:lvl w:ilvl="6" w:tplc="7F02D30C" w:tentative="1">
      <w:start w:val="1"/>
      <w:numFmt w:val="bullet"/>
      <w:lvlText w:val=""/>
      <w:lvlJc w:val="left"/>
      <w:pPr>
        <w:tabs>
          <w:tab w:val="num" w:pos="5040"/>
        </w:tabs>
        <w:ind w:left="5040" w:hanging="360"/>
      </w:pPr>
      <w:rPr>
        <w:rFonts w:ascii="Wingdings" w:hAnsi="Wingdings" w:hint="default"/>
      </w:rPr>
    </w:lvl>
    <w:lvl w:ilvl="7" w:tplc="13062DA6" w:tentative="1">
      <w:start w:val="1"/>
      <w:numFmt w:val="bullet"/>
      <w:lvlText w:val=""/>
      <w:lvlJc w:val="left"/>
      <w:pPr>
        <w:tabs>
          <w:tab w:val="num" w:pos="5760"/>
        </w:tabs>
        <w:ind w:left="5760" w:hanging="360"/>
      </w:pPr>
      <w:rPr>
        <w:rFonts w:ascii="Wingdings" w:hAnsi="Wingdings" w:hint="default"/>
      </w:rPr>
    </w:lvl>
    <w:lvl w:ilvl="8" w:tplc="969C50D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C4939"/>
    <w:multiLevelType w:val="hybridMultilevel"/>
    <w:tmpl w:val="A4ACEAFC"/>
    <w:lvl w:ilvl="0" w:tplc="04020001">
      <w:start w:val="1"/>
      <w:numFmt w:val="bullet"/>
      <w:lvlText w:val=""/>
      <w:lvlJc w:val="left"/>
      <w:pPr>
        <w:tabs>
          <w:tab w:val="num" w:pos="720"/>
        </w:tabs>
        <w:ind w:left="720" w:hanging="360"/>
      </w:pPr>
      <w:rPr>
        <w:rFonts w:ascii="Symbol" w:hAnsi="Symbol" w:hint="default"/>
      </w:rPr>
    </w:lvl>
    <w:lvl w:ilvl="1" w:tplc="62C6C79A">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6D47B2"/>
    <w:multiLevelType w:val="hybridMultilevel"/>
    <w:tmpl w:val="58A41924"/>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02100"/>
    <w:multiLevelType w:val="hybridMultilevel"/>
    <w:tmpl w:val="55040EE4"/>
    <w:lvl w:ilvl="0" w:tplc="3028E2B8">
      <w:start w:val="1"/>
      <w:numFmt w:val="decimal"/>
      <w:lvlText w:val="%1."/>
      <w:lvlJc w:val="left"/>
      <w:pPr>
        <w:tabs>
          <w:tab w:val="num" w:pos="1068"/>
        </w:tabs>
        <w:ind w:left="1068" w:hanging="360"/>
      </w:pPr>
      <w:rPr>
        <w:rFonts w:cs="Times New Roman" w:hint="default"/>
      </w:rPr>
    </w:lvl>
    <w:lvl w:ilvl="1" w:tplc="04020003">
      <w:start w:val="1"/>
      <w:numFmt w:val="bullet"/>
      <w:lvlText w:val="o"/>
      <w:lvlJc w:val="left"/>
      <w:pPr>
        <w:tabs>
          <w:tab w:val="num" w:pos="1788"/>
        </w:tabs>
        <w:ind w:left="1788" w:hanging="360"/>
      </w:pPr>
      <w:rPr>
        <w:rFonts w:ascii="Courier New" w:hAnsi="Courier New" w:hint="default"/>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3E8C4426"/>
    <w:multiLevelType w:val="hybridMultilevel"/>
    <w:tmpl w:val="2BF0EDA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0E2B43"/>
    <w:multiLevelType w:val="hybridMultilevel"/>
    <w:tmpl w:val="A326971A"/>
    <w:lvl w:ilvl="0" w:tplc="A4FCD680">
      <w:start w:val="1"/>
      <w:numFmt w:val="bullet"/>
      <w:lvlText w:val=""/>
      <w:lvlJc w:val="left"/>
      <w:pPr>
        <w:ind w:left="720" w:hanging="360"/>
      </w:pPr>
      <w:rPr>
        <w:rFonts w:ascii="Symbol" w:hAnsi="Symbol" w:hint="default"/>
        <w:spacing w:val="20"/>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F816C98"/>
    <w:multiLevelType w:val="hybridMultilevel"/>
    <w:tmpl w:val="EC12ED22"/>
    <w:lvl w:ilvl="0" w:tplc="18EC93E2">
      <w:start w:val="2"/>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24F0513"/>
    <w:multiLevelType w:val="hybridMultilevel"/>
    <w:tmpl w:val="B8AAF5D0"/>
    <w:lvl w:ilvl="0" w:tplc="44A8754E">
      <w:start w:val="1"/>
      <w:numFmt w:val="bullet"/>
      <w:lvlText w:val=""/>
      <w:lvlJc w:val="left"/>
      <w:pPr>
        <w:tabs>
          <w:tab w:val="num" w:pos="2340"/>
        </w:tabs>
        <w:ind w:left="2340" w:hanging="360"/>
      </w:pPr>
      <w:rPr>
        <w:rFonts w:ascii="Symbol" w:hAnsi="Symbol" w:hint="default"/>
      </w:rPr>
    </w:lvl>
    <w:lvl w:ilvl="1" w:tplc="04020003">
      <w:start w:val="1"/>
      <w:numFmt w:val="bullet"/>
      <w:lvlText w:val=""/>
      <w:lvlJc w:val="left"/>
      <w:pPr>
        <w:tabs>
          <w:tab w:val="num" w:pos="1440"/>
        </w:tabs>
        <w:ind w:left="1440" w:hanging="360"/>
      </w:pPr>
      <w:rPr>
        <w:rFonts w:ascii="Wingdings" w:hAnsi="Wingdings"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F23599"/>
    <w:multiLevelType w:val="hybridMultilevel"/>
    <w:tmpl w:val="07A6E454"/>
    <w:lvl w:ilvl="0" w:tplc="1996DB6A">
      <w:start w:val="1"/>
      <w:numFmt w:val="bullet"/>
      <w:lvlText w:val="-"/>
      <w:lvlJc w:val="left"/>
      <w:pPr>
        <w:tabs>
          <w:tab w:val="num" w:pos="420"/>
        </w:tabs>
        <w:ind w:left="420" w:hanging="360"/>
      </w:pPr>
      <w:rPr>
        <w:rFonts w:ascii="Times New Roman" w:eastAsia="Times New Roman" w:hAnsi="Times New Roman" w:hint="default"/>
      </w:rPr>
    </w:lvl>
    <w:lvl w:ilvl="1" w:tplc="04020003">
      <w:start w:val="1"/>
      <w:numFmt w:val="bullet"/>
      <w:lvlText w:val="o"/>
      <w:lvlJc w:val="left"/>
      <w:pPr>
        <w:tabs>
          <w:tab w:val="num" w:pos="1140"/>
        </w:tabs>
        <w:ind w:left="1140" w:hanging="360"/>
      </w:pPr>
      <w:rPr>
        <w:rFonts w:ascii="Courier New" w:hAnsi="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8" w15:restartNumberingAfterBreak="0">
    <w:nsid w:val="4AD04C97"/>
    <w:multiLevelType w:val="hybridMultilevel"/>
    <w:tmpl w:val="15FA7354"/>
    <w:lvl w:ilvl="0" w:tplc="0402000F">
      <w:start w:val="1"/>
      <w:numFmt w:val="decimal"/>
      <w:lvlText w:val="%1."/>
      <w:lvlJc w:val="left"/>
      <w:pPr>
        <w:tabs>
          <w:tab w:val="num" w:pos="1800"/>
        </w:tabs>
        <w:ind w:left="1800" w:hanging="360"/>
      </w:pPr>
      <w:rPr>
        <w:rFonts w:cs="Times New Roman"/>
      </w:rPr>
    </w:lvl>
    <w:lvl w:ilvl="1" w:tplc="04020019" w:tentative="1">
      <w:start w:val="1"/>
      <w:numFmt w:val="lowerLetter"/>
      <w:lvlText w:val="%2."/>
      <w:lvlJc w:val="left"/>
      <w:pPr>
        <w:tabs>
          <w:tab w:val="num" w:pos="2520"/>
        </w:tabs>
        <w:ind w:left="2520" w:hanging="360"/>
      </w:pPr>
      <w:rPr>
        <w:rFonts w:cs="Times New Roman"/>
      </w:rPr>
    </w:lvl>
    <w:lvl w:ilvl="2" w:tplc="0402001B" w:tentative="1">
      <w:start w:val="1"/>
      <w:numFmt w:val="lowerRoman"/>
      <w:lvlText w:val="%3."/>
      <w:lvlJc w:val="right"/>
      <w:pPr>
        <w:tabs>
          <w:tab w:val="num" w:pos="3240"/>
        </w:tabs>
        <w:ind w:left="3240" w:hanging="180"/>
      </w:pPr>
      <w:rPr>
        <w:rFonts w:cs="Times New Roman"/>
      </w:rPr>
    </w:lvl>
    <w:lvl w:ilvl="3" w:tplc="0402000F" w:tentative="1">
      <w:start w:val="1"/>
      <w:numFmt w:val="decimal"/>
      <w:lvlText w:val="%4."/>
      <w:lvlJc w:val="left"/>
      <w:pPr>
        <w:tabs>
          <w:tab w:val="num" w:pos="3960"/>
        </w:tabs>
        <w:ind w:left="3960" w:hanging="360"/>
      </w:pPr>
      <w:rPr>
        <w:rFonts w:cs="Times New Roman"/>
      </w:rPr>
    </w:lvl>
    <w:lvl w:ilvl="4" w:tplc="04020019" w:tentative="1">
      <w:start w:val="1"/>
      <w:numFmt w:val="lowerLetter"/>
      <w:lvlText w:val="%5."/>
      <w:lvlJc w:val="left"/>
      <w:pPr>
        <w:tabs>
          <w:tab w:val="num" w:pos="4680"/>
        </w:tabs>
        <w:ind w:left="4680" w:hanging="360"/>
      </w:pPr>
      <w:rPr>
        <w:rFonts w:cs="Times New Roman"/>
      </w:rPr>
    </w:lvl>
    <w:lvl w:ilvl="5" w:tplc="0402001B" w:tentative="1">
      <w:start w:val="1"/>
      <w:numFmt w:val="lowerRoman"/>
      <w:lvlText w:val="%6."/>
      <w:lvlJc w:val="right"/>
      <w:pPr>
        <w:tabs>
          <w:tab w:val="num" w:pos="5400"/>
        </w:tabs>
        <w:ind w:left="5400" w:hanging="180"/>
      </w:pPr>
      <w:rPr>
        <w:rFonts w:cs="Times New Roman"/>
      </w:rPr>
    </w:lvl>
    <w:lvl w:ilvl="6" w:tplc="0402000F" w:tentative="1">
      <w:start w:val="1"/>
      <w:numFmt w:val="decimal"/>
      <w:lvlText w:val="%7."/>
      <w:lvlJc w:val="left"/>
      <w:pPr>
        <w:tabs>
          <w:tab w:val="num" w:pos="6120"/>
        </w:tabs>
        <w:ind w:left="6120" w:hanging="360"/>
      </w:pPr>
      <w:rPr>
        <w:rFonts w:cs="Times New Roman"/>
      </w:rPr>
    </w:lvl>
    <w:lvl w:ilvl="7" w:tplc="04020019" w:tentative="1">
      <w:start w:val="1"/>
      <w:numFmt w:val="lowerLetter"/>
      <w:lvlText w:val="%8."/>
      <w:lvlJc w:val="left"/>
      <w:pPr>
        <w:tabs>
          <w:tab w:val="num" w:pos="6840"/>
        </w:tabs>
        <w:ind w:left="6840" w:hanging="360"/>
      </w:pPr>
      <w:rPr>
        <w:rFonts w:cs="Times New Roman"/>
      </w:rPr>
    </w:lvl>
    <w:lvl w:ilvl="8" w:tplc="0402001B" w:tentative="1">
      <w:start w:val="1"/>
      <w:numFmt w:val="lowerRoman"/>
      <w:lvlText w:val="%9."/>
      <w:lvlJc w:val="right"/>
      <w:pPr>
        <w:tabs>
          <w:tab w:val="num" w:pos="7560"/>
        </w:tabs>
        <w:ind w:left="7560" w:hanging="180"/>
      </w:pPr>
      <w:rPr>
        <w:rFonts w:cs="Times New Roman"/>
      </w:rPr>
    </w:lvl>
  </w:abstractNum>
  <w:abstractNum w:abstractNumId="29" w15:restartNumberingAfterBreak="0">
    <w:nsid w:val="53A52A8B"/>
    <w:multiLevelType w:val="hybridMultilevel"/>
    <w:tmpl w:val="B70A6D34"/>
    <w:lvl w:ilvl="0" w:tplc="04090001">
      <w:start w:val="1"/>
      <w:numFmt w:val="bullet"/>
      <w:lvlText w:val=""/>
      <w:lvlJc w:val="left"/>
      <w:pPr>
        <w:tabs>
          <w:tab w:val="num" w:pos="2484"/>
        </w:tabs>
        <w:ind w:left="2484" w:hanging="360"/>
      </w:pPr>
      <w:rPr>
        <w:rFonts w:ascii="Symbol" w:hAnsi="Symbol" w:hint="default"/>
      </w:rPr>
    </w:lvl>
    <w:lvl w:ilvl="1" w:tplc="04090003" w:tentative="1">
      <w:start w:val="1"/>
      <w:numFmt w:val="bullet"/>
      <w:lvlText w:val="o"/>
      <w:lvlJc w:val="left"/>
      <w:pPr>
        <w:tabs>
          <w:tab w:val="num" w:pos="3204"/>
        </w:tabs>
        <w:ind w:left="3204" w:hanging="360"/>
      </w:pPr>
      <w:rPr>
        <w:rFonts w:ascii="Courier New" w:hAnsi="Courier New" w:hint="default"/>
      </w:rPr>
    </w:lvl>
    <w:lvl w:ilvl="2" w:tplc="04090005" w:tentative="1">
      <w:start w:val="1"/>
      <w:numFmt w:val="bullet"/>
      <w:lvlText w:val=""/>
      <w:lvlJc w:val="left"/>
      <w:pPr>
        <w:tabs>
          <w:tab w:val="num" w:pos="3924"/>
        </w:tabs>
        <w:ind w:left="3924" w:hanging="360"/>
      </w:pPr>
      <w:rPr>
        <w:rFonts w:ascii="Wingdings" w:hAnsi="Wingdings" w:hint="default"/>
      </w:rPr>
    </w:lvl>
    <w:lvl w:ilvl="3" w:tplc="04090001" w:tentative="1">
      <w:start w:val="1"/>
      <w:numFmt w:val="bullet"/>
      <w:lvlText w:val=""/>
      <w:lvlJc w:val="left"/>
      <w:pPr>
        <w:tabs>
          <w:tab w:val="num" w:pos="4644"/>
        </w:tabs>
        <w:ind w:left="4644" w:hanging="360"/>
      </w:pPr>
      <w:rPr>
        <w:rFonts w:ascii="Symbol" w:hAnsi="Symbol" w:hint="default"/>
      </w:rPr>
    </w:lvl>
    <w:lvl w:ilvl="4" w:tplc="04090003" w:tentative="1">
      <w:start w:val="1"/>
      <w:numFmt w:val="bullet"/>
      <w:lvlText w:val="o"/>
      <w:lvlJc w:val="left"/>
      <w:pPr>
        <w:tabs>
          <w:tab w:val="num" w:pos="5364"/>
        </w:tabs>
        <w:ind w:left="5364" w:hanging="360"/>
      </w:pPr>
      <w:rPr>
        <w:rFonts w:ascii="Courier New" w:hAnsi="Courier New" w:hint="default"/>
      </w:rPr>
    </w:lvl>
    <w:lvl w:ilvl="5" w:tplc="04090005" w:tentative="1">
      <w:start w:val="1"/>
      <w:numFmt w:val="bullet"/>
      <w:lvlText w:val=""/>
      <w:lvlJc w:val="left"/>
      <w:pPr>
        <w:tabs>
          <w:tab w:val="num" w:pos="6084"/>
        </w:tabs>
        <w:ind w:left="6084" w:hanging="360"/>
      </w:pPr>
      <w:rPr>
        <w:rFonts w:ascii="Wingdings" w:hAnsi="Wingdings" w:hint="default"/>
      </w:rPr>
    </w:lvl>
    <w:lvl w:ilvl="6" w:tplc="04090001" w:tentative="1">
      <w:start w:val="1"/>
      <w:numFmt w:val="bullet"/>
      <w:lvlText w:val=""/>
      <w:lvlJc w:val="left"/>
      <w:pPr>
        <w:tabs>
          <w:tab w:val="num" w:pos="6804"/>
        </w:tabs>
        <w:ind w:left="6804" w:hanging="360"/>
      </w:pPr>
      <w:rPr>
        <w:rFonts w:ascii="Symbol" w:hAnsi="Symbol" w:hint="default"/>
      </w:rPr>
    </w:lvl>
    <w:lvl w:ilvl="7" w:tplc="04090003" w:tentative="1">
      <w:start w:val="1"/>
      <w:numFmt w:val="bullet"/>
      <w:lvlText w:val="o"/>
      <w:lvlJc w:val="left"/>
      <w:pPr>
        <w:tabs>
          <w:tab w:val="num" w:pos="7524"/>
        </w:tabs>
        <w:ind w:left="7524" w:hanging="360"/>
      </w:pPr>
      <w:rPr>
        <w:rFonts w:ascii="Courier New" w:hAnsi="Courier New" w:hint="default"/>
      </w:rPr>
    </w:lvl>
    <w:lvl w:ilvl="8" w:tplc="04090005" w:tentative="1">
      <w:start w:val="1"/>
      <w:numFmt w:val="bullet"/>
      <w:lvlText w:val=""/>
      <w:lvlJc w:val="left"/>
      <w:pPr>
        <w:tabs>
          <w:tab w:val="num" w:pos="8244"/>
        </w:tabs>
        <w:ind w:left="8244" w:hanging="360"/>
      </w:pPr>
      <w:rPr>
        <w:rFonts w:ascii="Wingdings" w:hAnsi="Wingdings" w:hint="default"/>
      </w:rPr>
    </w:lvl>
  </w:abstractNum>
  <w:abstractNum w:abstractNumId="30" w15:restartNumberingAfterBreak="0">
    <w:nsid w:val="5CE17213"/>
    <w:multiLevelType w:val="hybridMultilevel"/>
    <w:tmpl w:val="3BB8767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FD5AE8"/>
    <w:multiLevelType w:val="hybridMultilevel"/>
    <w:tmpl w:val="983EF9EE"/>
    <w:lvl w:ilvl="0" w:tplc="B876202E">
      <w:start w:val="1"/>
      <w:numFmt w:val="bullet"/>
      <w:lvlText w:val=""/>
      <w:lvlJc w:val="left"/>
      <w:pPr>
        <w:tabs>
          <w:tab w:val="num" w:pos="720"/>
        </w:tabs>
        <w:ind w:left="720" w:hanging="360"/>
      </w:pPr>
      <w:rPr>
        <w:rFonts w:ascii="Wingdings" w:hAnsi="Wingdings" w:hint="default"/>
      </w:rPr>
    </w:lvl>
    <w:lvl w:ilvl="1" w:tplc="C4EE5F08" w:tentative="1">
      <w:start w:val="1"/>
      <w:numFmt w:val="bullet"/>
      <w:lvlText w:val=""/>
      <w:lvlJc w:val="left"/>
      <w:pPr>
        <w:tabs>
          <w:tab w:val="num" w:pos="1440"/>
        </w:tabs>
        <w:ind w:left="1440" w:hanging="360"/>
      </w:pPr>
      <w:rPr>
        <w:rFonts w:ascii="Wingdings" w:hAnsi="Wingdings" w:hint="default"/>
      </w:rPr>
    </w:lvl>
    <w:lvl w:ilvl="2" w:tplc="0A98C4B6" w:tentative="1">
      <w:start w:val="1"/>
      <w:numFmt w:val="bullet"/>
      <w:lvlText w:val=""/>
      <w:lvlJc w:val="left"/>
      <w:pPr>
        <w:tabs>
          <w:tab w:val="num" w:pos="2160"/>
        </w:tabs>
        <w:ind w:left="2160" w:hanging="360"/>
      </w:pPr>
      <w:rPr>
        <w:rFonts w:ascii="Wingdings" w:hAnsi="Wingdings" w:hint="default"/>
      </w:rPr>
    </w:lvl>
    <w:lvl w:ilvl="3" w:tplc="F358F8F4" w:tentative="1">
      <w:start w:val="1"/>
      <w:numFmt w:val="bullet"/>
      <w:lvlText w:val=""/>
      <w:lvlJc w:val="left"/>
      <w:pPr>
        <w:tabs>
          <w:tab w:val="num" w:pos="2880"/>
        </w:tabs>
        <w:ind w:left="2880" w:hanging="360"/>
      </w:pPr>
      <w:rPr>
        <w:rFonts w:ascii="Wingdings" w:hAnsi="Wingdings" w:hint="default"/>
      </w:rPr>
    </w:lvl>
    <w:lvl w:ilvl="4" w:tplc="40DCBF9A" w:tentative="1">
      <w:start w:val="1"/>
      <w:numFmt w:val="bullet"/>
      <w:lvlText w:val=""/>
      <w:lvlJc w:val="left"/>
      <w:pPr>
        <w:tabs>
          <w:tab w:val="num" w:pos="3600"/>
        </w:tabs>
        <w:ind w:left="3600" w:hanging="360"/>
      </w:pPr>
      <w:rPr>
        <w:rFonts w:ascii="Wingdings" w:hAnsi="Wingdings" w:hint="default"/>
      </w:rPr>
    </w:lvl>
    <w:lvl w:ilvl="5" w:tplc="E6CA8D7E" w:tentative="1">
      <w:start w:val="1"/>
      <w:numFmt w:val="bullet"/>
      <w:lvlText w:val=""/>
      <w:lvlJc w:val="left"/>
      <w:pPr>
        <w:tabs>
          <w:tab w:val="num" w:pos="4320"/>
        </w:tabs>
        <w:ind w:left="4320" w:hanging="360"/>
      </w:pPr>
      <w:rPr>
        <w:rFonts w:ascii="Wingdings" w:hAnsi="Wingdings" w:hint="default"/>
      </w:rPr>
    </w:lvl>
    <w:lvl w:ilvl="6" w:tplc="85907DFE" w:tentative="1">
      <w:start w:val="1"/>
      <w:numFmt w:val="bullet"/>
      <w:lvlText w:val=""/>
      <w:lvlJc w:val="left"/>
      <w:pPr>
        <w:tabs>
          <w:tab w:val="num" w:pos="5040"/>
        </w:tabs>
        <w:ind w:left="5040" w:hanging="360"/>
      </w:pPr>
      <w:rPr>
        <w:rFonts w:ascii="Wingdings" w:hAnsi="Wingdings" w:hint="default"/>
      </w:rPr>
    </w:lvl>
    <w:lvl w:ilvl="7" w:tplc="EB6C4CBE" w:tentative="1">
      <w:start w:val="1"/>
      <w:numFmt w:val="bullet"/>
      <w:lvlText w:val=""/>
      <w:lvlJc w:val="left"/>
      <w:pPr>
        <w:tabs>
          <w:tab w:val="num" w:pos="5760"/>
        </w:tabs>
        <w:ind w:left="5760" w:hanging="360"/>
      </w:pPr>
      <w:rPr>
        <w:rFonts w:ascii="Wingdings" w:hAnsi="Wingdings" w:hint="default"/>
      </w:rPr>
    </w:lvl>
    <w:lvl w:ilvl="8" w:tplc="880E163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3D77A7"/>
    <w:multiLevelType w:val="hybridMultilevel"/>
    <w:tmpl w:val="D692533C"/>
    <w:lvl w:ilvl="0" w:tplc="25AEE294">
      <w:start w:val="1"/>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abstractNum w:abstractNumId="33" w15:restartNumberingAfterBreak="0">
    <w:nsid w:val="60F56B88"/>
    <w:multiLevelType w:val="hybridMultilevel"/>
    <w:tmpl w:val="1D80F7F4"/>
    <w:lvl w:ilvl="0" w:tplc="C69E348C">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53560"/>
    <w:multiLevelType w:val="hybridMultilevel"/>
    <w:tmpl w:val="9D3A6A26"/>
    <w:lvl w:ilvl="0" w:tplc="76E82576">
      <w:start w:val="1"/>
      <w:numFmt w:val="decimal"/>
      <w:lvlText w:val="%1."/>
      <w:lvlJc w:val="left"/>
      <w:pPr>
        <w:tabs>
          <w:tab w:val="num" w:pos="750"/>
        </w:tabs>
        <w:ind w:left="750" w:hanging="39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3779A"/>
    <w:multiLevelType w:val="hybridMultilevel"/>
    <w:tmpl w:val="2A5C8E40"/>
    <w:lvl w:ilvl="0" w:tplc="9400483A">
      <w:start w:val="1"/>
      <w:numFmt w:val="decimal"/>
      <w:lvlText w:val="%1."/>
      <w:lvlJc w:val="left"/>
      <w:pPr>
        <w:tabs>
          <w:tab w:val="num" w:pos="720"/>
        </w:tabs>
        <w:ind w:left="720" w:hanging="360"/>
      </w:pPr>
      <w:rPr>
        <w:rFonts w:cs="Times New Roman"/>
      </w:rPr>
    </w:lvl>
    <w:lvl w:ilvl="1" w:tplc="6BCE334A" w:tentative="1">
      <w:start w:val="1"/>
      <w:numFmt w:val="decimal"/>
      <w:lvlText w:val="%2."/>
      <w:lvlJc w:val="left"/>
      <w:pPr>
        <w:tabs>
          <w:tab w:val="num" w:pos="1440"/>
        </w:tabs>
        <w:ind w:left="1440" w:hanging="360"/>
      </w:pPr>
      <w:rPr>
        <w:rFonts w:cs="Times New Roman"/>
      </w:rPr>
    </w:lvl>
    <w:lvl w:ilvl="2" w:tplc="1BCE2912" w:tentative="1">
      <w:start w:val="1"/>
      <w:numFmt w:val="decimal"/>
      <w:lvlText w:val="%3."/>
      <w:lvlJc w:val="left"/>
      <w:pPr>
        <w:tabs>
          <w:tab w:val="num" w:pos="2160"/>
        </w:tabs>
        <w:ind w:left="2160" w:hanging="360"/>
      </w:pPr>
      <w:rPr>
        <w:rFonts w:cs="Times New Roman"/>
      </w:rPr>
    </w:lvl>
    <w:lvl w:ilvl="3" w:tplc="FC40F160" w:tentative="1">
      <w:start w:val="1"/>
      <w:numFmt w:val="decimal"/>
      <w:lvlText w:val="%4."/>
      <w:lvlJc w:val="left"/>
      <w:pPr>
        <w:tabs>
          <w:tab w:val="num" w:pos="2880"/>
        </w:tabs>
        <w:ind w:left="2880" w:hanging="360"/>
      </w:pPr>
      <w:rPr>
        <w:rFonts w:cs="Times New Roman"/>
      </w:rPr>
    </w:lvl>
    <w:lvl w:ilvl="4" w:tplc="882A23C6" w:tentative="1">
      <w:start w:val="1"/>
      <w:numFmt w:val="decimal"/>
      <w:lvlText w:val="%5."/>
      <w:lvlJc w:val="left"/>
      <w:pPr>
        <w:tabs>
          <w:tab w:val="num" w:pos="3600"/>
        </w:tabs>
        <w:ind w:left="3600" w:hanging="360"/>
      </w:pPr>
      <w:rPr>
        <w:rFonts w:cs="Times New Roman"/>
      </w:rPr>
    </w:lvl>
    <w:lvl w:ilvl="5" w:tplc="E4F88B76" w:tentative="1">
      <w:start w:val="1"/>
      <w:numFmt w:val="decimal"/>
      <w:lvlText w:val="%6."/>
      <w:lvlJc w:val="left"/>
      <w:pPr>
        <w:tabs>
          <w:tab w:val="num" w:pos="4320"/>
        </w:tabs>
        <w:ind w:left="4320" w:hanging="360"/>
      </w:pPr>
      <w:rPr>
        <w:rFonts w:cs="Times New Roman"/>
      </w:rPr>
    </w:lvl>
    <w:lvl w:ilvl="6" w:tplc="B85E9EC0" w:tentative="1">
      <w:start w:val="1"/>
      <w:numFmt w:val="decimal"/>
      <w:lvlText w:val="%7."/>
      <w:lvlJc w:val="left"/>
      <w:pPr>
        <w:tabs>
          <w:tab w:val="num" w:pos="5040"/>
        </w:tabs>
        <w:ind w:left="5040" w:hanging="360"/>
      </w:pPr>
      <w:rPr>
        <w:rFonts w:cs="Times New Roman"/>
      </w:rPr>
    </w:lvl>
    <w:lvl w:ilvl="7" w:tplc="95FEC410" w:tentative="1">
      <w:start w:val="1"/>
      <w:numFmt w:val="decimal"/>
      <w:lvlText w:val="%8."/>
      <w:lvlJc w:val="left"/>
      <w:pPr>
        <w:tabs>
          <w:tab w:val="num" w:pos="5760"/>
        </w:tabs>
        <w:ind w:left="5760" w:hanging="360"/>
      </w:pPr>
      <w:rPr>
        <w:rFonts w:cs="Times New Roman"/>
      </w:rPr>
    </w:lvl>
    <w:lvl w:ilvl="8" w:tplc="5504D99C" w:tentative="1">
      <w:start w:val="1"/>
      <w:numFmt w:val="decimal"/>
      <w:lvlText w:val="%9."/>
      <w:lvlJc w:val="left"/>
      <w:pPr>
        <w:tabs>
          <w:tab w:val="num" w:pos="6480"/>
        </w:tabs>
        <w:ind w:left="6480" w:hanging="360"/>
      </w:pPr>
      <w:rPr>
        <w:rFonts w:cs="Times New Roman"/>
      </w:rPr>
    </w:lvl>
  </w:abstractNum>
  <w:abstractNum w:abstractNumId="37" w15:restartNumberingAfterBreak="0">
    <w:nsid w:val="6A325D5F"/>
    <w:multiLevelType w:val="hybridMultilevel"/>
    <w:tmpl w:val="A0F2E6C6"/>
    <w:lvl w:ilvl="0" w:tplc="0402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280128"/>
    <w:multiLevelType w:val="hybridMultilevel"/>
    <w:tmpl w:val="3378D99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6E0B62C5"/>
    <w:multiLevelType w:val="hybridMultilevel"/>
    <w:tmpl w:val="C9C07588"/>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E92389D"/>
    <w:multiLevelType w:val="hybridMultilevel"/>
    <w:tmpl w:val="3706333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7E6B76"/>
    <w:multiLevelType w:val="hybridMultilevel"/>
    <w:tmpl w:val="C4163920"/>
    <w:lvl w:ilvl="0" w:tplc="138E6EC0">
      <w:start w:val="1"/>
      <w:numFmt w:val="bullet"/>
      <w:lvlText w:val=""/>
      <w:lvlJc w:val="left"/>
      <w:pPr>
        <w:tabs>
          <w:tab w:val="num" w:pos="720"/>
        </w:tabs>
        <w:ind w:left="720" w:hanging="360"/>
      </w:pPr>
      <w:rPr>
        <w:rFonts w:ascii="Wingdings" w:hAnsi="Wingdings" w:hint="default"/>
      </w:rPr>
    </w:lvl>
    <w:lvl w:ilvl="1" w:tplc="2A3E1048" w:tentative="1">
      <w:start w:val="1"/>
      <w:numFmt w:val="bullet"/>
      <w:lvlText w:val=""/>
      <w:lvlJc w:val="left"/>
      <w:pPr>
        <w:tabs>
          <w:tab w:val="num" w:pos="1440"/>
        </w:tabs>
        <w:ind w:left="1440" w:hanging="360"/>
      </w:pPr>
      <w:rPr>
        <w:rFonts w:ascii="Wingdings" w:hAnsi="Wingdings" w:hint="default"/>
      </w:rPr>
    </w:lvl>
    <w:lvl w:ilvl="2" w:tplc="1D7C9F7C" w:tentative="1">
      <w:start w:val="1"/>
      <w:numFmt w:val="bullet"/>
      <w:lvlText w:val=""/>
      <w:lvlJc w:val="left"/>
      <w:pPr>
        <w:tabs>
          <w:tab w:val="num" w:pos="2160"/>
        </w:tabs>
        <w:ind w:left="2160" w:hanging="360"/>
      </w:pPr>
      <w:rPr>
        <w:rFonts w:ascii="Wingdings" w:hAnsi="Wingdings" w:hint="default"/>
      </w:rPr>
    </w:lvl>
    <w:lvl w:ilvl="3" w:tplc="0750DA1C" w:tentative="1">
      <w:start w:val="1"/>
      <w:numFmt w:val="bullet"/>
      <w:lvlText w:val=""/>
      <w:lvlJc w:val="left"/>
      <w:pPr>
        <w:tabs>
          <w:tab w:val="num" w:pos="2880"/>
        </w:tabs>
        <w:ind w:left="2880" w:hanging="360"/>
      </w:pPr>
      <w:rPr>
        <w:rFonts w:ascii="Wingdings" w:hAnsi="Wingdings" w:hint="default"/>
      </w:rPr>
    </w:lvl>
    <w:lvl w:ilvl="4" w:tplc="05829A84" w:tentative="1">
      <w:start w:val="1"/>
      <w:numFmt w:val="bullet"/>
      <w:lvlText w:val=""/>
      <w:lvlJc w:val="left"/>
      <w:pPr>
        <w:tabs>
          <w:tab w:val="num" w:pos="3600"/>
        </w:tabs>
        <w:ind w:left="3600" w:hanging="360"/>
      </w:pPr>
      <w:rPr>
        <w:rFonts w:ascii="Wingdings" w:hAnsi="Wingdings" w:hint="default"/>
      </w:rPr>
    </w:lvl>
    <w:lvl w:ilvl="5" w:tplc="246C8CC4" w:tentative="1">
      <w:start w:val="1"/>
      <w:numFmt w:val="bullet"/>
      <w:lvlText w:val=""/>
      <w:lvlJc w:val="left"/>
      <w:pPr>
        <w:tabs>
          <w:tab w:val="num" w:pos="4320"/>
        </w:tabs>
        <w:ind w:left="4320" w:hanging="360"/>
      </w:pPr>
      <w:rPr>
        <w:rFonts w:ascii="Wingdings" w:hAnsi="Wingdings" w:hint="default"/>
      </w:rPr>
    </w:lvl>
    <w:lvl w:ilvl="6" w:tplc="C164A690" w:tentative="1">
      <w:start w:val="1"/>
      <w:numFmt w:val="bullet"/>
      <w:lvlText w:val=""/>
      <w:lvlJc w:val="left"/>
      <w:pPr>
        <w:tabs>
          <w:tab w:val="num" w:pos="5040"/>
        </w:tabs>
        <w:ind w:left="5040" w:hanging="360"/>
      </w:pPr>
      <w:rPr>
        <w:rFonts w:ascii="Wingdings" w:hAnsi="Wingdings" w:hint="default"/>
      </w:rPr>
    </w:lvl>
    <w:lvl w:ilvl="7" w:tplc="898C2922" w:tentative="1">
      <w:start w:val="1"/>
      <w:numFmt w:val="bullet"/>
      <w:lvlText w:val=""/>
      <w:lvlJc w:val="left"/>
      <w:pPr>
        <w:tabs>
          <w:tab w:val="num" w:pos="5760"/>
        </w:tabs>
        <w:ind w:left="5760" w:hanging="360"/>
      </w:pPr>
      <w:rPr>
        <w:rFonts w:ascii="Wingdings" w:hAnsi="Wingdings" w:hint="default"/>
      </w:rPr>
    </w:lvl>
    <w:lvl w:ilvl="8" w:tplc="85CEA8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C66EE6"/>
    <w:multiLevelType w:val="hybridMultilevel"/>
    <w:tmpl w:val="99B0715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09419A"/>
    <w:multiLevelType w:val="hybridMultilevel"/>
    <w:tmpl w:val="6FF485E0"/>
    <w:lvl w:ilvl="0" w:tplc="0402000F">
      <w:start w:val="1"/>
      <w:numFmt w:val="decimal"/>
      <w:lvlText w:val="%1."/>
      <w:lvlJc w:val="left"/>
      <w:pPr>
        <w:tabs>
          <w:tab w:val="num" w:pos="720"/>
        </w:tabs>
        <w:ind w:left="720" w:hanging="360"/>
      </w:pPr>
      <w:rPr>
        <w:rFonts w:cs="Times New Roman" w:hint="default"/>
        <w:color w:val="auto"/>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5"/>
  </w:num>
  <w:num w:numId="18">
    <w:abstractNumId w:val="39"/>
  </w:num>
  <w:num w:numId="19">
    <w:abstractNumId w:val="25"/>
  </w:num>
  <w:num w:numId="20">
    <w:abstractNumId w:val="11"/>
  </w:num>
  <w:num w:numId="21">
    <w:abstractNumId w:val="41"/>
  </w:num>
  <w:num w:numId="22">
    <w:abstractNumId w:val="23"/>
  </w:num>
  <w:num w:numId="23">
    <w:abstractNumId w:val="20"/>
  </w:num>
  <w:num w:numId="24">
    <w:abstractNumId w:val="4"/>
  </w:num>
  <w:num w:numId="25">
    <w:abstractNumId w:val="14"/>
  </w:num>
  <w:num w:numId="26">
    <w:abstractNumId w:val="26"/>
  </w:num>
  <w:num w:numId="27">
    <w:abstractNumId w:val="43"/>
  </w:num>
  <w:num w:numId="28">
    <w:abstractNumId w:val="30"/>
  </w:num>
  <w:num w:numId="29">
    <w:abstractNumId w:val="12"/>
  </w:num>
  <w:num w:numId="30">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31">
    <w:abstractNumId w:val="1"/>
    <w:lvlOverride w:ilvl="0">
      <w:lvl w:ilvl="0">
        <w:start w:val="1"/>
        <w:numFmt w:val="bullet"/>
        <w:lvlText w:val=""/>
        <w:legacy w:legacy="1" w:legacySpace="0" w:legacyIndent="360"/>
        <w:lvlJc w:val="left"/>
        <w:pPr>
          <w:ind w:left="360" w:hanging="360"/>
        </w:pPr>
        <w:rPr>
          <w:rFonts w:ascii="Wingdings" w:hAnsi="Wingdings" w:hint="default"/>
          <w:b w:val="0"/>
          <w:i w:val="0"/>
          <w:sz w:val="20"/>
        </w:rPr>
      </w:lvl>
    </w:lvlOverride>
  </w:num>
  <w:num w:numId="32">
    <w:abstractNumId w:val="44"/>
  </w:num>
  <w:num w:numId="33">
    <w:abstractNumId w:val="33"/>
  </w:num>
  <w:num w:numId="34">
    <w:abstractNumId w:val="15"/>
  </w:num>
  <w:num w:numId="35">
    <w:abstractNumId w:val="6"/>
  </w:num>
  <w:num w:numId="36">
    <w:abstractNumId w:val="29"/>
  </w:num>
  <w:num w:numId="37">
    <w:abstractNumId w:val="27"/>
  </w:num>
  <w:num w:numId="38">
    <w:abstractNumId w:val="19"/>
  </w:num>
  <w:num w:numId="39">
    <w:abstractNumId w:val="32"/>
  </w:num>
  <w:num w:numId="40">
    <w:abstractNumId w:val="28"/>
  </w:num>
  <w:num w:numId="41">
    <w:abstractNumId w:val="10"/>
  </w:num>
  <w:num w:numId="42">
    <w:abstractNumId w:val="37"/>
  </w:num>
  <w:num w:numId="43">
    <w:abstractNumId w:val="21"/>
  </w:num>
  <w:num w:numId="44">
    <w:abstractNumId w:val="16"/>
  </w:num>
  <w:num w:numId="45">
    <w:abstractNumId w:val="38"/>
  </w:num>
  <w:num w:numId="46">
    <w:abstractNumId w:val="40"/>
  </w:num>
  <w:num w:numId="47">
    <w:abstractNumId w:val="13"/>
  </w:num>
  <w:num w:numId="48">
    <w:abstractNumId w:val="22"/>
  </w:num>
  <w:num w:numId="49">
    <w:abstractNumId w:val="24"/>
  </w:num>
  <w:num w:numId="50">
    <w:abstractNumId w:val="17"/>
  </w:num>
  <w:num w:numId="51">
    <w:abstractNumId w:val="9"/>
  </w:num>
  <w:num w:numId="52">
    <w:abstractNumId w:val="3"/>
  </w:num>
  <w:num w:numId="53">
    <w:abstractNumId w:val="34"/>
  </w:num>
  <w:num w:numId="54">
    <w:abstractNumId w:val="5"/>
  </w:num>
  <w:num w:numId="55">
    <w:abstractNumId w:val="31"/>
  </w:num>
  <w:num w:numId="56">
    <w:abstractNumId w:val="42"/>
  </w:num>
  <w:num w:numId="57">
    <w:abstractNumId w:val="18"/>
  </w:num>
  <w:num w:numId="58">
    <w:abstractNumId w:val="8"/>
  </w:num>
  <w:num w:numId="59">
    <w:abstractNumId w:val="36"/>
  </w:num>
  <w:num w:numId="60">
    <w:abstractNumId w:val="7"/>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3C64"/>
    <w:rsid w:val="000146AF"/>
    <w:rsid w:val="000153D1"/>
    <w:rsid w:val="00015B8B"/>
    <w:rsid w:val="0001614E"/>
    <w:rsid w:val="00016A87"/>
    <w:rsid w:val="00020F3F"/>
    <w:rsid w:val="00021EE2"/>
    <w:rsid w:val="00022077"/>
    <w:rsid w:val="00022269"/>
    <w:rsid w:val="000241EE"/>
    <w:rsid w:val="000246C1"/>
    <w:rsid w:val="0002530D"/>
    <w:rsid w:val="0002722A"/>
    <w:rsid w:val="00027BEA"/>
    <w:rsid w:val="000303AD"/>
    <w:rsid w:val="0003116F"/>
    <w:rsid w:val="000331DE"/>
    <w:rsid w:val="0003365A"/>
    <w:rsid w:val="00034326"/>
    <w:rsid w:val="0003481B"/>
    <w:rsid w:val="00037745"/>
    <w:rsid w:val="0004152D"/>
    <w:rsid w:val="00042F80"/>
    <w:rsid w:val="00043B51"/>
    <w:rsid w:val="00044380"/>
    <w:rsid w:val="00044412"/>
    <w:rsid w:val="00045861"/>
    <w:rsid w:val="00046513"/>
    <w:rsid w:val="000473F1"/>
    <w:rsid w:val="000519E0"/>
    <w:rsid w:val="0005401C"/>
    <w:rsid w:val="0005696D"/>
    <w:rsid w:val="00061E18"/>
    <w:rsid w:val="00063E17"/>
    <w:rsid w:val="00064831"/>
    <w:rsid w:val="0006574B"/>
    <w:rsid w:val="00067E38"/>
    <w:rsid w:val="00070FCC"/>
    <w:rsid w:val="000712BF"/>
    <w:rsid w:val="00071D15"/>
    <w:rsid w:val="00072B8F"/>
    <w:rsid w:val="00074BB5"/>
    <w:rsid w:val="00074C7D"/>
    <w:rsid w:val="0007690A"/>
    <w:rsid w:val="00077759"/>
    <w:rsid w:val="00077845"/>
    <w:rsid w:val="000779A0"/>
    <w:rsid w:val="000805CE"/>
    <w:rsid w:val="00080A6C"/>
    <w:rsid w:val="000821FE"/>
    <w:rsid w:val="00087459"/>
    <w:rsid w:val="000927BC"/>
    <w:rsid w:val="00095E60"/>
    <w:rsid w:val="00096252"/>
    <w:rsid w:val="00097193"/>
    <w:rsid w:val="00097778"/>
    <w:rsid w:val="00097EAB"/>
    <w:rsid w:val="000A01C1"/>
    <w:rsid w:val="000A1B5E"/>
    <w:rsid w:val="000A1DC1"/>
    <w:rsid w:val="000A22D0"/>
    <w:rsid w:val="000A290F"/>
    <w:rsid w:val="000A4055"/>
    <w:rsid w:val="000A411E"/>
    <w:rsid w:val="000A45F4"/>
    <w:rsid w:val="000A4811"/>
    <w:rsid w:val="000B01C9"/>
    <w:rsid w:val="000B053F"/>
    <w:rsid w:val="000B0B61"/>
    <w:rsid w:val="000B17AE"/>
    <w:rsid w:val="000B1CE2"/>
    <w:rsid w:val="000B37FC"/>
    <w:rsid w:val="000B391D"/>
    <w:rsid w:val="000B430C"/>
    <w:rsid w:val="000B499B"/>
    <w:rsid w:val="000B4B94"/>
    <w:rsid w:val="000B537E"/>
    <w:rsid w:val="000B5B51"/>
    <w:rsid w:val="000B7BFD"/>
    <w:rsid w:val="000C1782"/>
    <w:rsid w:val="000C18C5"/>
    <w:rsid w:val="000C4292"/>
    <w:rsid w:val="000C4910"/>
    <w:rsid w:val="000C650F"/>
    <w:rsid w:val="000C69EC"/>
    <w:rsid w:val="000C753F"/>
    <w:rsid w:val="000D2E37"/>
    <w:rsid w:val="000D4336"/>
    <w:rsid w:val="000D4EBF"/>
    <w:rsid w:val="000E0604"/>
    <w:rsid w:val="000E26F6"/>
    <w:rsid w:val="000E3E6A"/>
    <w:rsid w:val="000E4831"/>
    <w:rsid w:val="000E4C43"/>
    <w:rsid w:val="000E5CB0"/>
    <w:rsid w:val="000E7CCC"/>
    <w:rsid w:val="000F037E"/>
    <w:rsid w:val="000F06F6"/>
    <w:rsid w:val="000F0BE9"/>
    <w:rsid w:val="000F1908"/>
    <w:rsid w:val="000F3D4C"/>
    <w:rsid w:val="000F3D8C"/>
    <w:rsid w:val="000F4604"/>
    <w:rsid w:val="00100F8D"/>
    <w:rsid w:val="00101046"/>
    <w:rsid w:val="00103569"/>
    <w:rsid w:val="00103F5A"/>
    <w:rsid w:val="0010521A"/>
    <w:rsid w:val="001063F2"/>
    <w:rsid w:val="00111EDE"/>
    <w:rsid w:val="001150C5"/>
    <w:rsid w:val="00116299"/>
    <w:rsid w:val="0011710E"/>
    <w:rsid w:val="00117812"/>
    <w:rsid w:val="00120481"/>
    <w:rsid w:val="00121491"/>
    <w:rsid w:val="00122E3E"/>
    <w:rsid w:val="0012450F"/>
    <w:rsid w:val="00127E8B"/>
    <w:rsid w:val="001310E7"/>
    <w:rsid w:val="001312C8"/>
    <w:rsid w:val="00133CC7"/>
    <w:rsid w:val="00135342"/>
    <w:rsid w:val="00135DDF"/>
    <w:rsid w:val="00135E7D"/>
    <w:rsid w:val="0014009B"/>
    <w:rsid w:val="00140CDF"/>
    <w:rsid w:val="001415CF"/>
    <w:rsid w:val="00141600"/>
    <w:rsid w:val="00141E65"/>
    <w:rsid w:val="00143359"/>
    <w:rsid w:val="00143D22"/>
    <w:rsid w:val="00144C8E"/>
    <w:rsid w:val="001454AF"/>
    <w:rsid w:val="001513DE"/>
    <w:rsid w:val="00151ECE"/>
    <w:rsid w:val="0015458F"/>
    <w:rsid w:val="001552A9"/>
    <w:rsid w:val="00155F3D"/>
    <w:rsid w:val="00156C24"/>
    <w:rsid w:val="00161D0C"/>
    <w:rsid w:val="00162A8F"/>
    <w:rsid w:val="00163C5E"/>
    <w:rsid w:val="00164145"/>
    <w:rsid w:val="0016455F"/>
    <w:rsid w:val="00164833"/>
    <w:rsid w:val="00164C2F"/>
    <w:rsid w:val="00165BE1"/>
    <w:rsid w:val="00167E11"/>
    <w:rsid w:val="001703B5"/>
    <w:rsid w:val="00170653"/>
    <w:rsid w:val="001712FE"/>
    <w:rsid w:val="00172434"/>
    <w:rsid w:val="001735B1"/>
    <w:rsid w:val="00173861"/>
    <w:rsid w:val="00174A6D"/>
    <w:rsid w:val="0017527F"/>
    <w:rsid w:val="00176AA3"/>
    <w:rsid w:val="0018109E"/>
    <w:rsid w:val="001824B8"/>
    <w:rsid w:val="00182504"/>
    <w:rsid w:val="0018738D"/>
    <w:rsid w:val="001906C4"/>
    <w:rsid w:val="00191232"/>
    <w:rsid w:val="00191B7B"/>
    <w:rsid w:val="00191E11"/>
    <w:rsid w:val="00193FD5"/>
    <w:rsid w:val="00194138"/>
    <w:rsid w:val="00194281"/>
    <w:rsid w:val="001955AE"/>
    <w:rsid w:val="001968C3"/>
    <w:rsid w:val="001971C4"/>
    <w:rsid w:val="001978D6"/>
    <w:rsid w:val="001A0AA9"/>
    <w:rsid w:val="001A32DF"/>
    <w:rsid w:val="001A4E8A"/>
    <w:rsid w:val="001A6353"/>
    <w:rsid w:val="001B0071"/>
    <w:rsid w:val="001B0F90"/>
    <w:rsid w:val="001B28D1"/>
    <w:rsid w:val="001B3324"/>
    <w:rsid w:val="001B391E"/>
    <w:rsid w:val="001B40DE"/>
    <w:rsid w:val="001B45FD"/>
    <w:rsid w:val="001B472D"/>
    <w:rsid w:val="001B4CFE"/>
    <w:rsid w:val="001B52F6"/>
    <w:rsid w:val="001B5A6F"/>
    <w:rsid w:val="001B7D24"/>
    <w:rsid w:val="001C0AFA"/>
    <w:rsid w:val="001C0F15"/>
    <w:rsid w:val="001C102E"/>
    <w:rsid w:val="001C2241"/>
    <w:rsid w:val="001C2D08"/>
    <w:rsid w:val="001C2D36"/>
    <w:rsid w:val="001C4655"/>
    <w:rsid w:val="001C4FEB"/>
    <w:rsid w:val="001C558E"/>
    <w:rsid w:val="001C568F"/>
    <w:rsid w:val="001C5703"/>
    <w:rsid w:val="001C76A5"/>
    <w:rsid w:val="001D0951"/>
    <w:rsid w:val="001D3B2E"/>
    <w:rsid w:val="001D562F"/>
    <w:rsid w:val="001D6D4E"/>
    <w:rsid w:val="001D6EBA"/>
    <w:rsid w:val="001D7E19"/>
    <w:rsid w:val="001E159C"/>
    <w:rsid w:val="001E1EDA"/>
    <w:rsid w:val="001E4054"/>
    <w:rsid w:val="001E4F52"/>
    <w:rsid w:val="001F061A"/>
    <w:rsid w:val="001F0DE2"/>
    <w:rsid w:val="001F2163"/>
    <w:rsid w:val="001F28C7"/>
    <w:rsid w:val="001F3D92"/>
    <w:rsid w:val="001F42AC"/>
    <w:rsid w:val="001F4A78"/>
    <w:rsid w:val="001F6DDF"/>
    <w:rsid w:val="001F6FB2"/>
    <w:rsid w:val="001F7498"/>
    <w:rsid w:val="002007FD"/>
    <w:rsid w:val="00201155"/>
    <w:rsid w:val="002073BD"/>
    <w:rsid w:val="00207728"/>
    <w:rsid w:val="00207B33"/>
    <w:rsid w:val="00211DAF"/>
    <w:rsid w:val="002124E7"/>
    <w:rsid w:val="00212C40"/>
    <w:rsid w:val="0021406F"/>
    <w:rsid w:val="00214768"/>
    <w:rsid w:val="00216142"/>
    <w:rsid w:val="00216B1E"/>
    <w:rsid w:val="00217144"/>
    <w:rsid w:val="002216FE"/>
    <w:rsid w:val="00221868"/>
    <w:rsid w:val="00222EE1"/>
    <w:rsid w:val="0022355B"/>
    <w:rsid w:val="0022404B"/>
    <w:rsid w:val="00225413"/>
    <w:rsid w:val="00225454"/>
    <w:rsid w:val="00225F99"/>
    <w:rsid w:val="002300B7"/>
    <w:rsid w:val="00230A64"/>
    <w:rsid w:val="00232173"/>
    <w:rsid w:val="00232E5A"/>
    <w:rsid w:val="00233C2E"/>
    <w:rsid w:val="002361DC"/>
    <w:rsid w:val="00240628"/>
    <w:rsid w:val="00242105"/>
    <w:rsid w:val="00244844"/>
    <w:rsid w:val="002501EC"/>
    <w:rsid w:val="00250DE4"/>
    <w:rsid w:val="00250FF2"/>
    <w:rsid w:val="0025284F"/>
    <w:rsid w:val="002567B2"/>
    <w:rsid w:val="00256A8B"/>
    <w:rsid w:val="00260182"/>
    <w:rsid w:val="00261C19"/>
    <w:rsid w:val="00262D12"/>
    <w:rsid w:val="00263696"/>
    <w:rsid w:val="0026588B"/>
    <w:rsid w:val="00265F7B"/>
    <w:rsid w:val="00267FF5"/>
    <w:rsid w:val="002720B1"/>
    <w:rsid w:val="002738CF"/>
    <w:rsid w:val="00275615"/>
    <w:rsid w:val="0027575B"/>
    <w:rsid w:val="00276DA4"/>
    <w:rsid w:val="0028153E"/>
    <w:rsid w:val="00282D1C"/>
    <w:rsid w:val="002835D8"/>
    <w:rsid w:val="00286126"/>
    <w:rsid w:val="00287850"/>
    <w:rsid w:val="00292124"/>
    <w:rsid w:val="00293161"/>
    <w:rsid w:val="00294E03"/>
    <w:rsid w:val="00295A3D"/>
    <w:rsid w:val="002A3BA7"/>
    <w:rsid w:val="002A4CFA"/>
    <w:rsid w:val="002A664D"/>
    <w:rsid w:val="002A6C47"/>
    <w:rsid w:val="002B1171"/>
    <w:rsid w:val="002B1653"/>
    <w:rsid w:val="002B1A3D"/>
    <w:rsid w:val="002B36FB"/>
    <w:rsid w:val="002B3A09"/>
    <w:rsid w:val="002B4272"/>
    <w:rsid w:val="002B451A"/>
    <w:rsid w:val="002B6C87"/>
    <w:rsid w:val="002B7D82"/>
    <w:rsid w:val="002C172A"/>
    <w:rsid w:val="002C2D45"/>
    <w:rsid w:val="002C58B6"/>
    <w:rsid w:val="002C66D0"/>
    <w:rsid w:val="002C6BF5"/>
    <w:rsid w:val="002C7B63"/>
    <w:rsid w:val="002C7BF5"/>
    <w:rsid w:val="002D0E20"/>
    <w:rsid w:val="002D1AF5"/>
    <w:rsid w:val="002D28EA"/>
    <w:rsid w:val="002D3DF0"/>
    <w:rsid w:val="002D3F34"/>
    <w:rsid w:val="002D4029"/>
    <w:rsid w:val="002D5838"/>
    <w:rsid w:val="002D5CC9"/>
    <w:rsid w:val="002D7272"/>
    <w:rsid w:val="002E1735"/>
    <w:rsid w:val="002E1EAA"/>
    <w:rsid w:val="002E2DF1"/>
    <w:rsid w:val="002E3AFE"/>
    <w:rsid w:val="002E51F2"/>
    <w:rsid w:val="002E53E7"/>
    <w:rsid w:val="002E5709"/>
    <w:rsid w:val="002E6505"/>
    <w:rsid w:val="002E690E"/>
    <w:rsid w:val="002E76A2"/>
    <w:rsid w:val="002E7776"/>
    <w:rsid w:val="002F066B"/>
    <w:rsid w:val="002F1646"/>
    <w:rsid w:val="002F3AD0"/>
    <w:rsid w:val="002F420C"/>
    <w:rsid w:val="002F4C87"/>
    <w:rsid w:val="002F5A4A"/>
    <w:rsid w:val="002F5F88"/>
    <w:rsid w:val="002F6814"/>
    <w:rsid w:val="002F744A"/>
    <w:rsid w:val="002F7C73"/>
    <w:rsid w:val="00302378"/>
    <w:rsid w:val="003035B5"/>
    <w:rsid w:val="003068C7"/>
    <w:rsid w:val="00307917"/>
    <w:rsid w:val="00311086"/>
    <w:rsid w:val="003119E6"/>
    <w:rsid w:val="00311DF8"/>
    <w:rsid w:val="00313261"/>
    <w:rsid w:val="0031368E"/>
    <w:rsid w:val="00315105"/>
    <w:rsid w:val="003165D7"/>
    <w:rsid w:val="00316D9C"/>
    <w:rsid w:val="00317A00"/>
    <w:rsid w:val="00320739"/>
    <w:rsid w:val="00320D8E"/>
    <w:rsid w:val="00322235"/>
    <w:rsid w:val="003230B7"/>
    <w:rsid w:val="00323196"/>
    <w:rsid w:val="003246B6"/>
    <w:rsid w:val="00325220"/>
    <w:rsid w:val="00326FA3"/>
    <w:rsid w:val="00327F40"/>
    <w:rsid w:val="0033289D"/>
    <w:rsid w:val="00332AA1"/>
    <w:rsid w:val="003334DD"/>
    <w:rsid w:val="003338AB"/>
    <w:rsid w:val="00335CDB"/>
    <w:rsid w:val="00340B25"/>
    <w:rsid w:val="00341820"/>
    <w:rsid w:val="00341A7C"/>
    <w:rsid w:val="00342302"/>
    <w:rsid w:val="003427A5"/>
    <w:rsid w:val="0034296D"/>
    <w:rsid w:val="00343CE9"/>
    <w:rsid w:val="00344284"/>
    <w:rsid w:val="00344B5C"/>
    <w:rsid w:val="00346075"/>
    <w:rsid w:val="00352A49"/>
    <w:rsid w:val="003539FA"/>
    <w:rsid w:val="0036077A"/>
    <w:rsid w:val="00360E0A"/>
    <w:rsid w:val="00364179"/>
    <w:rsid w:val="0036684E"/>
    <w:rsid w:val="00367400"/>
    <w:rsid w:val="00367C6F"/>
    <w:rsid w:val="003710C7"/>
    <w:rsid w:val="00371651"/>
    <w:rsid w:val="003716B4"/>
    <w:rsid w:val="00372053"/>
    <w:rsid w:val="0037414C"/>
    <w:rsid w:val="00374D14"/>
    <w:rsid w:val="00375636"/>
    <w:rsid w:val="00376457"/>
    <w:rsid w:val="00377362"/>
    <w:rsid w:val="0038268F"/>
    <w:rsid w:val="00384C2C"/>
    <w:rsid w:val="00385236"/>
    <w:rsid w:val="00385B8D"/>
    <w:rsid w:val="0039173C"/>
    <w:rsid w:val="0039285B"/>
    <w:rsid w:val="00392AA9"/>
    <w:rsid w:val="00392E03"/>
    <w:rsid w:val="00395D57"/>
    <w:rsid w:val="00397EE8"/>
    <w:rsid w:val="003A1892"/>
    <w:rsid w:val="003A1D51"/>
    <w:rsid w:val="003A2AF0"/>
    <w:rsid w:val="003A3774"/>
    <w:rsid w:val="003A45AB"/>
    <w:rsid w:val="003A4F68"/>
    <w:rsid w:val="003B46D0"/>
    <w:rsid w:val="003B515F"/>
    <w:rsid w:val="003B69F4"/>
    <w:rsid w:val="003B6AE9"/>
    <w:rsid w:val="003B6F7B"/>
    <w:rsid w:val="003C06A7"/>
    <w:rsid w:val="003C17C5"/>
    <w:rsid w:val="003C18A1"/>
    <w:rsid w:val="003C78BF"/>
    <w:rsid w:val="003D22FB"/>
    <w:rsid w:val="003D436C"/>
    <w:rsid w:val="003D52E0"/>
    <w:rsid w:val="003D608D"/>
    <w:rsid w:val="003D7107"/>
    <w:rsid w:val="003E1122"/>
    <w:rsid w:val="003E175B"/>
    <w:rsid w:val="003E3C59"/>
    <w:rsid w:val="003E419B"/>
    <w:rsid w:val="003E47A6"/>
    <w:rsid w:val="003E5D62"/>
    <w:rsid w:val="003E5D8D"/>
    <w:rsid w:val="003E6977"/>
    <w:rsid w:val="003E6A6B"/>
    <w:rsid w:val="003E6D4D"/>
    <w:rsid w:val="003E6FBC"/>
    <w:rsid w:val="003E7418"/>
    <w:rsid w:val="003E7548"/>
    <w:rsid w:val="003F18AE"/>
    <w:rsid w:val="003F1AEF"/>
    <w:rsid w:val="003F28DF"/>
    <w:rsid w:val="003F3D70"/>
    <w:rsid w:val="003F504C"/>
    <w:rsid w:val="003F6928"/>
    <w:rsid w:val="003F7A23"/>
    <w:rsid w:val="0040306E"/>
    <w:rsid w:val="004031BD"/>
    <w:rsid w:val="00406E97"/>
    <w:rsid w:val="00406FF6"/>
    <w:rsid w:val="004113A0"/>
    <w:rsid w:val="004121FF"/>
    <w:rsid w:val="00412805"/>
    <w:rsid w:val="00412DE4"/>
    <w:rsid w:val="00413801"/>
    <w:rsid w:val="004139F3"/>
    <w:rsid w:val="00413FC7"/>
    <w:rsid w:val="00415443"/>
    <w:rsid w:val="00415515"/>
    <w:rsid w:val="00420745"/>
    <w:rsid w:val="00420A18"/>
    <w:rsid w:val="00422685"/>
    <w:rsid w:val="00426652"/>
    <w:rsid w:val="0043100C"/>
    <w:rsid w:val="00431288"/>
    <w:rsid w:val="00434DF8"/>
    <w:rsid w:val="00434E7C"/>
    <w:rsid w:val="00435E0E"/>
    <w:rsid w:val="0043788F"/>
    <w:rsid w:val="00440ADC"/>
    <w:rsid w:val="004412CD"/>
    <w:rsid w:val="004413B7"/>
    <w:rsid w:val="00442661"/>
    <w:rsid w:val="00442A9F"/>
    <w:rsid w:val="00443475"/>
    <w:rsid w:val="00444690"/>
    <w:rsid w:val="004447EE"/>
    <w:rsid w:val="00445BD8"/>
    <w:rsid w:val="00447011"/>
    <w:rsid w:val="00447843"/>
    <w:rsid w:val="004544B0"/>
    <w:rsid w:val="00455756"/>
    <w:rsid w:val="00456241"/>
    <w:rsid w:val="00457E74"/>
    <w:rsid w:val="00457EAF"/>
    <w:rsid w:val="00460A88"/>
    <w:rsid w:val="00462905"/>
    <w:rsid w:val="00462BFA"/>
    <w:rsid w:val="004639B7"/>
    <w:rsid w:val="00464238"/>
    <w:rsid w:val="00464B69"/>
    <w:rsid w:val="00467EE1"/>
    <w:rsid w:val="00467FC3"/>
    <w:rsid w:val="00470B88"/>
    <w:rsid w:val="004719E5"/>
    <w:rsid w:val="00471E13"/>
    <w:rsid w:val="00471F94"/>
    <w:rsid w:val="00473BCE"/>
    <w:rsid w:val="00473E75"/>
    <w:rsid w:val="00474D23"/>
    <w:rsid w:val="004766D8"/>
    <w:rsid w:val="00481B8F"/>
    <w:rsid w:val="004825EB"/>
    <w:rsid w:val="00482D0F"/>
    <w:rsid w:val="0048353C"/>
    <w:rsid w:val="00483919"/>
    <w:rsid w:val="004839FA"/>
    <w:rsid w:val="00487D8C"/>
    <w:rsid w:val="00487EE6"/>
    <w:rsid w:val="004905D5"/>
    <w:rsid w:val="004924B7"/>
    <w:rsid w:val="004927FA"/>
    <w:rsid w:val="00492EB5"/>
    <w:rsid w:val="00493FB6"/>
    <w:rsid w:val="00495E82"/>
    <w:rsid w:val="004A07D1"/>
    <w:rsid w:val="004A0995"/>
    <w:rsid w:val="004A34FF"/>
    <w:rsid w:val="004A40B7"/>
    <w:rsid w:val="004A56C4"/>
    <w:rsid w:val="004A5B6F"/>
    <w:rsid w:val="004A6845"/>
    <w:rsid w:val="004A68FA"/>
    <w:rsid w:val="004B01DB"/>
    <w:rsid w:val="004B1E65"/>
    <w:rsid w:val="004B2064"/>
    <w:rsid w:val="004B2AF3"/>
    <w:rsid w:val="004B3967"/>
    <w:rsid w:val="004B3ACA"/>
    <w:rsid w:val="004B3B04"/>
    <w:rsid w:val="004B59EF"/>
    <w:rsid w:val="004C07E0"/>
    <w:rsid w:val="004C1E10"/>
    <w:rsid w:val="004C57BF"/>
    <w:rsid w:val="004C5B00"/>
    <w:rsid w:val="004D24F0"/>
    <w:rsid w:val="004D48E2"/>
    <w:rsid w:val="004E30D5"/>
    <w:rsid w:val="004E4678"/>
    <w:rsid w:val="004E5943"/>
    <w:rsid w:val="004E65D2"/>
    <w:rsid w:val="004E6F7D"/>
    <w:rsid w:val="004E7719"/>
    <w:rsid w:val="004F1F01"/>
    <w:rsid w:val="004F63BA"/>
    <w:rsid w:val="00500192"/>
    <w:rsid w:val="0050088D"/>
    <w:rsid w:val="00500978"/>
    <w:rsid w:val="0050162C"/>
    <w:rsid w:val="00501D3D"/>
    <w:rsid w:val="00502CCA"/>
    <w:rsid w:val="005060E4"/>
    <w:rsid w:val="0050616F"/>
    <w:rsid w:val="00506611"/>
    <w:rsid w:val="00507FFE"/>
    <w:rsid w:val="00510F64"/>
    <w:rsid w:val="00512401"/>
    <w:rsid w:val="00513154"/>
    <w:rsid w:val="00515E83"/>
    <w:rsid w:val="00517B82"/>
    <w:rsid w:val="0052102D"/>
    <w:rsid w:val="0052189A"/>
    <w:rsid w:val="00523B75"/>
    <w:rsid w:val="005245A6"/>
    <w:rsid w:val="005248DA"/>
    <w:rsid w:val="00524971"/>
    <w:rsid w:val="005261FE"/>
    <w:rsid w:val="00530674"/>
    <w:rsid w:val="00530746"/>
    <w:rsid w:val="00531D71"/>
    <w:rsid w:val="00532DA5"/>
    <w:rsid w:val="00536449"/>
    <w:rsid w:val="005369CA"/>
    <w:rsid w:val="00537721"/>
    <w:rsid w:val="00537852"/>
    <w:rsid w:val="00542C6C"/>
    <w:rsid w:val="00544072"/>
    <w:rsid w:val="0054418A"/>
    <w:rsid w:val="00544908"/>
    <w:rsid w:val="00544D6C"/>
    <w:rsid w:val="005472D3"/>
    <w:rsid w:val="005511CB"/>
    <w:rsid w:val="005600B8"/>
    <w:rsid w:val="005634EA"/>
    <w:rsid w:val="00563E56"/>
    <w:rsid w:val="00564043"/>
    <w:rsid w:val="00564201"/>
    <w:rsid w:val="00566FDE"/>
    <w:rsid w:val="005729C2"/>
    <w:rsid w:val="00573247"/>
    <w:rsid w:val="00574D7B"/>
    <w:rsid w:val="005752A3"/>
    <w:rsid w:val="0057644A"/>
    <w:rsid w:val="0058040A"/>
    <w:rsid w:val="00580E8F"/>
    <w:rsid w:val="00580FC6"/>
    <w:rsid w:val="00582D5E"/>
    <w:rsid w:val="00582DE2"/>
    <w:rsid w:val="00582EDE"/>
    <w:rsid w:val="00586642"/>
    <w:rsid w:val="00586E56"/>
    <w:rsid w:val="005877B8"/>
    <w:rsid w:val="0058791A"/>
    <w:rsid w:val="00590D00"/>
    <w:rsid w:val="005913C1"/>
    <w:rsid w:val="00592E95"/>
    <w:rsid w:val="00593185"/>
    <w:rsid w:val="00594894"/>
    <w:rsid w:val="00596EBA"/>
    <w:rsid w:val="00597D9E"/>
    <w:rsid w:val="005A0680"/>
    <w:rsid w:val="005A0B49"/>
    <w:rsid w:val="005A0F07"/>
    <w:rsid w:val="005A35AE"/>
    <w:rsid w:val="005A37C4"/>
    <w:rsid w:val="005A40D8"/>
    <w:rsid w:val="005A46E4"/>
    <w:rsid w:val="005A5895"/>
    <w:rsid w:val="005A5ADD"/>
    <w:rsid w:val="005B06E1"/>
    <w:rsid w:val="005B16BB"/>
    <w:rsid w:val="005B1C3B"/>
    <w:rsid w:val="005B2254"/>
    <w:rsid w:val="005B278D"/>
    <w:rsid w:val="005B3157"/>
    <w:rsid w:val="005B3DE2"/>
    <w:rsid w:val="005B41A1"/>
    <w:rsid w:val="005B54FB"/>
    <w:rsid w:val="005B6396"/>
    <w:rsid w:val="005B7A8F"/>
    <w:rsid w:val="005C21A4"/>
    <w:rsid w:val="005C4734"/>
    <w:rsid w:val="005C4EEF"/>
    <w:rsid w:val="005C5C41"/>
    <w:rsid w:val="005C74EF"/>
    <w:rsid w:val="005D10C6"/>
    <w:rsid w:val="005D13DD"/>
    <w:rsid w:val="005D1E2C"/>
    <w:rsid w:val="005D55B0"/>
    <w:rsid w:val="005D780F"/>
    <w:rsid w:val="005E3BF2"/>
    <w:rsid w:val="005E42EB"/>
    <w:rsid w:val="005E4645"/>
    <w:rsid w:val="005E503A"/>
    <w:rsid w:val="005E52B9"/>
    <w:rsid w:val="005E57A9"/>
    <w:rsid w:val="005F00D5"/>
    <w:rsid w:val="005F06C0"/>
    <w:rsid w:val="005F1B29"/>
    <w:rsid w:val="005F2E7E"/>
    <w:rsid w:val="005F45D3"/>
    <w:rsid w:val="005F5239"/>
    <w:rsid w:val="005F5F50"/>
    <w:rsid w:val="005F666D"/>
    <w:rsid w:val="005F68A2"/>
    <w:rsid w:val="005F7524"/>
    <w:rsid w:val="006002AD"/>
    <w:rsid w:val="00602C9A"/>
    <w:rsid w:val="00605415"/>
    <w:rsid w:val="006077D2"/>
    <w:rsid w:val="00610FDF"/>
    <w:rsid w:val="006113DE"/>
    <w:rsid w:val="0061278F"/>
    <w:rsid w:val="00613036"/>
    <w:rsid w:val="00613EA3"/>
    <w:rsid w:val="00622860"/>
    <w:rsid w:val="0062543C"/>
    <w:rsid w:val="00626217"/>
    <w:rsid w:val="00626E04"/>
    <w:rsid w:val="00630B8B"/>
    <w:rsid w:val="00631B7B"/>
    <w:rsid w:val="006325C2"/>
    <w:rsid w:val="00634490"/>
    <w:rsid w:val="006345F4"/>
    <w:rsid w:val="00635300"/>
    <w:rsid w:val="006374FD"/>
    <w:rsid w:val="00643431"/>
    <w:rsid w:val="00643ED7"/>
    <w:rsid w:val="00650FB5"/>
    <w:rsid w:val="006542B7"/>
    <w:rsid w:val="00654651"/>
    <w:rsid w:val="006564F9"/>
    <w:rsid w:val="006611BD"/>
    <w:rsid w:val="006621B5"/>
    <w:rsid w:val="00663806"/>
    <w:rsid w:val="00667BD9"/>
    <w:rsid w:val="00667D68"/>
    <w:rsid w:val="00670510"/>
    <w:rsid w:val="0067283A"/>
    <w:rsid w:val="00672AE9"/>
    <w:rsid w:val="00674174"/>
    <w:rsid w:val="0067490B"/>
    <w:rsid w:val="00676E9A"/>
    <w:rsid w:val="006800D2"/>
    <w:rsid w:val="00681B7F"/>
    <w:rsid w:val="00682798"/>
    <w:rsid w:val="00682A88"/>
    <w:rsid w:val="00682B09"/>
    <w:rsid w:val="00682F9D"/>
    <w:rsid w:val="00683278"/>
    <w:rsid w:val="00683F4D"/>
    <w:rsid w:val="006843F9"/>
    <w:rsid w:val="00684DC4"/>
    <w:rsid w:val="00685823"/>
    <w:rsid w:val="00685D04"/>
    <w:rsid w:val="00685F40"/>
    <w:rsid w:val="006863B3"/>
    <w:rsid w:val="00686C40"/>
    <w:rsid w:val="006936F8"/>
    <w:rsid w:val="00696CC0"/>
    <w:rsid w:val="0069705A"/>
    <w:rsid w:val="006972A2"/>
    <w:rsid w:val="00697E3A"/>
    <w:rsid w:val="006A15F3"/>
    <w:rsid w:val="006A3D7E"/>
    <w:rsid w:val="006A4EEC"/>
    <w:rsid w:val="006A4FDD"/>
    <w:rsid w:val="006A5E65"/>
    <w:rsid w:val="006B0111"/>
    <w:rsid w:val="006B0C81"/>
    <w:rsid w:val="006B2531"/>
    <w:rsid w:val="006B4924"/>
    <w:rsid w:val="006B525F"/>
    <w:rsid w:val="006B5A6B"/>
    <w:rsid w:val="006B6237"/>
    <w:rsid w:val="006B70A9"/>
    <w:rsid w:val="006C0306"/>
    <w:rsid w:val="006C0D73"/>
    <w:rsid w:val="006C28EB"/>
    <w:rsid w:val="006C2F5B"/>
    <w:rsid w:val="006C341A"/>
    <w:rsid w:val="006C48D8"/>
    <w:rsid w:val="006C56D3"/>
    <w:rsid w:val="006C771E"/>
    <w:rsid w:val="006C77D2"/>
    <w:rsid w:val="006D3C5F"/>
    <w:rsid w:val="006D3E2C"/>
    <w:rsid w:val="006D75AE"/>
    <w:rsid w:val="006E0904"/>
    <w:rsid w:val="006E3793"/>
    <w:rsid w:val="006E3AF4"/>
    <w:rsid w:val="006E3C45"/>
    <w:rsid w:val="006E4F81"/>
    <w:rsid w:val="006E5F03"/>
    <w:rsid w:val="006E5F2F"/>
    <w:rsid w:val="006E712D"/>
    <w:rsid w:val="006E7691"/>
    <w:rsid w:val="006E7B2A"/>
    <w:rsid w:val="006E7E32"/>
    <w:rsid w:val="006E7E3B"/>
    <w:rsid w:val="006F0BD2"/>
    <w:rsid w:val="006F0DFC"/>
    <w:rsid w:val="006F11F5"/>
    <w:rsid w:val="006F501A"/>
    <w:rsid w:val="007019B2"/>
    <w:rsid w:val="00702566"/>
    <w:rsid w:val="0070294A"/>
    <w:rsid w:val="00702E56"/>
    <w:rsid w:val="00705285"/>
    <w:rsid w:val="00705F32"/>
    <w:rsid w:val="00710079"/>
    <w:rsid w:val="00711D8A"/>
    <w:rsid w:val="00712ABA"/>
    <w:rsid w:val="00712C13"/>
    <w:rsid w:val="00716622"/>
    <w:rsid w:val="007167C6"/>
    <w:rsid w:val="007216F8"/>
    <w:rsid w:val="00721BA7"/>
    <w:rsid w:val="0072220C"/>
    <w:rsid w:val="007226C4"/>
    <w:rsid w:val="007244E7"/>
    <w:rsid w:val="0072585B"/>
    <w:rsid w:val="00725E92"/>
    <w:rsid w:val="007271C2"/>
    <w:rsid w:val="0072781A"/>
    <w:rsid w:val="00727D70"/>
    <w:rsid w:val="00730B61"/>
    <w:rsid w:val="00731090"/>
    <w:rsid w:val="00732528"/>
    <w:rsid w:val="00732653"/>
    <w:rsid w:val="00733588"/>
    <w:rsid w:val="007346D3"/>
    <w:rsid w:val="00735B72"/>
    <w:rsid w:val="007361B2"/>
    <w:rsid w:val="00736E2C"/>
    <w:rsid w:val="00740018"/>
    <w:rsid w:val="00742269"/>
    <w:rsid w:val="007431DE"/>
    <w:rsid w:val="00745734"/>
    <w:rsid w:val="00746B03"/>
    <w:rsid w:val="00747716"/>
    <w:rsid w:val="00751811"/>
    <w:rsid w:val="00753C57"/>
    <w:rsid w:val="00755554"/>
    <w:rsid w:val="00755E48"/>
    <w:rsid w:val="00755E6B"/>
    <w:rsid w:val="00756863"/>
    <w:rsid w:val="007604B8"/>
    <w:rsid w:val="007639B3"/>
    <w:rsid w:val="00764961"/>
    <w:rsid w:val="00765DFB"/>
    <w:rsid w:val="007701C3"/>
    <w:rsid w:val="0077022D"/>
    <w:rsid w:val="007708E8"/>
    <w:rsid w:val="00772C5F"/>
    <w:rsid w:val="0077382E"/>
    <w:rsid w:val="007757AC"/>
    <w:rsid w:val="00777628"/>
    <w:rsid w:val="00780EDD"/>
    <w:rsid w:val="00781B94"/>
    <w:rsid w:val="00787743"/>
    <w:rsid w:val="00791D6D"/>
    <w:rsid w:val="00794B0D"/>
    <w:rsid w:val="00797509"/>
    <w:rsid w:val="007A10FF"/>
    <w:rsid w:val="007A248D"/>
    <w:rsid w:val="007A4EC3"/>
    <w:rsid w:val="007A6777"/>
    <w:rsid w:val="007B07BA"/>
    <w:rsid w:val="007B1AFD"/>
    <w:rsid w:val="007B26EF"/>
    <w:rsid w:val="007B2738"/>
    <w:rsid w:val="007B2DFE"/>
    <w:rsid w:val="007B3080"/>
    <w:rsid w:val="007B4000"/>
    <w:rsid w:val="007B6791"/>
    <w:rsid w:val="007B7884"/>
    <w:rsid w:val="007C1123"/>
    <w:rsid w:val="007C1638"/>
    <w:rsid w:val="007C748D"/>
    <w:rsid w:val="007C74A4"/>
    <w:rsid w:val="007D4861"/>
    <w:rsid w:val="007D6970"/>
    <w:rsid w:val="007D6A6E"/>
    <w:rsid w:val="007D75B7"/>
    <w:rsid w:val="007E013F"/>
    <w:rsid w:val="007E2820"/>
    <w:rsid w:val="007E33F0"/>
    <w:rsid w:val="007E6215"/>
    <w:rsid w:val="007E625E"/>
    <w:rsid w:val="007E6C14"/>
    <w:rsid w:val="007E757D"/>
    <w:rsid w:val="007E7A28"/>
    <w:rsid w:val="007F11D6"/>
    <w:rsid w:val="007F2BCE"/>
    <w:rsid w:val="007F470A"/>
    <w:rsid w:val="007F5301"/>
    <w:rsid w:val="007F69F2"/>
    <w:rsid w:val="007F71E3"/>
    <w:rsid w:val="007F72DE"/>
    <w:rsid w:val="008013A4"/>
    <w:rsid w:val="00801C07"/>
    <w:rsid w:val="00801F79"/>
    <w:rsid w:val="00802BAD"/>
    <w:rsid w:val="00804928"/>
    <w:rsid w:val="0081043B"/>
    <w:rsid w:val="00812064"/>
    <w:rsid w:val="00812A61"/>
    <w:rsid w:val="008140D6"/>
    <w:rsid w:val="00820126"/>
    <w:rsid w:val="00820D1E"/>
    <w:rsid w:val="00822533"/>
    <w:rsid w:val="008235D4"/>
    <w:rsid w:val="008237E6"/>
    <w:rsid w:val="00826199"/>
    <w:rsid w:val="00833897"/>
    <w:rsid w:val="00835364"/>
    <w:rsid w:val="0083595E"/>
    <w:rsid w:val="00836087"/>
    <w:rsid w:val="00836A11"/>
    <w:rsid w:val="00837962"/>
    <w:rsid w:val="00837B88"/>
    <w:rsid w:val="00840582"/>
    <w:rsid w:val="00840B8C"/>
    <w:rsid w:val="00840C1E"/>
    <w:rsid w:val="00841122"/>
    <w:rsid w:val="0084338E"/>
    <w:rsid w:val="00843D50"/>
    <w:rsid w:val="008443C2"/>
    <w:rsid w:val="008444C1"/>
    <w:rsid w:val="00845187"/>
    <w:rsid w:val="00845279"/>
    <w:rsid w:val="00847A83"/>
    <w:rsid w:val="008506F2"/>
    <w:rsid w:val="00853950"/>
    <w:rsid w:val="00854F1F"/>
    <w:rsid w:val="00855818"/>
    <w:rsid w:val="008569F3"/>
    <w:rsid w:val="008571DD"/>
    <w:rsid w:val="008574AF"/>
    <w:rsid w:val="008575D2"/>
    <w:rsid w:val="00860F32"/>
    <w:rsid w:val="00861120"/>
    <w:rsid w:val="0086175C"/>
    <w:rsid w:val="0086372B"/>
    <w:rsid w:val="0086436D"/>
    <w:rsid w:val="00864ED4"/>
    <w:rsid w:val="008669E9"/>
    <w:rsid w:val="00871361"/>
    <w:rsid w:val="00871915"/>
    <w:rsid w:val="00872F6C"/>
    <w:rsid w:val="0087312B"/>
    <w:rsid w:val="008764FF"/>
    <w:rsid w:val="00876E9D"/>
    <w:rsid w:val="00877FD4"/>
    <w:rsid w:val="008812FA"/>
    <w:rsid w:val="00882D76"/>
    <w:rsid w:val="00883AC6"/>
    <w:rsid w:val="00886CDD"/>
    <w:rsid w:val="008904A9"/>
    <w:rsid w:val="00892355"/>
    <w:rsid w:val="008927C4"/>
    <w:rsid w:val="00895241"/>
    <w:rsid w:val="0089696C"/>
    <w:rsid w:val="00897DB2"/>
    <w:rsid w:val="008A0114"/>
    <w:rsid w:val="008A0CD7"/>
    <w:rsid w:val="008A0F3A"/>
    <w:rsid w:val="008A1C56"/>
    <w:rsid w:val="008A214D"/>
    <w:rsid w:val="008A2329"/>
    <w:rsid w:val="008A26AA"/>
    <w:rsid w:val="008A3A8A"/>
    <w:rsid w:val="008A403F"/>
    <w:rsid w:val="008A4B85"/>
    <w:rsid w:val="008A4E45"/>
    <w:rsid w:val="008B1A9A"/>
    <w:rsid w:val="008B2E72"/>
    <w:rsid w:val="008B34D4"/>
    <w:rsid w:val="008B4B7D"/>
    <w:rsid w:val="008B5025"/>
    <w:rsid w:val="008B54F5"/>
    <w:rsid w:val="008B5ABB"/>
    <w:rsid w:val="008B66E1"/>
    <w:rsid w:val="008B7232"/>
    <w:rsid w:val="008C0AEF"/>
    <w:rsid w:val="008C11C7"/>
    <w:rsid w:val="008C1CA0"/>
    <w:rsid w:val="008C2736"/>
    <w:rsid w:val="008C5468"/>
    <w:rsid w:val="008C59BC"/>
    <w:rsid w:val="008C6B9C"/>
    <w:rsid w:val="008D1D51"/>
    <w:rsid w:val="008D5727"/>
    <w:rsid w:val="008D6EB9"/>
    <w:rsid w:val="008E0D64"/>
    <w:rsid w:val="008E29D6"/>
    <w:rsid w:val="008E2C0F"/>
    <w:rsid w:val="008E2E59"/>
    <w:rsid w:val="008E6835"/>
    <w:rsid w:val="008F027C"/>
    <w:rsid w:val="008F1E49"/>
    <w:rsid w:val="008F35F2"/>
    <w:rsid w:val="008F42E5"/>
    <w:rsid w:val="008F4B38"/>
    <w:rsid w:val="008F59CB"/>
    <w:rsid w:val="008F66F2"/>
    <w:rsid w:val="008F6995"/>
    <w:rsid w:val="008F7BC5"/>
    <w:rsid w:val="0090046F"/>
    <w:rsid w:val="00901FD2"/>
    <w:rsid w:val="0090309E"/>
    <w:rsid w:val="009033DE"/>
    <w:rsid w:val="009034B1"/>
    <w:rsid w:val="00903CC0"/>
    <w:rsid w:val="009052F8"/>
    <w:rsid w:val="0090586B"/>
    <w:rsid w:val="00906319"/>
    <w:rsid w:val="009100A7"/>
    <w:rsid w:val="00910D43"/>
    <w:rsid w:val="009117C0"/>
    <w:rsid w:val="00913398"/>
    <w:rsid w:val="009133C8"/>
    <w:rsid w:val="009135DF"/>
    <w:rsid w:val="00915DE0"/>
    <w:rsid w:val="00917024"/>
    <w:rsid w:val="00923195"/>
    <w:rsid w:val="00923EBD"/>
    <w:rsid w:val="0092479A"/>
    <w:rsid w:val="00925058"/>
    <w:rsid w:val="009258B1"/>
    <w:rsid w:val="0092659C"/>
    <w:rsid w:val="00932E83"/>
    <w:rsid w:val="0093358F"/>
    <w:rsid w:val="0093460A"/>
    <w:rsid w:val="00934B05"/>
    <w:rsid w:val="009357A6"/>
    <w:rsid w:val="0093604B"/>
    <w:rsid w:val="009414AE"/>
    <w:rsid w:val="0094471B"/>
    <w:rsid w:val="00953555"/>
    <w:rsid w:val="009535C4"/>
    <w:rsid w:val="00954902"/>
    <w:rsid w:val="00962335"/>
    <w:rsid w:val="00962DAC"/>
    <w:rsid w:val="00963704"/>
    <w:rsid w:val="00964831"/>
    <w:rsid w:val="00966448"/>
    <w:rsid w:val="00971351"/>
    <w:rsid w:val="009716C1"/>
    <w:rsid w:val="0097197F"/>
    <w:rsid w:val="00972CBE"/>
    <w:rsid w:val="009755C5"/>
    <w:rsid w:val="009778CE"/>
    <w:rsid w:val="00980768"/>
    <w:rsid w:val="009810DA"/>
    <w:rsid w:val="0098122A"/>
    <w:rsid w:val="0098191B"/>
    <w:rsid w:val="00981D4B"/>
    <w:rsid w:val="00983231"/>
    <w:rsid w:val="00984096"/>
    <w:rsid w:val="00984C05"/>
    <w:rsid w:val="00984EED"/>
    <w:rsid w:val="0098546F"/>
    <w:rsid w:val="009858D3"/>
    <w:rsid w:val="0099095C"/>
    <w:rsid w:val="00990B1B"/>
    <w:rsid w:val="00990FF3"/>
    <w:rsid w:val="009913E1"/>
    <w:rsid w:val="0099415A"/>
    <w:rsid w:val="009952A5"/>
    <w:rsid w:val="00995C8D"/>
    <w:rsid w:val="0099634B"/>
    <w:rsid w:val="00996409"/>
    <w:rsid w:val="0099642B"/>
    <w:rsid w:val="009972FC"/>
    <w:rsid w:val="00997308"/>
    <w:rsid w:val="009978E5"/>
    <w:rsid w:val="00997C3B"/>
    <w:rsid w:val="009A1701"/>
    <w:rsid w:val="009A1C83"/>
    <w:rsid w:val="009A32B6"/>
    <w:rsid w:val="009A34FD"/>
    <w:rsid w:val="009A3504"/>
    <w:rsid w:val="009A3B51"/>
    <w:rsid w:val="009A410D"/>
    <w:rsid w:val="009A413C"/>
    <w:rsid w:val="009A44C2"/>
    <w:rsid w:val="009A5812"/>
    <w:rsid w:val="009A6651"/>
    <w:rsid w:val="009B004A"/>
    <w:rsid w:val="009B0E0D"/>
    <w:rsid w:val="009B1E57"/>
    <w:rsid w:val="009B3113"/>
    <w:rsid w:val="009B3EA8"/>
    <w:rsid w:val="009B3EB7"/>
    <w:rsid w:val="009B65F0"/>
    <w:rsid w:val="009B6B4D"/>
    <w:rsid w:val="009C290B"/>
    <w:rsid w:val="009C69A6"/>
    <w:rsid w:val="009C7D23"/>
    <w:rsid w:val="009D169E"/>
    <w:rsid w:val="009D2608"/>
    <w:rsid w:val="009D30A9"/>
    <w:rsid w:val="009D59B0"/>
    <w:rsid w:val="009D7E3A"/>
    <w:rsid w:val="009E0CA5"/>
    <w:rsid w:val="009E6715"/>
    <w:rsid w:val="009E75D9"/>
    <w:rsid w:val="009E7B3C"/>
    <w:rsid w:val="009F2C33"/>
    <w:rsid w:val="009F3DE2"/>
    <w:rsid w:val="009F70CA"/>
    <w:rsid w:val="009F774C"/>
    <w:rsid w:val="00A00314"/>
    <w:rsid w:val="00A00933"/>
    <w:rsid w:val="00A039AC"/>
    <w:rsid w:val="00A04AA2"/>
    <w:rsid w:val="00A05F04"/>
    <w:rsid w:val="00A074CA"/>
    <w:rsid w:val="00A0767B"/>
    <w:rsid w:val="00A13087"/>
    <w:rsid w:val="00A13C3D"/>
    <w:rsid w:val="00A13F17"/>
    <w:rsid w:val="00A15847"/>
    <w:rsid w:val="00A167B9"/>
    <w:rsid w:val="00A17D24"/>
    <w:rsid w:val="00A20D78"/>
    <w:rsid w:val="00A210AF"/>
    <w:rsid w:val="00A217C1"/>
    <w:rsid w:val="00A21DDB"/>
    <w:rsid w:val="00A22AD4"/>
    <w:rsid w:val="00A25848"/>
    <w:rsid w:val="00A26A1F"/>
    <w:rsid w:val="00A26D54"/>
    <w:rsid w:val="00A27207"/>
    <w:rsid w:val="00A273B6"/>
    <w:rsid w:val="00A30479"/>
    <w:rsid w:val="00A34E93"/>
    <w:rsid w:val="00A3725F"/>
    <w:rsid w:val="00A407C1"/>
    <w:rsid w:val="00A416ED"/>
    <w:rsid w:val="00A4182D"/>
    <w:rsid w:val="00A43472"/>
    <w:rsid w:val="00A435DC"/>
    <w:rsid w:val="00A43C71"/>
    <w:rsid w:val="00A44773"/>
    <w:rsid w:val="00A44D31"/>
    <w:rsid w:val="00A4645C"/>
    <w:rsid w:val="00A473E0"/>
    <w:rsid w:val="00A525A8"/>
    <w:rsid w:val="00A535A3"/>
    <w:rsid w:val="00A53EC7"/>
    <w:rsid w:val="00A550F9"/>
    <w:rsid w:val="00A55832"/>
    <w:rsid w:val="00A578BA"/>
    <w:rsid w:val="00A6115B"/>
    <w:rsid w:val="00A62392"/>
    <w:rsid w:val="00A63258"/>
    <w:rsid w:val="00A63ED2"/>
    <w:rsid w:val="00A641D4"/>
    <w:rsid w:val="00A72A88"/>
    <w:rsid w:val="00A731EA"/>
    <w:rsid w:val="00A7330A"/>
    <w:rsid w:val="00A73AEB"/>
    <w:rsid w:val="00A74270"/>
    <w:rsid w:val="00A74F9F"/>
    <w:rsid w:val="00A75376"/>
    <w:rsid w:val="00A76673"/>
    <w:rsid w:val="00A76B97"/>
    <w:rsid w:val="00A77002"/>
    <w:rsid w:val="00A7767B"/>
    <w:rsid w:val="00A77896"/>
    <w:rsid w:val="00A80CBE"/>
    <w:rsid w:val="00A81FA2"/>
    <w:rsid w:val="00A82017"/>
    <w:rsid w:val="00A83665"/>
    <w:rsid w:val="00A83C29"/>
    <w:rsid w:val="00A83FEA"/>
    <w:rsid w:val="00A84268"/>
    <w:rsid w:val="00A84AE0"/>
    <w:rsid w:val="00A8590F"/>
    <w:rsid w:val="00A86B34"/>
    <w:rsid w:val="00A909AB"/>
    <w:rsid w:val="00A932A4"/>
    <w:rsid w:val="00A9605A"/>
    <w:rsid w:val="00A9786E"/>
    <w:rsid w:val="00A97FC5"/>
    <w:rsid w:val="00AA2BA4"/>
    <w:rsid w:val="00AA33CB"/>
    <w:rsid w:val="00AA410C"/>
    <w:rsid w:val="00AA4E9C"/>
    <w:rsid w:val="00AB1FB2"/>
    <w:rsid w:val="00AB294E"/>
    <w:rsid w:val="00AB6117"/>
    <w:rsid w:val="00AB72A0"/>
    <w:rsid w:val="00AC0732"/>
    <w:rsid w:val="00AC26CD"/>
    <w:rsid w:val="00AC360F"/>
    <w:rsid w:val="00AC70B6"/>
    <w:rsid w:val="00AD2B2D"/>
    <w:rsid w:val="00AD374E"/>
    <w:rsid w:val="00AD4B9A"/>
    <w:rsid w:val="00AE0111"/>
    <w:rsid w:val="00AE0C50"/>
    <w:rsid w:val="00AE0CD9"/>
    <w:rsid w:val="00AE29F9"/>
    <w:rsid w:val="00AE39E2"/>
    <w:rsid w:val="00AE69FB"/>
    <w:rsid w:val="00AE7E5C"/>
    <w:rsid w:val="00AE7F5C"/>
    <w:rsid w:val="00AF0A15"/>
    <w:rsid w:val="00AF1AE0"/>
    <w:rsid w:val="00AF1F11"/>
    <w:rsid w:val="00B00C64"/>
    <w:rsid w:val="00B01BA1"/>
    <w:rsid w:val="00B05549"/>
    <w:rsid w:val="00B07020"/>
    <w:rsid w:val="00B078D9"/>
    <w:rsid w:val="00B15FA0"/>
    <w:rsid w:val="00B1687F"/>
    <w:rsid w:val="00B16F0A"/>
    <w:rsid w:val="00B177B8"/>
    <w:rsid w:val="00B17F6D"/>
    <w:rsid w:val="00B17FB7"/>
    <w:rsid w:val="00B2014D"/>
    <w:rsid w:val="00B216E1"/>
    <w:rsid w:val="00B21B9A"/>
    <w:rsid w:val="00B2619F"/>
    <w:rsid w:val="00B264A0"/>
    <w:rsid w:val="00B3124A"/>
    <w:rsid w:val="00B33A34"/>
    <w:rsid w:val="00B36ADF"/>
    <w:rsid w:val="00B3706A"/>
    <w:rsid w:val="00B40FF5"/>
    <w:rsid w:val="00B454C3"/>
    <w:rsid w:val="00B45E9D"/>
    <w:rsid w:val="00B46964"/>
    <w:rsid w:val="00B528BE"/>
    <w:rsid w:val="00B531AF"/>
    <w:rsid w:val="00B54657"/>
    <w:rsid w:val="00B54D99"/>
    <w:rsid w:val="00B550D8"/>
    <w:rsid w:val="00B643FA"/>
    <w:rsid w:val="00B65D51"/>
    <w:rsid w:val="00B6728C"/>
    <w:rsid w:val="00B67C00"/>
    <w:rsid w:val="00B73111"/>
    <w:rsid w:val="00B73DEE"/>
    <w:rsid w:val="00B7479F"/>
    <w:rsid w:val="00B76098"/>
    <w:rsid w:val="00B76512"/>
    <w:rsid w:val="00B76EEE"/>
    <w:rsid w:val="00B808F2"/>
    <w:rsid w:val="00B80925"/>
    <w:rsid w:val="00B81A24"/>
    <w:rsid w:val="00B81E56"/>
    <w:rsid w:val="00B82460"/>
    <w:rsid w:val="00B83FD0"/>
    <w:rsid w:val="00B84CCA"/>
    <w:rsid w:val="00B856FC"/>
    <w:rsid w:val="00B87488"/>
    <w:rsid w:val="00B878ED"/>
    <w:rsid w:val="00B87E53"/>
    <w:rsid w:val="00B90A01"/>
    <w:rsid w:val="00B9181E"/>
    <w:rsid w:val="00B92DC1"/>
    <w:rsid w:val="00B9418D"/>
    <w:rsid w:val="00B944A5"/>
    <w:rsid w:val="00B94EB8"/>
    <w:rsid w:val="00B95DC1"/>
    <w:rsid w:val="00B95DDD"/>
    <w:rsid w:val="00BA1E9D"/>
    <w:rsid w:val="00BA1F5C"/>
    <w:rsid w:val="00BA2349"/>
    <w:rsid w:val="00BA2BE6"/>
    <w:rsid w:val="00BA2C07"/>
    <w:rsid w:val="00BA2D99"/>
    <w:rsid w:val="00BA3C03"/>
    <w:rsid w:val="00BA4625"/>
    <w:rsid w:val="00BA673F"/>
    <w:rsid w:val="00BA6DB2"/>
    <w:rsid w:val="00BB0563"/>
    <w:rsid w:val="00BB189B"/>
    <w:rsid w:val="00BB1966"/>
    <w:rsid w:val="00BB1CCA"/>
    <w:rsid w:val="00BB21D3"/>
    <w:rsid w:val="00BB225F"/>
    <w:rsid w:val="00BB2D48"/>
    <w:rsid w:val="00BB3AA8"/>
    <w:rsid w:val="00BB3DA5"/>
    <w:rsid w:val="00BB3FCC"/>
    <w:rsid w:val="00BB5B7D"/>
    <w:rsid w:val="00BC11C5"/>
    <w:rsid w:val="00BC1241"/>
    <w:rsid w:val="00BC60EE"/>
    <w:rsid w:val="00BC6476"/>
    <w:rsid w:val="00BC6B45"/>
    <w:rsid w:val="00BC6E58"/>
    <w:rsid w:val="00BC76EF"/>
    <w:rsid w:val="00BC7D25"/>
    <w:rsid w:val="00BD0581"/>
    <w:rsid w:val="00BD1E0C"/>
    <w:rsid w:val="00BD2721"/>
    <w:rsid w:val="00BD2E37"/>
    <w:rsid w:val="00BD494E"/>
    <w:rsid w:val="00BD534C"/>
    <w:rsid w:val="00BD678B"/>
    <w:rsid w:val="00BE0456"/>
    <w:rsid w:val="00BE1C81"/>
    <w:rsid w:val="00BE29B6"/>
    <w:rsid w:val="00BE34C7"/>
    <w:rsid w:val="00BE4295"/>
    <w:rsid w:val="00BE4545"/>
    <w:rsid w:val="00BE51FF"/>
    <w:rsid w:val="00BF3821"/>
    <w:rsid w:val="00BF3873"/>
    <w:rsid w:val="00BF3C98"/>
    <w:rsid w:val="00BF47F4"/>
    <w:rsid w:val="00BF4E6F"/>
    <w:rsid w:val="00BF7E29"/>
    <w:rsid w:val="00C00465"/>
    <w:rsid w:val="00C02A70"/>
    <w:rsid w:val="00C064C4"/>
    <w:rsid w:val="00C075F2"/>
    <w:rsid w:val="00C079B6"/>
    <w:rsid w:val="00C160D1"/>
    <w:rsid w:val="00C217FB"/>
    <w:rsid w:val="00C21EE8"/>
    <w:rsid w:val="00C2259A"/>
    <w:rsid w:val="00C229CB"/>
    <w:rsid w:val="00C23863"/>
    <w:rsid w:val="00C23A32"/>
    <w:rsid w:val="00C24C58"/>
    <w:rsid w:val="00C25B62"/>
    <w:rsid w:val="00C25EB2"/>
    <w:rsid w:val="00C2631E"/>
    <w:rsid w:val="00C26986"/>
    <w:rsid w:val="00C26EA7"/>
    <w:rsid w:val="00C27C1B"/>
    <w:rsid w:val="00C32744"/>
    <w:rsid w:val="00C3466B"/>
    <w:rsid w:val="00C34AF6"/>
    <w:rsid w:val="00C35326"/>
    <w:rsid w:val="00C376EC"/>
    <w:rsid w:val="00C401C6"/>
    <w:rsid w:val="00C4296B"/>
    <w:rsid w:val="00C43F7B"/>
    <w:rsid w:val="00C4702B"/>
    <w:rsid w:val="00C47CE8"/>
    <w:rsid w:val="00C5147D"/>
    <w:rsid w:val="00C53ECF"/>
    <w:rsid w:val="00C541E3"/>
    <w:rsid w:val="00C54423"/>
    <w:rsid w:val="00C55A99"/>
    <w:rsid w:val="00C55C40"/>
    <w:rsid w:val="00C5617A"/>
    <w:rsid w:val="00C57A8A"/>
    <w:rsid w:val="00C60848"/>
    <w:rsid w:val="00C61FBE"/>
    <w:rsid w:val="00C6281C"/>
    <w:rsid w:val="00C63AD3"/>
    <w:rsid w:val="00C66393"/>
    <w:rsid w:val="00C6668D"/>
    <w:rsid w:val="00C715E6"/>
    <w:rsid w:val="00C71AD8"/>
    <w:rsid w:val="00C73F9E"/>
    <w:rsid w:val="00C77E7C"/>
    <w:rsid w:val="00C80007"/>
    <w:rsid w:val="00C804BA"/>
    <w:rsid w:val="00C808FF"/>
    <w:rsid w:val="00C87BF2"/>
    <w:rsid w:val="00C9085E"/>
    <w:rsid w:val="00C929EA"/>
    <w:rsid w:val="00C92C94"/>
    <w:rsid w:val="00C9356E"/>
    <w:rsid w:val="00C93E6A"/>
    <w:rsid w:val="00C94992"/>
    <w:rsid w:val="00C950A4"/>
    <w:rsid w:val="00C956F4"/>
    <w:rsid w:val="00C96AF8"/>
    <w:rsid w:val="00CA5130"/>
    <w:rsid w:val="00CA5163"/>
    <w:rsid w:val="00CA532F"/>
    <w:rsid w:val="00CA6071"/>
    <w:rsid w:val="00CB00F8"/>
    <w:rsid w:val="00CB054B"/>
    <w:rsid w:val="00CB09FF"/>
    <w:rsid w:val="00CB1390"/>
    <w:rsid w:val="00CB14FF"/>
    <w:rsid w:val="00CB201F"/>
    <w:rsid w:val="00CB2188"/>
    <w:rsid w:val="00CB2BED"/>
    <w:rsid w:val="00CB5104"/>
    <w:rsid w:val="00CB627B"/>
    <w:rsid w:val="00CB6720"/>
    <w:rsid w:val="00CB7CB3"/>
    <w:rsid w:val="00CB7E02"/>
    <w:rsid w:val="00CC0DBB"/>
    <w:rsid w:val="00CC2404"/>
    <w:rsid w:val="00CC441E"/>
    <w:rsid w:val="00CC4B11"/>
    <w:rsid w:val="00CC4D47"/>
    <w:rsid w:val="00CC6464"/>
    <w:rsid w:val="00CD09F9"/>
    <w:rsid w:val="00CD0B17"/>
    <w:rsid w:val="00CD1DC1"/>
    <w:rsid w:val="00CD4FBD"/>
    <w:rsid w:val="00CD5130"/>
    <w:rsid w:val="00CD524F"/>
    <w:rsid w:val="00CD52E6"/>
    <w:rsid w:val="00CD55F3"/>
    <w:rsid w:val="00CD5C3B"/>
    <w:rsid w:val="00CD5D52"/>
    <w:rsid w:val="00CE25A2"/>
    <w:rsid w:val="00CE28DA"/>
    <w:rsid w:val="00CE2F69"/>
    <w:rsid w:val="00CE3A90"/>
    <w:rsid w:val="00CE3BF7"/>
    <w:rsid w:val="00CE4331"/>
    <w:rsid w:val="00CE4412"/>
    <w:rsid w:val="00CE4D13"/>
    <w:rsid w:val="00CE5157"/>
    <w:rsid w:val="00CF005A"/>
    <w:rsid w:val="00CF09DA"/>
    <w:rsid w:val="00CF1D93"/>
    <w:rsid w:val="00CF2EC2"/>
    <w:rsid w:val="00CF485E"/>
    <w:rsid w:val="00CF6439"/>
    <w:rsid w:val="00CF71A9"/>
    <w:rsid w:val="00CF7E33"/>
    <w:rsid w:val="00D004E2"/>
    <w:rsid w:val="00D00963"/>
    <w:rsid w:val="00D00E9E"/>
    <w:rsid w:val="00D014C7"/>
    <w:rsid w:val="00D01909"/>
    <w:rsid w:val="00D0193C"/>
    <w:rsid w:val="00D026E9"/>
    <w:rsid w:val="00D030BF"/>
    <w:rsid w:val="00D03914"/>
    <w:rsid w:val="00D046F5"/>
    <w:rsid w:val="00D050A5"/>
    <w:rsid w:val="00D05A59"/>
    <w:rsid w:val="00D062A5"/>
    <w:rsid w:val="00D06974"/>
    <w:rsid w:val="00D10BF1"/>
    <w:rsid w:val="00D12124"/>
    <w:rsid w:val="00D12C59"/>
    <w:rsid w:val="00D138A9"/>
    <w:rsid w:val="00D20C0A"/>
    <w:rsid w:val="00D23447"/>
    <w:rsid w:val="00D24DF9"/>
    <w:rsid w:val="00D25109"/>
    <w:rsid w:val="00D25DD0"/>
    <w:rsid w:val="00D2610D"/>
    <w:rsid w:val="00D2791B"/>
    <w:rsid w:val="00D3286A"/>
    <w:rsid w:val="00D32941"/>
    <w:rsid w:val="00D330FE"/>
    <w:rsid w:val="00D3329B"/>
    <w:rsid w:val="00D33AC5"/>
    <w:rsid w:val="00D33D46"/>
    <w:rsid w:val="00D35FFF"/>
    <w:rsid w:val="00D412B3"/>
    <w:rsid w:val="00D414B4"/>
    <w:rsid w:val="00D432C0"/>
    <w:rsid w:val="00D43901"/>
    <w:rsid w:val="00D44748"/>
    <w:rsid w:val="00D44F5E"/>
    <w:rsid w:val="00D45094"/>
    <w:rsid w:val="00D46565"/>
    <w:rsid w:val="00D47325"/>
    <w:rsid w:val="00D47A23"/>
    <w:rsid w:val="00D5065C"/>
    <w:rsid w:val="00D51F94"/>
    <w:rsid w:val="00D540DB"/>
    <w:rsid w:val="00D57257"/>
    <w:rsid w:val="00D579C1"/>
    <w:rsid w:val="00D57D7C"/>
    <w:rsid w:val="00D61B79"/>
    <w:rsid w:val="00D61EB6"/>
    <w:rsid w:val="00D62C5B"/>
    <w:rsid w:val="00D62EC1"/>
    <w:rsid w:val="00D63774"/>
    <w:rsid w:val="00D648DF"/>
    <w:rsid w:val="00D65009"/>
    <w:rsid w:val="00D6526E"/>
    <w:rsid w:val="00D66A32"/>
    <w:rsid w:val="00D66C77"/>
    <w:rsid w:val="00D70C30"/>
    <w:rsid w:val="00D71080"/>
    <w:rsid w:val="00D718DF"/>
    <w:rsid w:val="00D74AA2"/>
    <w:rsid w:val="00D75608"/>
    <w:rsid w:val="00D762D8"/>
    <w:rsid w:val="00D76DD4"/>
    <w:rsid w:val="00D77541"/>
    <w:rsid w:val="00D80A0F"/>
    <w:rsid w:val="00D860FC"/>
    <w:rsid w:val="00D86986"/>
    <w:rsid w:val="00D86B0A"/>
    <w:rsid w:val="00D86D18"/>
    <w:rsid w:val="00D86E30"/>
    <w:rsid w:val="00D90F31"/>
    <w:rsid w:val="00D9223E"/>
    <w:rsid w:val="00D937D6"/>
    <w:rsid w:val="00D94017"/>
    <w:rsid w:val="00D94A10"/>
    <w:rsid w:val="00D955F5"/>
    <w:rsid w:val="00D961E0"/>
    <w:rsid w:val="00D97650"/>
    <w:rsid w:val="00DA03E5"/>
    <w:rsid w:val="00DA10A9"/>
    <w:rsid w:val="00DA3A8F"/>
    <w:rsid w:val="00DA5B74"/>
    <w:rsid w:val="00DA648C"/>
    <w:rsid w:val="00DB1C91"/>
    <w:rsid w:val="00DB1CFA"/>
    <w:rsid w:val="00DB2AD6"/>
    <w:rsid w:val="00DB305B"/>
    <w:rsid w:val="00DB3F34"/>
    <w:rsid w:val="00DB4B8E"/>
    <w:rsid w:val="00DB5DD7"/>
    <w:rsid w:val="00DC00EF"/>
    <w:rsid w:val="00DC0A8B"/>
    <w:rsid w:val="00DC11FF"/>
    <w:rsid w:val="00DC3388"/>
    <w:rsid w:val="00DC42BB"/>
    <w:rsid w:val="00DC5C08"/>
    <w:rsid w:val="00DC7F19"/>
    <w:rsid w:val="00DD13D7"/>
    <w:rsid w:val="00DD2ECC"/>
    <w:rsid w:val="00DD39BD"/>
    <w:rsid w:val="00DD5191"/>
    <w:rsid w:val="00DD6E6C"/>
    <w:rsid w:val="00DD7511"/>
    <w:rsid w:val="00DE0A71"/>
    <w:rsid w:val="00DE1A21"/>
    <w:rsid w:val="00DE3ED1"/>
    <w:rsid w:val="00DE40B7"/>
    <w:rsid w:val="00DE5ED3"/>
    <w:rsid w:val="00DE7B2C"/>
    <w:rsid w:val="00DF32D5"/>
    <w:rsid w:val="00DF3FC3"/>
    <w:rsid w:val="00DF4B74"/>
    <w:rsid w:val="00DF50C2"/>
    <w:rsid w:val="00DF6C06"/>
    <w:rsid w:val="00DF72FD"/>
    <w:rsid w:val="00DF74E5"/>
    <w:rsid w:val="00E034FF"/>
    <w:rsid w:val="00E05331"/>
    <w:rsid w:val="00E076EC"/>
    <w:rsid w:val="00E10980"/>
    <w:rsid w:val="00E110EE"/>
    <w:rsid w:val="00E121E8"/>
    <w:rsid w:val="00E12C62"/>
    <w:rsid w:val="00E13335"/>
    <w:rsid w:val="00E137BC"/>
    <w:rsid w:val="00E15B8C"/>
    <w:rsid w:val="00E16A0A"/>
    <w:rsid w:val="00E176CB"/>
    <w:rsid w:val="00E2239F"/>
    <w:rsid w:val="00E2387C"/>
    <w:rsid w:val="00E262B5"/>
    <w:rsid w:val="00E263D8"/>
    <w:rsid w:val="00E2643A"/>
    <w:rsid w:val="00E26939"/>
    <w:rsid w:val="00E27166"/>
    <w:rsid w:val="00E30CCD"/>
    <w:rsid w:val="00E32D37"/>
    <w:rsid w:val="00E3547E"/>
    <w:rsid w:val="00E35CED"/>
    <w:rsid w:val="00E362BD"/>
    <w:rsid w:val="00E36E75"/>
    <w:rsid w:val="00E405EA"/>
    <w:rsid w:val="00E4120C"/>
    <w:rsid w:val="00E41C5C"/>
    <w:rsid w:val="00E43DE3"/>
    <w:rsid w:val="00E44BF3"/>
    <w:rsid w:val="00E453AB"/>
    <w:rsid w:val="00E45FB0"/>
    <w:rsid w:val="00E4652E"/>
    <w:rsid w:val="00E47486"/>
    <w:rsid w:val="00E501B9"/>
    <w:rsid w:val="00E5020C"/>
    <w:rsid w:val="00E50AFF"/>
    <w:rsid w:val="00E51F6A"/>
    <w:rsid w:val="00E53087"/>
    <w:rsid w:val="00E53D61"/>
    <w:rsid w:val="00E53DD2"/>
    <w:rsid w:val="00E561BC"/>
    <w:rsid w:val="00E56CD2"/>
    <w:rsid w:val="00E57C70"/>
    <w:rsid w:val="00E6152E"/>
    <w:rsid w:val="00E6173A"/>
    <w:rsid w:val="00E66427"/>
    <w:rsid w:val="00E67428"/>
    <w:rsid w:val="00E70863"/>
    <w:rsid w:val="00E715B0"/>
    <w:rsid w:val="00E71CEB"/>
    <w:rsid w:val="00E71F90"/>
    <w:rsid w:val="00E725A8"/>
    <w:rsid w:val="00E77F7B"/>
    <w:rsid w:val="00E8121D"/>
    <w:rsid w:val="00E81D65"/>
    <w:rsid w:val="00E81F14"/>
    <w:rsid w:val="00E864B2"/>
    <w:rsid w:val="00E8698C"/>
    <w:rsid w:val="00E869BA"/>
    <w:rsid w:val="00E86F62"/>
    <w:rsid w:val="00E90ED9"/>
    <w:rsid w:val="00E94B17"/>
    <w:rsid w:val="00EA0CA9"/>
    <w:rsid w:val="00EA10CD"/>
    <w:rsid w:val="00EA374C"/>
    <w:rsid w:val="00EA3AC4"/>
    <w:rsid w:val="00EA3F24"/>
    <w:rsid w:val="00EA45D5"/>
    <w:rsid w:val="00EA529C"/>
    <w:rsid w:val="00EA59D8"/>
    <w:rsid w:val="00EA7E14"/>
    <w:rsid w:val="00EA7E81"/>
    <w:rsid w:val="00EB14B2"/>
    <w:rsid w:val="00EB17D7"/>
    <w:rsid w:val="00EB2EEA"/>
    <w:rsid w:val="00EB63A3"/>
    <w:rsid w:val="00EC0658"/>
    <w:rsid w:val="00EC0F40"/>
    <w:rsid w:val="00EC12C8"/>
    <w:rsid w:val="00EC147A"/>
    <w:rsid w:val="00EC2525"/>
    <w:rsid w:val="00EC59BF"/>
    <w:rsid w:val="00EC5FCC"/>
    <w:rsid w:val="00EC7A13"/>
    <w:rsid w:val="00ED3C2C"/>
    <w:rsid w:val="00ED5679"/>
    <w:rsid w:val="00ED5C5B"/>
    <w:rsid w:val="00ED5C64"/>
    <w:rsid w:val="00ED6498"/>
    <w:rsid w:val="00ED6DFE"/>
    <w:rsid w:val="00ED7625"/>
    <w:rsid w:val="00EE2365"/>
    <w:rsid w:val="00EE4136"/>
    <w:rsid w:val="00EE4F0D"/>
    <w:rsid w:val="00EE558C"/>
    <w:rsid w:val="00EE5AEF"/>
    <w:rsid w:val="00EE623D"/>
    <w:rsid w:val="00EE6D3D"/>
    <w:rsid w:val="00EE6E87"/>
    <w:rsid w:val="00EE74B9"/>
    <w:rsid w:val="00EE799B"/>
    <w:rsid w:val="00EF01AF"/>
    <w:rsid w:val="00EF039D"/>
    <w:rsid w:val="00EF1E72"/>
    <w:rsid w:val="00EF2448"/>
    <w:rsid w:val="00EF688F"/>
    <w:rsid w:val="00F0404D"/>
    <w:rsid w:val="00F0424D"/>
    <w:rsid w:val="00F053F5"/>
    <w:rsid w:val="00F05FAE"/>
    <w:rsid w:val="00F06FED"/>
    <w:rsid w:val="00F131E7"/>
    <w:rsid w:val="00F174DA"/>
    <w:rsid w:val="00F176FD"/>
    <w:rsid w:val="00F200A2"/>
    <w:rsid w:val="00F21A1A"/>
    <w:rsid w:val="00F22E80"/>
    <w:rsid w:val="00F22EAC"/>
    <w:rsid w:val="00F24453"/>
    <w:rsid w:val="00F24854"/>
    <w:rsid w:val="00F24BEB"/>
    <w:rsid w:val="00F27EC2"/>
    <w:rsid w:val="00F30571"/>
    <w:rsid w:val="00F30BD2"/>
    <w:rsid w:val="00F32C1B"/>
    <w:rsid w:val="00F33C18"/>
    <w:rsid w:val="00F3424B"/>
    <w:rsid w:val="00F35DE4"/>
    <w:rsid w:val="00F35F2F"/>
    <w:rsid w:val="00F3661D"/>
    <w:rsid w:val="00F37402"/>
    <w:rsid w:val="00F375AC"/>
    <w:rsid w:val="00F37E39"/>
    <w:rsid w:val="00F40721"/>
    <w:rsid w:val="00F40785"/>
    <w:rsid w:val="00F40C47"/>
    <w:rsid w:val="00F43F53"/>
    <w:rsid w:val="00F440ED"/>
    <w:rsid w:val="00F442B4"/>
    <w:rsid w:val="00F44A78"/>
    <w:rsid w:val="00F4514E"/>
    <w:rsid w:val="00F46D16"/>
    <w:rsid w:val="00F507C1"/>
    <w:rsid w:val="00F52775"/>
    <w:rsid w:val="00F5288C"/>
    <w:rsid w:val="00F52EC3"/>
    <w:rsid w:val="00F5388C"/>
    <w:rsid w:val="00F53D20"/>
    <w:rsid w:val="00F55103"/>
    <w:rsid w:val="00F5531D"/>
    <w:rsid w:val="00F55628"/>
    <w:rsid w:val="00F55F22"/>
    <w:rsid w:val="00F567C8"/>
    <w:rsid w:val="00F57354"/>
    <w:rsid w:val="00F57585"/>
    <w:rsid w:val="00F57F3D"/>
    <w:rsid w:val="00F61A13"/>
    <w:rsid w:val="00F643D5"/>
    <w:rsid w:val="00F64E37"/>
    <w:rsid w:val="00F64FD4"/>
    <w:rsid w:val="00F66004"/>
    <w:rsid w:val="00F70300"/>
    <w:rsid w:val="00F705E7"/>
    <w:rsid w:val="00F709A6"/>
    <w:rsid w:val="00F71451"/>
    <w:rsid w:val="00F71C79"/>
    <w:rsid w:val="00F75566"/>
    <w:rsid w:val="00F7559F"/>
    <w:rsid w:val="00F768E0"/>
    <w:rsid w:val="00F769F8"/>
    <w:rsid w:val="00F76AFB"/>
    <w:rsid w:val="00F76BF5"/>
    <w:rsid w:val="00F778E5"/>
    <w:rsid w:val="00F8009C"/>
    <w:rsid w:val="00F8062F"/>
    <w:rsid w:val="00F81646"/>
    <w:rsid w:val="00F823A3"/>
    <w:rsid w:val="00F83117"/>
    <w:rsid w:val="00F83377"/>
    <w:rsid w:val="00F835D5"/>
    <w:rsid w:val="00F85F58"/>
    <w:rsid w:val="00F86560"/>
    <w:rsid w:val="00F90152"/>
    <w:rsid w:val="00F9022B"/>
    <w:rsid w:val="00F955DA"/>
    <w:rsid w:val="00FA103A"/>
    <w:rsid w:val="00FA13CB"/>
    <w:rsid w:val="00FA2448"/>
    <w:rsid w:val="00FA31B3"/>
    <w:rsid w:val="00FA3D44"/>
    <w:rsid w:val="00FA4600"/>
    <w:rsid w:val="00FA4C77"/>
    <w:rsid w:val="00FA72CA"/>
    <w:rsid w:val="00FB23A5"/>
    <w:rsid w:val="00FB30CB"/>
    <w:rsid w:val="00FB4855"/>
    <w:rsid w:val="00FB75F0"/>
    <w:rsid w:val="00FC12F5"/>
    <w:rsid w:val="00FC1EC0"/>
    <w:rsid w:val="00FC3F19"/>
    <w:rsid w:val="00FC44F2"/>
    <w:rsid w:val="00FC4C18"/>
    <w:rsid w:val="00FC7891"/>
    <w:rsid w:val="00FC7975"/>
    <w:rsid w:val="00FD1848"/>
    <w:rsid w:val="00FD22B1"/>
    <w:rsid w:val="00FD50ED"/>
    <w:rsid w:val="00FD6DE6"/>
    <w:rsid w:val="00FD70FC"/>
    <w:rsid w:val="00FE0246"/>
    <w:rsid w:val="00FE0BD4"/>
    <w:rsid w:val="00FE1356"/>
    <w:rsid w:val="00FE1F13"/>
    <w:rsid w:val="00FE2B47"/>
    <w:rsid w:val="00FE3743"/>
    <w:rsid w:val="00FE3B00"/>
    <w:rsid w:val="00FE4147"/>
    <w:rsid w:val="00FE4865"/>
    <w:rsid w:val="00FE4E16"/>
    <w:rsid w:val="00FE50D1"/>
    <w:rsid w:val="00FE6FE9"/>
    <w:rsid w:val="00FF0AD8"/>
    <w:rsid w:val="00FF1432"/>
    <w:rsid w:val="00FF25FE"/>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5"/>
    <o:shapelayout v:ext="edit">
      <o:idmap v:ext="edit" data="1"/>
    </o:shapelayout>
  </w:shapeDefaults>
  <w:decimalSymbol w:val="."/>
  <w:listSeparator w:val=";"/>
  <w14:docId w14:val="3968F359"/>
  <w15:docId w15:val="{39940CCB-71FA-4EDE-BB4B-3F3D4CEC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link w:val="Heading1Char"/>
    <w:uiPriority w:val="99"/>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link w:val="Heading2Char"/>
    <w:uiPriority w:val="99"/>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link w:val="Heading3Char"/>
    <w:uiPriority w:val="99"/>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uiPriority w:val="99"/>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link w:val="Heading7Char"/>
    <w:uiPriority w:val="99"/>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779A0"/>
    <w:rPr>
      <w:rFonts w:ascii="Cambria" w:hAnsi="Cambria" w:cs="Times New Roman"/>
      <w:b/>
      <w:bCs/>
      <w:kern w:val="32"/>
      <w:sz w:val="32"/>
      <w:szCs w:val="32"/>
    </w:rPr>
  </w:style>
  <w:style w:type="character" w:customStyle="1" w:styleId="Heading2Char">
    <w:name w:val="Heading 2 Char"/>
    <w:link w:val="Heading2"/>
    <w:uiPriority w:val="99"/>
    <w:semiHidden/>
    <w:locked/>
    <w:rsid w:val="000779A0"/>
    <w:rPr>
      <w:rFonts w:ascii="Cambria" w:hAnsi="Cambria" w:cs="Times New Roman"/>
      <w:b/>
      <w:bCs/>
      <w:i/>
      <w:iCs/>
      <w:sz w:val="28"/>
      <w:szCs w:val="28"/>
    </w:rPr>
  </w:style>
  <w:style w:type="character" w:customStyle="1" w:styleId="Heading3Char">
    <w:name w:val="Heading 3 Char"/>
    <w:link w:val="Heading3"/>
    <w:uiPriority w:val="99"/>
    <w:semiHidden/>
    <w:locked/>
    <w:rsid w:val="000779A0"/>
    <w:rPr>
      <w:rFonts w:ascii="Cambria" w:hAnsi="Cambria" w:cs="Times New Roman"/>
      <w:b/>
      <w:bCs/>
      <w:sz w:val="26"/>
      <w:szCs w:val="26"/>
    </w:rPr>
  </w:style>
  <w:style w:type="character" w:customStyle="1" w:styleId="Heading4Char">
    <w:name w:val="Heading 4 Char"/>
    <w:link w:val="Heading4"/>
    <w:uiPriority w:val="99"/>
    <w:semiHidden/>
    <w:locked/>
    <w:rsid w:val="000779A0"/>
    <w:rPr>
      <w:rFonts w:ascii="Calibri" w:hAnsi="Calibri" w:cs="Times New Roman"/>
      <w:b/>
      <w:bCs/>
      <w:sz w:val="28"/>
      <w:szCs w:val="28"/>
    </w:rPr>
  </w:style>
  <w:style w:type="character" w:customStyle="1" w:styleId="Heading7Char">
    <w:name w:val="Heading 7 Char"/>
    <w:link w:val="Heading7"/>
    <w:uiPriority w:val="99"/>
    <w:semiHidden/>
    <w:locked/>
    <w:rsid w:val="000779A0"/>
    <w:rPr>
      <w:rFonts w:ascii="Calibri" w:hAnsi="Calibri" w:cs="Times New Roman"/>
      <w:sz w:val="24"/>
      <w:szCs w:val="24"/>
    </w:rPr>
  </w:style>
  <w:style w:type="paragraph" w:styleId="BalloonText">
    <w:name w:val="Balloon Text"/>
    <w:basedOn w:val="Normal"/>
    <w:link w:val="BalloonTextChar"/>
    <w:uiPriority w:val="99"/>
    <w:semiHidden/>
    <w:rsid w:val="0052189A"/>
    <w:rPr>
      <w:rFonts w:ascii="Tahoma" w:hAnsi="Tahoma" w:cs="Tahoma"/>
      <w:sz w:val="16"/>
      <w:szCs w:val="16"/>
    </w:rPr>
  </w:style>
  <w:style w:type="character" w:customStyle="1" w:styleId="BalloonTextChar">
    <w:name w:val="Balloon Text Char"/>
    <w:link w:val="BalloonText"/>
    <w:uiPriority w:val="99"/>
    <w:semiHidden/>
    <w:locked/>
    <w:rsid w:val="000779A0"/>
    <w:rPr>
      <w:rFonts w:cs="Times New Roman"/>
      <w:sz w:val="2"/>
    </w:rPr>
  </w:style>
  <w:style w:type="paragraph" w:styleId="Header">
    <w:name w:val="header"/>
    <w:basedOn w:val="Normal"/>
    <w:link w:val="HeaderChar"/>
    <w:uiPriority w:val="99"/>
    <w:rsid w:val="00295A3D"/>
    <w:pPr>
      <w:tabs>
        <w:tab w:val="center" w:pos="4536"/>
        <w:tab w:val="right" w:pos="9072"/>
      </w:tabs>
    </w:pPr>
  </w:style>
  <w:style w:type="character" w:customStyle="1" w:styleId="HeaderChar">
    <w:name w:val="Header Char"/>
    <w:link w:val="Header"/>
    <w:uiPriority w:val="99"/>
    <w:locked/>
    <w:rsid w:val="000779A0"/>
    <w:rPr>
      <w:rFonts w:cs="Times New Roman"/>
      <w:sz w:val="20"/>
      <w:szCs w:val="20"/>
    </w:rPr>
  </w:style>
  <w:style w:type="paragraph" w:styleId="Footer">
    <w:name w:val="footer"/>
    <w:basedOn w:val="Normal"/>
    <w:link w:val="FooterChar"/>
    <w:uiPriority w:val="99"/>
    <w:rsid w:val="00295A3D"/>
    <w:pPr>
      <w:tabs>
        <w:tab w:val="center" w:pos="4536"/>
        <w:tab w:val="right" w:pos="9072"/>
      </w:tabs>
    </w:pPr>
  </w:style>
  <w:style w:type="character" w:customStyle="1" w:styleId="FooterChar">
    <w:name w:val="Footer Char"/>
    <w:link w:val="Footer"/>
    <w:uiPriority w:val="99"/>
    <w:semiHidden/>
    <w:locked/>
    <w:rsid w:val="000779A0"/>
    <w:rPr>
      <w:rFonts w:cs="Times New Roman"/>
      <w:sz w:val="20"/>
      <w:szCs w:val="20"/>
    </w:rPr>
  </w:style>
  <w:style w:type="paragraph" w:customStyle="1" w:styleId="CharCharCharCharCharCharChar">
    <w:name w:val="Знак Знак Char Char Char Знак Знак Char Char Char Char"/>
    <w:basedOn w:val="Normal"/>
    <w:uiPriority w:val="99"/>
    <w:rsid w:val="00AC0732"/>
    <w:pPr>
      <w:tabs>
        <w:tab w:val="left" w:pos="709"/>
      </w:tabs>
    </w:pPr>
    <w:rPr>
      <w:rFonts w:ascii="Tahoma" w:hAnsi="Tahoma"/>
      <w:lang w:val="pl-PL" w:eastAsia="pl-PL"/>
    </w:rPr>
  </w:style>
  <w:style w:type="character" w:styleId="Emphasis">
    <w:name w:val="Emphasis"/>
    <w:uiPriority w:val="99"/>
    <w:qFormat/>
    <w:rsid w:val="00AC0732"/>
    <w:rPr>
      <w:rFonts w:cs="Times New Roman"/>
      <w:i/>
    </w:rPr>
  </w:style>
  <w:style w:type="paragraph" w:customStyle="1" w:styleId="CharCharCharCharCharCharCharCharCharCharCharChar">
    <w:name w:val="Char Char Char Char Char Char Char Char Char Char Char Char"/>
    <w:basedOn w:val="Normal"/>
    <w:uiPriority w:val="99"/>
    <w:rsid w:val="0021406F"/>
    <w:pPr>
      <w:tabs>
        <w:tab w:val="left" w:pos="709"/>
      </w:tabs>
    </w:pPr>
    <w:rPr>
      <w:rFonts w:ascii="Tahoma" w:hAnsi="Tahoma"/>
      <w:lang w:val="pl-PL" w:eastAsia="pl-PL"/>
    </w:rPr>
  </w:style>
  <w:style w:type="character" w:styleId="Hyperlink">
    <w:name w:val="Hyperlink"/>
    <w:uiPriority w:val="99"/>
    <w:rsid w:val="0021406F"/>
    <w:rPr>
      <w:rFonts w:cs="Times New Roman"/>
      <w:color w:val="0000FF"/>
      <w:u w:val="single"/>
    </w:rPr>
  </w:style>
  <w:style w:type="paragraph" w:customStyle="1" w:styleId="CharCharCharCharCharChar">
    <w:name w:val="Char Char Char Char Char Char"/>
    <w:basedOn w:val="Normal"/>
    <w:uiPriority w:val="99"/>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uiPriority w:val="99"/>
    <w:rsid w:val="006E7691"/>
    <w:pPr>
      <w:widowControl/>
      <w:autoSpaceDE/>
      <w:autoSpaceDN/>
      <w:adjustRightInd/>
      <w:spacing w:before="150"/>
    </w:pPr>
    <w:rPr>
      <w:sz w:val="24"/>
      <w:szCs w:val="24"/>
    </w:rPr>
  </w:style>
  <w:style w:type="character" w:styleId="Strong">
    <w:name w:val="Strong"/>
    <w:uiPriority w:val="99"/>
    <w:qFormat/>
    <w:rsid w:val="006E7691"/>
    <w:rPr>
      <w:rFonts w:cs="Times New Roman"/>
      <w:b/>
    </w:rPr>
  </w:style>
  <w:style w:type="character" w:styleId="PageNumber">
    <w:name w:val="page number"/>
    <w:uiPriority w:val="99"/>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uiPriority w:val="99"/>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uiPriority w:val="99"/>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uiPriority w:val="99"/>
    <w:rsid w:val="00117812"/>
    <w:pPr>
      <w:widowControl/>
      <w:numPr>
        <w:numId w:val="18"/>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uiPriority w:val="99"/>
    <w:rsid w:val="00117812"/>
    <w:pPr>
      <w:widowControl/>
      <w:numPr>
        <w:ilvl w:val="1"/>
        <w:numId w:val="18"/>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uiPriority w:val="99"/>
    <w:rsid w:val="00117812"/>
    <w:pPr>
      <w:keepNext/>
      <w:widowControl/>
      <w:numPr>
        <w:ilvl w:val="2"/>
        <w:numId w:val="18"/>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uiPriority w:val="99"/>
    <w:rsid w:val="00117812"/>
    <w:pPr>
      <w:keepNext/>
      <w:widowControl/>
      <w:numPr>
        <w:ilvl w:val="3"/>
        <w:numId w:val="18"/>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uiPriority w:val="99"/>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uiPriority w:val="99"/>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uiPriority w:val="99"/>
    <w:rsid w:val="00DB4B8E"/>
    <w:pPr>
      <w:tabs>
        <w:tab w:val="left" w:pos="709"/>
      </w:tabs>
    </w:pPr>
    <w:rPr>
      <w:rFonts w:ascii="Tahoma" w:hAnsi="Tahoma"/>
      <w:lang w:val="pl-PL" w:eastAsia="pl-PL"/>
    </w:rPr>
  </w:style>
  <w:style w:type="paragraph" w:customStyle="1" w:styleId="CharChar">
    <w:name w:val="Char Char"/>
    <w:basedOn w:val="Normal"/>
    <w:uiPriority w:val="99"/>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uiPriority w:val="99"/>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uiPriority w:val="99"/>
    <w:rsid w:val="00BA4625"/>
    <w:pPr>
      <w:tabs>
        <w:tab w:val="left" w:pos="709"/>
      </w:tabs>
    </w:pPr>
    <w:rPr>
      <w:rFonts w:ascii="Tahoma" w:hAnsi="Tahoma"/>
      <w:lang w:val="pl-PL" w:eastAsia="pl-PL"/>
    </w:rPr>
  </w:style>
  <w:style w:type="paragraph" w:customStyle="1" w:styleId="CharChar2">
    <w:name w:val="Char Char2"/>
    <w:basedOn w:val="Normal"/>
    <w:uiPriority w:val="99"/>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uiPriority w:val="99"/>
    <w:rsid w:val="00D138A9"/>
    <w:pPr>
      <w:widowControl/>
      <w:autoSpaceDE/>
      <w:autoSpaceDN/>
      <w:adjustRightInd/>
      <w:spacing w:before="150"/>
    </w:pPr>
    <w:rPr>
      <w:sz w:val="24"/>
      <w:szCs w:val="24"/>
    </w:rPr>
  </w:style>
  <w:style w:type="character" w:customStyle="1" w:styleId="createdate1">
    <w:name w:val="createdate1"/>
    <w:uiPriority w:val="99"/>
    <w:rsid w:val="00D138A9"/>
    <w:rPr>
      <w:b/>
      <w:sz w:val="14"/>
    </w:rPr>
  </w:style>
  <w:style w:type="paragraph" w:customStyle="1" w:styleId="CharCharCharCharChar">
    <w:name w:val="Char Char Char Char Char"/>
    <w:basedOn w:val="Normal"/>
    <w:uiPriority w:val="99"/>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link w:val="BodyTextChar"/>
    <w:uiPriority w:val="99"/>
    <w:rsid w:val="00EC59BF"/>
    <w:pPr>
      <w:widowControl/>
      <w:autoSpaceDE/>
      <w:autoSpaceDN/>
      <w:adjustRightInd/>
      <w:spacing w:after="120"/>
    </w:pPr>
    <w:rPr>
      <w:color w:val="000000"/>
      <w:sz w:val="24"/>
      <w:szCs w:val="24"/>
    </w:rPr>
  </w:style>
  <w:style w:type="character" w:customStyle="1" w:styleId="BodyTextChar">
    <w:name w:val="Body Text Char"/>
    <w:link w:val="BodyText"/>
    <w:uiPriority w:val="99"/>
    <w:semiHidden/>
    <w:locked/>
    <w:rsid w:val="000779A0"/>
    <w:rPr>
      <w:rFonts w:cs="Times New Roman"/>
      <w:sz w:val="20"/>
      <w:szCs w:val="20"/>
    </w:rPr>
  </w:style>
  <w:style w:type="paragraph" w:customStyle="1" w:styleId="Style">
    <w:name w:val="Style"/>
    <w:uiPriority w:val="99"/>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uiPriority w:val="99"/>
    <w:rsid w:val="00EC59BF"/>
    <w:pPr>
      <w:widowControl w:val="0"/>
      <w:suppressLineNumbers/>
      <w:suppressAutoHyphens/>
      <w:spacing w:beforeAutospacing="1" w:afterAutospacing="1"/>
    </w:pPr>
    <w:rPr>
      <w:lang w:val="en-US"/>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uiPriority w:val="99"/>
    <w:semiHidden/>
    <w:locked/>
    <w:rsid w:val="000779A0"/>
    <w:rPr>
      <w:rFonts w:cs="Times New Roman"/>
      <w:sz w:val="20"/>
      <w:szCs w:val="20"/>
    </w:rPr>
  </w:style>
  <w:style w:type="paragraph" w:customStyle="1" w:styleId="CharChar1Char">
    <w:name w:val="Char Char1 Char"/>
    <w:basedOn w:val="Normal"/>
    <w:uiPriority w:val="99"/>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uiPriority w:val="99"/>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uiPriority w:val="99"/>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link w:val="FootnoteTextChar"/>
    <w:uiPriority w:val="99"/>
    <w:semiHidden/>
    <w:rsid w:val="005B2254"/>
  </w:style>
  <w:style w:type="character" w:customStyle="1" w:styleId="FootnoteTextChar">
    <w:name w:val="Footnote Text Char"/>
    <w:link w:val="FootnoteText"/>
    <w:uiPriority w:val="99"/>
    <w:semiHidden/>
    <w:locked/>
    <w:rsid w:val="000779A0"/>
    <w:rPr>
      <w:rFonts w:cs="Times New Roman"/>
      <w:sz w:val="20"/>
      <w:szCs w:val="20"/>
    </w:rPr>
  </w:style>
  <w:style w:type="character" w:styleId="FootnoteReference">
    <w:name w:val="footnote reference"/>
    <w:uiPriority w:val="99"/>
    <w:semiHidden/>
    <w:rsid w:val="005B2254"/>
    <w:rPr>
      <w:rFonts w:cs="Times New Roman"/>
      <w:vertAlign w:val="superscript"/>
    </w:rPr>
  </w:style>
  <w:style w:type="paragraph" w:customStyle="1" w:styleId="CharCharCharCharCharCharCharCharChar0">
    <w:name w:val="Char Char Char Char Char Char Char Char Char"/>
    <w:basedOn w:val="Normal"/>
    <w:uiPriority w:val="99"/>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link w:val="BodyTextIndent2Char"/>
    <w:uiPriority w:val="99"/>
    <w:rsid w:val="004B59EF"/>
    <w:pPr>
      <w:widowControl/>
      <w:autoSpaceDE/>
      <w:autoSpaceDN/>
      <w:adjustRightInd/>
      <w:spacing w:after="120" w:line="480" w:lineRule="auto"/>
      <w:ind w:left="283"/>
    </w:pPr>
    <w:rPr>
      <w:sz w:val="24"/>
      <w:lang w:val="en-GB" w:eastAsia="en-US"/>
    </w:rPr>
  </w:style>
  <w:style w:type="character" w:customStyle="1" w:styleId="BodyTextIndent2Char">
    <w:name w:val="Body Text Indent 2 Char"/>
    <w:link w:val="BodyTextIndent2"/>
    <w:uiPriority w:val="99"/>
    <w:semiHidden/>
    <w:locked/>
    <w:rsid w:val="000779A0"/>
    <w:rPr>
      <w:rFonts w:cs="Times New Roman"/>
      <w:sz w:val="20"/>
      <w:szCs w:val="20"/>
    </w:rPr>
  </w:style>
  <w:style w:type="character" w:styleId="CommentReference">
    <w:name w:val="annotation reference"/>
    <w:uiPriority w:val="99"/>
    <w:semiHidden/>
    <w:rsid w:val="00910D43"/>
    <w:rPr>
      <w:rFonts w:cs="Times New Roman"/>
      <w:sz w:val="16"/>
    </w:rPr>
  </w:style>
  <w:style w:type="paragraph" w:styleId="CommentSubject">
    <w:name w:val="annotation subject"/>
    <w:basedOn w:val="CommentText"/>
    <w:next w:val="CommentText"/>
    <w:link w:val="CommentSubjectChar"/>
    <w:uiPriority w:val="99"/>
    <w:semiHidden/>
    <w:rsid w:val="00910D43"/>
    <w:pPr>
      <w:widowControl w:val="0"/>
      <w:autoSpaceDE w:val="0"/>
      <w:autoSpaceDN w:val="0"/>
      <w:adjustRightInd w:val="0"/>
      <w:spacing w:line="240" w:lineRule="auto"/>
    </w:pPr>
    <w:rPr>
      <w:b/>
      <w:bCs/>
      <w:sz w:val="20"/>
      <w:lang w:val="bg-BG" w:eastAsia="bg-BG"/>
    </w:rPr>
  </w:style>
  <w:style w:type="character" w:customStyle="1" w:styleId="CommentSubjectChar">
    <w:name w:val="Comment Subject Char"/>
    <w:link w:val="CommentSubject"/>
    <w:uiPriority w:val="99"/>
    <w:semiHidden/>
    <w:locked/>
    <w:rsid w:val="000779A0"/>
    <w:rPr>
      <w:rFonts w:cs="Times New Roman"/>
      <w:b/>
      <w:bCs/>
      <w:sz w:val="20"/>
      <w:szCs w:val="20"/>
    </w:rPr>
  </w:style>
  <w:style w:type="paragraph" w:customStyle="1" w:styleId="heading4-bulletpersonal">
    <w:name w:val="heading4-bulletpersonal"/>
    <w:basedOn w:val="Normal"/>
    <w:uiPriority w:val="99"/>
    <w:rsid w:val="00501D3D"/>
    <w:pPr>
      <w:widowControl/>
      <w:autoSpaceDE/>
      <w:autoSpaceDN/>
      <w:adjustRightInd/>
      <w:spacing w:after="240"/>
      <w:ind w:left="180"/>
    </w:pPr>
    <w:rPr>
      <w:sz w:val="24"/>
      <w:szCs w:val="24"/>
    </w:rPr>
  </w:style>
  <w:style w:type="paragraph" w:customStyle="1" w:styleId="CharCharChar1Char">
    <w:name w:val="Char Char Char1 Char"/>
    <w:basedOn w:val="Normal"/>
    <w:uiPriority w:val="99"/>
    <w:rsid w:val="00EA374C"/>
    <w:pPr>
      <w:widowControl/>
      <w:autoSpaceDE/>
      <w:autoSpaceDN/>
      <w:adjustRightInd/>
      <w:spacing w:after="160" w:line="240" w:lineRule="exact"/>
    </w:pPr>
    <w:rPr>
      <w:rFonts w:ascii="Tahoma" w:hAnsi="Tahoma"/>
      <w:lang w:val="en-US" w:eastAsia="en-US"/>
    </w:rPr>
  </w:style>
  <w:style w:type="paragraph" w:styleId="ListParagraph">
    <w:name w:val="List Paragraph"/>
    <w:basedOn w:val="Normal"/>
    <w:uiPriority w:val="99"/>
    <w:qFormat/>
    <w:rsid w:val="00BA2BE6"/>
    <w:pPr>
      <w:widowControl/>
      <w:autoSpaceDE/>
      <w:autoSpaceDN/>
      <w:adjustRightInd/>
      <w:spacing w:after="200" w:line="276" w:lineRule="auto"/>
      <w:ind w:left="720"/>
    </w:pPr>
    <w:rPr>
      <w:rFonts w:ascii="Calibri" w:hAnsi="Calibri"/>
      <w:sz w:val="22"/>
      <w:szCs w:val="22"/>
      <w:lang w:val="en-US" w:eastAsia="en-US"/>
    </w:rPr>
  </w:style>
  <w:style w:type="paragraph" w:styleId="ListBullet">
    <w:name w:val="List Bullet"/>
    <w:basedOn w:val="Normal"/>
    <w:uiPriority w:val="99"/>
    <w:rsid w:val="006C77D2"/>
    <w:pPr>
      <w:widowControl/>
      <w:numPr>
        <w:numId w:val="48"/>
      </w:numPr>
      <w:autoSpaceDE/>
      <w:autoSpaceDN/>
      <w:adjustRightInd/>
      <w:spacing w:after="240"/>
      <w:jc w:val="both"/>
    </w:pPr>
    <w:rPr>
      <w:sz w:val="24"/>
      <w:lang w:val="en-GB" w:eastAsia="en-US"/>
    </w:rPr>
  </w:style>
  <w:style w:type="paragraph" w:styleId="Revision">
    <w:name w:val="Revision"/>
    <w:hidden/>
    <w:uiPriority w:val="99"/>
    <w:semiHidden/>
    <w:rsid w:val="00095E60"/>
  </w:style>
  <w:style w:type="paragraph" w:customStyle="1" w:styleId="CharChar1Char1">
    <w:name w:val="Char Char1 Char1"/>
    <w:basedOn w:val="Normal"/>
    <w:uiPriority w:val="99"/>
    <w:rsid w:val="00732653"/>
    <w:pPr>
      <w:widowControl/>
      <w:tabs>
        <w:tab w:val="left" w:pos="709"/>
      </w:tabs>
      <w:autoSpaceDE/>
      <w:autoSpaceDN/>
      <w:adjustRightInd/>
    </w:pPr>
    <w:rPr>
      <w:rFonts w:ascii="Tahoma" w:hAnsi="Tahoma"/>
      <w:sz w:val="24"/>
      <w:szCs w:val="24"/>
      <w:lang w:val="pl-PL" w:eastAsia="pl-PL"/>
    </w:rPr>
  </w:style>
  <w:style w:type="paragraph" w:styleId="EndnoteText">
    <w:name w:val="endnote text"/>
    <w:basedOn w:val="Normal"/>
    <w:link w:val="EndnoteTextChar"/>
    <w:uiPriority w:val="99"/>
    <w:semiHidden/>
    <w:rsid w:val="00C27C1B"/>
  </w:style>
  <w:style w:type="character" w:customStyle="1" w:styleId="EndnoteTextChar">
    <w:name w:val="Endnote Text Char"/>
    <w:link w:val="EndnoteText"/>
    <w:uiPriority w:val="99"/>
    <w:semiHidden/>
    <w:locked/>
    <w:rsid w:val="00C27C1B"/>
    <w:rPr>
      <w:rFonts w:cs="Times New Roman"/>
      <w:sz w:val="20"/>
      <w:szCs w:val="20"/>
    </w:rPr>
  </w:style>
  <w:style w:type="character" w:styleId="EndnoteReference">
    <w:name w:val="endnote reference"/>
    <w:uiPriority w:val="99"/>
    <w:semiHidden/>
    <w:rsid w:val="00C27C1B"/>
    <w:rPr>
      <w:rFonts w:cs="Times New Roman"/>
      <w:vertAlign w:val="superscript"/>
    </w:rPr>
  </w:style>
  <w:style w:type="paragraph" w:styleId="NoSpacing">
    <w:name w:val="No Spacing"/>
    <w:uiPriority w:val="99"/>
    <w:qFormat/>
    <w:rsid w:val="00493FB6"/>
    <w:pPr>
      <w:widowControl w:val="0"/>
      <w:autoSpaceDE w:val="0"/>
      <w:autoSpaceDN w:val="0"/>
      <w:adjustRightInd w:val="0"/>
    </w:pPr>
  </w:style>
  <w:style w:type="paragraph" w:customStyle="1" w:styleId="ParagrahAnswer">
    <w:name w:val="ParagrahAnswer"/>
    <w:basedOn w:val="Normal"/>
    <w:autoRedefine/>
    <w:uiPriority w:val="99"/>
    <w:rsid w:val="00CB6720"/>
    <w:pPr>
      <w:keepNext/>
      <w:keepLines/>
      <w:widowControl/>
      <w:autoSpaceDE/>
      <w:autoSpaceDN/>
      <w:adjustRightInd/>
      <w:spacing w:before="60" w:after="60"/>
    </w:pPr>
    <w:rPr>
      <w:noProof/>
      <w:lang w:val="en-GB" w:eastAsia="en-US"/>
    </w:rPr>
  </w:style>
  <w:style w:type="paragraph" w:customStyle="1" w:styleId="OPACbullet">
    <w:name w:val="OPAC bullet"/>
    <w:basedOn w:val="Normal"/>
    <w:uiPriority w:val="99"/>
    <w:rsid w:val="000A45F4"/>
    <w:pPr>
      <w:widowControl/>
      <w:numPr>
        <w:numId w:val="52"/>
      </w:numPr>
      <w:autoSpaceDE/>
      <w:autoSpaceDN/>
      <w:adjustRightInd/>
      <w:spacing w:before="120"/>
      <w:jc w:val="both"/>
    </w:pPr>
    <w:rPr>
      <w:color w:val="000000"/>
      <w:sz w:val="24"/>
      <w:szCs w:val="24"/>
    </w:rPr>
  </w:style>
  <w:style w:type="paragraph" w:styleId="DocumentMap">
    <w:name w:val="Document Map"/>
    <w:basedOn w:val="Normal"/>
    <w:link w:val="DocumentMapChar"/>
    <w:uiPriority w:val="99"/>
    <w:semiHidden/>
    <w:rsid w:val="008A0114"/>
    <w:rPr>
      <w:rFonts w:ascii="Tahoma" w:hAnsi="Tahoma" w:cs="Tahoma"/>
      <w:sz w:val="16"/>
      <w:szCs w:val="16"/>
    </w:rPr>
  </w:style>
  <w:style w:type="character" w:customStyle="1" w:styleId="DocumentMapChar">
    <w:name w:val="Document Map Char"/>
    <w:link w:val="DocumentMap"/>
    <w:uiPriority w:val="99"/>
    <w:semiHidden/>
    <w:locked/>
    <w:rsid w:val="008A0114"/>
    <w:rPr>
      <w:rFonts w:ascii="Tahoma" w:hAnsi="Tahoma" w:cs="Tahoma"/>
      <w:sz w:val="16"/>
      <w:szCs w:val="16"/>
    </w:rPr>
  </w:style>
  <w:style w:type="numbering" w:customStyle="1" w:styleId="Style1">
    <w:name w:val="Style 1"/>
    <w:rsid w:val="00833A1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485994">
      <w:marLeft w:val="0"/>
      <w:marRight w:val="0"/>
      <w:marTop w:val="0"/>
      <w:marBottom w:val="0"/>
      <w:divBdr>
        <w:top w:val="none" w:sz="0" w:space="0" w:color="auto"/>
        <w:left w:val="none" w:sz="0" w:space="0" w:color="auto"/>
        <w:bottom w:val="none" w:sz="0" w:space="0" w:color="auto"/>
        <w:right w:val="none" w:sz="0" w:space="0" w:color="auto"/>
      </w:divBdr>
      <w:divsChild>
        <w:div w:id="776486049">
          <w:marLeft w:val="547"/>
          <w:marRight w:val="0"/>
          <w:marTop w:val="96"/>
          <w:marBottom w:val="0"/>
          <w:divBdr>
            <w:top w:val="none" w:sz="0" w:space="0" w:color="auto"/>
            <w:left w:val="none" w:sz="0" w:space="0" w:color="auto"/>
            <w:bottom w:val="none" w:sz="0" w:space="0" w:color="auto"/>
            <w:right w:val="none" w:sz="0" w:space="0" w:color="auto"/>
          </w:divBdr>
        </w:div>
      </w:divsChild>
    </w:div>
    <w:div w:id="776485996">
      <w:marLeft w:val="0"/>
      <w:marRight w:val="0"/>
      <w:marTop w:val="0"/>
      <w:marBottom w:val="0"/>
      <w:divBdr>
        <w:top w:val="none" w:sz="0" w:space="0" w:color="auto"/>
        <w:left w:val="none" w:sz="0" w:space="0" w:color="auto"/>
        <w:bottom w:val="none" w:sz="0" w:space="0" w:color="auto"/>
        <w:right w:val="none" w:sz="0" w:space="0" w:color="auto"/>
      </w:divBdr>
    </w:div>
    <w:div w:id="776485997">
      <w:marLeft w:val="0"/>
      <w:marRight w:val="0"/>
      <w:marTop w:val="0"/>
      <w:marBottom w:val="0"/>
      <w:divBdr>
        <w:top w:val="none" w:sz="0" w:space="0" w:color="auto"/>
        <w:left w:val="none" w:sz="0" w:space="0" w:color="auto"/>
        <w:bottom w:val="none" w:sz="0" w:space="0" w:color="auto"/>
        <w:right w:val="none" w:sz="0" w:space="0" w:color="auto"/>
      </w:divBdr>
    </w:div>
    <w:div w:id="776485998">
      <w:marLeft w:val="0"/>
      <w:marRight w:val="0"/>
      <w:marTop w:val="0"/>
      <w:marBottom w:val="0"/>
      <w:divBdr>
        <w:top w:val="none" w:sz="0" w:space="0" w:color="auto"/>
        <w:left w:val="none" w:sz="0" w:space="0" w:color="auto"/>
        <w:bottom w:val="none" w:sz="0" w:space="0" w:color="auto"/>
        <w:right w:val="none" w:sz="0" w:space="0" w:color="auto"/>
      </w:divBdr>
      <w:divsChild>
        <w:div w:id="776485995">
          <w:marLeft w:val="547"/>
          <w:marRight w:val="0"/>
          <w:marTop w:val="96"/>
          <w:marBottom w:val="0"/>
          <w:divBdr>
            <w:top w:val="none" w:sz="0" w:space="0" w:color="auto"/>
            <w:left w:val="none" w:sz="0" w:space="0" w:color="auto"/>
            <w:bottom w:val="none" w:sz="0" w:space="0" w:color="auto"/>
            <w:right w:val="none" w:sz="0" w:space="0" w:color="auto"/>
          </w:divBdr>
        </w:div>
        <w:div w:id="776485999">
          <w:marLeft w:val="547"/>
          <w:marRight w:val="0"/>
          <w:marTop w:val="96"/>
          <w:marBottom w:val="0"/>
          <w:divBdr>
            <w:top w:val="none" w:sz="0" w:space="0" w:color="auto"/>
            <w:left w:val="none" w:sz="0" w:space="0" w:color="auto"/>
            <w:bottom w:val="none" w:sz="0" w:space="0" w:color="auto"/>
            <w:right w:val="none" w:sz="0" w:space="0" w:color="auto"/>
          </w:divBdr>
        </w:div>
        <w:div w:id="776486053">
          <w:marLeft w:val="547"/>
          <w:marRight w:val="0"/>
          <w:marTop w:val="96"/>
          <w:marBottom w:val="0"/>
          <w:divBdr>
            <w:top w:val="none" w:sz="0" w:space="0" w:color="auto"/>
            <w:left w:val="none" w:sz="0" w:space="0" w:color="auto"/>
            <w:bottom w:val="none" w:sz="0" w:space="0" w:color="auto"/>
            <w:right w:val="none" w:sz="0" w:space="0" w:color="auto"/>
          </w:divBdr>
        </w:div>
      </w:divsChild>
    </w:div>
    <w:div w:id="776486003">
      <w:marLeft w:val="0"/>
      <w:marRight w:val="0"/>
      <w:marTop w:val="0"/>
      <w:marBottom w:val="0"/>
      <w:divBdr>
        <w:top w:val="none" w:sz="0" w:space="0" w:color="auto"/>
        <w:left w:val="none" w:sz="0" w:space="0" w:color="auto"/>
        <w:bottom w:val="none" w:sz="0" w:space="0" w:color="auto"/>
        <w:right w:val="none" w:sz="0" w:space="0" w:color="auto"/>
      </w:divBdr>
    </w:div>
    <w:div w:id="776486005">
      <w:marLeft w:val="0"/>
      <w:marRight w:val="0"/>
      <w:marTop w:val="0"/>
      <w:marBottom w:val="0"/>
      <w:divBdr>
        <w:top w:val="none" w:sz="0" w:space="0" w:color="auto"/>
        <w:left w:val="none" w:sz="0" w:space="0" w:color="auto"/>
        <w:bottom w:val="none" w:sz="0" w:space="0" w:color="auto"/>
        <w:right w:val="none" w:sz="0" w:space="0" w:color="auto"/>
      </w:divBdr>
      <w:divsChild>
        <w:div w:id="776486045">
          <w:marLeft w:val="0"/>
          <w:marRight w:val="0"/>
          <w:marTop w:val="100"/>
          <w:marBottom w:val="100"/>
          <w:divBdr>
            <w:top w:val="none" w:sz="0" w:space="0" w:color="auto"/>
            <w:left w:val="none" w:sz="0" w:space="0" w:color="auto"/>
            <w:bottom w:val="none" w:sz="0" w:space="0" w:color="auto"/>
            <w:right w:val="none" w:sz="0" w:space="0" w:color="auto"/>
          </w:divBdr>
          <w:divsChild>
            <w:div w:id="776486015">
              <w:marLeft w:val="0"/>
              <w:marRight w:val="0"/>
              <w:marTop w:val="150"/>
              <w:marBottom w:val="150"/>
              <w:divBdr>
                <w:top w:val="none" w:sz="0" w:space="0" w:color="auto"/>
                <w:left w:val="none" w:sz="0" w:space="0" w:color="auto"/>
                <w:bottom w:val="none" w:sz="0" w:space="0" w:color="auto"/>
                <w:right w:val="none" w:sz="0" w:space="0" w:color="auto"/>
              </w:divBdr>
              <w:divsChild>
                <w:div w:id="7764860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09">
      <w:marLeft w:val="0"/>
      <w:marRight w:val="0"/>
      <w:marTop w:val="0"/>
      <w:marBottom w:val="0"/>
      <w:divBdr>
        <w:top w:val="none" w:sz="0" w:space="0" w:color="auto"/>
        <w:left w:val="none" w:sz="0" w:space="0" w:color="auto"/>
        <w:bottom w:val="none" w:sz="0" w:space="0" w:color="auto"/>
        <w:right w:val="none" w:sz="0" w:space="0" w:color="auto"/>
      </w:divBdr>
      <w:divsChild>
        <w:div w:id="776486036">
          <w:marLeft w:val="0"/>
          <w:marRight w:val="0"/>
          <w:marTop w:val="100"/>
          <w:marBottom w:val="100"/>
          <w:divBdr>
            <w:top w:val="none" w:sz="0" w:space="0" w:color="auto"/>
            <w:left w:val="none" w:sz="0" w:space="0" w:color="auto"/>
            <w:bottom w:val="none" w:sz="0" w:space="0" w:color="auto"/>
            <w:right w:val="none" w:sz="0" w:space="0" w:color="auto"/>
          </w:divBdr>
          <w:divsChild>
            <w:div w:id="776486042">
              <w:marLeft w:val="0"/>
              <w:marRight w:val="0"/>
              <w:marTop w:val="150"/>
              <w:marBottom w:val="150"/>
              <w:divBdr>
                <w:top w:val="none" w:sz="0" w:space="0" w:color="auto"/>
                <w:left w:val="none" w:sz="0" w:space="0" w:color="auto"/>
                <w:bottom w:val="none" w:sz="0" w:space="0" w:color="auto"/>
                <w:right w:val="none" w:sz="0" w:space="0" w:color="auto"/>
              </w:divBdr>
              <w:divsChild>
                <w:div w:id="7764860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1">
      <w:marLeft w:val="0"/>
      <w:marRight w:val="0"/>
      <w:marTop w:val="0"/>
      <w:marBottom w:val="0"/>
      <w:divBdr>
        <w:top w:val="none" w:sz="0" w:space="0" w:color="auto"/>
        <w:left w:val="none" w:sz="0" w:space="0" w:color="auto"/>
        <w:bottom w:val="none" w:sz="0" w:space="0" w:color="auto"/>
        <w:right w:val="none" w:sz="0" w:space="0" w:color="auto"/>
      </w:divBdr>
      <w:divsChild>
        <w:div w:id="776486032">
          <w:marLeft w:val="0"/>
          <w:marRight w:val="0"/>
          <w:marTop w:val="100"/>
          <w:marBottom w:val="100"/>
          <w:divBdr>
            <w:top w:val="none" w:sz="0" w:space="0" w:color="auto"/>
            <w:left w:val="none" w:sz="0" w:space="0" w:color="auto"/>
            <w:bottom w:val="none" w:sz="0" w:space="0" w:color="auto"/>
            <w:right w:val="none" w:sz="0" w:space="0" w:color="auto"/>
          </w:divBdr>
          <w:divsChild>
            <w:div w:id="776486023">
              <w:marLeft w:val="0"/>
              <w:marRight w:val="0"/>
              <w:marTop w:val="150"/>
              <w:marBottom w:val="150"/>
              <w:divBdr>
                <w:top w:val="none" w:sz="0" w:space="0" w:color="auto"/>
                <w:left w:val="none" w:sz="0" w:space="0" w:color="auto"/>
                <w:bottom w:val="none" w:sz="0" w:space="0" w:color="auto"/>
                <w:right w:val="none" w:sz="0" w:space="0" w:color="auto"/>
              </w:divBdr>
              <w:divsChild>
                <w:div w:id="7764860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3">
      <w:marLeft w:val="0"/>
      <w:marRight w:val="0"/>
      <w:marTop w:val="0"/>
      <w:marBottom w:val="0"/>
      <w:divBdr>
        <w:top w:val="none" w:sz="0" w:space="0" w:color="auto"/>
        <w:left w:val="none" w:sz="0" w:space="0" w:color="auto"/>
        <w:bottom w:val="none" w:sz="0" w:space="0" w:color="auto"/>
        <w:right w:val="none" w:sz="0" w:space="0" w:color="auto"/>
      </w:divBdr>
      <w:divsChild>
        <w:div w:id="776486017">
          <w:marLeft w:val="0"/>
          <w:marRight w:val="0"/>
          <w:marTop w:val="100"/>
          <w:marBottom w:val="100"/>
          <w:divBdr>
            <w:top w:val="none" w:sz="0" w:space="0" w:color="auto"/>
            <w:left w:val="none" w:sz="0" w:space="0" w:color="auto"/>
            <w:bottom w:val="none" w:sz="0" w:space="0" w:color="auto"/>
            <w:right w:val="none" w:sz="0" w:space="0" w:color="auto"/>
          </w:divBdr>
          <w:divsChild>
            <w:div w:id="776486035">
              <w:marLeft w:val="0"/>
              <w:marRight w:val="0"/>
              <w:marTop w:val="150"/>
              <w:marBottom w:val="150"/>
              <w:divBdr>
                <w:top w:val="none" w:sz="0" w:space="0" w:color="auto"/>
                <w:left w:val="none" w:sz="0" w:space="0" w:color="auto"/>
                <w:bottom w:val="none" w:sz="0" w:space="0" w:color="auto"/>
                <w:right w:val="none" w:sz="0" w:space="0" w:color="auto"/>
              </w:divBdr>
              <w:divsChild>
                <w:div w:id="77648601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4">
      <w:marLeft w:val="0"/>
      <w:marRight w:val="0"/>
      <w:marTop w:val="0"/>
      <w:marBottom w:val="0"/>
      <w:divBdr>
        <w:top w:val="none" w:sz="0" w:space="0" w:color="auto"/>
        <w:left w:val="none" w:sz="0" w:space="0" w:color="auto"/>
        <w:bottom w:val="none" w:sz="0" w:space="0" w:color="auto"/>
        <w:right w:val="none" w:sz="0" w:space="0" w:color="auto"/>
      </w:divBdr>
      <w:divsChild>
        <w:div w:id="776486010">
          <w:marLeft w:val="0"/>
          <w:marRight w:val="0"/>
          <w:marTop w:val="100"/>
          <w:marBottom w:val="100"/>
          <w:divBdr>
            <w:top w:val="none" w:sz="0" w:space="0" w:color="auto"/>
            <w:left w:val="none" w:sz="0" w:space="0" w:color="auto"/>
            <w:bottom w:val="none" w:sz="0" w:space="0" w:color="auto"/>
            <w:right w:val="none" w:sz="0" w:space="0" w:color="auto"/>
          </w:divBdr>
          <w:divsChild>
            <w:div w:id="776486043">
              <w:marLeft w:val="0"/>
              <w:marRight w:val="0"/>
              <w:marTop w:val="150"/>
              <w:marBottom w:val="150"/>
              <w:divBdr>
                <w:top w:val="none" w:sz="0" w:space="0" w:color="auto"/>
                <w:left w:val="none" w:sz="0" w:space="0" w:color="auto"/>
                <w:bottom w:val="none" w:sz="0" w:space="0" w:color="auto"/>
                <w:right w:val="none" w:sz="0" w:space="0" w:color="auto"/>
              </w:divBdr>
              <w:divsChild>
                <w:div w:id="77648600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8">
      <w:marLeft w:val="0"/>
      <w:marRight w:val="0"/>
      <w:marTop w:val="0"/>
      <w:marBottom w:val="0"/>
      <w:divBdr>
        <w:top w:val="none" w:sz="0" w:space="0" w:color="auto"/>
        <w:left w:val="none" w:sz="0" w:space="0" w:color="auto"/>
        <w:bottom w:val="none" w:sz="0" w:space="0" w:color="auto"/>
        <w:right w:val="none" w:sz="0" w:space="0" w:color="auto"/>
      </w:divBdr>
      <w:divsChild>
        <w:div w:id="776486028">
          <w:marLeft w:val="0"/>
          <w:marRight w:val="0"/>
          <w:marTop w:val="100"/>
          <w:marBottom w:val="100"/>
          <w:divBdr>
            <w:top w:val="none" w:sz="0" w:space="0" w:color="auto"/>
            <w:left w:val="none" w:sz="0" w:space="0" w:color="auto"/>
            <w:bottom w:val="none" w:sz="0" w:space="0" w:color="auto"/>
            <w:right w:val="none" w:sz="0" w:space="0" w:color="auto"/>
          </w:divBdr>
          <w:divsChild>
            <w:div w:id="776486044">
              <w:marLeft w:val="0"/>
              <w:marRight w:val="0"/>
              <w:marTop w:val="150"/>
              <w:marBottom w:val="150"/>
              <w:divBdr>
                <w:top w:val="none" w:sz="0" w:space="0" w:color="auto"/>
                <w:left w:val="none" w:sz="0" w:space="0" w:color="auto"/>
                <w:bottom w:val="none" w:sz="0" w:space="0" w:color="auto"/>
                <w:right w:val="none" w:sz="0" w:space="0" w:color="auto"/>
              </w:divBdr>
              <w:divsChild>
                <w:div w:id="77648601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0">
      <w:marLeft w:val="0"/>
      <w:marRight w:val="0"/>
      <w:marTop w:val="0"/>
      <w:marBottom w:val="0"/>
      <w:divBdr>
        <w:top w:val="none" w:sz="0" w:space="0" w:color="auto"/>
        <w:left w:val="none" w:sz="0" w:space="0" w:color="auto"/>
        <w:bottom w:val="none" w:sz="0" w:space="0" w:color="auto"/>
        <w:right w:val="none" w:sz="0" w:space="0" w:color="auto"/>
      </w:divBdr>
      <w:divsChild>
        <w:div w:id="776486030">
          <w:marLeft w:val="0"/>
          <w:marRight w:val="0"/>
          <w:marTop w:val="100"/>
          <w:marBottom w:val="100"/>
          <w:divBdr>
            <w:top w:val="none" w:sz="0" w:space="0" w:color="auto"/>
            <w:left w:val="none" w:sz="0" w:space="0" w:color="auto"/>
            <w:bottom w:val="none" w:sz="0" w:space="0" w:color="auto"/>
            <w:right w:val="none" w:sz="0" w:space="0" w:color="auto"/>
          </w:divBdr>
          <w:divsChild>
            <w:div w:id="776486027">
              <w:marLeft w:val="0"/>
              <w:marRight w:val="0"/>
              <w:marTop w:val="150"/>
              <w:marBottom w:val="150"/>
              <w:divBdr>
                <w:top w:val="none" w:sz="0" w:space="0" w:color="auto"/>
                <w:left w:val="none" w:sz="0" w:space="0" w:color="auto"/>
                <w:bottom w:val="none" w:sz="0" w:space="0" w:color="auto"/>
                <w:right w:val="none" w:sz="0" w:space="0" w:color="auto"/>
              </w:divBdr>
              <w:divsChild>
                <w:div w:id="77648601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5">
      <w:marLeft w:val="0"/>
      <w:marRight w:val="0"/>
      <w:marTop w:val="0"/>
      <w:marBottom w:val="0"/>
      <w:divBdr>
        <w:top w:val="none" w:sz="0" w:space="0" w:color="auto"/>
        <w:left w:val="none" w:sz="0" w:space="0" w:color="auto"/>
        <w:bottom w:val="none" w:sz="0" w:space="0" w:color="auto"/>
        <w:right w:val="none" w:sz="0" w:space="0" w:color="auto"/>
      </w:divBdr>
    </w:div>
    <w:div w:id="776486026">
      <w:marLeft w:val="0"/>
      <w:marRight w:val="0"/>
      <w:marTop w:val="0"/>
      <w:marBottom w:val="0"/>
      <w:divBdr>
        <w:top w:val="none" w:sz="0" w:space="0" w:color="auto"/>
        <w:left w:val="none" w:sz="0" w:space="0" w:color="auto"/>
        <w:bottom w:val="none" w:sz="0" w:space="0" w:color="auto"/>
        <w:right w:val="none" w:sz="0" w:space="0" w:color="auto"/>
      </w:divBdr>
      <w:divsChild>
        <w:div w:id="776486006">
          <w:marLeft w:val="0"/>
          <w:marRight w:val="0"/>
          <w:marTop w:val="100"/>
          <w:marBottom w:val="100"/>
          <w:divBdr>
            <w:top w:val="none" w:sz="0" w:space="0" w:color="auto"/>
            <w:left w:val="none" w:sz="0" w:space="0" w:color="auto"/>
            <w:bottom w:val="none" w:sz="0" w:space="0" w:color="auto"/>
            <w:right w:val="none" w:sz="0" w:space="0" w:color="auto"/>
          </w:divBdr>
          <w:divsChild>
            <w:div w:id="776486041">
              <w:marLeft w:val="0"/>
              <w:marRight w:val="0"/>
              <w:marTop w:val="150"/>
              <w:marBottom w:val="150"/>
              <w:divBdr>
                <w:top w:val="none" w:sz="0" w:space="0" w:color="auto"/>
                <w:left w:val="none" w:sz="0" w:space="0" w:color="auto"/>
                <w:bottom w:val="none" w:sz="0" w:space="0" w:color="auto"/>
                <w:right w:val="none" w:sz="0" w:space="0" w:color="auto"/>
              </w:divBdr>
              <w:divsChild>
                <w:div w:id="7764860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9">
      <w:marLeft w:val="0"/>
      <w:marRight w:val="0"/>
      <w:marTop w:val="0"/>
      <w:marBottom w:val="0"/>
      <w:divBdr>
        <w:top w:val="none" w:sz="0" w:space="0" w:color="auto"/>
        <w:left w:val="none" w:sz="0" w:space="0" w:color="auto"/>
        <w:bottom w:val="none" w:sz="0" w:space="0" w:color="auto"/>
        <w:right w:val="none" w:sz="0" w:space="0" w:color="auto"/>
      </w:divBdr>
    </w:div>
    <w:div w:id="776486034">
      <w:marLeft w:val="0"/>
      <w:marRight w:val="0"/>
      <w:marTop w:val="0"/>
      <w:marBottom w:val="0"/>
      <w:divBdr>
        <w:top w:val="none" w:sz="0" w:space="0" w:color="auto"/>
        <w:left w:val="none" w:sz="0" w:space="0" w:color="auto"/>
        <w:bottom w:val="none" w:sz="0" w:space="0" w:color="auto"/>
        <w:right w:val="none" w:sz="0" w:space="0" w:color="auto"/>
      </w:divBdr>
      <w:divsChild>
        <w:div w:id="776486037">
          <w:marLeft w:val="0"/>
          <w:marRight w:val="0"/>
          <w:marTop w:val="100"/>
          <w:marBottom w:val="100"/>
          <w:divBdr>
            <w:top w:val="none" w:sz="0" w:space="0" w:color="auto"/>
            <w:left w:val="none" w:sz="0" w:space="0" w:color="auto"/>
            <w:bottom w:val="none" w:sz="0" w:space="0" w:color="auto"/>
            <w:right w:val="none" w:sz="0" w:space="0" w:color="auto"/>
          </w:divBdr>
          <w:divsChild>
            <w:div w:id="776486033">
              <w:marLeft w:val="0"/>
              <w:marRight w:val="0"/>
              <w:marTop w:val="150"/>
              <w:marBottom w:val="150"/>
              <w:divBdr>
                <w:top w:val="none" w:sz="0" w:space="0" w:color="auto"/>
                <w:left w:val="none" w:sz="0" w:space="0" w:color="auto"/>
                <w:bottom w:val="none" w:sz="0" w:space="0" w:color="auto"/>
                <w:right w:val="none" w:sz="0" w:space="0" w:color="auto"/>
              </w:divBdr>
              <w:divsChild>
                <w:div w:id="7764860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0">
      <w:marLeft w:val="0"/>
      <w:marRight w:val="0"/>
      <w:marTop w:val="0"/>
      <w:marBottom w:val="0"/>
      <w:divBdr>
        <w:top w:val="none" w:sz="0" w:space="0" w:color="auto"/>
        <w:left w:val="none" w:sz="0" w:space="0" w:color="auto"/>
        <w:bottom w:val="none" w:sz="0" w:space="0" w:color="auto"/>
        <w:right w:val="none" w:sz="0" w:space="0" w:color="auto"/>
      </w:divBdr>
      <w:divsChild>
        <w:div w:id="776486007">
          <w:marLeft w:val="0"/>
          <w:marRight w:val="0"/>
          <w:marTop w:val="100"/>
          <w:marBottom w:val="100"/>
          <w:divBdr>
            <w:top w:val="none" w:sz="0" w:space="0" w:color="auto"/>
            <w:left w:val="none" w:sz="0" w:space="0" w:color="auto"/>
            <w:bottom w:val="none" w:sz="0" w:space="0" w:color="auto"/>
            <w:right w:val="none" w:sz="0" w:space="0" w:color="auto"/>
          </w:divBdr>
          <w:divsChild>
            <w:div w:id="776486038">
              <w:marLeft w:val="0"/>
              <w:marRight w:val="0"/>
              <w:marTop w:val="150"/>
              <w:marBottom w:val="150"/>
              <w:divBdr>
                <w:top w:val="none" w:sz="0" w:space="0" w:color="auto"/>
                <w:left w:val="none" w:sz="0" w:space="0" w:color="auto"/>
                <w:bottom w:val="none" w:sz="0" w:space="0" w:color="auto"/>
                <w:right w:val="none" w:sz="0" w:space="0" w:color="auto"/>
              </w:divBdr>
              <w:divsChild>
                <w:div w:id="7764860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7">
      <w:marLeft w:val="0"/>
      <w:marRight w:val="0"/>
      <w:marTop w:val="0"/>
      <w:marBottom w:val="0"/>
      <w:divBdr>
        <w:top w:val="none" w:sz="0" w:space="0" w:color="auto"/>
        <w:left w:val="none" w:sz="0" w:space="0" w:color="auto"/>
        <w:bottom w:val="none" w:sz="0" w:space="0" w:color="auto"/>
        <w:right w:val="none" w:sz="0" w:space="0" w:color="auto"/>
      </w:divBdr>
      <w:divsChild>
        <w:div w:id="776486001">
          <w:marLeft w:val="547"/>
          <w:marRight w:val="0"/>
          <w:marTop w:val="96"/>
          <w:marBottom w:val="0"/>
          <w:divBdr>
            <w:top w:val="none" w:sz="0" w:space="0" w:color="auto"/>
            <w:left w:val="none" w:sz="0" w:space="0" w:color="auto"/>
            <w:bottom w:val="none" w:sz="0" w:space="0" w:color="auto"/>
            <w:right w:val="none" w:sz="0" w:space="0" w:color="auto"/>
          </w:divBdr>
        </w:div>
        <w:div w:id="776486056">
          <w:marLeft w:val="547"/>
          <w:marRight w:val="0"/>
          <w:marTop w:val="96"/>
          <w:marBottom w:val="0"/>
          <w:divBdr>
            <w:top w:val="none" w:sz="0" w:space="0" w:color="auto"/>
            <w:left w:val="none" w:sz="0" w:space="0" w:color="auto"/>
            <w:bottom w:val="none" w:sz="0" w:space="0" w:color="auto"/>
            <w:right w:val="none" w:sz="0" w:space="0" w:color="auto"/>
          </w:divBdr>
        </w:div>
        <w:div w:id="776486057">
          <w:marLeft w:val="547"/>
          <w:marRight w:val="0"/>
          <w:marTop w:val="96"/>
          <w:marBottom w:val="0"/>
          <w:divBdr>
            <w:top w:val="none" w:sz="0" w:space="0" w:color="auto"/>
            <w:left w:val="none" w:sz="0" w:space="0" w:color="auto"/>
            <w:bottom w:val="none" w:sz="0" w:space="0" w:color="auto"/>
            <w:right w:val="none" w:sz="0" w:space="0" w:color="auto"/>
          </w:divBdr>
        </w:div>
        <w:div w:id="776486060">
          <w:marLeft w:val="547"/>
          <w:marRight w:val="0"/>
          <w:marTop w:val="96"/>
          <w:marBottom w:val="0"/>
          <w:divBdr>
            <w:top w:val="none" w:sz="0" w:space="0" w:color="auto"/>
            <w:left w:val="none" w:sz="0" w:space="0" w:color="auto"/>
            <w:bottom w:val="none" w:sz="0" w:space="0" w:color="auto"/>
            <w:right w:val="none" w:sz="0" w:space="0" w:color="auto"/>
          </w:divBdr>
        </w:div>
      </w:divsChild>
    </w:div>
    <w:div w:id="776486051">
      <w:marLeft w:val="0"/>
      <w:marRight w:val="0"/>
      <w:marTop w:val="0"/>
      <w:marBottom w:val="0"/>
      <w:divBdr>
        <w:top w:val="none" w:sz="0" w:space="0" w:color="auto"/>
        <w:left w:val="none" w:sz="0" w:space="0" w:color="auto"/>
        <w:bottom w:val="none" w:sz="0" w:space="0" w:color="auto"/>
        <w:right w:val="none" w:sz="0" w:space="0" w:color="auto"/>
      </w:divBdr>
      <w:divsChild>
        <w:div w:id="776486000">
          <w:marLeft w:val="547"/>
          <w:marRight w:val="0"/>
          <w:marTop w:val="96"/>
          <w:marBottom w:val="0"/>
          <w:divBdr>
            <w:top w:val="none" w:sz="0" w:space="0" w:color="auto"/>
            <w:left w:val="none" w:sz="0" w:space="0" w:color="auto"/>
            <w:bottom w:val="none" w:sz="0" w:space="0" w:color="auto"/>
            <w:right w:val="none" w:sz="0" w:space="0" w:color="auto"/>
          </w:divBdr>
        </w:div>
        <w:div w:id="776486048">
          <w:marLeft w:val="547"/>
          <w:marRight w:val="0"/>
          <w:marTop w:val="96"/>
          <w:marBottom w:val="0"/>
          <w:divBdr>
            <w:top w:val="none" w:sz="0" w:space="0" w:color="auto"/>
            <w:left w:val="none" w:sz="0" w:space="0" w:color="auto"/>
            <w:bottom w:val="none" w:sz="0" w:space="0" w:color="auto"/>
            <w:right w:val="none" w:sz="0" w:space="0" w:color="auto"/>
          </w:divBdr>
        </w:div>
        <w:div w:id="776486050">
          <w:marLeft w:val="547"/>
          <w:marRight w:val="0"/>
          <w:marTop w:val="96"/>
          <w:marBottom w:val="0"/>
          <w:divBdr>
            <w:top w:val="none" w:sz="0" w:space="0" w:color="auto"/>
            <w:left w:val="none" w:sz="0" w:space="0" w:color="auto"/>
            <w:bottom w:val="none" w:sz="0" w:space="0" w:color="auto"/>
            <w:right w:val="none" w:sz="0" w:space="0" w:color="auto"/>
          </w:divBdr>
        </w:div>
      </w:divsChild>
    </w:div>
    <w:div w:id="776486054">
      <w:marLeft w:val="0"/>
      <w:marRight w:val="0"/>
      <w:marTop w:val="0"/>
      <w:marBottom w:val="0"/>
      <w:divBdr>
        <w:top w:val="none" w:sz="0" w:space="0" w:color="auto"/>
        <w:left w:val="none" w:sz="0" w:space="0" w:color="auto"/>
        <w:bottom w:val="none" w:sz="0" w:space="0" w:color="auto"/>
        <w:right w:val="none" w:sz="0" w:space="0" w:color="auto"/>
      </w:divBdr>
      <w:divsChild>
        <w:div w:id="776486002">
          <w:marLeft w:val="547"/>
          <w:marRight w:val="0"/>
          <w:marTop w:val="96"/>
          <w:marBottom w:val="0"/>
          <w:divBdr>
            <w:top w:val="none" w:sz="0" w:space="0" w:color="auto"/>
            <w:left w:val="none" w:sz="0" w:space="0" w:color="auto"/>
            <w:bottom w:val="none" w:sz="0" w:space="0" w:color="auto"/>
            <w:right w:val="none" w:sz="0" w:space="0" w:color="auto"/>
          </w:divBdr>
        </w:div>
        <w:div w:id="776486052">
          <w:marLeft w:val="547"/>
          <w:marRight w:val="0"/>
          <w:marTop w:val="96"/>
          <w:marBottom w:val="0"/>
          <w:divBdr>
            <w:top w:val="none" w:sz="0" w:space="0" w:color="auto"/>
            <w:left w:val="none" w:sz="0" w:space="0" w:color="auto"/>
            <w:bottom w:val="none" w:sz="0" w:space="0" w:color="auto"/>
            <w:right w:val="none" w:sz="0" w:space="0" w:color="auto"/>
          </w:divBdr>
        </w:div>
        <w:div w:id="776486061">
          <w:marLeft w:val="547"/>
          <w:marRight w:val="0"/>
          <w:marTop w:val="96"/>
          <w:marBottom w:val="0"/>
          <w:divBdr>
            <w:top w:val="none" w:sz="0" w:space="0" w:color="auto"/>
            <w:left w:val="none" w:sz="0" w:space="0" w:color="auto"/>
            <w:bottom w:val="none" w:sz="0" w:space="0" w:color="auto"/>
            <w:right w:val="none" w:sz="0" w:space="0" w:color="auto"/>
          </w:divBdr>
        </w:div>
        <w:div w:id="776486063">
          <w:marLeft w:val="547"/>
          <w:marRight w:val="0"/>
          <w:marTop w:val="96"/>
          <w:marBottom w:val="0"/>
          <w:divBdr>
            <w:top w:val="none" w:sz="0" w:space="0" w:color="auto"/>
            <w:left w:val="none" w:sz="0" w:space="0" w:color="auto"/>
            <w:bottom w:val="none" w:sz="0" w:space="0" w:color="auto"/>
            <w:right w:val="none" w:sz="0" w:space="0" w:color="auto"/>
          </w:divBdr>
        </w:div>
      </w:divsChild>
    </w:div>
    <w:div w:id="776486058">
      <w:marLeft w:val="0"/>
      <w:marRight w:val="0"/>
      <w:marTop w:val="0"/>
      <w:marBottom w:val="0"/>
      <w:divBdr>
        <w:top w:val="none" w:sz="0" w:space="0" w:color="auto"/>
        <w:left w:val="none" w:sz="0" w:space="0" w:color="auto"/>
        <w:bottom w:val="none" w:sz="0" w:space="0" w:color="auto"/>
        <w:right w:val="none" w:sz="0" w:space="0" w:color="auto"/>
      </w:divBdr>
      <w:divsChild>
        <w:div w:id="776486046">
          <w:marLeft w:val="2405"/>
          <w:marRight w:val="0"/>
          <w:marTop w:val="96"/>
          <w:marBottom w:val="0"/>
          <w:divBdr>
            <w:top w:val="none" w:sz="0" w:space="0" w:color="auto"/>
            <w:left w:val="none" w:sz="0" w:space="0" w:color="auto"/>
            <w:bottom w:val="none" w:sz="0" w:space="0" w:color="auto"/>
            <w:right w:val="none" w:sz="0" w:space="0" w:color="auto"/>
          </w:divBdr>
        </w:div>
        <w:div w:id="776486055">
          <w:marLeft w:val="2405"/>
          <w:marRight w:val="0"/>
          <w:marTop w:val="96"/>
          <w:marBottom w:val="0"/>
          <w:divBdr>
            <w:top w:val="none" w:sz="0" w:space="0" w:color="auto"/>
            <w:left w:val="none" w:sz="0" w:space="0" w:color="auto"/>
            <w:bottom w:val="none" w:sz="0" w:space="0" w:color="auto"/>
            <w:right w:val="none" w:sz="0" w:space="0" w:color="auto"/>
          </w:divBdr>
        </w:div>
        <w:div w:id="776486062">
          <w:marLeft w:val="576"/>
          <w:marRight w:val="0"/>
          <w:marTop w:val="96"/>
          <w:marBottom w:val="0"/>
          <w:divBdr>
            <w:top w:val="none" w:sz="0" w:space="0" w:color="auto"/>
            <w:left w:val="none" w:sz="0" w:space="0" w:color="auto"/>
            <w:bottom w:val="none" w:sz="0" w:space="0" w:color="auto"/>
            <w:right w:val="none" w:sz="0" w:space="0" w:color="auto"/>
          </w:divBdr>
        </w:div>
        <w:div w:id="776486064">
          <w:marLeft w:val="2405"/>
          <w:marRight w:val="0"/>
          <w:marTop w:val="96"/>
          <w:marBottom w:val="0"/>
          <w:divBdr>
            <w:top w:val="none" w:sz="0" w:space="0" w:color="auto"/>
            <w:left w:val="none" w:sz="0" w:space="0" w:color="auto"/>
            <w:bottom w:val="none" w:sz="0" w:space="0" w:color="auto"/>
            <w:right w:val="none" w:sz="0" w:space="0" w:color="auto"/>
          </w:divBdr>
        </w:div>
      </w:divsChild>
    </w:div>
    <w:div w:id="776486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gener/informat/2014/zips/guidance_fraud_risk_assessment_annex_bg.zip" TargetMode="External"/><Relationship Id="rId1" Type="http://schemas.openxmlformats.org/officeDocument/2006/relationships/hyperlink" Target="http://ec.europa.eu/regional_policy/bg/information/publications/guidelines/2014/fraud-risk-assessment-and-effective-and-proportionate-anti-fraud-measur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opac.government.bg/opdu/bg" TargetMode="External"/><Relationship Id="rId1" Type="http://schemas.openxmlformats.org/officeDocument/2006/relationships/image" Target="media/image2.png"/><Relationship Id="rId6" Type="http://schemas.openxmlformats.org/officeDocument/2006/relationships/hyperlink" Target="http://www.opac.government.bg/opdu/bg" TargetMode="External"/><Relationship Id="rId5" Type="http://schemas.openxmlformats.org/officeDocument/2006/relationships/image" Target="media/image4.png"/><Relationship Id="rId4" Type="http://schemas.openxmlformats.org/officeDocument/2006/relationships/hyperlink" Target="http://www.opac.government.bg/opdu/b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81FF-4B27-9436-AB9734067175}"/>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81FF-4B27-9436-AB9734067175}"/>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81FF-4B27-9436-AB9734067175}"/>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81FF-4B27-9436-AB9734067175}"/>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81FF-4B27-9436-AB9734067175}"/>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81FF-4B27-9436-AB9734067175}"/>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81FF-4B27-9436-AB9734067175}"/>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81FF-4B27-9436-AB9734067175}"/>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81FF-4B27-9436-AB9734067175}"/>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81FF-4B27-9436-AB9734067175}"/>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81FF-4B27-9436-AB9734067175}"/>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ОбобщениРезултати!$J$4:$J$14</c:f>
              <c:numCache>
                <c:formatCode>#.0</c:formatCode>
                <c:ptCount val="11"/>
                <c:pt idx="0">
                  <c:v>1</c:v>
                </c:pt>
                <c:pt idx="1">
                  <c:v>2.5</c:v>
                </c:pt>
                <c:pt idx="2">
                  <c:v>2</c:v>
                </c:pt>
                <c:pt idx="3">
                  <c:v>4.5</c:v>
                </c:pt>
                <c:pt idx="4">
                  <c:v>3.5</c:v>
                </c:pt>
                <c:pt idx="5">
                  <c:v>2.5</c:v>
                </c:pt>
                <c:pt idx="6">
                  <c:v>3.5</c:v>
                </c:pt>
                <c:pt idx="7">
                  <c:v>3</c:v>
                </c:pt>
                <c:pt idx="8">
                  <c:v>3</c:v>
                </c:pt>
                <c:pt idx="9">
                  <c:v>2.5</c:v>
                </c:pt>
                <c:pt idx="10">
                  <c:v>3.5</c:v>
                </c:pt>
              </c:numCache>
            </c:numRef>
          </c:xVal>
          <c:yVal>
            <c:numRef>
              <c:f>ОбобщениРезултати!$K$4:$K$14</c:f>
              <c:numCache>
                <c:formatCode>#.0</c:formatCode>
                <c:ptCount val="11"/>
                <c:pt idx="0">
                  <c:v>3.5</c:v>
                </c:pt>
                <c:pt idx="1">
                  <c:v>3.5</c:v>
                </c:pt>
                <c:pt idx="2">
                  <c:v>4</c:v>
                </c:pt>
                <c:pt idx="3">
                  <c:v>3</c:v>
                </c:pt>
                <c:pt idx="4">
                  <c:v>3</c:v>
                </c:pt>
                <c:pt idx="5">
                  <c:v>4</c:v>
                </c:pt>
                <c:pt idx="6">
                  <c:v>3.5</c:v>
                </c:pt>
                <c:pt idx="7">
                  <c:v>3</c:v>
                </c:pt>
                <c:pt idx="8">
                  <c:v>1.5</c:v>
                </c:pt>
                <c:pt idx="9">
                  <c:v>2.5</c:v>
                </c:pt>
                <c:pt idx="10">
                  <c:v>3</c:v>
                </c:pt>
              </c:numCache>
            </c:numRef>
          </c:yVal>
          <c:smooth val="1"/>
          <c:extLst>
            <c:ext xmlns:c16="http://schemas.microsoft.com/office/drawing/2014/chart" uri="{C3380CC4-5D6E-409C-BE32-E72D297353CC}">
              <c16:uniqueId val="{0000000B-81FF-4B27-9436-AB9734067175}"/>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81FF-4B27-9436-AB9734067175}"/>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81FF-4B27-9436-AB9734067175}"/>
            </c:ext>
          </c:extLst>
        </c:ser>
        <c:dLbls>
          <c:showLegendKey val="0"/>
          <c:showVal val="0"/>
          <c:showCatName val="0"/>
          <c:showSerName val="0"/>
          <c:showPercent val="0"/>
          <c:showBubbleSize val="0"/>
        </c:dLbls>
        <c:axId val="29045504"/>
        <c:axId val="29047424"/>
      </c:scatterChart>
      <c:valAx>
        <c:axId val="29045504"/>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47424"/>
        <c:crosses val="autoZero"/>
        <c:crossBetween val="midCat"/>
        <c:majorUnit val="1"/>
      </c:valAx>
      <c:valAx>
        <c:axId val="29047424"/>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45504"/>
        <c:crosses val="autoZero"/>
        <c:crossBetween val="midCat"/>
        <c:majorUnit val="1"/>
      </c:valAx>
    </c:plotArea>
    <c:plotVisOnly val="1"/>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FB72-4391-BC21-AECC17AE854C}"/>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FB72-4391-BC21-AECC17AE854C}"/>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FB72-4391-BC21-AECC17AE854C}"/>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FB72-4391-BC21-AECC17AE854C}"/>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FB72-4391-BC21-AECC17AE854C}"/>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FB72-4391-BC21-AECC17AE854C}"/>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FB72-4391-BC21-AECC17AE854C}"/>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FB72-4391-BC21-AECC17AE854C}"/>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FB72-4391-BC21-AECC17AE854C}"/>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FB72-4391-BC21-AECC17AE854C}"/>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FB72-4391-BC21-AECC17AE854C}"/>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ОбобщениРезултати!$S$4:$S$14</c:f>
              <c:numCache>
                <c:formatCode>#.0</c:formatCode>
                <c:ptCount val="11"/>
                <c:pt idx="0">
                  <c:v>1</c:v>
                </c:pt>
                <c:pt idx="1">
                  <c:v>2</c:v>
                </c:pt>
                <c:pt idx="2">
                  <c:v>2</c:v>
                </c:pt>
                <c:pt idx="3">
                  <c:v>3.5</c:v>
                </c:pt>
                <c:pt idx="4">
                  <c:v>3</c:v>
                </c:pt>
                <c:pt idx="5">
                  <c:v>2.5</c:v>
                </c:pt>
                <c:pt idx="6">
                  <c:v>3</c:v>
                </c:pt>
                <c:pt idx="7">
                  <c:v>2</c:v>
                </c:pt>
                <c:pt idx="8">
                  <c:v>2.5</c:v>
                </c:pt>
                <c:pt idx="9">
                  <c:v>2</c:v>
                </c:pt>
                <c:pt idx="10">
                  <c:v>3</c:v>
                </c:pt>
              </c:numCache>
            </c:numRef>
          </c:xVal>
          <c:yVal>
            <c:numRef>
              <c:f>ОбобщениРезултати!$T$4:$T$14</c:f>
              <c:numCache>
                <c:formatCode>#.0</c:formatCode>
                <c:ptCount val="11"/>
                <c:pt idx="0">
                  <c:v>2.5</c:v>
                </c:pt>
                <c:pt idx="1">
                  <c:v>2.5</c:v>
                </c:pt>
                <c:pt idx="2">
                  <c:v>3</c:v>
                </c:pt>
                <c:pt idx="3">
                  <c:v>2.5</c:v>
                </c:pt>
                <c:pt idx="4">
                  <c:v>2</c:v>
                </c:pt>
                <c:pt idx="5">
                  <c:v>3</c:v>
                </c:pt>
                <c:pt idx="6">
                  <c:v>3</c:v>
                </c:pt>
                <c:pt idx="7">
                  <c:v>2</c:v>
                </c:pt>
                <c:pt idx="8">
                  <c:v>1</c:v>
                </c:pt>
                <c:pt idx="9">
                  <c:v>2</c:v>
                </c:pt>
                <c:pt idx="10">
                  <c:v>2.5</c:v>
                </c:pt>
              </c:numCache>
            </c:numRef>
          </c:yVal>
          <c:smooth val="1"/>
          <c:extLst>
            <c:ext xmlns:c16="http://schemas.microsoft.com/office/drawing/2014/chart" uri="{C3380CC4-5D6E-409C-BE32-E72D297353CC}">
              <c16:uniqueId val="{0000000B-FB72-4391-BC21-AECC17AE854C}"/>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FB72-4391-BC21-AECC17AE854C}"/>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FB72-4391-BC21-AECC17AE854C}"/>
            </c:ext>
          </c:extLst>
        </c:ser>
        <c:dLbls>
          <c:showLegendKey val="0"/>
          <c:showVal val="0"/>
          <c:showCatName val="0"/>
          <c:showSerName val="0"/>
          <c:showPercent val="0"/>
          <c:showBubbleSize val="0"/>
        </c:dLbls>
        <c:axId val="29094656"/>
        <c:axId val="29096576"/>
      </c:scatterChart>
      <c:valAx>
        <c:axId val="29094656"/>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96576"/>
        <c:crosses val="autoZero"/>
        <c:crossBetween val="midCat"/>
        <c:majorUnit val="1"/>
      </c:valAx>
      <c:valAx>
        <c:axId val="29096576"/>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94656"/>
        <c:crosses val="autoZero"/>
        <c:crossBetween val="midCat"/>
        <c:majorUnit val="1"/>
      </c:valAx>
    </c:plotArea>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45B2D-78EA-41D2-81E2-64DC92588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13</Pages>
  <Words>4172</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Хилми Кушев</cp:lastModifiedBy>
  <cp:revision>46</cp:revision>
  <cp:lastPrinted>2017-10-03T11:19:00Z</cp:lastPrinted>
  <dcterms:created xsi:type="dcterms:W3CDTF">2012-12-14T14:58:00Z</dcterms:created>
  <dcterms:modified xsi:type="dcterms:W3CDTF">2020-01-22T06:54:00Z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