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5E206F" w:rsidRPr="00A41602" w14:paraId="78BD5A81" w14:textId="77777777" w:rsidTr="000362B1">
        <w:trPr>
          <w:trHeight w:val="743"/>
          <w:tblHeader/>
        </w:trPr>
        <w:tc>
          <w:tcPr>
            <w:tcW w:w="3402" w:type="dxa"/>
            <w:shd w:val="clear" w:color="auto" w:fill="auto"/>
            <w:vAlign w:val="center"/>
          </w:tcPr>
          <w:p w14:paraId="1167AE5D" w14:textId="77777777" w:rsidR="005E206F" w:rsidRPr="00D86986" w:rsidRDefault="005E206F" w:rsidP="000362B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5198DB49" w14:textId="77777777" w:rsidR="005E206F" w:rsidRPr="001B391E" w:rsidRDefault="005E206F" w:rsidP="000362B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70214D84" w14:textId="77777777" w:rsidR="005E206F" w:rsidRPr="001B391E" w:rsidRDefault="005E206F" w:rsidP="000362B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48A7C487" w14:textId="77777777" w:rsidR="005E206F" w:rsidRPr="00D86986" w:rsidRDefault="005E206F" w:rsidP="000362B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672B4762" w14:textId="3DBFB25E" w:rsidR="005E206F" w:rsidRPr="00FF32CA" w:rsidRDefault="005E206F" w:rsidP="000362B1">
            <w:pPr>
              <w:pStyle w:val="Index"/>
              <w:spacing w:after="0"/>
              <w:jc w:val="center"/>
              <w:rPr>
                <w:b/>
                <w:bCs/>
                <w:i/>
                <w:sz w:val="22"/>
                <w:szCs w:val="22"/>
                <w:lang w:val="bg-BG"/>
              </w:rPr>
            </w:pPr>
            <w:r w:rsidRPr="00FF32CA">
              <w:rPr>
                <w:b/>
                <w:bCs/>
                <w:i/>
                <w:sz w:val="22"/>
                <w:szCs w:val="22"/>
                <w:lang w:val="bg-BG"/>
              </w:rPr>
              <w:t xml:space="preserve">Приложение </w:t>
            </w:r>
            <w:r w:rsidRPr="00FF32CA">
              <w:rPr>
                <w:b/>
                <w:bCs/>
                <w:i/>
                <w:sz w:val="22"/>
                <w:szCs w:val="22"/>
              </w:rPr>
              <w:t>III-K05-</w:t>
            </w:r>
            <w:r w:rsidR="00FF32CA" w:rsidRPr="00237482">
              <w:rPr>
                <w:b/>
                <w:bCs/>
                <w:i/>
                <w:sz w:val="22"/>
                <w:szCs w:val="22"/>
              </w:rPr>
              <w:t>19</w:t>
            </w:r>
            <w:r w:rsidR="00CC60DE" w:rsidRPr="00FF32CA">
              <w:rPr>
                <w:b/>
                <w:bCs/>
                <w:i/>
                <w:sz w:val="22"/>
                <w:szCs w:val="22"/>
              </w:rPr>
              <w:t>N</w:t>
            </w:r>
          </w:p>
          <w:p w14:paraId="025E5A5D" w14:textId="77777777" w:rsidR="005E206F" w:rsidRPr="00237482" w:rsidRDefault="005E206F" w:rsidP="000362B1">
            <w:pPr>
              <w:pStyle w:val="Index"/>
              <w:spacing w:after="0"/>
              <w:jc w:val="center"/>
              <w:rPr>
                <w:b/>
                <w:bCs/>
                <w:i/>
                <w:sz w:val="22"/>
                <w:szCs w:val="22"/>
                <w:highlight w:val="green"/>
                <w:lang w:val="bg-BG"/>
              </w:rPr>
            </w:pPr>
          </w:p>
        </w:tc>
      </w:tr>
      <w:tr w:rsidR="005E206F" w:rsidRPr="005369CA" w14:paraId="6EC729B3" w14:textId="77777777" w:rsidTr="000362B1">
        <w:trPr>
          <w:trHeight w:val="742"/>
          <w:tblHeader/>
        </w:trPr>
        <w:tc>
          <w:tcPr>
            <w:tcW w:w="3402" w:type="dxa"/>
            <w:shd w:val="clear" w:color="auto" w:fill="auto"/>
            <w:vAlign w:val="center"/>
          </w:tcPr>
          <w:p w14:paraId="1345F3F7" w14:textId="77777777" w:rsidR="005E206F" w:rsidRDefault="005E206F" w:rsidP="000362B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DAD00E6" w14:textId="77777777" w:rsidR="005E206F" w:rsidRPr="00D86986" w:rsidRDefault="005E206F" w:rsidP="000362B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71088444" w14:textId="77777777" w:rsidR="005E206F" w:rsidRPr="005E206F" w:rsidRDefault="005E206F" w:rsidP="005E206F">
            <w:pPr>
              <w:pStyle w:val="Index"/>
              <w:spacing w:before="0" w:beforeAutospacing="0" w:after="0" w:afterAutospacing="0"/>
              <w:jc w:val="center"/>
              <w:rPr>
                <w:b/>
                <w:lang w:val="bg-BG"/>
              </w:rPr>
            </w:pPr>
            <w:r w:rsidRPr="005E206F">
              <w:rPr>
                <w:b/>
                <w:iCs/>
                <w:lang w:val="bg-BG"/>
              </w:rPr>
              <w:t>Контролен лист за проверка на процедура избор с публична покана</w:t>
            </w:r>
            <w:r w:rsidRPr="006B547C">
              <w:rPr>
                <w:b/>
                <w:lang w:val="bg-BG"/>
              </w:rPr>
              <w:t>/</w:t>
            </w:r>
            <w:r w:rsidRPr="005E206F">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5E206F" w:rsidRPr="00244E63" w14:paraId="488E1AD8" w14:textId="77777777" w:rsidTr="000362B1">
        <w:trPr>
          <w:trHeight w:val="742"/>
          <w:tblHeader/>
        </w:trPr>
        <w:tc>
          <w:tcPr>
            <w:tcW w:w="3402" w:type="dxa"/>
            <w:shd w:val="clear" w:color="auto" w:fill="auto"/>
            <w:vAlign w:val="center"/>
          </w:tcPr>
          <w:p w14:paraId="792527FA" w14:textId="50B9A58E" w:rsidR="005E206F" w:rsidRPr="00276B69" w:rsidRDefault="005E206F" w:rsidP="00670BAD">
            <w:pPr>
              <w:pStyle w:val="TableContents"/>
              <w:spacing w:after="0"/>
              <w:jc w:val="both"/>
              <w:rPr>
                <w:b/>
                <w:i/>
                <w:iCs/>
                <w:sz w:val="22"/>
                <w:szCs w:val="22"/>
                <w:lang w:val="ru-RU"/>
              </w:rPr>
            </w:pPr>
            <w:r w:rsidRPr="00D86986">
              <w:rPr>
                <w:sz w:val="22"/>
                <w:szCs w:val="22"/>
                <w:lang w:val="bg-BG"/>
              </w:rPr>
              <w:t>Вари</w:t>
            </w:r>
            <w:r>
              <w:rPr>
                <w:sz w:val="22"/>
                <w:szCs w:val="22"/>
                <w:lang w:val="bg-BG"/>
              </w:rPr>
              <w:t xml:space="preserve">ант на документа: </w:t>
            </w:r>
            <w:r w:rsidR="00AB5AAC">
              <w:rPr>
                <w:sz w:val="22"/>
                <w:szCs w:val="22"/>
                <w:lang w:val="bg-BG"/>
              </w:rPr>
              <w:t>5</w:t>
            </w:r>
          </w:p>
        </w:tc>
        <w:tc>
          <w:tcPr>
            <w:tcW w:w="7371" w:type="dxa"/>
            <w:vAlign w:val="center"/>
          </w:tcPr>
          <w:p w14:paraId="217B8ADF" w14:textId="77777777" w:rsidR="005E206F" w:rsidRPr="0023755B" w:rsidRDefault="005E206F" w:rsidP="000362B1">
            <w:pPr>
              <w:jc w:val="center"/>
              <w:rPr>
                <w:i/>
                <w:iCs/>
                <w:sz w:val="22"/>
                <w:szCs w:val="22"/>
              </w:rPr>
            </w:pPr>
            <w:r w:rsidRPr="0023755B">
              <w:rPr>
                <w:i/>
                <w:iCs/>
                <w:sz w:val="22"/>
                <w:szCs w:val="22"/>
              </w:rPr>
              <w:t xml:space="preserve">Одобрен от: </w:t>
            </w:r>
          </w:p>
          <w:p w14:paraId="1B8B59F7" w14:textId="77777777" w:rsidR="005E206F" w:rsidRPr="00D86986" w:rsidRDefault="005E206F" w:rsidP="000362B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4C07211C" w14:textId="29D06F95" w:rsidR="005E206F" w:rsidRPr="00AA2EA7" w:rsidRDefault="005E206F" w:rsidP="00886AFA">
            <w:pPr>
              <w:pStyle w:val="TableContents"/>
              <w:spacing w:after="0"/>
              <w:jc w:val="center"/>
              <w:rPr>
                <w:b/>
                <w:sz w:val="28"/>
                <w:szCs w:val="28"/>
                <w:lang w:val="bg-BG"/>
              </w:rPr>
            </w:pPr>
            <w:r w:rsidRPr="00237482">
              <w:rPr>
                <w:sz w:val="22"/>
                <w:szCs w:val="22"/>
                <w:lang w:val="bg-BG"/>
              </w:rPr>
              <w:t>Дата:</w:t>
            </w:r>
            <w:r w:rsidR="00886AFA">
              <w:rPr>
                <w:sz w:val="22"/>
                <w:szCs w:val="22"/>
                <w:lang w:val="bg-BG"/>
              </w:rPr>
              <w:t xml:space="preserve"> 22.12</w:t>
            </w:r>
            <w:r w:rsidR="00244E63" w:rsidRPr="00244E63">
              <w:rPr>
                <w:sz w:val="22"/>
                <w:szCs w:val="22"/>
              </w:rPr>
              <w:t>.</w:t>
            </w:r>
            <w:r w:rsidR="00670BAD" w:rsidRPr="00244E63">
              <w:rPr>
                <w:sz w:val="22"/>
                <w:szCs w:val="22"/>
              </w:rPr>
              <w:t>20</w:t>
            </w:r>
            <w:r w:rsidR="00670BAD">
              <w:rPr>
                <w:sz w:val="22"/>
                <w:szCs w:val="22"/>
                <w:lang w:val="bg-BG"/>
              </w:rPr>
              <w:t xml:space="preserve">20 </w:t>
            </w:r>
            <w:r w:rsidR="00244E63" w:rsidRPr="00244E63">
              <w:rPr>
                <w:sz w:val="22"/>
                <w:szCs w:val="22"/>
              </w:rPr>
              <w:t>г</w:t>
            </w:r>
            <w:r w:rsidR="00AA2EA7">
              <w:rPr>
                <w:sz w:val="22"/>
                <w:szCs w:val="22"/>
                <w:lang w:val="bg-BG"/>
              </w:rPr>
              <w:t>.</w:t>
            </w:r>
          </w:p>
        </w:tc>
      </w:tr>
    </w:tbl>
    <w:p w14:paraId="0EA8AAFC" w14:textId="77777777" w:rsidR="005E206F" w:rsidRDefault="005E206F" w:rsidP="00180A2E">
      <w:pPr>
        <w:pStyle w:val="TableContents"/>
        <w:spacing w:beforeAutospacing="0" w:after="0" w:afterAutospacing="0"/>
        <w:jc w:val="center"/>
        <w:rPr>
          <w:b/>
          <w:iCs/>
          <w:sz w:val="28"/>
          <w:szCs w:val="28"/>
          <w:lang w:val="bg-BG"/>
        </w:rPr>
      </w:pPr>
    </w:p>
    <w:p w14:paraId="099A7443" w14:textId="77777777" w:rsidR="00650867" w:rsidRPr="00892787" w:rsidRDefault="00650867" w:rsidP="00650867">
      <w:pPr>
        <w:rPr>
          <w:b/>
        </w:rPr>
      </w:pPr>
    </w:p>
    <w:p w14:paraId="6E0A3BC1" w14:textId="77777777" w:rsidR="002D140A" w:rsidRPr="00892787" w:rsidRDefault="002D140A" w:rsidP="001F5D5A">
      <w:pPr>
        <w:tabs>
          <w:tab w:val="num" w:pos="0"/>
        </w:tabs>
        <w:jc w:val="both"/>
        <w:rPr>
          <w:sz w:val="20"/>
          <w:szCs w:val="20"/>
        </w:rPr>
      </w:pPr>
    </w:p>
    <w:tbl>
      <w:tblPr>
        <w:tblW w:w="138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30"/>
        <w:gridCol w:w="6089"/>
        <w:gridCol w:w="7319"/>
      </w:tblGrid>
      <w:tr w:rsidR="00D547C5" w:rsidRPr="00892787" w14:paraId="7498956B" w14:textId="77777777" w:rsidTr="001F0CC7">
        <w:tc>
          <w:tcPr>
            <w:tcW w:w="430" w:type="dxa"/>
            <w:shd w:val="clear" w:color="auto" w:fill="CCFFCC"/>
          </w:tcPr>
          <w:p w14:paraId="19A349EF" w14:textId="1C381433" w:rsidR="00D547C5" w:rsidRPr="00551333" w:rsidRDefault="005826D6" w:rsidP="00551333">
            <w:pPr>
              <w:rPr>
                <w:b/>
                <w:bCs/>
                <w:sz w:val="20"/>
                <w:szCs w:val="20"/>
                <w:lang w:val="de-DE"/>
              </w:rPr>
            </w:pPr>
            <w:r>
              <w:rPr>
                <w:b/>
                <w:bCs/>
                <w:sz w:val="20"/>
                <w:szCs w:val="20"/>
                <w:lang w:val="de-DE"/>
              </w:rPr>
              <w:t>I</w:t>
            </w:r>
          </w:p>
        </w:tc>
        <w:tc>
          <w:tcPr>
            <w:tcW w:w="6089" w:type="dxa"/>
            <w:shd w:val="clear" w:color="auto" w:fill="CCFFCC"/>
          </w:tcPr>
          <w:p w14:paraId="5823F5B5" w14:textId="152DA16E" w:rsidR="00D547C5" w:rsidRPr="005826D6" w:rsidRDefault="005826D6" w:rsidP="005B3FA8">
            <w:pPr>
              <w:rPr>
                <w:b/>
                <w:bCs/>
                <w:sz w:val="20"/>
                <w:szCs w:val="20"/>
              </w:rPr>
            </w:pPr>
            <w:r>
              <w:rPr>
                <w:b/>
                <w:bCs/>
                <w:sz w:val="20"/>
                <w:szCs w:val="20"/>
              </w:rPr>
              <w:t>ОБЩА ИНФОРМАЦИЯ</w:t>
            </w:r>
          </w:p>
        </w:tc>
        <w:tc>
          <w:tcPr>
            <w:tcW w:w="7319" w:type="dxa"/>
          </w:tcPr>
          <w:p w14:paraId="76960707" w14:textId="77777777" w:rsidR="00D547C5" w:rsidRPr="00892787" w:rsidRDefault="00D547C5" w:rsidP="00C23F20">
            <w:pPr>
              <w:jc w:val="both"/>
              <w:rPr>
                <w:sz w:val="20"/>
                <w:szCs w:val="20"/>
              </w:rPr>
            </w:pPr>
            <w:r w:rsidRPr="00892787">
              <w:rPr>
                <w:sz w:val="20"/>
                <w:szCs w:val="20"/>
              </w:rPr>
              <w:t xml:space="preserve">Проверка на публична покана по </w:t>
            </w:r>
            <w:r w:rsidR="009569F2">
              <w:rPr>
                <w:sz w:val="20"/>
                <w:szCs w:val="20"/>
              </w:rPr>
              <w:t xml:space="preserve">глава четвърта от </w:t>
            </w:r>
            <w:r w:rsidR="00C02EAA" w:rsidRPr="00892787">
              <w:rPr>
                <w:sz w:val="20"/>
                <w:szCs w:val="20"/>
              </w:rPr>
              <w:t>ЗУСЕСИФ</w:t>
            </w:r>
            <w:r w:rsidR="009A24D7" w:rsidRPr="00892787">
              <w:rPr>
                <w:sz w:val="20"/>
                <w:szCs w:val="20"/>
              </w:rPr>
              <w:t xml:space="preserve"> и </w:t>
            </w:r>
            <w:r w:rsidR="00D01B21" w:rsidRPr="00892787">
              <w:rPr>
                <w:sz w:val="20"/>
                <w:szCs w:val="20"/>
              </w:rPr>
              <w:t xml:space="preserve"> </w:t>
            </w:r>
            <w:r w:rsidR="00C23F20" w:rsidRPr="00892787">
              <w:rPr>
                <w:sz w:val="20"/>
                <w:szCs w:val="20"/>
              </w:rPr>
              <w:t xml:space="preserve">ПМС 160/2016 г. </w:t>
            </w:r>
            <w:r w:rsidRPr="00892787">
              <w:rPr>
                <w:sz w:val="20"/>
                <w:szCs w:val="20"/>
              </w:rPr>
              <w:t xml:space="preserve">за </w:t>
            </w:r>
            <w:r w:rsidRPr="00892787">
              <w:rPr>
                <w:bCs/>
                <w:sz w:val="20"/>
                <w:szCs w:val="20"/>
              </w:rPr>
              <w:t>доставка</w:t>
            </w:r>
            <w:r w:rsidR="003F1447" w:rsidRPr="00892787">
              <w:rPr>
                <w:bCs/>
                <w:sz w:val="20"/>
                <w:szCs w:val="20"/>
              </w:rPr>
              <w:t xml:space="preserve">/ </w:t>
            </w:r>
            <w:r w:rsidRPr="00892787">
              <w:rPr>
                <w:bCs/>
                <w:sz w:val="20"/>
                <w:szCs w:val="20"/>
              </w:rPr>
              <w:t>услуга</w:t>
            </w:r>
            <w:r w:rsidR="003F1447" w:rsidRPr="00892787">
              <w:rPr>
                <w:bCs/>
                <w:sz w:val="20"/>
                <w:szCs w:val="20"/>
              </w:rPr>
              <w:t>/</w:t>
            </w:r>
            <w:r w:rsidRPr="00892787">
              <w:rPr>
                <w:bCs/>
                <w:sz w:val="20"/>
                <w:szCs w:val="20"/>
              </w:rPr>
              <w:t>строителство с предмет „......................”, сключен договор № .......  от /дата/ ...........г. с изпълнител  ................ на стойност ............... лв. без ДДС</w:t>
            </w:r>
          </w:p>
        </w:tc>
      </w:tr>
      <w:tr w:rsidR="00D547C5" w:rsidRPr="00892787" w14:paraId="2883B2B6" w14:textId="77777777" w:rsidTr="00306D93">
        <w:trPr>
          <w:trHeight w:val="331"/>
        </w:trPr>
        <w:tc>
          <w:tcPr>
            <w:tcW w:w="430" w:type="dxa"/>
            <w:shd w:val="clear" w:color="auto" w:fill="CCFFCC"/>
          </w:tcPr>
          <w:p w14:paraId="4E571BF6" w14:textId="77777777" w:rsidR="00D547C5" w:rsidRPr="00892787" w:rsidRDefault="00D547C5" w:rsidP="002331C0">
            <w:pPr>
              <w:numPr>
                <w:ilvl w:val="0"/>
                <w:numId w:val="75"/>
              </w:numPr>
              <w:rPr>
                <w:b/>
                <w:bCs/>
                <w:sz w:val="20"/>
                <w:szCs w:val="20"/>
              </w:rPr>
            </w:pPr>
          </w:p>
        </w:tc>
        <w:tc>
          <w:tcPr>
            <w:tcW w:w="6089" w:type="dxa"/>
            <w:shd w:val="clear" w:color="auto" w:fill="CCFFCC"/>
          </w:tcPr>
          <w:p w14:paraId="7ED88AD9" w14:textId="77777777" w:rsidR="00D547C5" w:rsidRPr="00892787" w:rsidRDefault="00D547C5" w:rsidP="00D01B21">
            <w:pPr>
              <w:rPr>
                <w:rFonts w:ascii="Palatino Linotype" w:hAnsi="Palatino Linotype"/>
                <w:b/>
                <w:bCs/>
                <w:sz w:val="20"/>
                <w:szCs w:val="20"/>
              </w:rPr>
            </w:pPr>
            <w:r w:rsidRPr="00892787">
              <w:rPr>
                <w:b/>
                <w:bCs/>
                <w:sz w:val="20"/>
                <w:szCs w:val="20"/>
              </w:rPr>
              <w:t xml:space="preserve">Прогнозна стойност на </w:t>
            </w:r>
            <w:r w:rsidR="00D01B21" w:rsidRPr="00892787">
              <w:rPr>
                <w:b/>
                <w:bCs/>
                <w:sz w:val="20"/>
                <w:szCs w:val="20"/>
              </w:rPr>
              <w:t xml:space="preserve">дейностите </w:t>
            </w:r>
            <w:r w:rsidRPr="00892787">
              <w:rPr>
                <w:b/>
                <w:bCs/>
                <w:sz w:val="20"/>
                <w:szCs w:val="20"/>
              </w:rPr>
              <w:t>(без ДДС):</w:t>
            </w:r>
          </w:p>
        </w:tc>
        <w:tc>
          <w:tcPr>
            <w:tcW w:w="7319" w:type="dxa"/>
          </w:tcPr>
          <w:p w14:paraId="5453A8E8" w14:textId="77777777" w:rsidR="00D547C5" w:rsidRPr="00892787" w:rsidRDefault="00D547C5" w:rsidP="006350FB">
            <w:pPr>
              <w:rPr>
                <w:sz w:val="20"/>
                <w:szCs w:val="20"/>
              </w:rPr>
            </w:pPr>
          </w:p>
        </w:tc>
      </w:tr>
      <w:tr w:rsidR="00D547C5" w:rsidRPr="00892787" w14:paraId="4092BCFF" w14:textId="77777777" w:rsidTr="00306D93">
        <w:trPr>
          <w:trHeight w:val="318"/>
        </w:trPr>
        <w:tc>
          <w:tcPr>
            <w:tcW w:w="430" w:type="dxa"/>
            <w:shd w:val="clear" w:color="auto" w:fill="CCFFCC"/>
          </w:tcPr>
          <w:p w14:paraId="5F6BAF35" w14:textId="77777777" w:rsidR="00D547C5" w:rsidRPr="00892787" w:rsidRDefault="00D547C5" w:rsidP="002331C0">
            <w:pPr>
              <w:numPr>
                <w:ilvl w:val="0"/>
                <w:numId w:val="75"/>
              </w:numPr>
              <w:rPr>
                <w:b/>
                <w:bCs/>
                <w:sz w:val="20"/>
                <w:szCs w:val="20"/>
              </w:rPr>
            </w:pPr>
          </w:p>
        </w:tc>
        <w:tc>
          <w:tcPr>
            <w:tcW w:w="6089" w:type="dxa"/>
            <w:shd w:val="clear" w:color="auto" w:fill="CCFFCC"/>
          </w:tcPr>
          <w:p w14:paraId="412D5BD8" w14:textId="77777777" w:rsidR="00D547C5" w:rsidRPr="00892787" w:rsidRDefault="0051742B" w:rsidP="00D16C98">
            <w:pPr>
              <w:rPr>
                <w:b/>
                <w:sz w:val="20"/>
                <w:szCs w:val="20"/>
                <w:lang w:eastAsia="fr-FR"/>
              </w:rPr>
            </w:pPr>
            <w:r w:rsidRPr="00892787">
              <w:rPr>
                <w:b/>
                <w:sz w:val="20"/>
                <w:szCs w:val="20"/>
                <w:lang w:eastAsia="fr-FR"/>
              </w:rPr>
              <w:t xml:space="preserve">Интернет адрес, на който е била налична </w:t>
            </w:r>
            <w:r w:rsidR="00D16C98" w:rsidRPr="00892787">
              <w:rPr>
                <w:b/>
                <w:sz w:val="20"/>
                <w:szCs w:val="20"/>
                <w:lang w:eastAsia="fr-FR"/>
              </w:rPr>
              <w:t>публичната покана</w:t>
            </w:r>
            <w:r w:rsidR="00D547C5" w:rsidRPr="00892787">
              <w:rPr>
                <w:b/>
                <w:sz w:val="20"/>
                <w:szCs w:val="20"/>
                <w:lang w:eastAsia="fr-FR"/>
              </w:rPr>
              <w:t>:</w:t>
            </w:r>
          </w:p>
        </w:tc>
        <w:tc>
          <w:tcPr>
            <w:tcW w:w="7319" w:type="dxa"/>
          </w:tcPr>
          <w:p w14:paraId="04295446" w14:textId="77777777" w:rsidR="00D547C5" w:rsidRPr="00892787" w:rsidRDefault="00D547C5" w:rsidP="006350FB">
            <w:pPr>
              <w:rPr>
                <w:sz w:val="20"/>
                <w:szCs w:val="20"/>
                <w:lang w:eastAsia="fr-FR"/>
              </w:rPr>
            </w:pPr>
          </w:p>
        </w:tc>
      </w:tr>
      <w:tr w:rsidR="00D547C5" w:rsidRPr="00892787" w14:paraId="7BBE33F4" w14:textId="77777777" w:rsidTr="00306D93">
        <w:trPr>
          <w:trHeight w:val="359"/>
        </w:trPr>
        <w:tc>
          <w:tcPr>
            <w:tcW w:w="430" w:type="dxa"/>
            <w:shd w:val="clear" w:color="auto" w:fill="CCFFCC"/>
          </w:tcPr>
          <w:p w14:paraId="58696BFC" w14:textId="77777777" w:rsidR="00D547C5" w:rsidRPr="00892787" w:rsidRDefault="00D547C5" w:rsidP="002331C0">
            <w:pPr>
              <w:numPr>
                <w:ilvl w:val="0"/>
                <w:numId w:val="75"/>
              </w:numPr>
              <w:rPr>
                <w:b/>
                <w:bCs/>
                <w:sz w:val="20"/>
                <w:szCs w:val="20"/>
              </w:rPr>
            </w:pPr>
          </w:p>
        </w:tc>
        <w:tc>
          <w:tcPr>
            <w:tcW w:w="6089" w:type="dxa"/>
            <w:shd w:val="clear" w:color="auto" w:fill="CCFFCC"/>
          </w:tcPr>
          <w:p w14:paraId="5F608B38" w14:textId="77777777" w:rsidR="00D547C5" w:rsidRPr="00892787" w:rsidRDefault="00D547C5" w:rsidP="006350FB">
            <w:pPr>
              <w:rPr>
                <w:b/>
                <w:sz w:val="20"/>
                <w:szCs w:val="20"/>
                <w:lang w:eastAsia="fr-FR"/>
              </w:rPr>
            </w:pPr>
            <w:r w:rsidRPr="00892787">
              <w:rPr>
                <w:b/>
                <w:sz w:val="20"/>
                <w:szCs w:val="20"/>
                <w:lang w:eastAsia="fr-FR"/>
              </w:rPr>
              <w:t>Брой подадени оферти</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15C9DA08" w14:textId="77777777" w:rsidR="00D547C5" w:rsidRPr="00892787" w:rsidRDefault="00D547C5" w:rsidP="006350FB">
            <w:pPr>
              <w:rPr>
                <w:sz w:val="20"/>
                <w:szCs w:val="20"/>
                <w:lang w:eastAsia="fr-FR"/>
              </w:rPr>
            </w:pPr>
          </w:p>
        </w:tc>
      </w:tr>
      <w:tr w:rsidR="00D547C5" w:rsidRPr="00892787" w14:paraId="7358106D" w14:textId="77777777" w:rsidTr="00306D93">
        <w:trPr>
          <w:trHeight w:val="359"/>
        </w:trPr>
        <w:tc>
          <w:tcPr>
            <w:tcW w:w="430" w:type="dxa"/>
            <w:shd w:val="clear" w:color="auto" w:fill="CCFFCC"/>
          </w:tcPr>
          <w:p w14:paraId="4ADC09AE" w14:textId="77777777" w:rsidR="00D547C5" w:rsidRPr="00892787" w:rsidRDefault="00D547C5" w:rsidP="002331C0">
            <w:pPr>
              <w:numPr>
                <w:ilvl w:val="0"/>
                <w:numId w:val="75"/>
              </w:numPr>
              <w:rPr>
                <w:b/>
                <w:bCs/>
                <w:sz w:val="20"/>
                <w:szCs w:val="20"/>
              </w:rPr>
            </w:pPr>
          </w:p>
        </w:tc>
        <w:tc>
          <w:tcPr>
            <w:tcW w:w="6089" w:type="dxa"/>
            <w:shd w:val="clear" w:color="auto" w:fill="CCFFCC"/>
          </w:tcPr>
          <w:p w14:paraId="766C43BB" w14:textId="77777777" w:rsidR="00D547C5" w:rsidRPr="00892787" w:rsidRDefault="00D547C5" w:rsidP="00181DCC">
            <w:pPr>
              <w:rPr>
                <w:b/>
                <w:sz w:val="20"/>
                <w:szCs w:val="20"/>
                <w:lang w:eastAsia="fr-FR"/>
              </w:rPr>
            </w:pPr>
            <w:r w:rsidRPr="00892787">
              <w:rPr>
                <w:b/>
                <w:sz w:val="20"/>
                <w:szCs w:val="20"/>
                <w:lang w:eastAsia="fr-FR"/>
              </w:rPr>
              <w:t xml:space="preserve">Брой отстранени </w:t>
            </w:r>
            <w:r w:rsidR="003162C8" w:rsidRPr="00892787">
              <w:rPr>
                <w:b/>
                <w:sz w:val="20"/>
                <w:szCs w:val="20"/>
                <w:lang w:eastAsia="fr-FR"/>
              </w:rPr>
              <w:t>лица</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326F4FE0" w14:textId="77777777" w:rsidR="00D547C5" w:rsidRPr="00892787" w:rsidRDefault="00D547C5" w:rsidP="006350FB">
            <w:pPr>
              <w:rPr>
                <w:sz w:val="20"/>
                <w:szCs w:val="20"/>
                <w:lang w:eastAsia="fr-FR"/>
              </w:rPr>
            </w:pPr>
          </w:p>
        </w:tc>
      </w:tr>
    </w:tbl>
    <w:p w14:paraId="443952A2" w14:textId="77777777" w:rsidR="00557A19" w:rsidRPr="00892787" w:rsidRDefault="00557A19" w:rsidP="00557A19">
      <w:pPr>
        <w:rPr>
          <w:b/>
        </w:rPr>
      </w:pPr>
    </w:p>
    <w:p w14:paraId="5BDE050F" w14:textId="183533C0" w:rsidR="00201371" w:rsidRPr="00892787" w:rsidRDefault="00201371">
      <w:pPr>
        <w:rPr>
          <w:sz w:val="20"/>
          <w:szCs w:val="20"/>
        </w:rPr>
      </w:pPr>
    </w:p>
    <w:p w14:paraId="6F74FDB1" w14:textId="77777777" w:rsidR="00201371" w:rsidRPr="00892787" w:rsidRDefault="00201371" w:rsidP="00BC4D84">
      <w:pPr>
        <w:rPr>
          <w:sz w:val="20"/>
          <w:szCs w:val="20"/>
        </w:rPr>
        <w:sectPr w:rsidR="00201371" w:rsidRPr="00892787"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p>
    <w:p w14:paraId="7635690E" w14:textId="5488498C" w:rsidR="008B5D5E" w:rsidRPr="00F60556" w:rsidRDefault="004959CD" w:rsidP="00BC42EE">
      <w:pPr>
        <w:jc w:val="center"/>
        <w:rPr>
          <w:b/>
          <w:sz w:val="20"/>
          <w:szCs w:val="20"/>
        </w:rPr>
      </w:pPr>
      <w:r>
        <w:rPr>
          <w:b/>
          <w:sz w:val="20"/>
          <w:szCs w:val="20"/>
        </w:rPr>
        <w:lastRenderedPageBreak/>
        <w:t xml:space="preserve">1. </w:t>
      </w:r>
      <w:r w:rsidR="0066380B" w:rsidRPr="00F60556">
        <w:rPr>
          <w:b/>
          <w:sz w:val="20"/>
          <w:szCs w:val="20"/>
        </w:rPr>
        <w:t>ДОКУМЕНТАЦИЯ ПО ОБЯВЯВАНЕ НА ПРОЦЕДУРА ЗА ИЗБОР С ПУБЛИЧНА ПОКАНА</w:t>
      </w:r>
    </w:p>
    <w:p w14:paraId="7A0C44BB" w14:textId="77777777" w:rsidR="0066380B" w:rsidRPr="00F60556" w:rsidRDefault="0066380B" w:rsidP="0066380B">
      <w:pPr>
        <w:rPr>
          <w:b/>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36"/>
        <w:gridCol w:w="156"/>
        <w:gridCol w:w="30"/>
        <w:gridCol w:w="46"/>
        <w:gridCol w:w="6287"/>
        <w:gridCol w:w="14"/>
        <w:gridCol w:w="28"/>
        <w:gridCol w:w="28"/>
        <w:gridCol w:w="3635"/>
        <w:gridCol w:w="3506"/>
      </w:tblGrid>
      <w:tr w:rsidR="002C262A" w:rsidRPr="00892787" w14:paraId="176000A8" w14:textId="77777777" w:rsidTr="00551333">
        <w:trPr>
          <w:gridBefore w:val="1"/>
          <w:trHeight w:val="382"/>
        </w:trPr>
        <w:tc>
          <w:tcPr>
            <w:tcW w:w="468" w:type="dxa"/>
            <w:gridSpan w:val="4"/>
            <w:vMerge w:val="restart"/>
            <w:shd w:val="clear" w:color="auto" w:fill="CCFFCC"/>
            <w:vAlign w:val="center"/>
          </w:tcPr>
          <w:p w14:paraId="43B5A382" w14:textId="77777777" w:rsidR="002C262A" w:rsidRPr="00892787" w:rsidRDefault="002C262A" w:rsidP="00D94310">
            <w:pPr>
              <w:jc w:val="center"/>
              <w:outlineLvl w:val="1"/>
              <w:rPr>
                <w:b/>
                <w:bCs/>
                <w:iCs/>
                <w:sz w:val="20"/>
                <w:szCs w:val="20"/>
              </w:rPr>
            </w:pPr>
            <w:r w:rsidRPr="00892787">
              <w:rPr>
                <w:b/>
                <w:bCs/>
                <w:iCs/>
                <w:sz w:val="20"/>
                <w:szCs w:val="20"/>
              </w:rPr>
              <w:t>№</w:t>
            </w:r>
          </w:p>
        </w:tc>
        <w:tc>
          <w:tcPr>
            <w:tcW w:w="6373" w:type="dxa"/>
            <w:gridSpan w:val="4"/>
            <w:vMerge w:val="restart"/>
            <w:shd w:val="clear" w:color="auto" w:fill="CCFFCC"/>
            <w:vAlign w:val="center"/>
          </w:tcPr>
          <w:p w14:paraId="2A4E8985" w14:textId="77777777" w:rsidR="002C262A" w:rsidRPr="00892787" w:rsidRDefault="002C262A" w:rsidP="00B86895">
            <w:pPr>
              <w:jc w:val="center"/>
              <w:outlineLvl w:val="1"/>
              <w:rPr>
                <w:b/>
                <w:bCs/>
                <w:iCs/>
                <w:sz w:val="20"/>
                <w:szCs w:val="20"/>
              </w:rPr>
            </w:pPr>
            <w:r w:rsidRPr="00892787">
              <w:rPr>
                <w:b/>
                <w:bCs/>
                <w:iCs/>
                <w:sz w:val="20"/>
                <w:szCs w:val="20"/>
              </w:rPr>
              <w:t>Въпрос</w:t>
            </w:r>
          </w:p>
        </w:tc>
        <w:tc>
          <w:tcPr>
            <w:tcW w:w="3644" w:type="dxa"/>
            <w:vMerge w:val="restart"/>
            <w:shd w:val="clear" w:color="auto" w:fill="CCFFCC"/>
            <w:vAlign w:val="center"/>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4255FF" w14:paraId="2198DEB0" w14:textId="77777777" w:rsidTr="004255FF">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309E0842" w14:textId="77777777" w:rsidR="004255FF" w:rsidRDefault="004255FF" w:rsidP="004255FF">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39AF9FF9" w14:textId="77777777" w:rsidR="004255FF" w:rsidRDefault="004255FF" w:rsidP="004255FF">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4255FF" w14:paraId="2C0BC791" w14:textId="77777777">
              <w:trPr>
                <w:divId w:val="505170561"/>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00A3C781" w14:textId="77777777" w:rsidR="004255FF" w:rsidRDefault="004255FF" w:rsidP="004255FF">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62950DE" w14:textId="77777777" w:rsidR="004255FF" w:rsidRDefault="004255FF" w:rsidP="004255FF">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1A10268D" w14:textId="77777777" w:rsidR="004255FF" w:rsidRDefault="004255FF" w:rsidP="004255FF">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78A39C4A" w14:textId="77777777" w:rsidR="004255FF" w:rsidRDefault="004255FF" w:rsidP="004255FF">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37AFB9C2" w14:textId="77777777" w:rsidR="004255FF" w:rsidRDefault="004255FF" w:rsidP="004255FF">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6B7614E0" w14:textId="77777777" w:rsidR="004255FF" w:rsidRDefault="004255FF" w:rsidP="004255FF">
                  <w:pPr>
                    <w:rPr>
                      <w:b/>
                      <w:sz w:val="18"/>
                      <w:szCs w:val="18"/>
                    </w:rPr>
                  </w:pPr>
                  <w:r>
                    <w:rPr>
                      <w:b/>
                      <w:sz w:val="18"/>
                      <w:szCs w:val="18"/>
                    </w:rPr>
                    <w:t>Н/П</w:t>
                  </w:r>
                </w:p>
              </w:tc>
            </w:tr>
          </w:tbl>
          <w:p w14:paraId="5503990A" w14:textId="7906A607" w:rsidR="002C262A" w:rsidRPr="00892787" w:rsidRDefault="002C262A" w:rsidP="00551333">
            <w:pPr>
              <w:outlineLvl w:val="1"/>
              <w:rPr>
                <w:b/>
                <w:bCs/>
                <w:iCs/>
                <w:sz w:val="20"/>
                <w:szCs w:val="20"/>
              </w:rPr>
            </w:pPr>
          </w:p>
        </w:tc>
        <w:tc>
          <w:tcPr>
            <w:tcW w:w="3515" w:type="dxa"/>
            <w:vMerge w:val="restart"/>
            <w:shd w:val="clear" w:color="auto" w:fill="CCFFCC"/>
            <w:vAlign w:val="center"/>
          </w:tcPr>
          <w:p w14:paraId="0612E509" w14:textId="77777777" w:rsidR="002C262A" w:rsidRPr="00892787" w:rsidRDefault="002C262A" w:rsidP="00B86895">
            <w:pPr>
              <w:jc w:val="center"/>
              <w:outlineLvl w:val="1"/>
              <w:rPr>
                <w:b/>
                <w:bCs/>
                <w:iCs/>
                <w:sz w:val="20"/>
                <w:szCs w:val="20"/>
              </w:rPr>
            </w:pPr>
            <w:r w:rsidRPr="00892787">
              <w:rPr>
                <w:b/>
                <w:bCs/>
                <w:iCs/>
                <w:sz w:val="20"/>
                <w:szCs w:val="20"/>
              </w:rPr>
              <w:t>Коментар/Референция</w:t>
            </w:r>
          </w:p>
        </w:tc>
      </w:tr>
      <w:tr w:rsidR="002C262A" w:rsidRPr="00892787" w14:paraId="6A172FDC" w14:textId="77777777" w:rsidTr="00551333">
        <w:trPr>
          <w:gridBefore w:val="1"/>
          <w:trHeight w:val="381"/>
        </w:trPr>
        <w:tc>
          <w:tcPr>
            <w:tcW w:w="468" w:type="dxa"/>
            <w:gridSpan w:val="4"/>
            <w:vMerge/>
            <w:shd w:val="clear" w:color="auto" w:fill="CCFFCC"/>
            <w:vAlign w:val="center"/>
          </w:tcPr>
          <w:p w14:paraId="5905F26A" w14:textId="77777777" w:rsidR="002C262A" w:rsidRPr="00892787" w:rsidRDefault="002C262A" w:rsidP="00B86895">
            <w:pPr>
              <w:jc w:val="center"/>
              <w:outlineLvl w:val="1"/>
              <w:rPr>
                <w:b/>
                <w:bCs/>
                <w:iCs/>
                <w:sz w:val="20"/>
                <w:szCs w:val="20"/>
              </w:rPr>
            </w:pPr>
          </w:p>
        </w:tc>
        <w:tc>
          <w:tcPr>
            <w:tcW w:w="6373" w:type="dxa"/>
            <w:gridSpan w:val="4"/>
            <w:vMerge/>
            <w:shd w:val="clear" w:color="auto" w:fill="CCFFCC"/>
            <w:vAlign w:val="center"/>
          </w:tcPr>
          <w:p w14:paraId="5431ADFD" w14:textId="77777777" w:rsidR="002C262A" w:rsidRPr="00892787" w:rsidRDefault="002C262A" w:rsidP="00B86895">
            <w:pPr>
              <w:jc w:val="center"/>
              <w:outlineLvl w:val="1"/>
              <w:rPr>
                <w:b/>
                <w:bCs/>
                <w:iCs/>
                <w:sz w:val="20"/>
                <w:szCs w:val="20"/>
              </w:rPr>
            </w:pPr>
          </w:p>
        </w:tc>
        <w:tc>
          <w:tcPr>
            <w:tcW w:w="3644" w:type="dxa"/>
            <w:vMerge/>
            <w:shd w:val="clear" w:color="auto" w:fill="CCFFCC"/>
            <w:vAlign w:val="center"/>
          </w:tcPr>
          <w:p w14:paraId="10ECA8D1" w14:textId="77777777" w:rsidR="002C262A" w:rsidRPr="00892787" w:rsidRDefault="002C262A" w:rsidP="00B86895">
            <w:pPr>
              <w:jc w:val="center"/>
              <w:outlineLvl w:val="1"/>
              <w:rPr>
                <w:b/>
                <w:bCs/>
                <w:iCs/>
                <w:sz w:val="20"/>
                <w:szCs w:val="20"/>
              </w:rPr>
            </w:pPr>
          </w:p>
        </w:tc>
        <w:tc>
          <w:tcPr>
            <w:tcW w:w="3515" w:type="dxa"/>
            <w:vMerge/>
            <w:shd w:val="clear" w:color="auto" w:fill="CCFFCC"/>
            <w:vAlign w:val="center"/>
          </w:tcPr>
          <w:p w14:paraId="62150E99" w14:textId="77777777" w:rsidR="002C262A" w:rsidRPr="00892787" w:rsidRDefault="002C262A" w:rsidP="00B86895">
            <w:pPr>
              <w:jc w:val="center"/>
              <w:outlineLvl w:val="1"/>
              <w:rPr>
                <w:b/>
                <w:bCs/>
                <w:iCs/>
                <w:sz w:val="20"/>
                <w:szCs w:val="20"/>
              </w:rPr>
            </w:pPr>
          </w:p>
        </w:tc>
      </w:tr>
      <w:tr w:rsidR="002C262A" w:rsidRPr="00892787" w14:paraId="4C69CE6A" w14:textId="77777777" w:rsidTr="00F07AE4">
        <w:trPr>
          <w:gridBefore w:val="1"/>
          <w:trHeight w:val="523"/>
        </w:trPr>
        <w:tc>
          <w:tcPr>
            <w:tcW w:w="14000" w:type="dxa"/>
            <w:gridSpan w:val="10"/>
          </w:tcPr>
          <w:p w14:paraId="1C5C1F2F" w14:textId="0F1C6025" w:rsidR="002C262A" w:rsidRPr="00892787" w:rsidRDefault="002C262A">
            <w:pPr>
              <w:outlineLvl w:val="1"/>
              <w:rPr>
                <w:b/>
                <w:bCs/>
                <w:iCs/>
                <w:sz w:val="20"/>
                <w:szCs w:val="20"/>
              </w:rPr>
            </w:pPr>
            <w:r w:rsidRPr="00892787">
              <w:rPr>
                <w:b/>
                <w:bCs/>
                <w:iCs/>
                <w:sz w:val="20"/>
                <w:szCs w:val="20"/>
              </w:rPr>
              <w:t>I</w:t>
            </w:r>
            <w:r w:rsidR="00252C8C">
              <w:rPr>
                <w:b/>
                <w:bCs/>
                <w:iCs/>
                <w:sz w:val="20"/>
                <w:szCs w:val="20"/>
                <w:lang w:val="de-DE"/>
              </w:rPr>
              <w:t>I</w:t>
            </w:r>
            <w:r w:rsidRPr="00892787">
              <w:rPr>
                <w:b/>
                <w:bCs/>
                <w:iCs/>
                <w:sz w:val="20"/>
                <w:szCs w:val="20"/>
              </w:rPr>
              <w:t>. Ред за възлагане</w:t>
            </w:r>
          </w:p>
        </w:tc>
      </w:tr>
      <w:tr w:rsidR="002301F4" w:rsidRPr="00892787" w14:paraId="7B2C114E" w14:textId="77777777" w:rsidTr="00551333">
        <w:trPr>
          <w:gridBefore w:val="1"/>
          <w:trHeight w:val="458"/>
        </w:trPr>
        <w:tc>
          <w:tcPr>
            <w:tcW w:w="468" w:type="dxa"/>
            <w:gridSpan w:val="4"/>
          </w:tcPr>
          <w:p w14:paraId="12209B31" w14:textId="77777777" w:rsidR="002301F4" w:rsidRPr="00892787" w:rsidRDefault="002301F4" w:rsidP="002301F4">
            <w:pPr>
              <w:numPr>
                <w:ilvl w:val="0"/>
                <w:numId w:val="81"/>
              </w:numPr>
              <w:rPr>
                <w:b/>
                <w:bCs/>
                <w:sz w:val="20"/>
                <w:szCs w:val="20"/>
              </w:rPr>
            </w:pPr>
          </w:p>
        </w:tc>
        <w:tc>
          <w:tcPr>
            <w:tcW w:w="6373" w:type="dxa"/>
            <w:gridSpan w:val="4"/>
            <w:noWrap/>
          </w:tcPr>
          <w:p w14:paraId="07EE62BF" w14:textId="77777777" w:rsidR="002301F4" w:rsidRPr="00892787" w:rsidRDefault="002301F4" w:rsidP="002301F4">
            <w:pPr>
              <w:jc w:val="both"/>
              <w:rPr>
                <w:b/>
                <w:sz w:val="20"/>
                <w:szCs w:val="20"/>
                <w:lang w:eastAsia="fr-FR"/>
              </w:rPr>
            </w:pPr>
            <w:r w:rsidRPr="00892787">
              <w:rPr>
                <w:b/>
                <w:sz w:val="20"/>
                <w:szCs w:val="20"/>
                <w:lang w:eastAsia="fr-FR"/>
              </w:rPr>
              <w:t>Предметът на процедурата законосъобразно ли е определен предвид чл. 50 от ЗУСЕСИФ?</w:t>
            </w:r>
          </w:p>
          <w:p w14:paraId="5F4EF8D9" w14:textId="77777777" w:rsidR="002301F4" w:rsidRPr="00892787" w:rsidRDefault="002301F4" w:rsidP="002301F4">
            <w:pPr>
              <w:jc w:val="both"/>
              <w:rPr>
                <w:sz w:val="20"/>
                <w:szCs w:val="20"/>
                <w:lang w:eastAsia="fr-FR"/>
              </w:rPr>
            </w:pPr>
            <w:r w:rsidRPr="00892787">
              <w:rPr>
                <w:sz w:val="20"/>
                <w:szCs w:val="20"/>
                <w:lang w:eastAsia="fr-FR"/>
              </w:rPr>
              <w:t xml:space="preserve">Бенефициентите могат </w:t>
            </w:r>
            <w:r w:rsidRPr="00892787">
              <w:rPr>
                <w:b/>
                <w:sz w:val="20"/>
                <w:szCs w:val="20"/>
                <w:u w:val="single"/>
                <w:lang w:eastAsia="fr-FR"/>
              </w:rPr>
              <w:t>да не провеждат</w:t>
            </w:r>
            <w:r w:rsidRPr="00892787">
              <w:rPr>
                <w:sz w:val="20"/>
                <w:szCs w:val="20"/>
                <w:lang w:eastAsia="fr-FR"/>
              </w:rPr>
              <w:t xml:space="preserve"> избор с публична покана, ако дейностите, обект на регулиране от ЗУСЕСИФ по чл. 49, ал. 2 от същия са на стойност под праговете по чл. 50, ал. 2 от ЗУСЕСИФ.  </w:t>
            </w:r>
          </w:p>
          <w:p w14:paraId="73AD9743" w14:textId="11C4E526" w:rsidR="002301F4" w:rsidRPr="00892787" w:rsidRDefault="002301F4" w:rsidP="002301F4">
            <w:pPr>
              <w:jc w:val="both"/>
              <w:rPr>
                <w:sz w:val="20"/>
                <w:szCs w:val="20"/>
                <w:lang w:eastAsia="fr-FR"/>
              </w:rPr>
            </w:pPr>
            <w:r w:rsidRPr="00892787">
              <w:rPr>
                <w:sz w:val="20"/>
                <w:szCs w:val="20"/>
                <w:lang w:eastAsia="fr-FR"/>
              </w:rPr>
              <w:t>Бенефициентите са длъжни да не разделят предмета на процедурата на части,</w:t>
            </w:r>
            <w:r>
              <w:rPr>
                <w:sz w:val="20"/>
                <w:szCs w:val="20"/>
                <w:lang w:eastAsia="fr-FR"/>
              </w:rPr>
              <w:t xml:space="preserve"> с цел </w:t>
            </w:r>
            <w:r w:rsidRPr="00892787">
              <w:rPr>
                <w:sz w:val="20"/>
                <w:szCs w:val="20"/>
                <w:lang w:eastAsia="fr-FR"/>
              </w:rPr>
              <w:t>заобик</w:t>
            </w:r>
            <w:r>
              <w:rPr>
                <w:sz w:val="20"/>
                <w:szCs w:val="20"/>
                <w:lang w:eastAsia="fr-FR"/>
              </w:rPr>
              <w:t xml:space="preserve">аляне на </w:t>
            </w:r>
            <w:r w:rsidRPr="00892787">
              <w:rPr>
                <w:sz w:val="20"/>
                <w:szCs w:val="20"/>
                <w:lang w:eastAsia="fr-FR"/>
              </w:rPr>
              <w:t xml:space="preserve"> приложимия ред за възлагане </w:t>
            </w:r>
            <w:r>
              <w:rPr>
                <w:sz w:val="20"/>
                <w:szCs w:val="20"/>
                <w:lang w:eastAsia="fr-FR"/>
              </w:rPr>
              <w:t>(</w:t>
            </w:r>
            <w:r w:rsidRPr="00892787">
              <w:rPr>
                <w:sz w:val="20"/>
                <w:szCs w:val="20"/>
                <w:lang w:eastAsia="fr-FR"/>
              </w:rPr>
              <w:t>чл.2, ал.5 от ПМС 160/2016 г.</w:t>
            </w:r>
            <w:r>
              <w:rPr>
                <w:sz w:val="20"/>
                <w:szCs w:val="20"/>
                <w:lang w:eastAsia="fr-FR"/>
              </w:rPr>
              <w:t xml:space="preserve">) </w:t>
            </w:r>
            <w:r w:rsidRPr="00892787">
              <w:rPr>
                <w:sz w:val="20"/>
                <w:szCs w:val="20"/>
                <w:lang w:eastAsia="fr-FR"/>
              </w:rPr>
              <w:t>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w:t>
            </w:r>
            <w:r>
              <w:rPr>
                <w:sz w:val="20"/>
                <w:szCs w:val="20"/>
                <w:lang w:eastAsia="fr-FR"/>
              </w:rPr>
              <w:t>.</w:t>
            </w:r>
            <w:r w:rsidRPr="00892787">
              <w:rPr>
                <w:sz w:val="20"/>
                <w:szCs w:val="20"/>
                <w:lang w:eastAsia="fr-FR"/>
              </w:rPr>
              <w:t xml:space="preserve">  Преценката за 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14:paraId="6590DDE6" w14:textId="77777777" w:rsidR="002301F4" w:rsidRPr="00892787" w:rsidRDefault="002301F4" w:rsidP="002301F4">
            <w:pPr>
              <w:jc w:val="both"/>
              <w:rPr>
                <w:sz w:val="20"/>
                <w:szCs w:val="20"/>
                <w:lang w:eastAsia="fr-FR"/>
              </w:rPr>
            </w:pPr>
            <w:r w:rsidRPr="00892787">
              <w:rPr>
                <w:sz w:val="20"/>
                <w:szCs w:val="20"/>
                <w:lang w:eastAsia="fr-FR"/>
              </w:rPr>
              <w:t>ВАЖНО!!! Следва да се има предвид, че съгласно разпоредбата на чл. 50, ал. 3 от ЗУСЕСИФ, бенефициентите трябва да провеждат</w:t>
            </w:r>
            <w:r w:rsidRPr="00892787">
              <w:t xml:space="preserve"> </w:t>
            </w:r>
            <w:r w:rsidRPr="00892787">
              <w:rPr>
                <w:sz w:val="20"/>
                <w:szCs w:val="20"/>
                <w:lang w:eastAsia="fr-FR"/>
              </w:rPr>
              <w:t>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14:paraId="019DA470" w14:textId="77777777" w:rsidR="002301F4" w:rsidRPr="00892787" w:rsidRDefault="002301F4" w:rsidP="002301F4">
            <w:pPr>
              <w:jc w:val="both"/>
              <w:rPr>
                <w:sz w:val="20"/>
                <w:szCs w:val="20"/>
                <w:lang w:eastAsia="fr-FR"/>
              </w:rPr>
            </w:pPr>
          </w:p>
          <w:p w14:paraId="17BA1509" w14:textId="77777777" w:rsidR="002301F4" w:rsidRPr="00892787" w:rsidRDefault="002301F4" w:rsidP="002301F4">
            <w:pPr>
              <w:jc w:val="both"/>
              <w:rPr>
                <w:b/>
                <w:sz w:val="20"/>
                <w:szCs w:val="20"/>
                <w:lang w:eastAsia="fr-FR"/>
              </w:rPr>
            </w:pPr>
            <w:r w:rsidRPr="00892787">
              <w:rPr>
                <w:b/>
                <w:sz w:val="20"/>
                <w:szCs w:val="20"/>
                <w:lang w:eastAsia="fr-FR"/>
              </w:rPr>
              <w:t>(чл. 50, ал. 2 и ал. 3 от ЗУСЕСИФ)</w:t>
            </w:r>
          </w:p>
          <w:p w14:paraId="36112E3F" w14:textId="52BEBC08" w:rsidR="002301F4" w:rsidRPr="00892787" w:rsidRDefault="002301F4" w:rsidP="002301F4">
            <w:pPr>
              <w:jc w:val="both"/>
              <w:rPr>
                <w:b/>
                <w:bCs/>
                <w:sz w:val="20"/>
                <w:szCs w:val="20"/>
              </w:rPr>
            </w:pPr>
            <w:r w:rsidRPr="002A094C">
              <w:rPr>
                <w:b/>
                <w:color w:val="333399"/>
                <w:sz w:val="20"/>
                <w:szCs w:val="20"/>
              </w:rPr>
              <w:t xml:space="preserve">т. 1 и т. 2 от Насоките/ </w:t>
            </w:r>
            <w:r>
              <w:rPr>
                <w:b/>
                <w:color w:val="333399"/>
                <w:sz w:val="20"/>
                <w:szCs w:val="20"/>
              </w:rPr>
              <w:t xml:space="preserve">т. 1 и т. 2, </w:t>
            </w:r>
            <w:r w:rsidRPr="002A78B1">
              <w:rPr>
                <w:b/>
                <w:color w:val="333399"/>
                <w:sz w:val="20"/>
                <w:szCs w:val="20"/>
              </w:rPr>
              <w:t xml:space="preserve">колона № 4 </w:t>
            </w:r>
            <w:r w:rsidRPr="002A094C">
              <w:rPr>
                <w:b/>
                <w:color w:val="333399"/>
                <w:sz w:val="20"/>
                <w:szCs w:val="20"/>
              </w:rPr>
              <w:t xml:space="preserve">Приложение № 1 към чл. 2, ал. 1 от Наредбата </w:t>
            </w:r>
            <w:r w:rsidRPr="00892787">
              <w:rPr>
                <w:b/>
                <w:bCs/>
                <w:color w:val="C0504D"/>
                <w:sz w:val="20"/>
                <w:szCs w:val="20"/>
              </w:rPr>
              <w:t xml:space="preserve">Насочващи източници на информация: </w:t>
            </w:r>
            <w:r w:rsidRPr="00892787">
              <w:rPr>
                <w:bCs/>
                <w:color w:val="C0504D"/>
                <w:sz w:val="20"/>
                <w:szCs w:val="20"/>
              </w:rPr>
              <w:t xml:space="preserve">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Pr="00892787">
              <w:rPr>
                <w:color w:val="008000"/>
                <w:sz w:val="20"/>
                <w:szCs w:val="20"/>
                <w:lang w:eastAsia="fr-FR"/>
              </w:rPr>
              <w:t xml:space="preserve">Анализирайте дали прогнозната стойност на дейността попада в рамките на праговете </w:t>
            </w:r>
            <w:r w:rsidRPr="00892787">
              <w:rPr>
                <w:color w:val="008000"/>
                <w:sz w:val="20"/>
                <w:szCs w:val="20"/>
                <w:lang w:eastAsia="fr-FR"/>
              </w:rPr>
              <w:lastRenderedPageBreak/>
              <w:t>по чл. 50, ал. 2 от ЗУСЕСИФ.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бенефициента/ите по смисъла на чл. 50, ал. 3 от ЗУСЕСИФ.</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B2AAB" w14:paraId="5D3C16E9" w14:textId="77777777" w:rsidTr="006839A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445B9F" w14:textId="77777777" w:rsidR="002301F4" w:rsidRPr="006B2AAB" w:rsidRDefault="002301F4" w:rsidP="002301F4">
                  <w:pPr>
                    <w:jc w:val="center"/>
                    <w:rPr>
                      <w:sz w:val="20"/>
                      <w:szCs w:val="20"/>
                    </w:rPr>
                  </w:pPr>
                  <w:r w:rsidRPr="006B2AAB">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7BA85F" w14:textId="77777777" w:rsidR="002301F4" w:rsidRPr="006B2AAB" w:rsidRDefault="002301F4" w:rsidP="002301F4">
                  <w:pPr>
                    <w:jc w:val="center"/>
                    <w:rPr>
                      <w:b/>
                      <w:bCs/>
                      <w:color w:val="0000FF"/>
                      <w:lang w:val="en-GB" w:eastAsia="en-US"/>
                    </w:rPr>
                  </w:pPr>
                  <w:r w:rsidRPr="006B2A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F71489" w14:textId="77777777" w:rsidR="002301F4" w:rsidRPr="006B2AAB" w:rsidRDefault="002301F4" w:rsidP="002301F4">
                  <w:pPr>
                    <w:jc w:val="center"/>
                    <w:rPr>
                      <w:b/>
                      <w:bCs/>
                      <w:color w:val="0000FF"/>
                      <w:sz w:val="20"/>
                      <w:szCs w:val="20"/>
                    </w:rPr>
                  </w:pPr>
                  <w:r w:rsidRPr="006B2A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DBA54F" w14:textId="77777777" w:rsidR="002301F4" w:rsidRPr="006B2AAB" w:rsidRDefault="002301F4" w:rsidP="002301F4">
                  <w:pPr>
                    <w:jc w:val="center"/>
                    <w:rPr>
                      <w:lang w:val="en-GB" w:eastAsia="en-US"/>
                    </w:rPr>
                  </w:pPr>
                  <w:r w:rsidRPr="006B2A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61A3DC" w14:textId="77777777" w:rsidR="002301F4" w:rsidRPr="006B2AAB" w:rsidRDefault="002301F4" w:rsidP="002301F4">
                  <w:pPr>
                    <w:jc w:val="center"/>
                    <w:rPr>
                      <w:b/>
                      <w:bCs/>
                      <w:color w:val="0000FF"/>
                    </w:rPr>
                  </w:pPr>
                  <w:r w:rsidRPr="006B2A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818CB" w14:textId="77777777" w:rsidR="002301F4" w:rsidRPr="006B2AAB" w:rsidRDefault="002301F4" w:rsidP="002301F4">
                  <w:pPr>
                    <w:jc w:val="center"/>
                    <w:rPr>
                      <w:b/>
                      <w:bCs/>
                      <w:color w:val="0000FF"/>
                    </w:rPr>
                  </w:pPr>
                  <w:r w:rsidRPr="006B2AAB">
                    <w:rPr>
                      <w:color w:val="0000FF"/>
                    </w:rPr>
                    <w:sym w:font="Wingdings 2" w:char="F0A3"/>
                  </w:r>
                </w:p>
              </w:tc>
            </w:tr>
          </w:tbl>
          <w:p w14:paraId="4C27F5B6" w14:textId="77777777" w:rsidR="002301F4" w:rsidRPr="00892787" w:rsidRDefault="002301F4" w:rsidP="002301F4">
            <w:pPr>
              <w:jc w:val="center"/>
              <w:outlineLvl w:val="1"/>
              <w:rPr>
                <w:b/>
                <w:sz w:val="20"/>
                <w:szCs w:val="20"/>
              </w:rPr>
            </w:pPr>
          </w:p>
        </w:tc>
        <w:tc>
          <w:tcPr>
            <w:tcW w:w="3515" w:type="dxa"/>
            <w:vAlign w:val="center"/>
          </w:tcPr>
          <w:p w14:paraId="340A2441" w14:textId="77777777" w:rsidR="002301F4" w:rsidRPr="00892787" w:rsidRDefault="002301F4" w:rsidP="002301F4">
            <w:pPr>
              <w:jc w:val="center"/>
              <w:outlineLvl w:val="1"/>
              <w:rPr>
                <w:sz w:val="20"/>
                <w:szCs w:val="20"/>
              </w:rPr>
            </w:pPr>
          </w:p>
        </w:tc>
      </w:tr>
      <w:tr w:rsidR="002301F4" w:rsidRPr="00892787" w14:paraId="509569D1" w14:textId="77777777" w:rsidTr="00551333">
        <w:trPr>
          <w:gridBefore w:val="1"/>
          <w:trHeight w:val="458"/>
        </w:trPr>
        <w:tc>
          <w:tcPr>
            <w:tcW w:w="468" w:type="dxa"/>
            <w:gridSpan w:val="4"/>
          </w:tcPr>
          <w:p w14:paraId="44B88FA1" w14:textId="4EA119D2" w:rsidR="002301F4" w:rsidRPr="00551333" w:rsidRDefault="002301F4" w:rsidP="002301F4">
            <w:pPr>
              <w:rPr>
                <w:b/>
                <w:bCs/>
                <w:sz w:val="20"/>
                <w:szCs w:val="20"/>
                <w:lang w:val="de-DE"/>
              </w:rPr>
            </w:pPr>
            <w:r>
              <w:rPr>
                <w:b/>
                <w:bCs/>
                <w:sz w:val="20"/>
                <w:szCs w:val="20"/>
                <w:lang w:val="de-DE"/>
              </w:rPr>
              <w:t>2</w:t>
            </w:r>
          </w:p>
        </w:tc>
        <w:tc>
          <w:tcPr>
            <w:tcW w:w="6373" w:type="dxa"/>
            <w:gridSpan w:val="4"/>
            <w:noWrap/>
          </w:tcPr>
          <w:p w14:paraId="42C5E535" w14:textId="4A38A31F" w:rsidR="002301F4" w:rsidRDefault="002301F4" w:rsidP="002301F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публичната покана отговарят ли на дейностите и бюджета, одобрени с ДБФП? </w:t>
            </w:r>
          </w:p>
          <w:p w14:paraId="776AEE39" w14:textId="1CF6CA24" w:rsidR="002301F4" w:rsidRPr="00892787" w:rsidRDefault="002301F4" w:rsidP="002301F4">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публичната покана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B2AAB" w14:paraId="5D15FE9C" w14:textId="77777777" w:rsidTr="006839A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7C973" w14:textId="77777777" w:rsidR="002301F4" w:rsidRPr="006B2AAB" w:rsidRDefault="002301F4" w:rsidP="002301F4">
                  <w:pPr>
                    <w:jc w:val="center"/>
                    <w:rPr>
                      <w:sz w:val="20"/>
                      <w:szCs w:val="20"/>
                    </w:rPr>
                  </w:pPr>
                  <w:r w:rsidRPr="006B2AA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834B2" w14:textId="77777777" w:rsidR="002301F4" w:rsidRPr="006B2AAB" w:rsidRDefault="002301F4" w:rsidP="002301F4">
                  <w:pPr>
                    <w:jc w:val="center"/>
                    <w:rPr>
                      <w:b/>
                      <w:bCs/>
                      <w:color w:val="0000FF"/>
                      <w:lang w:val="en-GB" w:eastAsia="en-US"/>
                    </w:rPr>
                  </w:pPr>
                  <w:r w:rsidRPr="006B2A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DA4410" w14:textId="77777777" w:rsidR="002301F4" w:rsidRPr="006B2AAB" w:rsidRDefault="002301F4" w:rsidP="002301F4">
                  <w:pPr>
                    <w:jc w:val="center"/>
                    <w:rPr>
                      <w:b/>
                      <w:bCs/>
                      <w:color w:val="0000FF"/>
                      <w:sz w:val="20"/>
                      <w:szCs w:val="20"/>
                    </w:rPr>
                  </w:pPr>
                  <w:r w:rsidRPr="006B2A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720AE1" w14:textId="77777777" w:rsidR="002301F4" w:rsidRPr="006B2AAB" w:rsidRDefault="002301F4" w:rsidP="002301F4">
                  <w:pPr>
                    <w:jc w:val="center"/>
                    <w:rPr>
                      <w:lang w:val="en-GB" w:eastAsia="en-US"/>
                    </w:rPr>
                  </w:pPr>
                  <w:r w:rsidRPr="006B2A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183753" w14:textId="77777777" w:rsidR="002301F4" w:rsidRPr="006B2AAB" w:rsidRDefault="002301F4" w:rsidP="002301F4">
                  <w:pPr>
                    <w:jc w:val="center"/>
                    <w:rPr>
                      <w:b/>
                      <w:bCs/>
                      <w:color w:val="0000FF"/>
                    </w:rPr>
                  </w:pPr>
                  <w:r w:rsidRPr="006B2A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F3FF8" w14:textId="77777777" w:rsidR="002301F4" w:rsidRPr="006B2AAB" w:rsidRDefault="002301F4" w:rsidP="002301F4">
                  <w:pPr>
                    <w:jc w:val="center"/>
                    <w:rPr>
                      <w:b/>
                      <w:bCs/>
                      <w:color w:val="0000FF"/>
                    </w:rPr>
                  </w:pPr>
                  <w:r w:rsidRPr="006B2AAB">
                    <w:rPr>
                      <w:color w:val="0000FF"/>
                    </w:rPr>
                    <w:sym w:font="Wingdings 2" w:char="F0A3"/>
                  </w:r>
                </w:p>
              </w:tc>
            </w:tr>
          </w:tbl>
          <w:p w14:paraId="5C420B19" w14:textId="77777777" w:rsidR="002301F4" w:rsidRPr="00892787" w:rsidRDefault="002301F4" w:rsidP="002301F4">
            <w:pPr>
              <w:jc w:val="center"/>
              <w:outlineLvl w:val="1"/>
              <w:rPr>
                <w:b/>
                <w:sz w:val="20"/>
                <w:szCs w:val="20"/>
              </w:rPr>
            </w:pPr>
          </w:p>
        </w:tc>
        <w:tc>
          <w:tcPr>
            <w:tcW w:w="3515" w:type="dxa"/>
            <w:vAlign w:val="center"/>
          </w:tcPr>
          <w:p w14:paraId="6CB0AACD" w14:textId="77777777" w:rsidR="002301F4" w:rsidRPr="00892787" w:rsidRDefault="002301F4" w:rsidP="002301F4">
            <w:pPr>
              <w:jc w:val="center"/>
              <w:outlineLvl w:val="1"/>
              <w:rPr>
                <w:sz w:val="20"/>
                <w:szCs w:val="20"/>
              </w:rPr>
            </w:pPr>
          </w:p>
        </w:tc>
      </w:tr>
      <w:tr w:rsidR="002C262A" w:rsidRPr="00892787" w14:paraId="0E04BAE5" w14:textId="77777777" w:rsidTr="00F07AE4">
        <w:trPr>
          <w:gridBefore w:val="1"/>
          <w:trHeight w:val="458"/>
        </w:trPr>
        <w:tc>
          <w:tcPr>
            <w:tcW w:w="14000" w:type="dxa"/>
            <w:gridSpan w:val="10"/>
          </w:tcPr>
          <w:p w14:paraId="64A0CDF4" w14:textId="156877D7" w:rsidR="002C262A" w:rsidRPr="00892787" w:rsidRDefault="00252C8C">
            <w:pPr>
              <w:outlineLvl w:val="1"/>
              <w:rPr>
                <w:sz w:val="20"/>
                <w:szCs w:val="20"/>
              </w:rPr>
            </w:pPr>
            <w:r>
              <w:rPr>
                <w:b/>
                <w:bCs/>
                <w:iCs/>
                <w:sz w:val="20"/>
                <w:szCs w:val="20"/>
                <w:lang w:val="de-DE"/>
              </w:rPr>
              <w:t>II</w:t>
            </w:r>
            <w:r w:rsidR="002C262A" w:rsidRPr="00892787">
              <w:rPr>
                <w:b/>
                <w:bCs/>
                <w:iCs/>
                <w:sz w:val="20"/>
                <w:szCs w:val="20"/>
              </w:rPr>
              <w:t>І. Обявяване на процедурата</w:t>
            </w:r>
          </w:p>
        </w:tc>
      </w:tr>
      <w:tr w:rsidR="002C262A" w:rsidRPr="00892787" w14:paraId="324B4D25" w14:textId="77777777" w:rsidTr="00551333">
        <w:trPr>
          <w:gridBefore w:val="1"/>
          <w:trHeight w:val="458"/>
        </w:trPr>
        <w:tc>
          <w:tcPr>
            <w:tcW w:w="468" w:type="dxa"/>
            <w:gridSpan w:val="4"/>
          </w:tcPr>
          <w:p w14:paraId="6682AB1F" w14:textId="0FCF0354" w:rsidR="002C262A" w:rsidRPr="00892787" w:rsidDel="00960AA6" w:rsidRDefault="00252C8C" w:rsidP="00551333">
            <w:pPr>
              <w:rPr>
                <w:b/>
                <w:bCs/>
                <w:sz w:val="20"/>
                <w:szCs w:val="20"/>
              </w:rPr>
            </w:pPr>
            <w:r>
              <w:rPr>
                <w:b/>
                <w:bCs/>
                <w:sz w:val="20"/>
                <w:szCs w:val="20"/>
                <w:lang w:val="de-DE"/>
              </w:rPr>
              <w:t>1</w:t>
            </w:r>
          </w:p>
        </w:tc>
        <w:tc>
          <w:tcPr>
            <w:tcW w:w="6373" w:type="dxa"/>
            <w:gridSpan w:val="4"/>
            <w:noWrap/>
          </w:tcPr>
          <w:p w14:paraId="3DEBB7FD" w14:textId="77777777" w:rsidR="002C262A" w:rsidRPr="00892787" w:rsidRDefault="002C262A" w:rsidP="00627951">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14:paraId="16FE407A" w14:textId="77777777" w:rsidR="002C262A" w:rsidRPr="00892787" w:rsidRDefault="002C262A" w:rsidP="00627951">
            <w:pPr>
              <w:jc w:val="both"/>
              <w:rPr>
                <w:sz w:val="20"/>
                <w:szCs w:val="20"/>
                <w:lang w:eastAsia="fr-FR"/>
              </w:rPr>
            </w:pPr>
            <w:r w:rsidRPr="00892787">
              <w:rPr>
                <w:b/>
                <w:bCs/>
                <w:sz w:val="20"/>
                <w:szCs w:val="20"/>
                <w:lang w:eastAsia="fr-FR"/>
              </w:rPr>
              <w:t>(чл. 2, ал. 2 от ПМС № 160/2016 г.)</w:t>
            </w:r>
          </w:p>
          <w:p w14:paraId="115B151D" w14:textId="101B1A43" w:rsidR="002C262A" w:rsidRPr="00892787" w:rsidRDefault="002A78B1" w:rsidP="00627951">
            <w:pPr>
              <w:jc w:val="both"/>
              <w:rPr>
                <w:sz w:val="20"/>
                <w:szCs w:val="20"/>
                <w:lang w:eastAsia="fr-FR"/>
              </w:rPr>
            </w:pPr>
            <w:r w:rsidRPr="002A78B1">
              <w:rPr>
                <w:b/>
                <w:color w:val="333399"/>
                <w:sz w:val="20"/>
                <w:szCs w:val="20"/>
              </w:rPr>
              <w:t xml:space="preserve">т. 1 от Насоките/ т. 1, колона № 4 от Приложение № 1 към чл. 2, ал. 1 от Наредбата </w:t>
            </w:r>
            <w:r w:rsidR="002C262A" w:rsidRPr="00892787">
              <w:rPr>
                <w:b/>
                <w:color w:val="C0504D"/>
                <w:sz w:val="20"/>
                <w:szCs w:val="20"/>
              </w:rPr>
              <w:t xml:space="preserve">Насочващи източници на информация: </w:t>
            </w:r>
            <w:r w:rsidR="002C262A" w:rsidRPr="00892787">
              <w:rPr>
                <w:color w:val="C0504D"/>
                <w:sz w:val="20"/>
                <w:szCs w:val="20"/>
              </w:rPr>
              <w:t>прегледайте публичната покана и поканата до конкретни лица</w:t>
            </w:r>
            <w:r w:rsidR="002C262A" w:rsidRPr="00892787">
              <w:rPr>
                <w:bCs/>
                <w:color w:val="C0504D"/>
                <w:sz w:val="20"/>
                <w:szCs w:val="20"/>
              </w:rPr>
              <w:t>.</w:t>
            </w:r>
          </w:p>
          <w:p w14:paraId="635C90D1" w14:textId="77777777" w:rsidR="002C262A" w:rsidRDefault="002C262A" w:rsidP="00627951">
            <w:pPr>
              <w:pStyle w:val="BodyText3"/>
              <w:rPr>
                <w:color w:val="008000"/>
                <w:sz w:val="20"/>
                <w:szCs w:val="20"/>
              </w:rPr>
            </w:pPr>
            <w:r w:rsidRPr="00892787">
              <w:rPr>
                <w:color w:val="008000"/>
                <w:sz w:val="20"/>
                <w:szCs w:val="20"/>
              </w:rPr>
              <w:t>Анализирайте съдържанието на публичната покана и на поканата до конкретни лица.</w:t>
            </w:r>
          </w:p>
          <w:p w14:paraId="52909416" w14:textId="77777777" w:rsidR="002C262A" w:rsidRDefault="002C262A" w:rsidP="00627951">
            <w:pPr>
              <w:pStyle w:val="BodyText3"/>
              <w:rPr>
                <w:color w:val="008000"/>
                <w:sz w:val="20"/>
                <w:szCs w:val="20"/>
              </w:rPr>
            </w:pPr>
          </w:p>
          <w:p w14:paraId="49575F88" w14:textId="062FBDEE" w:rsidR="002C262A" w:rsidRPr="0004372E" w:rsidRDefault="002C262A" w:rsidP="003655F5">
            <w:pPr>
              <w:jc w:val="both"/>
              <w:rPr>
                <w:b/>
                <w:bCs/>
                <w:sz w:val="20"/>
                <w:szCs w:val="20"/>
              </w:rPr>
            </w:pPr>
            <w:r w:rsidRPr="00892787">
              <w:rPr>
                <w:b/>
                <w:bCs/>
                <w:sz w:val="20"/>
                <w:szCs w:val="20"/>
              </w:rPr>
              <w:t xml:space="preserve">Бенефициентът публикувал ли е публичната покана в ИСУН 2020 </w:t>
            </w:r>
            <w:r w:rsidR="005E7B6E" w:rsidRPr="006B547C">
              <w:rPr>
                <w:b/>
                <w:bCs/>
                <w:sz w:val="20"/>
                <w:szCs w:val="20"/>
              </w:rPr>
              <w:t xml:space="preserve"> </w:t>
            </w:r>
            <w:r w:rsidR="005E7B6E">
              <w:rPr>
                <w:b/>
                <w:bCs/>
                <w:sz w:val="20"/>
                <w:szCs w:val="20"/>
              </w:rPr>
              <w:t>и</w:t>
            </w:r>
            <w:r w:rsidRPr="0004372E">
              <w:rPr>
                <w:b/>
                <w:bCs/>
                <w:sz w:val="20"/>
                <w:szCs w:val="20"/>
              </w:rPr>
              <w:t xml:space="preserve"> на Единния информационен портал?</w:t>
            </w:r>
          </w:p>
          <w:p w14:paraId="37F8C643" w14:textId="77777777" w:rsidR="002C262A" w:rsidRPr="0004372E" w:rsidRDefault="002C262A" w:rsidP="003655F5">
            <w:pPr>
              <w:jc w:val="both"/>
              <w:rPr>
                <w:b/>
                <w:bCs/>
                <w:sz w:val="20"/>
                <w:szCs w:val="20"/>
              </w:rPr>
            </w:pPr>
            <w:r w:rsidRPr="0004372E">
              <w:rPr>
                <w:b/>
                <w:bCs/>
                <w:sz w:val="20"/>
                <w:szCs w:val="20"/>
              </w:rPr>
              <w:t>(чл. 2, ал. 1 от ПМС № 160/01.07.2016 г.)</w:t>
            </w:r>
          </w:p>
          <w:p w14:paraId="3005B1A4" w14:textId="2EA82172" w:rsidR="002C262A" w:rsidRPr="00892787" w:rsidRDefault="002A094C" w:rsidP="003655F5">
            <w:pPr>
              <w:jc w:val="both"/>
              <w:rPr>
                <w:b/>
                <w:sz w:val="20"/>
                <w:szCs w:val="20"/>
                <w:lang w:eastAsia="fr-FR"/>
              </w:rPr>
            </w:pPr>
            <w:r w:rsidRPr="002A094C">
              <w:rPr>
                <w:b/>
                <w:color w:val="333399"/>
                <w:sz w:val="20"/>
                <w:szCs w:val="20"/>
              </w:rPr>
              <w:t xml:space="preserve">т. 1 от Насоките/ </w:t>
            </w:r>
            <w:r w:rsidR="002A78B1">
              <w:rPr>
                <w:b/>
                <w:color w:val="333399"/>
                <w:sz w:val="20"/>
                <w:szCs w:val="20"/>
              </w:rPr>
              <w:t xml:space="preserve">т. 1, колона № 4 от </w:t>
            </w:r>
            <w:r w:rsidRPr="002A094C">
              <w:rPr>
                <w:b/>
                <w:color w:val="333399"/>
                <w:sz w:val="20"/>
                <w:szCs w:val="20"/>
              </w:rPr>
              <w:t xml:space="preserve">Приложение № 1 към чл. 2, ал. 1 от Наредбата </w:t>
            </w:r>
            <w:r w:rsidR="002C262A" w:rsidRPr="0004372E">
              <w:rPr>
                <w:b/>
                <w:bCs/>
                <w:color w:val="C0504D"/>
                <w:sz w:val="20"/>
                <w:szCs w:val="20"/>
              </w:rPr>
              <w:t>Насочващи</w:t>
            </w:r>
            <w:r w:rsidR="002C262A" w:rsidRPr="00892787">
              <w:rPr>
                <w:b/>
                <w:bCs/>
                <w:color w:val="C0504D"/>
                <w:sz w:val="20"/>
                <w:szCs w:val="20"/>
              </w:rPr>
              <w:t xml:space="preserve"> източници на информация: </w:t>
            </w:r>
            <w:r w:rsidR="002C262A"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14:paraId="41437530" w14:textId="657CB086" w:rsidR="002C262A" w:rsidRDefault="002C262A" w:rsidP="003655F5">
            <w:pPr>
              <w:pStyle w:val="BodyText3"/>
              <w:rPr>
                <w:color w:val="008000"/>
                <w:sz w:val="20"/>
                <w:szCs w:val="20"/>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p w14:paraId="6E45AA03" w14:textId="696ACCE6" w:rsidR="002C262A" w:rsidRPr="00892787" w:rsidDel="008F4569" w:rsidRDefault="002C262A" w:rsidP="00627951">
            <w:pPr>
              <w:pStyle w:val="BodyText3"/>
              <w:rPr>
                <w:b/>
                <w:bCs/>
                <w:sz w:val="20"/>
                <w:szCs w:val="20"/>
              </w:rPr>
            </w:pPr>
          </w:p>
        </w:tc>
        <w:tc>
          <w:tcPr>
            <w:tcW w:w="3644" w:type="dxa"/>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5E13B8EA" w14:textId="77777777">
              <w:trPr>
                <w:divId w:val="190579714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701917"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7F78B9"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47243B"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5A8CD"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69913F"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F5F063" w14:textId="77777777" w:rsidR="002301F4" w:rsidRDefault="002301F4" w:rsidP="002301F4">
                  <w:pPr>
                    <w:jc w:val="center"/>
                    <w:rPr>
                      <w:b/>
                      <w:bCs/>
                      <w:color w:val="0000FF"/>
                    </w:rPr>
                  </w:pPr>
                  <w:r>
                    <w:rPr>
                      <w:color w:val="0000FF"/>
                    </w:rPr>
                    <w:sym w:font="Wingdings 2" w:char="F0A3"/>
                  </w:r>
                </w:p>
              </w:tc>
            </w:tr>
          </w:tbl>
          <w:p w14:paraId="019822F0" w14:textId="77777777" w:rsidR="002C262A" w:rsidRPr="00892787" w:rsidRDefault="002C262A" w:rsidP="006549F2">
            <w:pPr>
              <w:jc w:val="center"/>
              <w:outlineLvl w:val="1"/>
              <w:rPr>
                <w:sz w:val="20"/>
                <w:szCs w:val="20"/>
              </w:rPr>
            </w:pPr>
          </w:p>
        </w:tc>
        <w:tc>
          <w:tcPr>
            <w:tcW w:w="3515" w:type="dxa"/>
            <w:vAlign w:val="center"/>
          </w:tcPr>
          <w:p w14:paraId="44810FC1" w14:textId="77777777" w:rsidR="002C262A" w:rsidRPr="00892787" w:rsidRDefault="002C262A" w:rsidP="006549F2">
            <w:pPr>
              <w:jc w:val="center"/>
              <w:outlineLvl w:val="1"/>
              <w:rPr>
                <w:sz w:val="20"/>
                <w:szCs w:val="20"/>
              </w:rPr>
            </w:pPr>
          </w:p>
        </w:tc>
      </w:tr>
      <w:tr w:rsidR="002C262A" w:rsidRPr="00892787" w14:paraId="05704ADD" w14:textId="77777777" w:rsidTr="00F07AE4">
        <w:trPr>
          <w:gridBefore w:val="1"/>
          <w:trHeight w:val="458"/>
        </w:trPr>
        <w:tc>
          <w:tcPr>
            <w:tcW w:w="14000" w:type="dxa"/>
            <w:gridSpan w:val="10"/>
          </w:tcPr>
          <w:p w14:paraId="0DDB4F73" w14:textId="63CA31D2" w:rsidR="002C262A" w:rsidRPr="00892787" w:rsidDel="00DA1A75" w:rsidRDefault="002C262A">
            <w:pPr>
              <w:outlineLvl w:val="1"/>
              <w:rPr>
                <w:b/>
                <w:sz w:val="20"/>
                <w:szCs w:val="20"/>
              </w:rPr>
            </w:pPr>
            <w:r w:rsidRPr="00892787">
              <w:rPr>
                <w:b/>
                <w:bCs/>
                <w:iCs/>
                <w:sz w:val="20"/>
                <w:szCs w:val="20"/>
              </w:rPr>
              <w:lastRenderedPageBreak/>
              <w:t>I</w:t>
            </w:r>
            <w:r w:rsidR="00252C8C">
              <w:rPr>
                <w:b/>
                <w:bCs/>
                <w:iCs/>
                <w:sz w:val="20"/>
                <w:szCs w:val="20"/>
                <w:lang w:val="de-DE"/>
              </w:rPr>
              <w:t>V</w:t>
            </w:r>
            <w:r w:rsidRPr="00892787">
              <w:rPr>
                <w:b/>
                <w:bCs/>
                <w:iCs/>
                <w:sz w:val="20"/>
                <w:szCs w:val="20"/>
              </w:rPr>
              <w:t>.</w:t>
            </w:r>
            <w:r w:rsidRPr="00892787">
              <w:rPr>
                <w:b/>
                <w:sz w:val="20"/>
                <w:szCs w:val="20"/>
              </w:rPr>
              <w:t xml:space="preserve"> Срок за получаване на офертите</w:t>
            </w:r>
          </w:p>
        </w:tc>
      </w:tr>
      <w:tr w:rsidR="002C262A" w:rsidRPr="00892787" w14:paraId="4D31B4BB" w14:textId="77777777" w:rsidTr="00551333">
        <w:trPr>
          <w:gridBefore w:val="1"/>
          <w:trHeight w:val="458"/>
        </w:trPr>
        <w:tc>
          <w:tcPr>
            <w:tcW w:w="422" w:type="dxa"/>
            <w:gridSpan w:val="3"/>
          </w:tcPr>
          <w:p w14:paraId="3FF4AC6B" w14:textId="79767317" w:rsidR="002C262A" w:rsidRPr="00892787" w:rsidRDefault="00252C8C" w:rsidP="00551333">
            <w:pPr>
              <w:rPr>
                <w:b/>
                <w:bCs/>
                <w:sz w:val="20"/>
                <w:szCs w:val="20"/>
              </w:rPr>
            </w:pPr>
            <w:r>
              <w:rPr>
                <w:b/>
                <w:bCs/>
                <w:sz w:val="20"/>
                <w:szCs w:val="20"/>
                <w:lang w:val="de-DE"/>
              </w:rPr>
              <w:t>1</w:t>
            </w:r>
          </w:p>
        </w:tc>
        <w:tc>
          <w:tcPr>
            <w:tcW w:w="6419" w:type="dxa"/>
            <w:gridSpan w:val="5"/>
            <w:noWrap/>
          </w:tcPr>
          <w:p w14:paraId="28875E30" w14:textId="77777777" w:rsidR="002C262A" w:rsidRPr="00892787" w:rsidRDefault="002C262A" w:rsidP="00083EF9">
            <w:pPr>
              <w:jc w:val="both"/>
              <w:rPr>
                <w:b/>
                <w:sz w:val="20"/>
                <w:szCs w:val="20"/>
              </w:rPr>
            </w:pPr>
            <w:r w:rsidRPr="00892787">
              <w:rPr>
                <w:b/>
                <w:sz w:val="20"/>
                <w:szCs w:val="20"/>
              </w:rPr>
              <w:t>Срокът за получаване на офертите по чл. 51, ал. 1, т. 4 от ЗУСЕСИФ и чл.2, ал.3 от ПМС 160/2016 г.по-кратък ли е от 7 дни и съобразен ли е със сложността на подготовка на офертата?</w:t>
            </w:r>
          </w:p>
          <w:p w14:paraId="6C351EB1" w14:textId="77777777" w:rsidR="002C262A" w:rsidRPr="00892787" w:rsidRDefault="002C262A" w:rsidP="00083EF9">
            <w:pPr>
              <w:jc w:val="both"/>
              <w:rPr>
                <w:sz w:val="20"/>
                <w:szCs w:val="20"/>
              </w:rPr>
            </w:pPr>
            <w:r w:rsidRPr="00892787">
              <w:rPr>
                <w:sz w:val="20"/>
                <w:szCs w:val="20"/>
              </w:rPr>
              <w:t>Срокът за получаване на офертите не може да бъде по-кратък от 7 дни.</w:t>
            </w:r>
          </w:p>
          <w:p w14:paraId="4CE7628A" w14:textId="4997AFFB" w:rsidR="002C262A" w:rsidRPr="00892787" w:rsidRDefault="002C262A" w:rsidP="00083EF9">
            <w:pPr>
              <w:jc w:val="both"/>
              <w:rPr>
                <w:sz w:val="20"/>
                <w:szCs w:val="20"/>
              </w:rPr>
            </w:pPr>
            <w:r w:rsidRPr="00892787">
              <w:rPr>
                <w:sz w:val="20"/>
                <w:szCs w:val="20"/>
              </w:rPr>
              <w:t xml:space="preserve">Срокът започва да тече от деня, който следва деня на публикуването в ИСУН 2020 </w:t>
            </w:r>
            <w:r>
              <w:rPr>
                <w:sz w:val="20"/>
                <w:szCs w:val="20"/>
              </w:rPr>
              <w:t xml:space="preserve"> и съответно в Единния Информационен портал</w:t>
            </w:r>
            <w:r w:rsidRPr="00892787">
              <w:rPr>
                <w:sz w:val="20"/>
                <w:szCs w:val="20"/>
              </w:rPr>
              <w:t>.</w:t>
            </w:r>
          </w:p>
          <w:p w14:paraId="63BC13E2" w14:textId="77777777" w:rsidR="002C262A" w:rsidRPr="00892787" w:rsidRDefault="002C262A" w:rsidP="00083EF9">
            <w:pPr>
              <w:jc w:val="both"/>
              <w:rPr>
                <w:sz w:val="20"/>
                <w:szCs w:val="20"/>
                <w:lang w:eastAsia="fr-FR"/>
              </w:rPr>
            </w:pPr>
            <w:r w:rsidRPr="00892787">
              <w:rPr>
                <w:b/>
                <w:sz w:val="20"/>
                <w:szCs w:val="20"/>
                <w:lang w:eastAsia="fr-FR"/>
              </w:rPr>
              <w:t>(чл. 51, ал. 1, т. 4 от ЗУСЕСИФ</w:t>
            </w:r>
            <w:r w:rsidRPr="00892787">
              <w:t xml:space="preserve"> </w:t>
            </w:r>
            <w:r w:rsidRPr="00892787">
              <w:rPr>
                <w:b/>
                <w:sz w:val="20"/>
                <w:szCs w:val="20"/>
                <w:lang w:eastAsia="fr-FR"/>
              </w:rPr>
              <w:t>и чл.2, ал.3 от ПМС 160/2016 г.)</w:t>
            </w:r>
          </w:p>
          <w:p w14:paraId="43B14AEF" w14:textId="484AE5B9" w:rsidR="002C262A" w:rsidRPr="00892787" w:rsidRDefault="004141AA" w:rsidP="00083EF9">
            <w:pPr>
              <w:jc w:val="both"/>
              <w:rPr>
                <w:color w:val="C0504D"/>
                <w:sz w:val="20"/>
                <w:szCs w:val="20"/>
              </w:rPr>
            </w:pPr>
            <w:r w:rsidRPr="004141AA">
              <w:rPr>
                <w:b/>
                <w:color w:val="333399"/>
                <w:sz w:val="20"/>
                <w:szCs w:val="20"/>
              </w:rPr>
              <w:t xml:space="preserve">т. 4 от Насоките/т. 4.1., колона № </w:t>
            </w:r>
            <w:r>
              <w:rPr>
                <w:b/>
                <w:color w:val="333399"/>
                <w:sz w:val="20"/>
                <w:szCs w:val="20"/>
              </w:rPr>
              <w:t>4</w:t>
            </w:r>
            <w:r w:rsidRPr="004141AA">
              <w:rPr>
                <w:b/>
                <w:color w:val="333399"/>
                <w:sz w:val="20"/>
                <w:szCs w:val="20"/>
              </w:rPr>
              <w:t xml:space="preserve"> от Приложение № 1 към чл. 2, ал. 1 от Наредбата</w:t>
            </w:r>
            <w:r w:rsidR="002C262A" w:rsidRPr="00892787">
              <w:rPr>
                <w:b/>
                <w:color w:val="C0504D"/>
                <w:sz w:val="20"/>
                <w:szCs w:val="20"/>
              </w:rPr>
              <w:t xml:space="preserve">Насочващи източници на информация: </w:t>
            </w:r>
            <w:r w:rsidR="002C262A"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14:paraId="03948759" w14:textId="77777777" w:rsidR="002C262A" w:rsidRPr="00892787" w:rsidRDefault="002C262A" w:rsidP="00083EF9">
            <w:pPr>
              <w:outlineLvl w:val="1"/>
              <w:rPr>
                <w:color w:val="008000"/>
                <w:sz w:val="20"/>
                <w:szCs w:val="20"/>
              </w:rPr>
            </w:pPr>
            <w:r w:rsidRPr="00892787">
              <w:rPr>
                <w:color w:val="008000"/>
                <w:sz w:val="20"/>
                <w:szCs w:val="20"/>
              </w:rPr>
              <w:t>Анализирайте:</w:t>
            </w:r>
          </w:p>
          <w:p w14:paraId="7419109C" w14:textId="77777777" w:rsidR="002C262A" w:rsidRPr="00892787" w:rsidRDefault="002C262A" w:rsidP="00083EF9">
            <w:pPr>
              <w:outlineLvl w:val="1"/>
              <w:rPr>
                <w:color w:val="008000"/>
                <w:sz w:val="20"/>
                <w:szCs w:val="20"/>
              </w:rPr>
            </w:pPr>
            <w:r w:rsidRPr="00892787">
              <w:rPr>
                <w:color w:val="008000"/>
                <w:sz w:val="20"/>
                <w:szCs w:val="20"/>
              </w:rPr>
              <w:t xml:space="preserve">- дата на публикуване на поканата; </w:t>
            </w:r>
          </w:p>
          <w:p w14:paraId="009F221E" w14:textId="77777777" w:rsidR="002C262A" w:rsidRPr="00892787" w:rsidRDefault="002C262A" w:rsidP="00083EF9">
            <w:pPr>
              <w:outlineLvl w:val="1"/>
              <w:rPr>
                <w:color w:val="008000"/>
                <w:sz w:val="20"/>
                <w:szCs w:val="20"/>
              </w:rPr>
            </w:pPr>
            <w:r w:rsidRPr="00892787">
              <w:rPr>
                <w:color w:val="008000"/>
                <w:sz w:val="20"/>
                <w:szCs w:val="20"/>
              </w:rPr>
              <w:t>- крайната дата за получаване на офертите;</w:t>
            </w:r>
          </w:p>
          <w:p w14:paraId="73EC8CAC" w14:textId="77777777" w:rsidR="002C262A" w:rsidRPr="00892787" w:rsidDel="00083EF9" w:rsidRDefault="002C262A" w:rsidP="00083EF9">
            <w:pPr>
              <w:jc w:val="both"/>
              <w:rPr>
                <w:b/>
                <w:sz w:val="20"/>
                <w:szCs w:val="20"/>
              </w:rPr>
            </w:pPr>
            <w:r w:rsidRPr="00892787">
              <w:rPr>
                <w:color w:val="008000"/>
                <w:sz w:val="20"/>
                <w:szCs w:val="20"/>
              </w:rPr>
              <w:t>- броят на календарните дни между двете дати.</w:t>
            </w:r>
          </w:p>
        </w:tc>
        <w:tc>
          <w:tcPr>
            <w:tcW w:w="3644" w:type="dxa"/>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1C26EF57" w14:textId="77777777">
              <w:trPr>
                <w:divId w:val="38156244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08F1F9"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78744"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4D232E"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B6FA1"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065E1D"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554439" w14:textId="77777777" w:rsidR="002301F4" w:rsidRDefault="002301F4" w:rsidP="002301F4">
                  <w:pPr>
                    <w:jc w:val="center"/>
                    <w:rPr>
                      <w:b/>
                      <w:bCs/>
                      <w:color w:val="0000FF"/>
                    </w:rPr>
                  </w:pPr>
                  <w:r>
                    <w:rPr>
                      <w:color w:val="0000FF"/>
                    </w:rPr>
                    <w:sym w:font="Wingdings 2" w:char="F0A3"/>
                  </w:r>
                </w:p>
              </w:tc>
            </w:tr>
          </w:tbl>
          <w:p w14:paraId="54DD9008" w14:textId="77777777" w:rsidR="002C262A" w:rsidRPr="00892787" w:rsidRDefault="002C262A" w:rsidP="006549F2">
            <w:pPr>
              <w:jc w:val="center"/>
              <w:outlineLvl w:val="1"/>
              <w:rPr>
                <w:sz w:val="20"/>
                <w:szCs w:val="20"/>
              </w:rPr>
            </w:pPr>
          </w:p>
        </w:tc>
        <w:tc>
          <w:tcPr>
            <w:tcW w:w="3515" w:type="dxa"/>
            <w:vAlign w:val="center"/>
          </w:tcPr>
          <w:p w14:paraId="52EB5759" w14:textId="77777777" w:rsidR="002C262A" w:rsidRPr="00892787" w:rsidRDefault="002C262A" w:rsidP="006549F2">
            <w:pPr>
              <w:jc w:val="center"/>
              <w:outlineLvl w:val="1"/>
              <w:rPr>
                <w:sz w:val="20"/>
                <w:szCs w:val="20"/>
              </w:rPr>
            </w:pPr>
          </w:p>
        </w:tc>
      </w:tr>
      <w:tr w:rsidR="002C262A" w:rsidRPr="00892787" w14:paraId="22F5179D" w14:textId="77777777" w:rsidTr="00F07AE4">
        <w:trPr>
          <w:gridBefore w:val="1"/>
          <w:trHeight w:val="363"/>
        </w:trPr>
        <w:tc>
          <w:tcPr>
            <w:tcW w:w="14000" w:type="dxa"/>
            <w:gridSpan w:val="10"/>
          </w:tcPr>
          <w:p w14:paraId="06EF4D11" w14:textId="3D75E476" w:rsidR="002C262A" w:rsidRPr="00892787" w:rsidRDefault="00252C8C">
            <w:pPr>
              <w:outlineLvl w:val="1"/>
              <w:rPr>
                <w:b/>
                <w:sz w:val="20"/>
                <w:szCs w:val="20"/>
              </w:rPr>
            </w:pPr>
            <w:r>
              <w:rPr>
                <w:b/>
                <w:bCs/>
                <w:iCs/>
                <w:sz w:val="20"/>
                <w:szCs w:val="20"/>
                <w:lang w:val="de-DE"/>
              </w:rPr>
              <w:t>V</w:t>
            </w:r>
            <w:r w:rsidR="002C262A" w:rsidRPr="00892787">
              <w:rPr>
                <w:b/>
                <w:bCs/>
                <w:iCs/>
                <w:sz w:val="20"/>
                <w:szCs w:val="20"/>
              </w:rPr>
              <w:t xml:space="preserve">. Условия за възлагане </w:t>
            </w:r>
          </w:p>
        </w:tc>
      </w:tr>
      <w:tr w:rsidR="002C262A" w:rsidRPr="00892787" w14:paraId="64E04519" w14:textId="77777777" w:rsidTr="00551333">
        <w:trPr>
          <w:gridBefore w:val="1"/>
          <w:trHeight w:val="270"/>
        </w:trPr>
        <w:tc>
          <w:tcPr>
            <w:tcW w:w="422" w:type="dxa"/>
            <w:gridSpan w:val="3"/>
          </w:tcPr>
          <w:p w14:paraId="2F979F1A" w14:textId="4130C876" w:rsidR="002C262A" w:rsidRPr="00551333" w:rsidRDefault="00252C8C" w:rsidP="00551333">
            <w:pPr>
              <w:rPr>
                <w:b/>
                <w:bCs/>
                <w:sz w:val="20"/>
                <w:szCs w:val="20"/>
                <w:lang w:val="de-DE"/>
              </w:rPr>
            </w:pPr>
            <w:r>
              <w:rPr>
                <w:b/>
                <w:bCs/>
                <w:sz w:val="20"/>
                <w:szCs w:val="20"/>
                <w:lang w:val="de-DE"/>
              </w:rPr>
              <w:t>1</w:t>
            </w:r>
          </w:p>
        </w:tc>
        <w:tc>
          <w:tcPr>
            <w:tcW w:w="6419" w:type="dxa"/>
            <w:gridSpan w:val="5"/>
            <w:noWrap/>
          </w:tcPr>
          <w:p w14:paraId="66BF83B5" w14:textId="77777777" w:rsidR="002C262A" w:rsidRPr="00892787" w:rsidRDefault="002C262A" w:rsidP="001D1D6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14:paraId="5C2C99BC" w14:textId="77777777" w:rsidR="002C262A" w:rsidRPr="00892787" w:rsidRDefault="002C262A" w:rsidP="001916F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14:paraId="3612991D" w14:textId="77777777" w:rsidR="002C262A" w:rsidRPr="00892787" w:rsidRDefault="002C262A" w:rsidP="001916F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14:paraId="0288C2E2" w14:textId="77777777" w:rsidR="002C262A" w:rsidRPr="00892787" w:rsidRDefault="002C262A" w:rsidP="001916F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14:paraId="53A9074E" w14:textId="77777777" w:rsidR="002C262A" w:rsidRPr="00892787" w:rsidRDefault="002C262A" w:rsidP="001916F9">
            <w:pPr>
              <w:pStyle w:val="BodyText3"/>
              <w:rPr>
                <w:b/>
                <w:sz w:val="20"/>
                <w:szCs w:val="20"/>
                <w:lang w:eastAsia="fr-FR"/>
              </w:rPr>
            </w:pPr>
            <w:r w:rsidRPr="00892787">
              <w:rPr>
                <w:b/>
                <w:sz w:val="20"/>
                <w:szCs w:val="20"/>
                <w:lang w:eastAsia="fr-FR"/>
              </w:rPr>
              <w:t>4. краен срок за подаване на офертите;</w:t>
            </w:r>
          </w:p>
          <w:p w14:paraId="168A25D0" w14:textId="77777777" w:rsidR="002C262A" w:rsidRPr="00892787" w:rsidRDefault="002C262A" w:rsidP="001916F9">
            <w:pPr>
              <w:pStyle w:val="BodyText3"/>
              <w:rPr>
                <w:b/>
                <w:sz w:val="20"/>
                <w:szCs w:val="20"/>
                <w:lang w:eastAsia="fr-FR"/>
              </w:rPr>
            </w:pPr>
            <w:r w:rsidRPr="00892787">
              <w:rPr>
                <w:b/>
                <w:sz w:val="20"/>
                <w:szCs w:val="20"/>
                <w:lang w:eastAsia="fr-FR"/>
              </w:rPr>
              <w:t>5. техническите спецификации, ако има такива;</w:t>
            </w:r>
          </w:p>
          <w:p w14:paraId="4CD96B50" w14:textId="77777777" w:rsidR="002C262A" w:rsidRPr="00892787" w:rsidRDefault="002C262A" w:rsidP="001916F9">
            <w:pPr>
              <w:pStyle w:val="BodyText3"/>
              <w:rPr>
                <w:b/>
                <w:sz w:val="20"/>
                <w:szCs w:val="20"/>
                <w:lang w:eastAsia="fr-FR"/>
              </w:rPr>
            </w:pPr>
            <w:r w:rsidRPr="00892787">
              <w:rPr>
                <w:b/>
                <w:sz w:val="20"/>
                <w:szCs w:val="20"/>
                <w:lang w:eastAsia="fr-FR"/>
              </w:rPr>
              <w:t>6. изисквания към кандидатите - в случай че е приложимо;</w:t>
            </w:r>
          </w:p>
          <w:p w14:paraId="4BF6B23B" w14:textId="77777777" w:rsidR="002C262A" w:rsidRPr="00892787" w:rsidRDefault="002C262A" w:rsidP="001916F9">
            <w:pPr>
              <w:pStyle w:val="BodyText3"/>
              <w:rPr>
                <w:b/>
                <w:sz w:val="20"/>
                <w:szCs w:val="20"/>
                <w:lang w:eastAsia="fr-FR"/>
              </w:rPr>
            </w:pPr>
            <w:r w:rsidRPr="00892787">
              <w:rPr>
                <w:b/>
                <w:sz w:val="20"/>
                <w:szCs w:val="20"/>
                <w:lang w:eastAsia="fr-FR"/>
              </w:rPr>
              <w:t>7. изискванията към офертите;</w:t>
            </w:r>
          </w:p>
          <w:p w14:paraId="522056ED" w14:textId="77777777" w:rsidR="002C262A" w:rsidRPr="00892787" w:rsidRDefault="002C262A" w:rsidP="001916F9">
            <w:pPr>
              <w:pStyle w:val="BodyText3"/>
              <w:rPr>
                <w:b/>
                <w:sz w:val="20"/>
                <w:szCs w:val="20"/>
                <w:lang w:eastAsia="fr-FR"/>
              </w:rPr>
            </w:pPr>
            <w:r w:rsidRPr="00892787">
              <w:rPr>
                <w:b/>
                <w:sz w:val="20"/>
                <w:szCs w:val="20"/>
                <w:lang w:eastAsia="fr-FR"/>
              </w:rPr>
              <w:t>8. проект на договор;</w:t>
            </w:r>
          </w:p>
          <w:p w14:paraId="3DB3A59A" w14:textId="77777777" w:rsidR="002C262A" w:rsidRPr="00892787" w:rsidRDefault="002C262A" w:rsidP="00741646">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14:paraId="2FE4E72D" w14:textId="77777777" w:rsidR="002C262A" w:rsidRPr="00892787" w:rsidRDefault="002C262A" w:rsidP="00783BDC">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и чл. 3 и чл.4 от  ПМС № 160/2016 г.) </w:t>
            </w:r>
          </w:p>
          <w:p w14:paraId="4CC73172" w14:textId="699C3097" w:rsidR="002C262A" w:rsidRPr="00892787" w:rsidRDefault="000A4EDA">
            <w:pPr>
              <w:jc w:val="both"/>
              <w:rPr>
                <w:bCs/>
                <w:color w:val="C0504D"/>
                <w:sz w:val="20"/>
                <w:szCs w:val="20"/>
              </w:rPr>
            </w:pPr>
            <w:r w:rsidRPr="000A4EDA">
              <w:rPr>
                <w:b/>
                <w:color w:val="333399"/>
                <w:sz w:val="20"/>
                <w:szCs w:val="20"/>
              </w:rPr>
              <w:lastRenderedPageBreak/>
              <w:t xml:space="preserve">т. 9 от Насоките/ т. 9.1. и т. 9.2. , колона № </w:t>
            </w:r>
            <w:r>
              <w:rPr>
                <w:b/>
                <w:color w:val="333399"/>
                <w:sz w:val="20"/>
                <w:szCs w:val="20"/>
              </w:rPr>
              <w:t>4</w:t>
            </w:r>
            <w:r w:rsidRPr="000A4EDA">
              <w:rPr>
                <w:b/>
                <w:color w:val="333399"/>
                <w:sz w:val="20"/>
                <w:szCs w:val="20"/>
              </w:rPr>
              <w:t xml:space="preserve"> от Приложение № 1 към чл. 2, ал. 1 от Наредбата</w:t>
            </w:r>
            <w:r w:rsidR="002C262A" w:rsidRPr="00892787">
              <w:rPr>
                <w:b/>
                <w:color w:val="C0504D"/>
                <w:sz w:val="20"/>
                <w:szCs w:val="20"/>
              </w:rPr>
              <w:t xml:space="preserve">Насочващи източници на информация: </w:t>
            </w:r>
            <w:r w:rsidR="002C262A" w:rsidRPr="00892787">
              <w:rPr>
                <w:color w:val="C0504D"/>
                <w:sz w:val="20"/>
                <w:szCs w:val="20"/>
              </w:rPr>
              <w:t>прегледайте публичната покана</w:t>
            </w:r>
            <w:r w:rsidR="002C262A" w:rsidRPr="00892787">
              <w:rPr>
                <w:bCs/>
                <w:color w:val="C0504D"/>
                <w:sz w:val="20"/>
                <w:szCs w:val="20"/>
              </w:rPr>
              <w:t xml:space="preserve">. </w:t>
            </w:r>
          </w:p>
          <w:p w14:paraId="10C0B450" w14:textId="77777777" w:rsidR="002C262A" w:rsidRPr="00892787" w:rsidRDefault="002C262A">
            <w:pPr>
              <w:jc w:val="both"/>
              <w:rPr>
                <w:bCs/>
                <w:color w:val="C0504D"/>
                <w:sz w:val="20"/>
                <w:szCs w:val="20"/>
              </w:rPr>
            </w:pPr>
            <w:r w:rsidRPr="00892787">
              <w:rPr>
                <w:color w:val="008000"/>
                <w:sz w:val="20"/>
                <w:szCs w:val="20"/>
              </w:rPr>
              <w:t>Анализирайте съдържанието на публичната покана.</w:t>
            </w:r>
          </w:p>
        </w:tc>
        <w:tc>
          <w:tcPr>
            <w:tcW w:w="3644" w:type="dxa"/>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77BA78BF" w14:textId="77777777">
              <w:trPr>
                <w:divId w:val="39435413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500C92" w14:textId="77777777" w:rsidR="002301F4" w:rsidRDefault="002301F4" w:rsidP="002301F4">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FEFA67"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9388D"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5B7215"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346905"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ADB30A" w14:textId="77777777" w:rsidR="002301F4" w:rsidRDefault="002301F4" w:rsidP="002301F4">
                  <w:pPr>
                    <w:jc w:val="center"/>
                    <w:rPr>
                      <w:b/>
                      <w:bCs/>
                      <w:color w:val="0000FF"/>
                    </w:rPr>
                  </w:pPr>
                  <w:r>
                    <w:rPr>
                      <w:color w:val="0000FF"/>
                    </w:rPr>
                    <w:sym w:font="Wingdings 2" w:char="F0A3"/>
                  </w:r>
                </w:p>
              </w:tc>
            </w:tr>
          </w:tbl>
          <w:p w14:paraId="4BD228FE" w14:textId="77777777" w:rsidR="002C262A" w:rsidRPr="00892787" w:rsidRDefault="002C262A" w:rsidP="006549F2">
            <w:pPr>
              <w:jc w:val="center"/>
              <w:outlineLvl w:val="1"/>
              <w:rPr>
                <w:sz w:val="20"/>
                <w:szCs w:val="20"/>
              </w:rPr>
            </w:pPr>
          </w:p>
        </w:tc>
        <w:tc>
          <w:tcPr>
            <w:tcW w:w="3515" w:type="dxa"/>
            <w:vAlign w:val="center"/>
          </w:tcPr>
          <w:p w14:paraId="587B807F" w14:textId="77777777" w:rsidR="002C262A" w:rsidRPr="00892787" w:rsidRDefault="002C262A" w:rsidP="006549F2">
            <w:pPr>
              <w:jc w:val="center"/>
              <w:outlineLvl w:val="1"/>
              <w:rPr>
                <w:sz w:val="20"/>
                <w:szCs w:val="20"/>
              </w:rPr>
            </w:pPr>
          </w:p>
        </w:tc>
      </w:tr>
      <w:tr w:rsidR="002301F4" w:rsidRPr="00892787" w14:paraId="374BB196" w14:textId="77777777" w:rsidTr="00551333">
        <w:trPr>
          <w:gridBefore w:val="1"/>
          <w:trHeight w:val="270"/>
        </w:trPr>
        <w:tc>
          <w:tcPr>
            <w:tcW w:w="422" w:type="dxa"/>
            <w:gridSpan w:val="3"/>
          </w:tcPr>
          <w:p w14:paraId="0AC7AA39" w14:textId="63DC0857" w:rsidR="002301F4" w:rsidRPr="00551333" w:rsidRDefault="002301F4" w:rsidP="00551333">
            <w:pPr>
              <w:rPr>
                <w:b/>
                <w:bCs/>
                <w:sz w:val="20"/>
                <w:szCs w:val="20"/>
                <w:lang w:val="de-DE"/>
              </w:rPr>
            </w:pPr>
            <w:r>
              <w:rPr>
                <w:b/>
                <w:bCs/>
                <w:sz w:val="20"/>
                <w:szCs w:val="20"/>
                <w:lang w:val="de-DE"/>
              </w:rPr>
              <w:t>2</w:t>
            </w:r>
          </w:p>
        </w:tc>
        <w:tc>
          <w:tcPr>
            <w:tcW w:w="6419" w:type="dxa"/>
            <w:gridSpan w:val="5"/>
            <w:noWrap/>
          </w:tcPr>
          <w:p w14:paraId="28DA13E4" w14:textId="77777777" w:rsidR="002301F4" w:rsidRPr="00892787" w:rsidRDefault="002301F4" w:rsidP="002301F4">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5139DABC" w14:textId="77777777" w:rsidR="002301F4" w:rsidRPr="00892787" w:rsidRDefault="002301F4" w:rsidP="002301F4">
            <w:pPr>
              <w:jc w:val="both"/>
              <w:rPr>
                <w:b/>
                <w:sz w:val="20"/>
                <w:szCs w:val="20"/>
                <w:lang w:eastAsia="fr-FR"/>
              </w:rPr>
            </w:pPr>
            <w:r w:rsidRPr="00892787">
              <w:rPr>
                <w:b/>
                <w:sz w:val="20"/>
                <w:szCs w:val="20"/>
                <w:lang w:eastAsia="fr-FR"/>
              </w:rPr>
              <w:t>В публичната покана и в методиката за определяне на комплексната оценка на офертите включени ли са 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p>
          <w:p w14:paraId="33892E06" w14:textId="77777777" w:rsidR="002301F4" w:rsidRPr="00892787" w:rsidRDefault="002301F4" w:rsidP="002301F4">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използвани от бенефициента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04FEA01E" w14:textId="48D36255" w:rsidR="002301F4" w:rsidRPr="00892787" w:rsidRDefault="002301F4" w:rsidP="002301F4">
            <w:pPr>
              <w:jc w:val="both"/>
              <w:rPr>
                <w:b/>
                <w:color w:val="000080"/>
                <w:sz w:val="20"/>
                <w:szCs w:val="20"/>
                <w:lang w:eastAsia="pl-PL"/>
              </w:rPr>
            </w:pPr>
            <w:r w:rsidRPr="00DD32B0">
              <w:rPr>
                <w:b/>
                <w:color w:val="000080"/>
                <w:sz w:val="20"/>
                <w:szCs w:val="20"/>
                <w:lang w:eastAsia="pl-PL"/>
              </w:rPr>
              <w:t xml:space="preserve">т. 11 от Насоките/т. 11, колона № </w:t>
            </w:r>
            <w:r>
              <w:rPr>
                <w:b/>
                <w:color w:val="000080"/>
                <w:sz w:val="20"/>
                <w:szCs w:val="20"/>
                <w:lang w:eastAsia="pl-PL"/>
              </w:rPr>
              <w:t>4</w:t>
            </w:r>
            <w:r w:rsidRPr="00DD32B0">
              <w:rPr>
                <w:b/>
                <w:color w:val="000080"/>
                <w:sz w:val="20"/>
                <w:szCs w:val="20"/>
                <w:lang w:eastAsia="pl-PL"/>
              </w:rPr>
              <w:t xml:space="preserve"> от Приложение № 1 към чл. 2, ал. 1 от Наредбата</w:t>
            </w: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14:paraId="375160E9" w14:textId="77777777" w:rsidR="002301F4" w:rsidRPr="00892787" w:rsidRDefault="002301F4" w:rsidP="002301F4">
            <w:pPr>
              <w:jc w:val="both"/>
              <w:rPr>
                <w:color w:val="008000"/>
                <w:sz w:val="20"/>
                <w:szCs w:val="20"/>
                <w:lang w:eastAsia="pl-PL"/>
              </w:rPr>
            </w:pPr>
            <w:r w:rsidRPr="00892787">
              <w:rPr>
                <w:color w:val="00800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комплексната оценка на офертите и публичната покана.</w:t>
            </w:r>
          </w:p>
          <w:p w14:paraId="47FFA575" w14:textId="77777777" w:rsidR="002301F4" w:rsidRPr="00892787" w:rsidRDefault="002301F4" w:rsidP="002301F4">
            <w:pPr>
              <w:jc w:val="both"/>
              <w:rPr>
                <w:b/>
                <w:sz w:val="20"/>
                <w:szCs w:val="20"/>
                <w:highlight w:val="yellow"/>
                <w:u w:val="single"/>
                <w:lang w:eastAsia="fr-FR"/>
              </w:rPr>
            </w:pPr>
            <w:r w:rsidRPr="00892787">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075E31" w14:paraId="506E5467" w14:textId="77777777" w:rsidTr="00C7431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826B79" w14:textId="77777777" w:rsidR="002301F4" w:rsidRPr="00075E31" w:rsidRDefault="002301F4" w:rsidP="002301F4">
                  <w:pPr>
                    <w:jc w:val="center"/>
                    <w:rPr>
                      <w:sz w:val="20"/>
                      <w:szCs w:val="20"/>
                    </w:rPr>
                  </w:pPr>
                  <w:r w:rsidRPr="00075E3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1F325" w14:textId="77777777" w:rsidR="002301F4" w:rsidRPr="00075E31" w:rsidRDefault="002301F4" w:rsidP="002301F4">
                  <w:pPr>
                    <w:jc w:val="center"/>
                    <w:rPr>
                      <w:b/>
                      <w:bCs/>
                      <w:color w:val="0000FF"/>
                      <w:lang w:val="en-GB" w:eastAsia="en-US"/>
                    </w:rPr>
                  </w:pPr>
                  <w:r w:rsidRPr="00075E3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B9CBC0" w14:textId="77777777" w:rsidR="002301F4" w:rsidRPr="00075E31" w:rsidRDefault="002301F4" w:rsidP="002301F4">
                  <w:pPr>
                    <w:jc w:val="center"/>
                    <w:rPr>
                      <w:b/>
                      <w:bCs/>
                      <w:color w:val="0000FF"/>
                      <w:sz w:val="20"/>
                      <w:szCs w:val="20"/>
                    </w:rPr>
                  </w:pPr>
                  <w:r w:rsidRPr="00075E3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CA6195" w14:textId="77777777" w:rsidR="002301F4" w:rsidRPr="00075E31" w:rsidRDefault="002301F4" w:rsidP="002301F4">
                  <w:pPr>
                    <w:jc w:val="center"/>
                    <w:rPr>
                      <w:lang w:val="en-GB" w:eastAsia="en-US"/>
                    </w:rPr>
                  </w:pPr>
                  <w:r w:rsidRPr="00075E3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E935B" w14:textId="77777777" w:rsidR="002301F4" w:rsidRPr="00075E31" w:rsidRDefault="002301F4" w:rsidP="002301F4">
                  <w:pPr>
                    <w:jc w:val="center"/>
                    <w:rPr>
                      <w:b/>
                      <w:bCs/>
                      <w:color w:val="0000FF"/>
                    </w:rPr>
                  </w:pPr>
                  <w:r w:rsidRPr="00075E3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7D835" w14:textId="77777777" w:rsidR="002301F4" w:rsidRPr="00075E31" w:rsidRDefault="002301F4" w:rsidP="002301F4">
                  <w:pPr>
                    <w:jc w:val="center"/>
                    <w:rPr>
                      <w:b/>
                      <w:bCs/>
                      <w:color w:val="0000FF"/>
                    </w:rPr>
                  </w:pPr>
                  <w:r w:rsidRPr="00075E31">
                    <w:rPr>
                      <w:color w:val="0000FF"/>
                    </w:rPr>
                    <w:sym w:font="Wingdings 2" w:char="F0A3"/>
                  </w:r>
                </w:p>
              </w:tc>
            </w:tr>
          </w:tbl>
          <w:p w14:paraId="357B590A" w14:textId="77777777" w:rsidR="002301F4" w:rsidRPr="00892787" w:rsidRDefault="002301F4" w:rsidP="002301F4">
            <w:pPr>
              <w:jc w:val="center"/>
              <w:outlineLvl w:val="1"/>
              <w:rPr>
                <w:sz w:val="20"/>
                <w:szCs w:val="20"/>
              </w:rPr>
            </w:pPr>
          </w:p>
        </w:tc>
        <w:tc>
          <w:tcPr>
            <w:tcW w:w="3515" w:type="dxa"/>
            <w:vAlign w:val="center"/>
          </w:tcPr>
          <w:p w14:paraId="58139ED0" w14:textId="77777777" w:rsidR="002301F4" w:rsidRPr="00892787" w:rsidRDefault="002301F4" w:rsidP="002301F4">
            <w:pPr>
              <w:jc w:val="center"/>
              <w:outlineLvl w:val="1"/>
              <w:rPr>
                <w:sz w:val="20"/>
                <w:szCs w:val="20"/>
              </w:rPr>
            </w:pPr>
          </w:p>
        </w:tc>
      </w:tr>
      <w:tr w:rsidR="002301F4" w:rsidRPr="00892787" w14:paraId="13DBF73B" w14:textId="77777777" w:rsidTr="00551333">
        <w:trPr>
          <w:gridBefore w:val="1"/>
          <w:trHeight w:val="270"/>
        </w:trPr>
        <w:tc>
          <w:tcPr>
            <w:tcW w:w="422" w:type="dxa"/>
            <w:gridSpan w:val="3"/>
          </w:tcPr>
          <w:p w14:paraId="6DE89A5C" w14:textId="4837E9FA" w:rsidR="002301F4" w:rsidRPr="00551333" w:rsidRDefault="002301F4" w:rsidP="00551333">
            <w:pPr>
              <w:rPr>
                <w:b/>
                <w:bCs/>
                <w:sz w:val="20"/>
                <w:szCs w:val="20"/>
                <w:lang w:val="de-DE"/>
              </w:rPr>
            </w:pPr>
            <w:r>
              <w:rPr>
                <w:b/>
                <w:bCs/>
                <w:sz w:val="20"/>
                <w:szCs w:val="20"/>
                <w:lang w:val="de-DE"/>
              </w:rPr>
              <w:t>3</w:t>
            </w:r>
          </w:p>
        </w:tc>
        <w:tc>
          <w:tcPr>
            <w:tcW w:w="6419" w:type="dxa"/>
            <w:gridSpan w:val="5"/>
            <w:noWrap/>
          </w:tcPr>
          <w:p w14:paraId="0F76B795" w14:textId="77777777" w:rsidR="002301F4" w:rsidRPr="00892787" w:rsidRDefault="002301F4" w:rsidP="002301F4">
            <w:pPr>
              <w:jc w:val="both"/>
              <w:rPr>
                <w:b/>
                <w:sz w:val="20"/>
                <w:szCs w:val="20"/>
                <w:lang w:eastAsia="pl-PL"/>
              </w:rPr>
            </w:pPr>
            <w:r w:rsidRPr="00892787">
              <w:rPr>
                <w:b/>
                <w:sz w:val="20"/>
                <w:szCs w:val="20"/>
                <w:lang w:eastAsia="pl-PL"/>
              </w:rPr>
              <w:t>Формулирани ли са условия или изисквания, които необосновано препятстват участието на лица в процедурата</w:t>
            </w:r>
            <w:r w:rsidRPr="00892787" w:rsidDel="00F21A66">
              <w:rPr>
                <w:b/>
                <w:sz w:val="20"/>
                <w:szCs w:val="20"/>
                <w:lang w:eastAsia="pl-PL"/>
              </w:rPr>
              <w:t xml:space="preserve"> </w:t>
            </w:r>
            <w:r w:rsidRPr="00892787">
              <w:rPr>
                <w:b/>
                <w:sz w:val="20"/>
                <w:szCs w:val="20"/>
                <w:lang w:eastAsia="pl-PL"/>
              </w:rPr>
              <w:t>?</w:t>
            </w:r>
          </w:p>
          <w:p w14:paraId="586D81DB" w14:textId="4FDC93E7" w:rsidR="002301F4" w:rsidRPr="00892787" w:rsidRDefault="002301F4" w:rsidP="002301F4">
            <w:pPr>
              <w:jc w:val="both"/>
              <w:rPr>
                <w:color w:val="008000"/>
                <w:sz w:val="20"/>
                <w:szCs w:val="20"/>
                <w:u w:val="single"/>
              </w:rPr>
            </w:pPr>
            <w:r w:rsidRPr="00892787">
              <w:rPr>
                <w:b/>
                <w:sz w:val="20"/>
                <w:szCs w:val="20"/>
              </w:rPr>
              <w:t xml:space="preserve">Формулирани ли са незаконосъобразни изисквания в публичната покана, които водят до неравно третиране или до дискриминация </w:t>
            </w:r>
            <w:r>
              <w:rPr>
                <w:b/>
                <w:sz w:val="20"/>
                <w:szCs w:val="20"/>
              </w:rPr>
              <w:t>кандидатите</w:t>
            </w:r>
            <w:r w:rsidRPr="00892787">
              <w:rPr>
                <w:b/>
                <w:sz w:val="20"/>
                <w:szCs w:val="20"/>
              </w:rPr>
              <w:t xml:space="preserve">, или водят до неспазване на изискванията за </w:t>
            </w:r>
            <w:r w:rsidRPr="00892787">
              <w:rPr>
                <w:b/>
                <w:sz w:val="20"/>
                <w:szCs w:val="20"/>
              </w:rPr>
              <w:lastRenderedPageBreak/>
              <w:t>ефективност, ефикасност и икономичност при разходването на средствата от ЕСИФ?</w:t>
            </w:r>
            <w:r w:rsidRPr="00892787">
              <w:rPr>
                <w:color w:val="008000"/>
                <w:sz w:val="20"/>
                <w:szCs w:val="20"/>
                <w:u w:val="single"/>
              </w:rPr>
              <w:t xml:space="preserve"> </w:t>
            </w:r>
          </w:p>
          <w:p w14:paraId="7C1B8745" w14:textId="77777777" w:rsidR="002301F4" w:rsidRPr="00892787" w:rsidRDefault="002301F4" w:rsidP="002301F4">
            <w:pPr>
              <w:jc w:val="both"/>
              <w:rPr>
                <w:sz w:val="20"/>
                <w:szCs w:val="20"/>
                <w:lang w:eastAsia="pl-PL"/>
              </w:rPr>
            </w:pPr>
            <w:r w:rsidRPr="00892787">
              <w:rPr>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14:paraId="472164AB" w14:textId="3F029A92" w:rsidR="002301F4" w:rsidRPr="00892787" w:rsidRDefault="002301F4" w:rsidP="002301F4">
            <w:pPr>
              <w:jc w:val="both"/>
              <w:rPr>
                <w:sz w:val="20"/>
                <w:szCs w:val="20"/>
                <w:lang w:eastAsia="pl-PL"/>
              </w:rPr>
            </w:pPr>
            <w:r w:rsidRPr="00892787">
              <w:rPr>
                <w:sz w:val="20"/>
                <w:szCs w:val="20"/>
                <w:lang w:eastAsia="pl-PL"/>
              </w:rPr>
              <w:t>При анализа е необходимо да се има предвид,</w:t>
            </w:r>
            <w:r>
              <w:rPr>
                <w:sz w:val="20"/>
                <w:szCs w:val="20"/>
                <w:lang w:eastAsia="pl-PL"/>
              </w:rPr>
              <w:t xml:space="preserve">  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 </w:t>
            </w:r>
            <w:r w:rsidRPr="00892787">
              <w:rPr>
                <w:sz w:val="20"/>
                <w:szCs w:val="20"/>
                <w:lang w:eastAsia="pl-PL"/>
              </w:rPr>
              <w:t xml:space="preserve"> – до 3 години – за доставки и услуги и до 5 години – за строителство.</w:t>
            </w:r>
          </w:p>
          <w:p w14:paraId="671FBEAC" w14:textId="77777777" w:rsidR="002301F4" w:rsidRPr="00892787" w:rsidRDefault="002301F4" w:rsidP="002301F4">
            <w:pPr>
              <w:jc w:val="both"/>
              <w:rPr>
                <w:sz w:val="20"/>
                <w:szCs w:val="20"/>
                <w:lang w:eastAsia="pl-PL"/>
              </w:rPr>
            </w:pPr>
            <w:r w:rsidRPr="00892787">
              <w:rPr>
                <w:sz w:val="20"/>
                <w:szCs w:val="20"/>
                <w:lang w:eastAsia="pl-PL"/>
              </w:rPr>
              <w:t>Съгласно чл. 53, ал. 3 от ЗУСЕСИФ 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14:paraId="47E2C26C" w14:textId="61F0AA41" w:rsidR="002301F4" w:rsidRPr="00892787" w:rsidRDefault="002301F4" w:rsidP="002301F4">
            <w:pPr>
              <w:jc w:val="both"/>
              <w:rPr>
                <w:b/>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xml:space="preserve">, сложност </w:t>
            </w:r>
            <w:r w:rsidRPr="00892787">
              <w:rPr>
                <w:sz w:val="20"/>
                <w:szCs w:val="20"/>
              </w:rPr>
              <w:t>и количество.</w:t>
            </w:r>
            <w:r w:rsidRPr="00892787" w:rsidDel="00EE2C79">
              <w:rPr>
                <w:sz w:val="20"/>
                <w:szCs w:val="20"/>
                <w:lang w:eastAsia="pl-PL"/>
              </w:rPr>
              <w:t xml:space="preserve"> </w:t>
            </w:r>
            <w:r w:rsidRPr="00892787">
              <w:rPr>
                <w:b/>
                <w:sz w:val="20"/>
                <w:szCs w:val="20"/>
                <w:lang w:eastAsia="pl-PL"/>
              </w:rPr>
              <w:t xml:space="preserve">(чл. 50, ал. 1 чл. 51, ал. 4 и чл. 53, ал. 3 от ЗУСЕСИФ, чл. 3, ал.14 от </w:t>
            </w:r>
            <w:r w:rsidRPr="00892787">
              <w:rPr>
                <w:b/>
                <w:sz w:val="20"/>
                <w:szCs w:val="20"/>
                <w:lang w:eastAsia="fr-FR"/>
              </w:rPr>
              <w:t>ПМС № 160/2016 г.</w:t>
            </w:r>
            <w:r w:rsidRPr="00892787">
              <w:rPr>
                <w:b/>
                <w:sz w:val="20"/>
                <w:szCs w:val="20"/>
                <w:lang w:eastAsia="pl-PL"/>
              </w:rPr>
              <w:t>)</w:t>
            </w:r>
          </w:p>
          <w:p w14:paraId="5BA6880A" w14:textId="1B6B901F" w:rsidR="002301F4" w:rsidRPr="00892787" w:rsidRDefault="002301F4" w:rsidP="002301F4">
            <w:pPr>
              <w:jc w:val="both"/>
              <w:rPr>
                <w:b/>
                <w:sz w:val="20"/>
                <w:szCs w:val="20"/>
                <w:lang w:eastAsia="pl-PL"/>
              </w:rPr>
            </w:pPr>
            <w:r w:rsidRPr="00E459A5">
              <w:rPr>
                <w:b/>
                <w:color w:val="000080"/>
                <w:sz w:val="20"/>
                <w:szCs w:val="20"/>
                <w:lang w:eastAsia="pl-PL"/>
              </w:rPr>
              <w:t xml:space="preserve">т. 10 и т. 11 от Насоките/ т. 10 и т. 11, колона № </w:t>
            </w:r>
            <w:r>
              <w:rPr>
                <w:b/>
                <w:color w:val="000080"/>
                <w:sz w:val="20"/>
                <w:szCs w:val="20"/>
                <w:lang w:eastAsia="pl-PL"/>
              </w:rPr>
              <w:t>4</w:t>
            </w:r>
            <w:r w:rsidRPr="00E459A5">
              <w:rPr>
                <w:b/>
                <w:color w:val="000080"/>
                <w:sz w:val="20"/>
                <w:szCs w:val="20"/>
                <w:lang w:eastAsia="pl-PL"/>
              </w:rPr>
              <w:t xml:space="preserve"> от Приложение № 1 към чл. 2, ал. 1 от Наредбата</w:t>
            </w: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и документацията за участие.</w:t>
            </w:r>
          </w:p>
          <w:p w14:paraId="1EBDCF43" w14:textId="77777777" w:rsidR="002301F4" w:rsidRPr="00892787" w:rsidRDefault="002301F4" w:rsidP="002301F4">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14:paraId="72C4F8D5" w14:textId="77777777" w:rsidR="002301F4" w:rsidRPr="00892787" w:rsidRDefault="002301F4" w:rsidP="002301F4">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14:paraId="098AE5C3" w14:textId="77777777" w:rsidR="002301F4" w:rsidRPr="00892787" w:rsidRDefault="002301F4" w:rsidP="002301F4">
            <w:pPr>
              <w:jc w:val="both"/>
              <w:rPr>
                <w:color w:val="008000"/>
                <w:sz w:val="20"/>
                <w:szCs w:val="20"/>
                <w:lang w:eastAsia="pl-PL"/>
              </w:rPr>
            </w:pPr>
            <w:r w:rsidRPr="00892787">
              <w:rPr>
                <w:color w:val="008000"/>
                <w:sz w:val="20"/>
                <w:szCs w:val="20"/>
                <w:lang w:eastAsia="pl-PL"/>
              </w:rPr>
              <w:t xml:space="preserve">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w:t>
            </w:r>
            <w:r w:rsidRPr="00892787">
              <w:rPr>
                <w:color w:val="008000"/>
                <w:sz w:val="20"/>
                <w:szCs w:val="20"/>
                <w:lang w:eastAsia="pl-PL"/>
              </w:rPr>
              <w:lastRenderedPageBreak/>
              <w:t>предвиждащи като показатели за оценка „предложени бонуси от лицата“ и др. подобни.</w:t>
            </w:r>
          </w:p>
          <w:p w14:paraId="309D3059" w14:textId="77777777" w:rsidR="002301F4" w:rsidRPr="00892787" w:rsidRDefault="002301F4" w:rsidP="002301F4">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075E31" w14:paraId="0A67D9B5" w14:textId="77777777" w:rsidTr="00C7431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8C384" w14:textId="77777777" w:rsidR="002301F4" w:rsidRPr="00075E31" w:rsidRDefault="002301F4" w:rsidP="002301F4">
                  <w:pPr>
                    <w:jc w:val="center"/>
                    <w:rPr>
                      <w:sz w:val="20"/>
                      <w:szCs w:val="20"/>
                    </w:rPr>
                  </w:pPr>
                  <w:r w:rsidRPr="00075E3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617F75" w14:textId="77777777" w:rsidR="002301F4" w:rsidRPr="00075E31" w:rsidRDefault="002301F4" w:rsidP="002301F4">
                  <w:pPr>
                    <w:jc w:val="center"/>
                    <w:rPr>
                      <w:b/>
                      <w:bCs/>
                      <w:color w:val="0000FF"/>
                      <w:lang w:val="en-GB" w:eastAsia="en-US"/>
                    </w:rPr>
                  </w:pPr>
                  <w:r w:rsidRPr="00075E3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3A9E8" w14:textId="77777777" w:rsidR="002301F4" w:rsidRPr="00075E31" w:rsidRDefault="002301F4" w:rsidP="002301F4">
                  <w:pPr>
                    <w:jc w:val="center"/>
                    <w:rPr>
                      <w:b/>
                      <w:bCs/>
                      <w:color w:val="0000FF"/>
                      <w:sz w:val="20"/>
                      <w:szCs w:val="20"/>
                    </w:rPr>
                  </w:pPr>
                  <w:r w:rsidRPr="00075E3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7A139B" w14:textId="77777777" w:rsidR="002301F4" w:rsidRPr="00075E31" w:rsidRDefault="002301F4" w:rsidP="002301F4">
                  <w:pPr>
                    <w:jc w:val="center"/>
                    <w:rPr>
                      <w:lang w:val="en-GB" w:eastAsia="en-US"/>
                    </w:rPr>
                  </w:pPr>
                  <w:r w:rsidRPr="00075E3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4EF18E" w14:textId="77777777" w:rsidR="002301F4" w:rsidRPr="00075E31" w:rsidRDefault="002301F4" w:rsidP="002301F4">
                  <w:pPr>
                    <w:jc w:val="center"/>
                    <w:rPr>
                      <w:b/>
                      <w:bCs/>
                      <w:color w:val="0000FF"/>
                    </w:rPr>
                  </w:pPr>
                  <w:r w:rsidRPr="00075E3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95C308" w14:textId="77777777" w:rsidR="002301F4" w:rsidRPr="00075E31" w:rsidRDefault="002301F4" w:rsidP="002301F4">
                  <w:pPr>
                    <w:jc w:val="center"/>
                    <w:rPr>
                      <w:b/>
                      <w:bCs/>
                      <w:color w:val="0000FF"/>
                    </w:rPr>
                  </w:pPr>
                  <w:r w:rsidRPr="00075E31">
                    <w:rPr>
                      <w:color w:val="0000FF"/>
                    </w:rPr>
                    <w:sym w:font="Wingdings 2" w:char="F0A3"/>
                  </w:r>
                </w:p>
              </w:tc>
            </w:tr>
          </w:tbl>
          <w:p w14:paraId="19549D40" w14:textId="77777777" w:rsidR="002301F4" w:rsidRPr="00892787" w:rsidRDefault="002301F4" w:rsidP="002301F4">
            <w:pPr>
              <w:jc w:val="center"/>
              <w:outlineLvl w:val="1"/>
              <w:rPr>
                <w:sz w:val="20"/>
                <w:szCs w:val="20"/>
              </w:rPr>
            </w:pPr>
          </w:p>
        </w:tc>
        <w:tc>
          <w:tcPr>
            <w:tcW w:w="3515" w:type="dxa"/>
            <w:vAlign w:val="center"/>
          </w:tcPr>
          <w:p w14:paraId="5E216EB3" w14:textId="77777777" w:rsidR="002301F4" w:rsidRPr="00892787" w:rsidRDefault="002301F4" w:rsidP="002301F4">
            <w:pPr>
              <w:jc w:val="center"/>
              <w:outlineLvl w:val="1"/>
              <w:rPr>
                <w:sz w:val="20"/>
                <w:szCs w:val="20"/>
              </w:rPr>
            </w:pPr>
          </w:p>
        </w:tc>
      </w:tr>
      <w:tr w:rsidR="002301F4" w:rsidRPr="00892787" w14:paraId="77D0CC6D" w14:textId="77777777" w:rsidTr="00551333">
        <w:trPr>
          <w:gridBefore w:val="1"/>
          <w:trHeight w:val="270"/>
        </w:trPr>
        <w:tc>
          <w:tcPr>
            <w:tcW w:w="422" w:type="dxa"/>
            <w:gridSpan w:val="3"/>
          </w:tcPr>
          <w:p w14:paraId="78A85C62" w14:textId="76CB2459" w:rsidR="002301F4" w:rsidRPr="00551333" w:rsidRDefault="002301F4" w:rsidP="00551333">
            <w:pPr>
              <w:rPr>
                <w:b/>
                <w:bCs/>
                <w:sz w:val="20"/>
                <w:szCs w:val="20"/>
                <w:lang w:val="de-DE"/>
              </w:rPr>
            </w:pPr>
            <w:r>
              <w:rPr>
                <w:b/>
                <w:bCs/>
                <w:sz w:val="20"/>
                <w:szCs w:val="20"/>
                <w:lang w:val="de-DE"/>
              </w:rPr>
              <w:lastRenderedPageBreak/>
              <w:t>4</w:t>
            </w:r>
          </w:p>
        </w:tc>
        <w:tc>
          <w:tcPr>
            <w:tcW w:w="6419" w:type="dxa"/>
            <w:gridSpan w:val="5"/>
            <w:noWrap/>
          </w:tcPr>
          <w:p w14:paraId="6DED2684" w14:textId="77777777" w:rsidR="002301F4" w:rsidRPr="00892787" w:rsidRDefault="002301F4" w:rsidP="002301F4">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3DEB8D2A" w14:textId="77777777" w:rsidR="002301F4" w:rsidRPr="00892787" w:rsidRDefault="002301F4" w:rsidP="002301F4">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0935DCD" w14:textId="77777777" w:rsidR="002301F4" w:rsidRPr="00892787" w:rsidRDefault="002301F4" w:rsidP="002301F4">
            <w:pPr>
              <w:jc w:val="both"/>
              <w:rPr>
                <w:sz w:val="20"/>
                <w:szCs w:val="20"/>
                <w:lang w:eastAsia="fr-FR"/>
              </w:rPr>
            </w:pPr>
            <w:r w:rsidRPr="00892787">
              <w:rPr>
                <w:sz w:val="20"/>
                <w:szCs w:val="20"/>
                <w:lang w:eastAsia="fr-FR"/>
              </w:rPr>
              <w:t>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подпоказатели за оценка, както и до компонентите на оценяване.</w:t>
            </w:r>
          </w:p>
          <w:p w14:paraId="00823746" w14:textId="77777777" w:rsidR="002301F4" w:rsidRPr="00892787" w:rsidRDefault="002301F4" w:rsidP="002301F4">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14:paraId="77FB5947" w14:textId="66389616" w:rsidR="002301F4" w:rsidRPr="00892787" w:rsidRDefault="002301F4" w:rsidP="002301F4">
            <w:pPr>
              <w:jc w:val="both"/>
              <w:rPr>
                <w:color w:val="008000"/>
                <w:sz w:val="20"/>
                <w:szCs w:val="20"/>
              </w:rPr>
            </w:pPr>
            <w:r w:rsidRPr="00345992">
              <w:rPr>
                <w:b/>
                <w:color w:val="000080"/>
                <w:sz w:val="20"/>
                <w:szCs w:val="20"/>
              </w:rPr>
              <w:t xml:space="preserve">т. 9, т. 10 и т. 11 от Насоките/т. 9.1., т. 9.2, т. 10 и т. 11, колона № </w:t>
            </w:r>
            <w:r>
              <w:rPr>
                <w:b/>
                <w:color w:val="000080"/>
                <w:sz w:val="20"/>
                <w:szCs w:val="20"/>
              </w:rPr>
              <w:t>4</w:t>
            </w:r>
            <w:r w:rsidRPr="00345992">
              <w:rPr>
                <w:b/>
                <w:color w:val="000080"/>
                <w:sz w:val="20"/>
                <w:szCs w:val="20"/>
              </w:rPr>
              <w:t xml:space="preserve"> от Приложение № 1 към чл. 2, ал. 1 от Наредбата</w:t>
            </w:r>
            <w:r w:rsidRPr="00892787">
              <w:rPr>
                <w:color w:val="008000"/>
                <w:sz w:val="20"/>
                <w:szCs w:val="20"/>
              </w:rPr>
              <w:t>Анализирайте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009CDE23" w14:textId="77777777" w:rsidR="002301F4" w:rsidRPr="00892787" w:rsidRDefault="002301F4" w:rsidP="002301F4">
            <w:pPr>
              <w:jc w:val="both"/>
              <w:rPr>
                <w:b/>
                <w:sz w:val="20"/>
                <w:szCs w:val="20"/>
                <w:lang w:eastAsia="pl-PL"/>
              </w:rPr>
            </w:pPr>
            <w:r w:rsidRPr="00892787">
              <w:rPr>
                <w:b/>
                <w:sz w:val="20"/>
                <w:szCs w:val="20"/>
                <w:lang w:eastAsia="fr-FR"/>
              </w:rPr>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727590" w14:paraId="418EB9CB" w14:textId="77777777" w:rsidTr="008650A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511B70" w14:textId="77777777" w:rsidR="002301F4" w:rsidRPr="00727590" w:rsidRDefault="002301F4" w:rsidP="002301F4">
                  <w:pPr>
                    <w:jc w:val="center"/>
                    <w:rPr>
                      <w:sz w:val="20"/>
                      <w:szCs w:val="20"/>
                    </w:rPr>
                  </w:pPr>
                  <w:r w:rsidRPr="00727590">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9662B2" w14:textId="77777777" w:rsidR="002301F4" w:rsidRPr="00727590" w:rsidRDefault="002301F4" w:rsidP="002301F4">
                  <w:pPr>
                    <w:jc w:val="center"/>
                    <w:rPr>
                      <w:b/>
                      <w:bCs/>
                      <w:color w:val="0000FF"/>
                      <w:lang w:val="en-GB" w:eastAsia="en-US"/>
                    </w:rPr>
                  </w:pPr>
                  <w:r w:rsidRPr="0072759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550A53" w14:textId="77777777" w:rsidR="002301F4" w:rsidRPr="00727590" w:rsidRDefault="002301F4" w:rsidP="002301F4">
                  <w:pPr>
                    <w:jc w:val="center"/>
                    <w:rPr>
                      <w:b/>
                      <w:bCs/>
                      <w:color w:val="0000FF"/>
                      <w:sz w:val="20"/>
                      <w:szCs w:val="20"/>
                    </w:rPr>
                  </w:pPr>
                  <w:r w:rsidRPr="0072759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79ECD1" w14:textId="77777777" w:rsidR="002301F4" w:rsidRPr="00727590" w:rsidRDefault="002301F4" w:rsidP="002301F4">
                  <w:pPr>
                    <w:jc w:val="center"/>
                    <w:rPr>
                      <w:lang w:val="en-GB" w:eastAsia="en-US"/>
                    </w:rPr>
                  </w:pPr>
                  <w:r w:rsidRPr="0072759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7EDF86" w14:textId="77777777" w:rsidR="002301F4" w:rsidRPr="00727590" w:rsidRDefault="002301F4" w:rsidP="002301F4">
                  <w:pPr>
                    <w:jc w:val="center"/>
                    <w:rPr>
                      <w:b/>
                      <w:bCs/>
                      <w:color w:val="0000FF"/>
                    </w:rPr>
                  </w:pPr>
                  <w:r w:rsidRPr="0072759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51EA19" w14:textId="77777777" w:rsidR="002301F4" w:rsidRPr="00727590" w:rsidRDefault="002301F4" w:rsidP="002301F4">
                  <w:pPr>
                    <w:jc w:val="center"/>
                    <w:rPr>
                      <w:b/>
                      <w:bCs/>
                      <w:color w:val="0000FF"/>
                    </w:rPr>
                  </w:pPr>
                  <w:r w:rsidRPr="00727590">
                    <w:rPr>
                      <w:color w:val="0000FF"/>
                    </w:rPr>
                    <w:sym w:font="Wingdings 2" w:char="F0A3"/>
                  </w:r>
                </w:p>
              </w:tc>
            </w:tr>
          </w:tbl>
          <w:p w14:paraId="1D029EC9" w14:textId="77777777" w:rsidR="002301F4" w:rsidRPr="00892787" w:rsidRDefault="002301F4" w:rsidP="002301F4">
            <w:pPr>
              <w:jc w:val="center"/>
              <w:outlineLvl w:val="1"/>
              <w:rPr>
                <w:sz w:val="20"/>
                <w:szCs w:val="20"/>
              </w:rPr>
            </w:pPr>
          </w:p>
        </w:tc>
        <w:tc>
          <w:tcPr>
            <w:tcW w:w="3515" w:type="dxa"/>
            <w:vAlign w:val="center"/>
          </w:tcPr>
          <w:p w14:paraId="08925619" w14:textId="77777777" w:rsidR="002301F4" w:rsidRPr="00892787" w:rsidRDefault="002301F4" w:rsidP="002301F4">
            <w:pPr>
              <w:jc w:val="center"/>
              <w:outlineLvl w:val="1"/>
              <w:rPr>
                <w:sz w:val="20"/>
                <w:szCs w:val="20"/>
              </w:rPr>
            </w:pPr>
          </w:p>
        </w:tc>
      </w:tr>
      <w:tr w:rsidR="002301F4" w:rsidRPr="00892787" w14:paraId="7723ACBD" w14:textId="77777777" w:rsidTr="00551333">
        <w:trPr>
          <w:gridBefore w:val="1"/>
          <w:trHeight w:val="270"/>
        </w:trPr>
        <w:tc>
          <w:tcPr>
            <w:tcW w:w="422" w:type="dxa"/>
            <w:gridSpan w:val="3"/>
          </w:tcPr>
          <w:p w14:paraId="108F3AD2" w14:textId="38D88BA2" w:rsidR="002301F4" w:rsidRPr="00551333" w:rsidRDefault="002301F4" w:rsidP="00551333">
            <w:pPr>
              <w:rPr>
                <w:b/>
                <w:bCs/>
                <w:sz w:val="20"/>
                <w:szCs w:val="20"/>
                <w:lang w:val="de-DE"/>
              </w:rPr>
            </w:pPr>
            <w:r>
              <w:rPr>
                <w:b/>
                <w:bCs/>
                <w:sz w:val="20"/>
                <w:szCs w:val="20"/>
                <w:lang w:val="de-DE"/>
              </w:rPr>
              <w:t>5</w:t>
            </w:r>
          </w:p>
        </w:tc>
        <w:tc>
          <w:tcPr>
            <w:tcW w:w="6419" w:type="dxa"/>
            <w:gridSpan w:val="5"/>
            <w:noWrap/>
          </w:tcPr>
          <w:p w14:paraId="26ED009D" w14:textId="77777777" w:rsidR="002301F4" w:rsidRPr="00892787" w:rsidRDefault="002301F4" w:rsidP="002301F4">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14:paraId="6D3D4D04" w14:textId="77777777" w:rsidR="002301F4" w:rsidRPr="00892787" w:rsidRDefault="002301F4" w:rsidP="002301F4">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14:paraId="63C08551" w14:textId="77777777" w:rsidR="002301F4" w:rsidRPr="00892787" w:rsidRDefault="002301F4" w:rsidP="002301F4">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w:t>
            </w:r>
            <w:r w:rsidRPr="00892787">
              <w:rPr>
                <w:sz w:val="20"/>
                <w:szCs w:val="20"/>
                <w:lang w:eastAsia="fr-FR"/>
              </w:rPr>
              <w:lastRenderedPageBreak/>
              <w:t xml:space="preserve">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14:paraId="6BC75FCC" w14:textId="77777777" w:rsidR="002301F4" w:rsidRPr="00892787" w:rsidRDefault="002301F4" w:rsidP="002301F4">
            <w:pPr>
              <w:jc w:val="both"/>
              <w:rPr>
                <w:b/>
                <w:sz w:val="20"/>
                <w:szCs w:val="20"/>
                <w:lang w:eastAsia="fr-FR"/>
              </w:rPr>
            </w:pPr>
            <w:r w:rsidRPr="00892787">
              <w:rPr>
                <w:b/>
                <w:sz w:val="20"/>
                <w:szCs w:val="20"/>
                <w:lang w:eastAsia="fr-FR"/>
              </w:rPr>
              <w:t>(чл. 6от ПМС № 160/2016 г.)</w:t>
            </w:r>
          </w:p>
          <w:p w14:paraId="5AB2FA1D" w14:textId="77777777" w:rsidR="002301F4" w:rsidRPr="00892787" w:rsidRDefault="002301F4" w:rsidP="002301F4">
            <w:pPr>
              <w:jc w:val="both"/>
              <w:rPr>
                <w:b/>
                <w:sz w:val="20"/>
                <w:szCs w:val="20"/>
                <w:lang w:eastAsia="fr-FR"/>
              </w:rPr>
            </w:pPr>
            <w:r w:rsidRPr="00892787">
              <w:rPr>
                <w:b/>
                <w:sz w:val="20"/>
                <w:szCs w:val="20"/>
                <w:lang w:eastAsia="fr-FR"/>
              </w:rPr>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14:paraId="1F31FEAF" w14:textId="77777777" w:rsidR="002301F4" w:rsidRPr="00892787" w:rsidRDefault="002301F4" w:rsidP="002301F4">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14:paraId="280D6C8F" w14:textId="4BA5122B" w:rsidR="002301F4" w:rsidRPr="00892787" w:rsidRDefault="002301F4" w:rsidP="002301F4">
            <w:pPr>
              <w:keepNext/>
              <w:keepLines/>
              <w:jc w:val="both"/>
              <w:outlineLvl w:val="1"/>
              <w:rPr>
                <w:color w:val="008000"/>
                <w:sz w:val="20"/>
                <w:szCs w:val="20"/>
              </w:rPr>
            </w:pPr>
            <w:r w:rsidRPr="00F33DC4">
              <w:rPr>
                <w:b/>
                <w:color w:val="000080"/>
                <w:sz w:val="20"/>
                <w:szCs w:val="20"/>
              </w:rPr>
              <w:t xml:space="preserve">т. 9 от Насоките/т. 9.3., колона № </w:t>
            </w:r>
            <w:r>
              <w:rPr>
                <w:b/>
                <w:color w:val="000080"/>
                <w:sz w:val="20"/>
                <w:szCs w:val="20"/>
              </w:rPr>
              <w:t>4</w:t>
            </w:r>
            <w:r w:rsidRPr="00F33DC4">
              <w:rPr>
                <w:b/>
                <w:color w:val="000080"/>
                <w:sz w:val="20"/>
                <w:szCs w:val="20"/>
              </w:rPr>
              <w:t xml:space="preserve"> от Приложение № 1 към чл. 2, ал. 1 от Наредбата</w:t>
            </w:r>
            <w:r w:rsidRPr="00892787">
              <w:rPr>
                <w:color w:val="008000"/>
                <w:sz w:val="20"/>
                <w:szCs w:val="20"/>
              </w:rPr>
              <w:t>За всяко постъпило искане поотделно анализирайте и документирайте:</w:t>
            </w:r>
          </w:p>
          <w:p w14:paraId="260A8211" w14:textId="77777777" w:rsidR="002301F4" w:rsidRPr="00892787" w:rsidRDefault="002301F4" w:rsidP="002301F4">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14:paraId="61D0572A" w14:textId="7C2C9107" w:rsidR="002301F4" w:rsidRPr="00892787" w:rsidRDefault="002301F4" w:rsidP="002301F4">
            <w:pPr>
              <w:jc w:val="both"/>
              <w:rPr>
                <w:b/>
                <w:sz w:val="20"/>
                <w:szCs w:val="20"/>
                <w:u w:val="single"/>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36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727590" w14:paraId="4BAC0315" w14:textId="77777777" w:rsidTr="008650A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A6C20" w14:textId="77777777" w:rsidR="002301F4" w:rsidRPr="00727590" w:rsidRDefault="002301F4" w:rsidP="002301F4">
                  <w:pPr>
                    <w:jc w:val="center"/>
                    <w:rPr>
                      <w:sz w:val="20"/>
                      <w:szCs w:val="20"/>
                    </w:rPr>
                  </w:pPr>
                  <w:r w:rsidRPr="00727590">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92D720" w14:textId="77777777" w:rsidR="002301F4" w:rsidRPr="00727590" w:rsidRDefault="002301F4" w:rsidP="002301F4">
                  <w:pPr>
                    <w:jc w:val="center"/>
                    <w:rPr>
                      <w:b/>
                      <w:bCs/>
                      <w:color w:val="0000FF"/>
                      <w:lang w:val="en-GB" w:eastAsia="en-US"/>
                    </w:rPr>
                  </w:pPr>
                  <w:r w:rsidRPr="0072759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53B5C1" w14:textId="77777777" w:rsidR="002301F4" w:rsidRPr="00727590" w:rsidRDefault="002301F4" w:rsidP="002301F4">
                  <w:pPr>
                    <w:jc w:val="center"/>
                    <w:rPr>
                      <w:b/>
                      <w:bCs/>
                      <w:color w:val="0000FF"/>
                      <w:sz w:val="20"/>
                      <w:szCs w:val="20"/>
                    </w:rPr>
                  </w:pPr>
                  <w:r w:rsidRPr="0072759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705966" w14:textId="77777777" w:rsidR="002301F4" w:rsidRPr="00727590" w:rsidRDefault="002301F4" w:rsidP="002301F4">
                  <w:pPr>
                    <w:jc w:val="center"/>
                    <w:rPr>
                      <w:lang w:val="en-GB" w:eastAsia="en-US"/>
                    </w:rPr>
                  </w:pPr>
                  <w:r w:rsidRPr="0072759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25EF2" w14:textId="77777777" w:rsidR="002301F4" w:rsidRPr="00727590" w:rsidRDefault="002301F4" w:rsidP="002301F4">
                  <w:pPr>
                    <w:jc w:val="center"/>
                    <w:rPr>
                      <w:b/>
                      <w:bCs/>
                      <w:color w:val="0000FF"/>
                    </w:rPr>
                  </w:pPr>
                  <w:r w:rsidRPr="0072759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A128EF" w14:textId="77777777" w:rsidR="002301F4" w:rsidRPr="00727590" w:rsidRDefault="002301F4" w:rsidP="002301F4">
                  <w:pPr>
                    <w:jc w:val="center"/>
                    <w:rPr>
                      <w:b/>
                      <w:bCs/>
                      <w:color w:val="0000FF"/>
                    </w:rPr>
                  </w:pPr>
                  <w:r w:rsidRPr="00727590">
                    <w:rPr>
                      <w:color w:val="0000FF"/>
                    </w:rPr>
                    <w:sym w:font="Wingdings 2" w:char="F0A3"/>
                  </w:r>
                </w:p>
              </w:tc>
            </w:tr>
          </w:tbl>
          <w:p w14:paraId="10ACCE09" w14:textId="77777777" w:rsidR="002301F4" w:rsidRPr="00892787" w:rsidRDefault="002301F4" w:rsidP="002301F4">
            <w:pPr>
              <w:jc w:val="center"/>
              <w:outlineLvl w:val="1"/>
              <w:rPr>
                <w:sz w:val="20"/>
                <w:szCs w:val="20"/>
              </w:rPr>
            </w:pPr>
          </w:p>
        </w:tc>
        <w:tc>
          <w:tcPr>
            <w:tcW w:w="3515" w:type="dxa"/>
            <w:vAlign w:val="center"/>
          </w:tcPr>
          <w:p w14:paraId="5068F8B3" w14:textId="77777777" w:rsidR="002301F4" w:rsidRPr="00892787" w:rsidRDefault="002301F4" w:rsidP="002301F4">
            <w:pPr>
              <w:jc w:val="center"/>
              <w:outlineLvl w:val="1"/>
              <w:rPr>
                <w:sz w:val="20"/>
                <w:szCs w:val="20"/>
              </w:rPr>
            </w:pPr>
          </w:p>
        </w:tc>
      </w:tr>
      <w:tr w:rsidR="004959CD" w:rsidRPr="00892787" w14:paraId="58F3E1D7" w14:textId="77777777" w:rsidTr="00F07AE4">
        <w:trPr>
          <w:gridBefore w:val="1"/>
          <w:trHeight w:val="270"/>
        </w:trPr>
        <w:tc>
          <w:tcPr>
            <w:tcW w:w="14000" w:type="dxa"/>
            <w:gridSpan w:val="10"/>
          </w:tcPr>
          <w:p w14:paraId="6E26A5EB" w14:textId="0F7E53D7" w:rsidR="004959CD" w:rsidRPr="00892787" w:rsidRDefault="00252C8C">
            <w:pPr>
              <w:pStyle w:val="Heading1"/>
              <w:keepNext w:val="0"/>
              <w:jc w:val="both"/>
              <w:rPr>
                <w:bCs/>
                <w:sz w:val="20"/>
              </w:rPr>
            </w:pPr>
            <w:r>
              <w:rPr>
                <w:bCs/>
                <w:sz w:val="20"/>
                <w:lang w:val="de-DE"/>
              </w:rPr>
              <w:t>V</w:t>
            </w:r>
            <w:r w:rsidR="004959CD" w:rsidRPr="00892787">
              <w:rPr>
                <w:bCs/>
                <w:sz w:val="20"/>
              </w:rPr>
              <w:t xml:space="preserve">І. Оценители  </w:t>
            </w:r>
          </w:p>
        </w:tc>
      </w:tr>
      <w:tr w:rsidR="004959CD" w:rsidRPr="00892787" w14:paraId="6F2653BD" w14:textId="77777777" w:rsidTr="00551333">
        <w:trPr>
          <w:gridBefore w:val="1"/>
          <w:trHeight w:val="270"/>
        </w:trPr>
        <w:tc>
          <w:tcPr>
            <w:tcW w:w="422" w:type="dxa"/>
            <w:gridSpan w:val="3"/>
            <w:vAlign w:val="center"/>
          </w:tcPr>
          <w:p w14:paraId="1F2BD6E4" w14:textId="7C630EFB" w:rsidR="004959CD" w:rsidRPr="00551333" w:rsidRDefault="00252C8C" w:rsidP="00551333">
            <w:pPr>
              <w:rPr>
                <w:b/>
                <w:bCs/>
                <w:sz w:val="20"/>
                <w:szCs w:val="20"/>
                <w:lang w:val="de-DE"/>
              </w:rPr>
            </w:pPr>
            <w:r>
              <w:rPr>
                <w:b/>
                <w:bCs/>
                <w:sz w:val="20"/>
                <w:szCs w:val="20"/>
                <w:lang w:val="de-DE"/>
              </w:rPr>
              <w:t>1</w:t>
            </w:r>
          </w:p>
        </w:tc>
        <w:tc>
          <w:tcPr>
            <w:tcW w:w="6391" w:type="dxa"/>
            <w:gridSpan w:val="4"/>
            <w:noWrap/>
          </w:tcPr>
          <w:p w14:paraId="6FDF9DE0" w14:textId="77777777" w:rsidR="004959CD" w:rsidRPr="00892787" w:rsidRDefault="004959CD"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14:paraId="70B88B4A" w14:textId="77777777" w:rsidR="004959CD" w:rsidRPr="00892787" w:rsidRDefault="004959CD"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14:paraId="72C48BE4" w14:textId="77777777" w:rsidR="004959CD" w:rsidRPr="00892787" w:rsidRDefault="004959CD"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14:paraId="680140F6" w14:textId="7E41EBE2" w:rsidR="004959CD" w:rsidRPr="00892787" w:rsidRDefault="008412AA" w:rsidP="00582D14">
            <w:pPr>
              <w:jc w:val="both"/>
              <w:rPr>
                <w:color w:val="008000"/>
                <w:sz w:val="20"/>
                <w:szCs w:val="20"/>
              </w:rPr>
            </w:pPr>
            <w:r w:rsidRPr="008412AA">
              <w:rPr>
                <w:b/>
                <w:color w:val="000080"/>
                <w:sz w:val="20"/>
                <w:szCs w:val="20"/>
              </w:rPr>
              <w:t xml:space="preserve">т. 21 от  Насоките/т. 21, колона № </w:t>
            </w:r>
            <w:r>
              <w:rPr>
                <w:b/>
                <w:color w:val="000080"/>
                <w:sz w:val="20"/>
                <w:szCs w:val="20"/>
              </w:rPr>
              <w:t>4</w:t>
            </w:r>
            <w:r w:rsidRPr="008412AA">
              <w:rPr>
                <w:b/>
                <w:color w:val="000080"/>
                <w:sz w:val="20"/>
                <w:szCs w:val="20"/>
              </w:rPr>
              <w:t xml:space="preserve"> от Приложение № 1 към чл. 2, ал. 1 от Наредбата</w:t>
            </w:r>
            <w:r w:rsidR="004959CD" w:rsidRPr="00892787">
              <w:rPr>
                <w:color w:val="008000"/>
                <w:sz w:val="20"/>
                <w:szCs w:val="20"/>
              </w:rPr>
              <w:t>Анализирайте броя на оценителите, броя на подадените декларации, датата на подаване на декларациите, съдържанието на декларациите.</w:t>
            </w:r>
          </w:p>
          <w:p w14:paraId="1326084B" w14:textId="77777777" w:rsidR="004959CD" w:rsidRPr="00892787" w:rsidRDefault="004959CD" w:rsidP="008F1A9D">
            <w:pPr>
              <w:jc w:val="both"/>
              <w:rPr>
                <w:b/>
                <w:sz w:val="20"/>
                <w:szCs w:val="20"/>
                <w:lang w:eastAsia="fr-FR"/>
              </w:rPr>
            </w:pPr>
            <w:r w:rsidRPr="0089278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кандидат, следва да се направят допълнителни проверки, вкл. в официални регистри и други публични източници на информация.</w:t>
            </w:r>
          </w:p>
        </w:tc>
        <w:tc>
          <w:tcPr>
            <w:tcW w:w="3672" w:type="dxa"/>
            <w:gridSpan w:val="2"/>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3C4C03F3" w14:textId="77777777">
              <w:trPr>
                <w:divId w:val="139966981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5A07F"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B243D"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3A026B"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B7692"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0A59D"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5E6B6D" w14:textId="77777777" w:rsidR="002301F4" w:rsidRDefault="002301F4" w:rsidP="002301F4">
                  <w:pPr>
                    <w:jc w:val="center"/>
                    <w:rPr>
                      <w:b/>
                      <w:bCs/>
                      <w:color w:val="0000FF"/>
                    </w:rPr>
                  </w:pPr>
                  <w:r>
                    <w:rPr>
                      <w:color w:val="0000FF"/>
                    </w:rPr>
                    <w:sym w:font="Wingdings 2" w:char="F0A3"/>
                  </w:r>
                </w:p>
              </w:tc>
            </w:tr>
          </w:tbl>
          <w:p w14:paraId="3518E071" w14:textId="77777777" w:rsidR="004959CD" w:rsidRPr="00892787" w:rsidRDefault="004959CD" w:rsidP="006549F2">
            <w:pPr>
              <w:jc w:val="center"/>
              <w:outlineLvl w:val="1"/>
              <w:rPr>
                <w:sz w:val="20"/>
                <w:szCs w:val="20"/>
              </w:rPr>
            </w:pPr>
          </w:p>
        </w:tc>
        <w:tc>
          <w:tcPr>
            <w:tcW w:w="3515" w:type="dxa"/>
            <w:vAlign w:val="center"/>
          </w:tcPr>
          <w:p w14:paraId="16671590" w14:textId="77777777" w:rsidR="004959CD" w:rsidRPr="00892787" w:rsidRDefault="004959CD" w:rsidP="006549F2">
            <w:pPr>
              <w:ind w:left="110"/>
              <w:jc w:val="center"/>
              <w:outlineLvl w:val="1"/>
              <w:rPr>
                <w:sz w:val="20"/>
                <w:szCs w:val="20"/>
              </w:rPr>
            </w:pPr>
          </w:p>
        </w:tc>
      </w:tr>
      <w:tr w:rsidR="004959CD" w:rsidRPr="00892787" w14:paraId="447F07D7" w14:textId="77777777" w:rsidTr="00F07AE4">
        <w:trPr>
          <w:gridBefore w:val="1"/>
          <w:trHeight w:val="270"/>
        </w:trPr>
        <w:tc>
          <w:tcPr>
            <w:tcW w:w="14000" w:type="dxa"/>
            <w:gridSpan w:val="10"/>
            <w:vAlign w:val="bottom"/>
          </w:tcPr>
          <w:p w14:paraId="2C675FA4" w14:textId="3D4D4A43" w:rsidR="004959CD" w:rsidRPr="00892787" w:rsidRDefault="00252C8C">
            <w:pPr>
              <w:spacing w:after="120"/>
              <w:outlineLvl w:val="1"/>
              <w:rPr>
                <w:b/>
                <w:sz w:val="20"/>
                <w:szCs w:val="20"/>
              </w:rPr>
            </w:pPr>
            <w:r>
              <w:rPr>
                <w:b/>
                <w:sz w:val="20"/>
                <w:szCs w:val="20"/>
                <w:lang w:val="de-DE"/>
              </w:rPr>
              <w:t>V</w:t>
            </w:r>
            <w:r w:rsidR="004959CD" w:rsidRPr="00892787">
              <w:rPr>
                <w:b/>
                <w:sz w:val="20"/>
                <w:szCs w:val="20"/>
              </w:rPr>
              <w:t>ІІ. Работа на оценителите</w:t>
            </w:r>
          </w:p>
        </w:tc>
      </w:tr>
      <w:tr w:rsidR="004959CD" w:rsidRPr="00892787" w14:paraId="75A028E2" w14:textId="77777777" w:rsidTr="00551333">
        <w:trPr>
          <w:gridBefore w:val="1"/>
          <w:trHeight w:val="270"/>
        </w:trPr>
        <w:tc>
          <w:tcPr>
            <w:tcW w:w="422" w:type="dxa"/>
            <w:gridSpan w:val="3"/>
            <w:vAlign w:val="center"/>
          </w:tcPr>
          <w:p w14:paraId="585C942D" w14:textId="5926B698" w:rsidR="004959CD" w:rsidRPr="00551333" w:rsidRDefault="00252C8C" w:rsidP="00551333">
            <w:pPr>
              <w:rPr>
                <w:b/>
                <w:bCs/>
                <w:sz w:val="20"/>
                <w:szCs w:val="20"/>
                <w:lang w:val="de-DE"/>
              </w:rPr>
            </w:pPr>
            <w:r>
              <w:rPr>
                <w:b/>
                <w:bCs/>
                <w:sz w:val="20"/>
                <w:szCs w:val="20"/>
                <w:lang w:val="de-DE"/>
              </w:rPr>
              <w:lastRenderedPageBreak/>
              <w:t>1</w:t>
            </w:r>
          </w:p>
        </w:tc>
        <w:tc>
          <w:tcPr>
            <w:tcW w:w="6363" w:type="dxa"/>
            <w:gridSpan w:val="3"/>
            <w:noWrap/>
          </w:tcPr>
          <w:p w14:paraId="72AD70B7" w14:textId="77777777" w:rsidR="004959CD" w:rsidRPr="00892787" w:rsidRDefault="004959CD" w:rsidP="004D41CB">
            <w:pPr>
              <w:jc w:val="both"/>
              <w:rPr>
                <w:b/>
                <w:sz w:val="20"/>
                <w:szCs w:val="20"/>
                <w:lang w:eastAsia="fr-FR"/>
              </w:rPr>
            </w:pPr>
            <w:r w:rsidRPr="00892787">
              <w:rPr>
                <w:b/>
                <w:sz w:val="20"/>
                <w:szCs w:val="20"/>
                <w:lang w:eastAsia="fr-FR"/>
              </w:rPr>
              <w:t>Правилно ли са установени всички липсващи документи и/или нередовности в документите от офертите на кандидатите?</w:t>
            </w:r>
          </w:p>
          <w:p w14:paraId="02CA0BAE" w14:textId="77777777" w:rsidR="004959CD" w:rsidRPr="00892787" w:rsidRDefault="004959CD" w:rsidP="004D41CB">
            <w:pPr>
              <w:jc w:val="both"/>
              <w:rPr>
                <w:sz w:val="20"/>
                <w:szCs w:val="20"/>
                <w:lang w:eastAsia="fr-FR"/>
              </w:rPr>
            </w:pPr>
            <w:r w:rsidRPr="00892787">
              <w:rPr>
                <w:sz w:val="20"/>
                <w:szCs w:val="20"/>
                <w:lang w:eastAsia="fr-FR"/>
              </w:rPr>
              <w:t>Оценителите са длъжни да установяват всички липсващи документи и нередовности, които се съдържат в офертата на кандидатите.</w:t>
            </w:r>
          </w:p>
          <w:p w14:paraId="1C2EB49B" w14:textId="77777777" w:rsidR="004959CD" w:rsidRPr="00892787" w:rsidRDefault="004959CD" w:rsidP="00551C6A">
            <w:pPr>
              <w:ind w:right="110"/>
              <w:jc w:val="both"/>
              <w:outlineLvl w:val="1"/>
              <w:rPr>
                <w:b/>
                <w:sz w:val="20"/>
                <w:szCs w:val="20"/>
                <w:lang w:eastAsia="fr-FR"/>
              </w:rPr>
            </w:pPr>
            <w:r w:rsidRPr="00892787">
              <w:rPr>
                <w:b/>
                <w:sz w:val="20"/>
                <w:szCs w:val="20"/>
                <w:lang w:eastAsia="fr-FR"/>
              </w:rPr>
              <w:t>(чл. 50, ал. 1 от ЗУСЕСИФ и чл. 8, ал. 2 от ПМС № 160/2016 г.)</w:t>
            </w:r>
          </w:p>
          <w:p w14:paraId="46D36019" w14:textId="77777777" w:rsidR="004959CD" w:rsidRPr="00892787" w:rsidRDefault="004959CD" w:rsidP="004D41CB">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14:paraId="3113A21B" w14:textId="22FAA063" w:rsidR="004959CD" w:rsidRPr="00892787" w:rsidRDefault="00C44C19" w:rsidP="004D41CB">
            <w:pPr>
              <w:jc w:val="both"/>
              <w:rPr>
                <w:color w:val="008000"/>
                <w:sz w:val="20"/>
                <w:szCs w:val="20"/>
              </w:rPr>
            </w:pPr>
            <w:r w:rsidRPr="00C44C19">
              <w:rPr>
                <w:b/>
                <w:color w:val="000080"/>
                <w:sz w:val="20"/>
                <w:szCs w:val="20"/>
              </w:rPr>
              <w:t xml:space="preserve">т. 14, т. 16 от Насоките/ т. 14, т. 16 , колона № </w:t>
            </w:r>
            <w:r>
              <w:rPr>
                <w:b/>
                <w:color w:val="000080"/>
                <w:sz w:val="20"/>
                <w:szCs w:val="20"/>
              </w:rPr>
              <w:t>4</w:t>
            </w:r>
            <w:r w:rsidRPr="00C44C19">
              <w:rPr>
                <w:b/>
                <w:color w:val="000080"/>
                <w:sz w:val="20"/>
                <w:szCs w:val="20"/>
              </w:rPr>
              <w:t xml:space="preserve"> от Приложение № 1 към чл. 2, ал. 1 от Наредбата</w:t>
            </w:r>
            <w:r w:rsidR="004959CD" w:rsidRPr="00892787">
              <w:rPr>
                <w:color w:val="008000"/>
                <w:sz w:val="20"/>
                <w:szCs w:val="20"/>
              </w:rPr>
              <w:t>Анализирайте:</w:t>
            </w:r>
          </w:p>
          <w:p w14:paraId="593EAFB0" w14:textId="77777777" w:rsidR="004959CD" w:rsidRPr="00892787" w:rsidRDefault="004959CD" w:rsidP="004D41CB">
            <w:pPr>
              <w:jc w:val="both"/>
              <w:rPr>
                <w:color w:val="008000"/>
                <w:sz w:val="20"/>
                <w:szCs w:val="20"/>
              </w:rPr>
            </w:pPr>
            <w:r w:rsidRPr="00892787">
              <w:rPr>
                <w:color w:val="008000"/>
                <w:sz w:val="20"/>
                <w:szCs w:val="20"/>
              </w:rPr>
              <w:t>- офертите на ОТСТРАНЕНИТЕ кандидати;</w:t>
            </w:r>
          </w:p>
          <w:p w14:paraId="54E6D086" w14:textId="77777777" w:rsidR="004959CD" w:rsidRPr="00892787" w:rsidRDefault="004959CD" w:rsidP="004D41CB">
            <w:pPr>
              <w:jc w:val="both"/>
              <w:rPr>
                <w:color w:val="008000"/>
                <w:sz w:val="20"/>
                <w:szCs w:val="20"/>
              </w:rPr>
            </w:pPr>
            <w:r w:rsidRPr="00892787">
              <w:rPr>
                <w:color w:val="008000"/>
                <w:sz w:val="20"/>
                <w:szCs w:val="20"/>
              </w:rPr>
              <w:t>- установените от комисията нередовности и</w:t>
            </w:r>
          </w:p>
          <w:p w14:paraId="35DA7980" w14:textId="77777777" w:rsidR="004959CD" w:rsidRPr="00892787" w:rsidRDefault="004959CD" w:rsidP="004D41CB">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14:paraId="1973EEA8" w14:textId="77777777" w:rsidR="004959CD" w:rsidRPr="00892787" w:rsidRDefault="004959CD" w:rsidP="004D41CB">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42E6AF8A" w14:textId="77777777">
              <w:trPr>
                <w:divId w:val="214468748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6CC2B8"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77045A"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EE61C"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FE8BED"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4ACF13"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F6ECC9" w14:textId="77777777" w:rsidR="002301F4" w:rsidRDefault="002301F4" w:rsidP="002301F4">
                  <w:pPr>
                    <w:jc w:val="center"/>
                    <w:rPr>
                      <w:b/>
                      <w:bCs/>
                      <w:color w:val="0000FF"/>
                    </w:rPr>
                  </w:pPr>
                  <w:r>
                    <w:rPr>
                      <w:color w:val="0000FF"/>
                    </w:rPr>
                    <w:sym w:font="Wingdings 2" w:char="F0A3"/>
                  </w:r>
                </w:p>
              </w:tc>
            </w:tr>
          </w:tbl>
          <w:p w14:paraId="0F975DA1" w14:textId="77777777" w:rsidR="004959CD" w:rsidRPr="00892787" w:rsidRDefault="004959CD" w:rsidP="006549F2">
            <w:pPr>
              <w:jc w:val="center"/>
              <w:outlineLvl w:val="1"/>
              <w:rPr>
                <w:b/>
                <w:sz w:val="20"/>
                <w:szCs w:val="20"/>
              </w:rPr>
            </w:pPr>
          </w:p>
        </w:tc>
        <w:tc>
          <w:tcPr>
            <w:tcW w:w="3515" w:type="dxa"/>
            <w:vAlign w:val="center"/>
          </w:tcPr>
          <w:p w14:paraId="3CEF9E9D" w14:textId="77777777" w:rsidR="004959CD" w:rsidRPr="00892787" w:rsidRDefault="004959CD" w:rsidP="006549F2">
            <w:pPr>
              <w:ind w:left="110"/>
              <w:jc w:val="center"/>
              <w:outlineLvl w:val="1"/>
              <w:rPr>
                <w:sz w:val="20"/>
                <w:szCs w:val="20"/>
              </w:rPr>
            </w:pPr>
          </w:p>
        </w:tc>
      </w:tr>
      <w:tr w:rsidR="004959CD" w:rsidRPr="00892787" w14:paraId="6E594B82" w14:textId="77777777" w:rsidTr="00551333">
        <w:trPr>
          <w:gridBefore w:val="1"/>
          <w:trHeight w:val="270"/>
        </w:trPr>
        <w:tc>
          <w:tcPr>
            <w:tcW w:w="422" w:type="dxa"/>
            <w:gridSpan w:val="3"/>
            <w:vAlign w:val="center"/>
          </w:tcPr>
          <w:p w14:paraId="1C4D579F" w14:textId="3452E007" w:rsidR="004959CD" w:rsidRPr="00551333" w:rsidRDefault="00252C8C" w:rsidP="00551333">
            <w:pPr>
              <w:rPr>
                <w:b/>
                <w:bCs/>
                <w:sz w:val="20"/>
                <w:szCs w:val="20"/>
                <w:lang w:val="de-DE"/>
              </w:rPr>
            </w:pPr>
            <w:r>
              <w:rPr>
                <w:b/>
                <w:bCs/>
                <w:sz w:val="20"/>
                <w:szCs w:val="20"/>
                <w:lang w:val="de-DE"/>
              </w:rPr>
              <w:t>2</w:t>
            </w:r>
          </w:p>
        </w:tc>
        <w:tc>
          <w:tcPr>
            <w:tcW w:w="6363" w:type="dxa"/>
            <w:gridSpan w:val="3"/>
            <w:noWrap/>
          </w:tcPr>
          <w:p w14:paraId="5E27296E" w14:textId="77777777" w:rsidR="004959CD" w:rsidRPr="00892787" w:rsidRDefault="004959CD" w:rsidP="00256903">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14:paraId="1F6D436B" w14:textId="77777777" w:rsidR="004959CD" w:rsidRPr="00892787" w:rsidRDefault="004959CD" w:rsidP="00256903">
            <w:pPr>
              <w:jc w:val="both"/>
              <w:rPr>
                <w:sz w:val="20"/>
                <w:szCs w:val="20"/>
                <w:lang w:eastAsia="fr-FR"/>
              </w:rPr>
            </w:pPr>
            <w:r w:rsidRPr="00892787">
              <w:rPr>
                <w:sz w:val="20"/>
                <w:szCs w:val="20"/>
                <w:lang w:eastAsia="fr-FR"/>
              </w:rPr>
              <w:t>1. данни за кандидата;</w:t>
            </w:r>
          </w:p>
          <w:p w14:paraId="3DC02D46" w14:textId="77777777" w:rsidR="004959CD" w:rsidRPr="00892787" w:rsidRDefault="004959CD" w:rsidP="00256903">
            <w:pPr>
              <w:jc w:val="both"/>
              <w:rPr>
                <w:sz w:val="20"/>
                <w:szCs w:val="20"/>
                <w:lang w:eastAsia="fr-FR"/>
              </w:rPr>
            </w:pPr>
            <w:r w:rsidRPr="00892787">
              <w:rPr>
                <w:sz w:val="20"/>
                <w:szCs w:val="20"/>
                <w:lang w:eastAsia="fr-FR"/>
              </w:rPr>
              <w:t>2. техническо предложение за изпълнение на поръчката;</w:t>
            </w:r>
          </w:p>
          <w:p w14:paraId="1095A243" w14:textId="77777777" w:rsidR="004959CD" w:rsidRPr="00892787" w:rsidRDefault="004959CD" w:rsidP="00256903">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14:paraId="577E90EC" w14:textId="77777777" w:rsidR="004959CD" w:rsidRPr="00892787" w:rsidRDefault="004959CD" w:rsidP="00256903">
            <w:pPr>
              <w:jc w:val="both"/>
              <w:rPr>
                <w:sz w:val="20"/>
                <w:szCs w:val="20"/>
                <w:lang w:eastAsia="fr-FR"/>
              </w:rPr>
            </w:pPr>
            <w:r w:rsidRPr="00892787">
              <w:rPr>
                <w:sz w:val="20"/>
                <w:szCs w:val="20"/>
                <w:lang w:eastAsia="fr-FR"/>
              </w:rPr>
              <w:t>4. срок на валидност на офертата, когато  е приложимо;</w:t>
            </w:r>
          </w:p>
          <w:p w14:paraId="2D8A8A7F" w14:textId="77777777" w:rsidR="004959CD" w:rsidRPr="00892787" w:rsidRDefault="004959CD" w:rsidP="00256903">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14:paraId="36EFFF08" w14:textId="77777777" w:rsidR="004959CD" w:rsidRPr="00892787" w:rsidRDefault="004959CD" w:rsidP="00256903">
            <w:pPr>
              <w:jc w:val="both"/>
              <w:rPr>
                <w:sz w:val="20"/>
                <w:szCs w:val="20"/>
                <w:lang w:eastAsia="fr-FR"/>
              </w:rPr>
            </w:pPr>
            <w:r w:rsidRPr="00892787">
              <w:rPr>
                <w:sz w:val="20"/>
                <w:szCs w:val="20"/>
                <w:lang w:eastAsia="fr-FR"/>
              </w:rPr>
              <w:t>6. декларация по чл. 12, ал.1, т.1 от ПМС 160/2016;</w:t>
            </w:r>
          </w:p>
          <w:p w14:paraId="3017A807" w14:textId="77777777" w:rsidR="004959CD" w:rsidRPr="00892787" w:rsidRDefault="004959CD" w:rsidP="00256903">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14:paraId="1695F162" w14:textId="77777777" w:rsidR="004959CD" w:rsidRPr="00892787" w:rsidRDefault="004959CD" w:rsidP="00B24EA4">
            <w:pPr>
              <w:ind w:left="40"/>
              <w:jc w:val="both"/>
              <w:rPr>
                <w:b/>
                <w:i/>
                <w:sz w:val="20"/>
                <w:szCs w:val="20"/>
              </w:rPr>
            </w:pPr>
            <w:r w:rsidRPr="00892787">
              <w:rPr>
                <w:b/>
                <w:sz w:val="20"/>
                <w:szCs w:val="20"/>
              </w:rPr>
              <w:t>(чл. 5 от ПМС № 160/2016 г.)</w:t>
            </w:r>
          </w:p>
          <w:p w14:paraId="1159F21B" w14:textId="77777777" w:rsidR="004959CD" w:rsidRPr="00892787" w:rsidRDefault="004959CD" w:rsidP="00B24EA4">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14:paraId="42A99D72" w14:textId="77777777" w:rsidR="004959CD" w:rsidRPr="00892787" w:rsidRDefault="004959CD">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всички документи от офертата на кандидата, определен за изпълнител.</w:t>
            </w:r>
          </w:p>
          <w:p w14:paraId="1A070178" w14:textId="6C3C049D" w:rsidR="004959CD" w:rsidRPr="00892787" w:rsidRDefault="001350CC" w:rsidP="001C080C">
            <w:pPr>
              <w:jc w:val="both"/>
              <w:rPr>
                <w:color w:val="95B3D7"/>
                <w:sz w:val="20"/>
                <w:szCs w:val="20"/>
              </w:rPr>
            </w:pPr>
            <w:r w:rsidRPr="001350CC">
              <w:rPr>
                <w:b/>
                <w:color w:val="000080"/>
                <w:sz w:val="20"/>
                <w:szCs w:val="20"/>
              </w:rPr>
              <w:lastRenderedPageBreak/>
              <w:t xml:space="preserve">т. 14, т. 15, т. 16, т. 17 от Насоките/ т. 8, т. 14, т. 15, т. 16, т. 17, колона № </w:t>
            </w:r>
            <w:r>
              <w:rPr>
                <w:b/>
                <w:color w:val="000080"/>
                <w:sz w:val="20"/>
                <w:szCs w:val="20"/>
              </w:rPr>
              <w:t>4</w:t>
            </w:r>
            <w:r w:rsidRPr="001350CC">
              <w:rPr>
                <w:b/>
                <w:color w:val="000080"/>
                <w:sz w:val="20"/>
                <w:szCs w:val="20"/>
              </w:rPr>
              <w:t xml:space="preserve"> от Приложение № 1 към чл. 2, ал. 1 от Наредбата</w:t>
            </w:r>
            <w:r w:rsidR="004959CD" w:rsidRPr="00892787">
              <w:rPr>
                <w:b/>
                <w:color w:val="95B3D7"/>
                <w:sz w:val="20"/>
                <w:szCs w:val="20"/>
              </w:rPr>
              <w:t>използвайте Таблица № 1</w:t>
            </w:r>
          </w:p>
          <w:p w14:paraId="19D011FE" w14:textId="77777777" w:rsidR="004959CD" w:rsidRPr="00892787" w:rsidRDefault="004959CD" w:rsidP="005C13B1">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14:paraId="5E4F03A6" w14:textId="77777777" w:rsidR="004959CD" w:rsidRPr="00892787" w:rsidRDefault="004959CD" w:rsidP="00DF63BD">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14:paraId="184BDECD" w14:textId="77777777" w:rsidR="004959CD" w:rsidRPr="00892787" w:rsidRDefault="004959CD" w:rsidP="00DF63BD">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14:paraId="31AF2A87" w14:textId="77777777" w:rsidR="004959CD" w:rsidRPr="00892787" w:rsidRDefault="004959CD" w:rsidP="00DF63BD">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14:paraId="27FF3E88" w14:textId="77777777" w:rsidR="004959CD" w:rsidRPr="00892787" w:rsidRDefault="004959CD" w:rsidP="005907FD">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131F1DE5" w14:textId="77777777">
              <w:trPr>
                <w:divId w:val="48701574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E2C63B" w14:textId="77777777" w:rsidR="002301F4" w:rsidRDefault="002301F4" w:rsidP="002301F4">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DB765D"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5898B7"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E77088"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4F941"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B295F" w14:textId="77777777" w:rsidR="002301F4" w:rsidRDefault="002301F4" w:rsidP="002301F4">
                  <w:pPr>
                    <w:jc w:val="center"/>
                    <w:rPr>
                      <w:b/>
                      <w:bCs/>
                      <w:color w:val="0000FF"/>
                    </w:rPr>
                  </w:pPr>
                  <w:r>
                    <w:rPr>
                      <w:color w:val="0000FF"/>
                    </w:rPr>
                    <w:sym w:font="Wingdings 2" w:char="F0A3"/>
                  </w:r>
                </w:p>
              </w:tc>
            </w:tr>
          </w:tbl>
          <w:p w14:paraId="060EB7CF" w14:textId="77777777" w:rsidR="004959CD" w:rsidRPr="00892787" w:rsidRDefault="004959CD" w:rsidP="006549F2">
            <w:pPr>
              <w:jc w:val="center"/>
              <w:outlineLvl w:val="1"/>
              <w:rPr>
                <w:sz w:val="20"/>
                <w:szCs w:val="20"/>
              </w:rPr>
            </w:pPr>
          </w:p>
        </w:tc>
        <w:tc>
          <w:tcPr>
            <w:tcW w:w="3515" w:type="dxa"/>
            <w:vAlign w:val="center"/>
          </w:tcPr>
          <w:p w14:paraId="7DAE2FDA" w14:textId="77777777" w:rsidR="004959CD" w:rsidRPr="00892787" w:rsidRDefault="004959CD" w:rsidP="006549F2">
            <w:pPr>
              <w:jc w:val="center"/>
              <w:outlineLvl w:val="1"/>
              <w:rPr>
                <w:b/>
                <w:sz w:val="20"/>
                <w:szCs w:val="20"/>
              </w:rPr>
            </w:pPr>
          </w:p>
        </w:tc>
      </w:tr>
      <w:tr w:rsidR="002301F4" w:rsidRPr="00892787" w14:paraId="1D576D9C" w14:textId="77777777" w:rsidTr="00551333">
        <w:trPr>
          <w:gridBefore w:val="1"/>
          <w:trHeight w:val="270"/>
        </w:trPr>
        <w:tc>
          <w:tcPr>
            <w:tcW w:w="422" w:type="dxa"/>
            <w:gridSpan w:val="3"/>
          </w:tcPr>
          <w:p w14:paraId="72B29C01" w14:textId="13F6082C" w:rsidR="002301F4" w:rsidRPr="00551333" w:rsidRDefault="002301F4" w:rsidP="00551333">
            <w:pPr>
              <w:rPr>
                <w:b/>
                <w:bCs/>
                <w:sz w:val="20"/>
                <w:szCs w:val="20"/>
                <w:lang w:val="de-DE"/>
              </w:rPr>
            </w:pPr>
            <w:r>
              <w:rPr>
                <w:b/>
                <w:bCs/>
                <w:sz w:val="20"/>
                <w:szCs w:val="20"/>
                <w:lang w:val="de-DE"/>
              </w:rPr>
              <w:t>3</w:t>
            </w:r>
          </w:p>
        </w:tc>
        <w:tc>
          <w:tcPr>
            <w:tcW w:w="6363" w:type="dxa"/>
            <w:gridSpan w:val="3"/>
            <w:noWrap/>
          </w:tcPr>
          <w:p w14:paraId="4917D437" w14:textId="77777777" w:rsidR="002301F4" w:rsidRPr="00892787" w:rsidRDefault="002301F4" w:rsidP="002301F4">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14:paraId="32351394" w14:textId="77777777" w:rsidR="002301F4" w:rsidRPr="00892787" w:rsidRDefault="002301F4" w:rsidP="002301F4">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14:paraId="707DEEC8" w14:textId="268706CB" w:rsidR="002301F4" w:rsidRPr="00892787" w:rsidRDefault="002301F4" w:rsidP="002301F4">
            <w:pPr>
              <w:jc w:val="both"/>
              <w:rPr>
                <w:b/>
                <w:color w:val="000080"/>
                <w:sz w:val="20"/>
                <w:szCs w:val="20"/>
                <w:lang w:eastAsia="pl-PL"/>
              </w:rPr>
            </w:pPr>
            <w:r w:rsidRPr="00843F1B">
              <w:rPr>
                <w:b/>
                <w:color w:val="000080"/>
                <w:sz w:val="20"/>
                <w:szCs w:val="20"/>
                <w:lang w:eastAsia="pl-PL"/>
              </w:rPr>
              <w:t xml:space="preserve">т. 14, т. 15, т. 16, т. 17 и т. 20 от Насоките/ т. 14, т. 15, т. 16, т. 17 и т. 20 колона № </w:t>
            </w:r>
            <w:r>
              <w:rPr>
                <w:b/>
                <w:color w:val="000080"/>
                <w:sz w:val="20"/>
                <w:szCs w:val="20"/>
                <w:lang w:eastAsia="pl-PL"/>
              </w:rPr>
              <w:t>4</w:t>
            </w:r>
            <w:r w:rsidRPr="00843F1B">
              <w:rPr>
                <w:b/>
                <w:color w:val="000080"/>
                <w:sz w:val="20"/>
                <w:szCs w:val="20"/>
                <w:lang w:eastAsia="pl-PL"/>
              </w:rPr>
              <w:t xml:space="preserve"> от Приложение № 1 към чл. 2, ал. 1 от Наредбата</w:t>
            </w: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14:paraId="2A3E6066" w14:textId="77777777" w:rsidR="002301F4" w:rsidRPr="00892787" w:rsidRDefault="002301F4" w:rsidP="002301F4">
            <w:pPr>
              <w:jc w:val="both"/>
              <w:rPr>
                <w:color w:val="008000"/>
                <w:sz w:val="20"/>
                <w:szCs w:val="20"/>
                <w:lang w:eastAsia="pl-PL"/>
              </w:rPr>
            </w:pPr>
            <w:r w:rsidRPr="00892787">
              <w:rPr>
                <w:color w:val="008000"/>
                <w:sz w:val="20"/>
                <w:szCs w:val="20"/>
                <w:lang w:eastAsia="pl-PL"/>
              </w:rPr>
              <w:t xml:space="preserve">Анализирайте наименованията на отстранените кандидати. За всеки от тях по отделно проверете и анализирайте дали са налице основанията за </w:t>
            </w:r>
            <w:r w:rsidRPr="00892787">
              <w:rPr>
                <w:color w:val="008000"/>
                <w:sz w:val="20"/>
                <w:szCs w:val="20"/>
                <w:lang w:eastAsia="pl-PL"/>
              </w:rPr>
              <w:lastRenderedPageBreak/>
              <w:t>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14:paraId="3604F8B4" w14:textId="77777777" w:rsidR="002301F4" w:rsidRPr="00892787" w:rsidRDefault="002301F4" w:rsidP="002301F4">
            <w:pPr>
              <w:jc w:val="both"/>
              <w:rPr>
                <w:color w:val="008000"/>
                <w:sz w:val="20"/>
                <w:szCs w:val="20"/>
              </w:rPr>
            </w:pPr>
            <w:r w:rsidRPr="00892787">
              <w:rPr>
                <w:color w:val="008000"/>
                <w:sz w:val="20"/>
                <w:szCs w:val="20"/>
              </w:rPr>
              <w:t>За целта е необходимо да се прегледат офертите на отстранените лица в частта, относима към основанието за отстраняването им. Прегледът включва:</w:t>
            </w:r>
          </w:p>
          <w:p w14:paraId="77C5EE73" w14:textId="77777777" w:rsidR="002301F4" w:rsidRPr="00892787" w:rsidRDefault="002301F4" w:rsidP="002301F4">
            <w:pPr>
              <w:numPr>
                <w:ilvl w:val="0"/>
                <w:numId w:val="66"/>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14:paraId="7F59A28A" w14:textId="77777777" w:rsidR="002301F4" w:rsidRPr="00892787" w:rsidRDefault="002301F4" w:rsidP="002301F4">
            <w:pPr>
              <w:numPr>
                <w:ilvl w:val="0"/>
                <w:numId w:val="66"/>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933DE" w14:paraId="139C87BE" w14:textId="77777777" w:rsidTr="007573A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F36B6D" w14:textId="77777777" w:rsidR="002301F4" w:rsidRPr="006933DE" w:rsidRDefault="002301F4" w:rsidP="002301F4">
                  <w:pPr>
                    <w:jc w:val="center"/>
                    <w:rPr>
                      <w:sz w:val="20"/>
                      <w:szCs w:val="20"/>
                    </w:rPr>
                  </w:pPr>
                  <w:r w:rsidRPr="006933DE">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CF989" w14:textId="77777777" w:rsidR="002301F4" w:rsidRPr="006933DE" w:rsidRDefault="002301F4" w:rsidP="002301F4">
                  <w:pPr>
                    <w:jc w:val="center"/>
                    <w:rPr>
                      <w:b/>
                      <w:bCs/>
                      <w:color w:val="0000FF"/>
                      <w:lang w:val="en-GB" w:eastAsia="en-US"/>
                    </w:rPr>
                  </w:pPr>
                  <w:r w:rsidRPr="006933D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DB471" w14:textId="77777777" w:rsidR="002301F4" w:rsidRPr="006933DE" w:rsidRDefault="002301F4" w:rsidP="002301F4">
                  <w:pPr>
                    <w:jc w:val="center"/>
                    <w:rPr>
                      <w:b/>
                      <w:bCs/>
                      <w:color w:val="0000FF"/>
                      <w:sz w:val="20"/>
                      <w:szCs w:val="20"/>
                    </w:rPr>
                  </w:pPr>
                  <w:r w:rsidRPr="006933D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02B50" w14:textId="77777777" w:rsidR="002301F4" w:rsidRPr="006933DE" w:rsidRDefault="002301F4" w:rsidP="002301F4">
                  <w:pPr>
                    <w:jc w:val="center"/>
                    <w:rPr>
                      <w:lang w:val="en-GB" w:eastAsia="en-US"/>
                    </w:rPr>
                  </w:pPr>
                  <w:r w:rsidRPr="006933D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BA9B37" w14:textId="77777777" w:rsidR="002301F4" w:rsidRPr="006933DE" w:rsidRDefault="002301F4" w:rsidP="002301F4">
                  <w:pPr>
                    <w:jc w:val="center"/>
                    <w:rPr>
                      <w:b/>
                      <w:bCs/>
                      <w:color w:val="0000FF"/>
                    </w:rPr>
                  </w:pPr>
                  <w:r w:rsidRPr="006933D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17042" w14:textId="77777777" w:rsidR="002301F4" w:rsidRPr="006933DE" w:rsidRDefault="002301F4" w:rsidP="002301F4">
                  <w:pPr>
                    <w:jc w:val="center"/>
                    <w:rPr>
                      <w:b/>
                      <w:bCs/>
                      <w:color w:val="0000FF"/>
                    </w:rPr>
                  </w:pPr>
                  <w:r w:rsidRPr="006933DE">
                    <w:rPr>
                      <w:color w:val="0000FF"/>
                    </w:rPr>
                    <w:sym w:font="Wingdings 2" w:char="F0A3"/>
                  </w:r>
                </w:p>
              </w:tc>
            </w:tr>
          </w:tbl>
          <w:p w14:paraId="2CBD9693" w14:textId="77777777" w:rsidR="002301F4" w:rsidRPr="00892787" w:rsidRDefault="002301F4" w:rsidP="002301F4">
            <w:pPr>
              <w:jc w:val="center"/>
              <w:outlineLvl w:val="1"/>
              <w:rPr>
                <w:sz w:val="20"/>
                <w:szCs w:val="20"/>
              </w:rPr>
            </w:pPr>
          </w:p>
        </w:tc>
        <w:tc>
          <w:tcPr>
            <w:tcW w:w="3515" w:type="dxa"/>
            <w:vAlign w:val="center"/>
          </w:tcPr>
          <w:p w14:paraId="0046446C" w14:textId="77777777" w:rsidR="002301F4" w:rsidRPr="00892787" w:rsidRDefault="002301F4" w:rsidP="002301F4">
            <w:pPr>
              <w:jc w:val="center"/>
              <w:outlineLvl w:val="1"/>
              <w:rPr>
                <w:b/>
                <w:sz w:val="20"/>
                <w:szCs w:val="20"/>
              </w:rPr>
            </w:pPr>
          </w:p>
        </w:tc>
      </w:tr>
      <w:tr w:rsidR="002301F4" w:rsidRPr="00892787" w14:paraId="64954280" w14:textId="77777777" w:rsidTr="00551333">
        <w:trPr>
          <w:gridBefore w:val="1"/>
          <w:trHeight w:val="270"/>
        </w:trPr>
        <w:tc>
          <w:tcPr>
            <w:tcW w:w="422" w:type="dxa"/>
            <w:gridSpan w:val="3"/>
          </w:tcPr>
          <w:p w14:paraId="3E14BB62" w14:textId="326213DB" w:rsidR="002301F4" w:rsidRPr="00892787" w:rsidRDefault="002301F4" w:rsidP="00551333">
            <w:pPr>
              <w:rPr>
                <w:b/>
                <w:bCs/>
                <w:sz w:val="20"/>
                <w:szCs w:val="20"/>
              </w:rPr>
            </w:pPr>
            <w:r>
              <w:rPr>
                <w:b/>
                <w:bCs/>
                <w:sz w:val="20"/>
                <w:szCs w:val="20"/>
                <w:lang w:val="de-DE"/>
              </w:rPr>
              <w:t>4</w:t>
            </w:r>
          </w:p>
        </w:tc>
        <w:tc>
          <w:tcPr>
            <w:tcW w:w="6363" w:type="dxa"/>
            <w:gridSpan w:val="3"/>
            <w:noWrap/>
          </w:tcPr>
          <w:p w14:paraId="3C6583E8" w14:textId="77777777" w:rsidR="002301F4" w:rsidRPr="00892787" w:rsidRDefault="002301F4" w:rsidP="002301F4">
            <w:pPr>
              <w:jc w:val="both"/>
              <w:rPr>
                <w:b/>
                <w:sz w:val="20"/>
                <w:szCs w:val="20"/>
                <w:lang w:eastAsia="fr-FR"/>
              </w:rPr>
            </w:pPr>
            <w:r w:rsidRPr="00892787">
              <w:rPr>
                <w:b/>
                <w:sz w:val="20"/>
                <w:szCs w:val="20"/>
                <w:lang w:eastAsia="fr-FR"/>
              </w:rPr>
              <w:t>Подизпълнител на кандидата, определен за изпълнител, представил ли е самостоятелна оферта?</w:t>
            </w:r>
          </w:p>
          <w:p w14:paraId="1D8224F0" w14:textId="77777777" w:rsidR="002301F4" w:rsidRPr="00892787" w:rsidRDefault="002301F4" w:rsidP="002301F4">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представил ли е самостоятелна оферта?</w:t>
            </w:r>
          </w:p>
          <w:p w14:paraId="24CFD3DF" w14:textId="77777777" w:rsidR="002301F4" w:rsidRPr="00892787" w:rsidRDefault="002301F4" w:rsidP="002301F4">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3FFCCD4" w14:textId="77777777" w:rsidR="002301F4" w:rsidRPr="00892787" w:rsidRDefault="002301F4" w:rsidP="002301F4">
            <w:pPr>
              <w:jc w:val="both"/>
              <w:rPr>
                <w:b/>
                <w:sz w:val="20"/>
                <w:szCs w:val="20"/>
                <w:lang w:eastAsia="fr-FR"/>
              </w:rPr>
            </w:pPr>
            <w:r w:rsidRPr="00892787">
              <w:rPr>
                <w:b/>
                <w:sz w:val="20"/>
                <w:szCs w:val="20"/>
                <w:lang w:eastAsia="fr-FR"/>
              </w:rPr>
              <w:t>В процедурата участвали ли са свързани лица, подали самостоятелни оферти?</w:t>
            </w:r>
          </w:p>
          <w:p w14:paraId="1761D169" w14:textId="77777777" w:rsidR="002301F4" w:rsidRPr="00892787" w:rsidRDefault="002301F4" w:rsidP="002301F4">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14:paraId="1EAB6E4E" w14:textId="77777777" w:rsidR="002301F4" w:rsidRPr="00892787" w:rsidRDefault="002301F4" w:rsidP="002301F4">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1B372EA" w14:textId="77777777" w:rsidR="002301F4" w:rsidRPr="00892787" w:rsidRDefault="002301F4" w:rsidP="002301F4">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14:paraId="4C4C46E9" w14:textId="77777777" w:rsidR="002301F4" w:rsidRPr="00892787" w:rsidRDefault="002301F4" w:rsidP="002301F4">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14:paraId="04257098" w14:textId="4B9A208F" w:rsidR="002301F4" w:rsidRPr="00892787" w:rsidRDefault="002301F4" w:rsidP="002301F4">
            <w:pPr>
              <w:jc w:val="both"/>
              <w:rPr>
                <w:color w:val="008000"/>
                <w:sz w:val="20"/>
                <w:szCs w:val="20"/>
              </w:rPr>
            </w:pPr>
            <w:r w:rsidRPr="006C1AEB">
              <w:rPr>
                <w:b/>
                <w:color w:val="000080"/>
                <w:sz w:val="20"/>
                <w:szCs w:val="20"/>
              </w:rPr>
              <w:t xml:space="preserve">т. 14 от Насоките/ т. 14, колона № </w:t>
            </w:r>
            <w:r>
              <w:rPr>
                <w:b/>
                <w:color w:val="000080"/>
                <w:sz w:val="20"/>
                <w:szCs w:val="20"/>
              </w:rPr>
              <w:t>4</w:t>
            </w:r>
            <w:r w:rsidRPr="006C1AEB">
              <w:rPr>
                <w:b/>
                <w:color w:val="000080"/>
                <w:sz w:val="20"/>
                <w:szCs w:val="20"/>
              </w:rPr>
              <w:t xml:space="preserve"> от Приложение № 1 към чл. 2, ал. 1 от Наредбата</w:t>
            </w:r>
            <w:r w:rsidRPr="006C1AEB" w:rsidDel="006C1AEB">
              <w:rPr>
                <w:b/>
                <w:color w:val="000080"/>
                <w:sz w:val="20"/>
                <w:szCs w:val="20"/>
              </w:rPr>
              <w:t xml:space="preserve"> </w:t>
            </w:r>
            <w:r w:rsidRPr="00892787">
              <w:rPr>
                <w:color w:val="008000"/>
                <w:sz w:val="20"/>
                <w:szCs w:val="20"/>
              </w:rPr>
              <w:t xml:space="preserve">Прегледайте офертата на кандидата, определен за изпълнител. Проверете дали същият е декларирал, че ще използва </w:t>
            </w:r>
            <w:r w:rsidRPr="00892787">
              <w:rPr>
                <w:color w:val="008000"/>
                <w:sz w:val="20"/>
                <w:szCs w:val="20"/>
              </w:rPr>
              <w:lastRenderedPageBreak/>
              <w:t>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B5D2620" w14:textId="77777777" w:rsidR="002301F4" w:rsidRPr="00892787" w:rsidRDefault="002301F4" w:rsidP="002301F4">
            <w:pPr>
              <w:jc w:val="both"/>
              <w:rPr>
                <w:b/>
                <w:sz w:val="20"/>
                <w:szCs w:val="20"/>
                <w:lang w:eastAsia="fr-FR"/>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933DE" w14:paraId="0B6D261A" w14:textId="77777777" w:rsidTr="007573A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04FEC" w14:textId="77777777" w:rsidR="002301F4" w:rsidRPr="006933DE" w:rsidRDefault="002301F4" w:rsidP="002301F4">
                  <w:pPr>
                    <w:jc w:val="center"/>
                    <w:rPr>
                      <w:sz w:val="20"/>
                      <w:szCs w:val="20"/>
                    </w:rPr>
                  </w:pPr>
                  <w:r w:rsidRPr="006933DE">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71103" w14:textId="77777777" w:rsidR="002301F4" w:rsidRPr="006933DE" w:rsidRDefault="002301F4" w:rsidP="002301F4">
                  <w:pPr>
                    <w:jc w:val="center"/>
                    <w:rPr>
                      <w:b/>
                      <w:bCs/>
                      <w:color w:val="0000FF"/>
                      <w:lang w:val="en-GB" w:eastAsia="en-US"/>
                    </w:rPr>
                  </w:pPr>
                  <w:r w:rsidRPr="006933D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478BB" w14:textId="77777777" w:rsidR="002301F4" w:rsidRPr="006933DE" w:rsidRDefault="002301F4" w:rsidP="002301F4">
                  <w:pPr>
                    <w:jc w:val="center"/>
                    <w:rPr>
                      <w:b/>
                      <w:bCs/>
                      <w:color w:val="0000FF"/>
                      <w:sz w:val="20"/>
                      <w:szCs w:val="20"/>
                    </w:rPr>
                  </w:pPr>
                  <w:r w:rsidRPr="006933D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87334" w14:textId="77777777" w:rsidR="002301F4" w:rsidRPr="006933DE" w:rsidRDefault="002301F4" w:rsidP="002301F4">
                  <w:pPr>
                    <w:jc w:val="center"/>
                    <w:rPr>
                      <w:lang w:val="en-GB" w:eastAsia="en-US"/>
                    </w:rPr>
                  </w:pPr>
                  <w:r w:rsidRPr="006933D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8607D" w14:textId="77777777" w:rsidR="002301F4" w:rsidRPr="006933DE" w:rsidRDefault="002301F4" w:rsidP="002301F4">
                  <w:pPr>
                    <w:jc w:val="center"/>
                    <w:rPr>
                      <w:b/>
                      <w:bCs/>
                      <w:color w:val="0000FF"/>
                    </w:rPr>
                  </w:pPr>
                  <w:r w:rsidRPr="006933D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5A8A01" w14:textId="77777777" w:rsidR="002301F4" w:rsidRPr="006933DE" w:rsidRDefault="002301F4" w:rsidP="002301F4">
                  <w:pPr>
                    <w:jc w:val="center"/>
                    <w:rPr>
                      <w:b/>
                      <w:bCs/>
                      <w:color w:val="0000FF"/>
                    </w:rPr>
                  </w:pPr>
                  <w:r w:rsidRPr="006933DE">
                    <w:rPr>
                      <w:color w:val="0000FF"/>
                    </w:rPr>
                    <w:sym w:font="Wingdings 2" w:char="F0A3"/>
                  </w:r>
                </w:p>
              </w:tc>
            </w:tr>
          </w:tbl>
          <w:p w14:paraId="2F8C683A" w14:textId="77777777" w:rsidR="002301F4" w:rsidRPr="00892787" w:rsidRDefault="002301F4" w:rsidP="002301F4">
            <w:pPr>
              <w:jc w:val="center"/>
              <w:outlineLvl w:val="1"/>
              <w:rPr>
                <w:sz w:val="20"/>
                <w:szCs w:val="20"/>
              </w:rPr>
            </w:pPr>
          </w:p>
        </w:tc>
        <w:tc>
          <w:tcPr>
            <w:tcW w:w="3515" w:type="dxa"/>
            <w:vAlign w:val="center"/>
          </w:tcPr>
          <w:p w14:paraId="3887414D" w14:textId="77777777" w:rsidR="002301F4" w:rsidRPr="00892787" w:rsidRDefault="002301F4" w:rsidP="002301F4">
            <w:pPr>
              <w:jc w:val="center"/>
              <w:outlineLvl w:val="1"/>
              <w:rPr>
                <w:b/>
                <w:sz w:val="20"/>
                <w:szCs w:val="20"/>
              </w:rPr>
            </w:pPr>
          </w:p>
        </w:tc>
      </w:tr>
      <w:tr w:rsidR="004959CD" w:rsidRPr="00892787" w14:paraId="21EA00FA" w14:textId="77777777" w:rsidTr="00551333">
        <w:trPr>
          <w:gridBefore w:val="1"/>
          <w:trHeight w:val="270"/>
        </w:trPr>
        <w:tc>
          <w:tcPr>
            <w:tcW w:w="422" w:type="dxa"/>
            <w:gridSpan w:val="3"/>
          </w:tcPr>
          <w:p w14:paraId="4D250A35" w14:textId="36B85813" w:rsidR="004959CD" w:rsidRPr="00551333" w:rsidRDefault="00252C8C" w:rsidP="00551333">
            <w:pPr>
              <w:rPr>
                <w:b/>
                <w:bCs/>
                <w:sz w:val="20"/>
                <w:szCs w:val="20"/>
                <w:lang w:val="de-DE"/>
              </w:rPr>
            </w:pPr>
            <w:r>
              <w:rPr>
                <w:b/>
                <w:bCs/>
                <w:sz w:val="20"/>
                <w:szCs w:val="20"/>
                <w:lang w:val="de-DE"/>
              </w:rPr>
              <w:t>5</w:t>
            </w:r>
          </w:p>
        </w:tc>
        <w:tc>
          <w:tcPr>
            <w:tcW w:w="6363" w:type="dxa"/>
            <w:gridSpan w:val="3"/>
            <w:noWrap/>
          </w:tcPr>
          <w:p w14:paraId="210567B3" w14:textId="77777777" w:rsidR="004959CD" w:rsidRPr="00892787" w:rsidRDefault="004959CD"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14:paraId="67680CB3" w14:textId="77777777" w:rsidR="004959CD" w:rsidRPr="00892787" w:rsidRDefault="004959CD"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14:paraId="1DBC2498" w14:textId="77777777" w:rsidR="004959CD" w:rsidRPr="00892787" w:rsidRDefault="004959CD" w:rsidP="00C32BEA">
            <w:pPr>
              <w:keepLines/>
              <w:jc w:val="both"/>
              <w:outlineLvl w:val="0"/>
              <w:rPr>
                <w:b/>
                <w:bCs/>
                <w:sz w:val="20"/>
                <w:szCs w:val="20"/>
                <w:lang w:eastAsia="pl-PL"/>
              </w:rPr>
            </w:pPr>
            <w:r w:rsidRPr="00892787">
              <w:rPr>
                <w:b/>
                <w:sz w:val="20"/>
                <w:szCs w:val="20"/>
                <w:lang w:eastAsia="fr-FR"/>
              </w:rPr>
              <w:t>)</w:t>
            </w:r>
            <w:r w:rsidRPr="00892787">
              <w:rPr>
                <w:b/>
                <w:bCs/>
                <w:sz w:val="20"/>
                <w:szCs w:val="20"/>
                <w:lang w:eastAsia="pl-PL"/>
              </w:rPr>
              <w:t xml:space="preserve"> </w:t>
            </w:r>
          </w:p>
          <w:p w14:paraId="566A74B9" w14:textId="1108B65D" w:rsidR="004959CD" w:rsidRPr="00892787" w:rsidRDefault="00480022" w:rsidP="00C32BEA">
            <w:pPr>
              <w:ind w:right="110"/>
              <w:jc w:val="both"/>
              <w:outlineLvl w:val="1"/>
              <w:rPr>
                <w:b/>
                <w:color w:val="000080"/>
                <w:sz w:val="20"/>
                <w:szCs w:val="20"/>
                <w:lang w:eastAsia="pl-PL"/>
              </w:rPr>
            </w:pPr>
            <w:r w:rsidRPr="00480022">
              <w:rPr>
                <w:b/>
                <w:color w:val="000080"/>
                <w:sz w:val="20"/>
                <w:szCs w:val="20"/>
                <w:lang w:eastAsia="pl-PL"/>
              </w:rPr>
              <w:t xml:space="preserve">т. 15 т. 16, т. 17 от Насоките / т. 15, т. 16, т. 17 , колона № </w:t>
            </w:r>
            <w:r>
              <w:rPr>
                <w:b/>
                <w:color w:val="000080"/>
                <w:sz w:val="20"/>
                <w:szCs w:val="20"/>
                <w:lang w:eastAsia="pl-PL"/>
              </w:rPr>
              <w:t>4</w:t>
            </w:r>
            <w:r w:rsidRPr="00480022">
              <w:rPr>
                <w:b/>
                <w:color w:val="000080"/>
                <w:sz w:val="20"/>
                <w:szCs w:val="20"/>
                <w:lang w:eastAsia="pl-PL"/>
              </w:rPr>
              <w:t xml:space="preserve"> от Приложение № 1 към чл. 2, ал. 1 от Наредбата</w:t>
            </w:r>
            <w:r w:rsidR="004959CD" w:rsidRPr="00892787">
              <w:rPr>
                <w:b/>
                <w:bCs/>
                <w:color w:val="C0504D"/>
                <w:sz w:val="20"/>
                <w:szCs w:val="20"/>
                <w:lang w:eastAsia="pl-PL"/>
              </w:rPr>
              <w:t xml:space="preserve">Насочващи източници на информация: </w:t>
            </w:r>
            <w:r w:rsidR="004959CD" w:rsidRPr="00892787">
              <w:rPr>
                <w:bCs/>
                <w:color w:val="C0504D"/>
                <w:sz w:val="20"/>
                <w:szCs w:val="20"/>
                <w:lang w:eastAsia="pl-PL"/>
              </w:rPr>
              <w:t xml:space="preserve">прегледайте </w:t>
            </w:r>
            <w:r w:rsidR="004959CD"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14:paraId="4D0CC2F6" w14:textId="77777777" w:rsidR="004959CD" w:rsidRPr="00892787" w:rsidRDefault="004959CD"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14:paraId="7DA02477" w14:textId="77777777" w:rsidR="004959CD" w:rsidRPr="00892787" w:rsidRDefault="004959CD" w:rsidP="00867B2D">
            <w:pPr>
              <w:jc w:val="both"/>
              <w:rPr>
                <w:b/>
                <w:sz w:val="20"/>
                <w:szCs w:val="20"/>
                <w:lang w:eastAsia="fr-FR"/>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0B6489F1" w14:textId="77777777">
              <w:trPr>
                <w:divId w:val="95652534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4038E9"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423C0"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6C662E"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9895A1"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10DB2"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671A31" w14:textId="77777777" w:rsidR="002301F4" w:rsidRDefault="002301F4" w:rsidP="002301F4">
                  <w:pPr>
                    <w:jc w:val="center"/>
                    <w:rPr>
                      <w:b/>
                      <w:bCs/>
                      <w:color w:val="0000FF"/>
                    </w:rPr>
                  </w:pPr>
                  <w:r>
                    <w:rPr>
                      <w:color w:val="0000FF"/>
                    </w:rPr>
                    <w:sym w:font="Wingdings 2" w:char="F0A3"/>
                  </w:r>
                </w:p>
              </w:tc>
            </w:tr>
          </w:tbl>
          <w:p w14:paraId="03A3E5EA" w14:textId="77777777" w:rsidR="004959CD" w:rsidRPr="00892787" w:rsidRDefault="004959CD" w:rsidP="006549F2">
            <w:pPr>
              <w:jc w:val="center"/>
              <w:outlineLvl w:val="1"/>
              <w:rPr>
                <w:sz w:val="20"/>
                <w:szCs w:val="20"/>
              </w:rPr>
            </w:pPr>
          </w:p>
        </w:tc>
        <w:tc>
          <w:tcPr>
            <w:tcW w:w="3515" w:type="dxa"/>
            <w:vAlign w:val="center"/>
          </w:tcPr>
          <w:p w14:paraId="41B7FF13" w14:textId="77777777" w:rsidR="004959CD" w:rsidRPr="00892787" w:rsidRDefault="004959CD" w:rsidP="006549F2">
            <w:pPr>
              <w:jc w:val="center"/>
              <w:outlineLvl w:val="1"/>
              <w:rPr>
                <w:b/>
                <w:sz w:val="20"/>
                <w:szCs w:val="20"/>
              </w:rPr>
            </w:pPr>
          </w:p>
        </w:tc>
      </w:tr>
      <w:tr w:rsidR="004959CD" w:rsidRPr="00892787" w14:paraId="2DF26AE2" w14:textId="77777777" w:rsidTr="00F07AE4">
        <w:trPr>
          <w:gridBefore w:val="1"/>
          <w:trHeight w:val="270"/>
        </w:trPr>
        <w:tc>
          <w:tcPr>
            <w:tcW w:w="14000" w:type="dxa"/>
            <w:gridSpan w:val="10"/>
          </w:tcPr>
          <w:p w14:paraId="046BAD89" w14:textId="3D37BF48" w:rsidR="004959CD" w:rsidRPr="00892787" w:rsidRDefault="00252C8C">
            <w:pPr>
              <w:pStyle w:val="Heading1"/>
              <w:keepNext w:val="0"/>
              <w:jc w:val="both"/>
              <w:rPr>
                <w:bCs/>
                <w:sz w:val="20"/>
              </w:rPr>
            </w:pPr>
            <w:r>
              <w:rPr>
                <w:bCs/>
                <w:sz w:val="20"/>
                <w:lang w:val="de-DE"/>
              </w:rPr>
              <w:t>V</w:t>
            </w:r>
            <w:r w:rsidR="004959CD" w:rsidRPr="00892787">
              <w:rPr>
                <w:bCs/>
                <w:sz w:val="20"/>
              </w:rPr>
              <w:t>ІІІ. Протокол за класиране и определяне на изпълнител</w:t>
            </w:r>
          </w:p>
        </w:tc>
      </w:tr>
      <w:tr w:rsidR="004959CD" w:rsidRPr="00892787" w14:paraId="090DAD5D" w14:textId="77777777" w:rsidTr="00551333">
        <w:trPr>
          <w:gridBefore w:val="1"/>
          <w:trHeight w:val="270"/>
        </w:trPr>
        <w:tc>
          <w:tcPr>
            <w:tcW w:w="422" w:type="dxa"/>
            <w:gridSpan w:val="3"/>
          </w:tcPr>
          <w:p w14:paraId="47FB3AD7" w14:textId="711C609A" w:rsidR="004959CD" w:rsidRPr="00551333" w:rsidRDefault="00252C8C" w:rsidP="00551333">
            <w:pPr>
              <w:rPr>
                <w:b/>
                <w:bCs/>
                <w:sz w:val="20"/>
                <w:szCs w:val="20"/>
                <w:lang w:val="de-DE"/>
              </w:rPr>
            </w:pPr>
            <w:r>
              <w:rPr>
                <w:b/>
                <w:bCs/>
                <w:sz w:val="20"/>
                <w:szCs w:val="20"/>
                <w:lang w:val="de-DE"/>
              </w:rPr>
              <w:t>1</w:t>
            </w:r>
          </w:p>
        </w:tc>
        <w:tc>
          <w:tcPr>
            <w:tcW w:w="6363" w:type="dxa"/>
            <w:gridSpan w:val="3"/>
            <w:noWrap/>
          </w:tcPr>
          <w:p w14:paraId="0C0D22AD" w14:textId="77777777" w:rsidR="004959CD" w:rsidRPr="00892787" w:rsidRDefault="004959CD"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14:paraId="6EF7EEC8" w14:textId="5CF46CE5" w:rsidR="004959CD" w:rsidRPr="00892787" w:rsidRDefault="004959CD"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w:t>
            </w:r>
            <w:r w:rsidRPr="00892787">
              <w:rPr>
                <w:b/>
                <w:bCs/>
                <w:sz w:val="20"/>
                <w:szCs w:val="20"/>
              </w:rPr>
              <w:t>за извършеното класиране. Осигурен е достъп до протокола при постъпило надлежно искане.</w:t>
            </w:r>
          </w:p>
          <w:p w14:paraId="389067BE" w14:textId="77777777" w:rsidR="004959CD" w:rsidRPr="00892787" w:rsidRDefault="004959CD" w:rsidP="007D1F3D">
            <w:pPr>
              <w:ind w:right="110"/>
              <w:jc w:val="both"/>
              <w:outlineLvl w:val="1"/>
              <w:rPr>
                <w:b/>
                <w:sz w:val="20"/>
                <w:szCs w:val="20"/>
                <w:lang w:eastAsia="fr-FR"/>
              </w:rPr>
            </w:pPr>
            <w:r w:rsidRPr="00892787">
              <w:rPr>
                <w:b/>
                <w:bCs/>
                <w:i/>
                <w:sz w:val="20"/>
                <w:szCs w:val="20"/>
              </w:rPr>
              <w:lastRenderedPageBreak/>
              <w:t xml:space="preserve">Забележка: </w:t>
            </w:r>
            <w:r w:rsidRPr="00892787">
              <w:rPr>
                <w:bCs/>
                <w:sz w:val="20"/>
                <w:szCs w:val="20"/>
              </w:rPr>
              <w:t>Не е необходимо издаване на отделен акт (решение) за определяне на изпълнител.</w:t>
            </w:r>
          </w:p>
          <w:p w14:paraId="16E8ABE2" w14:textId="2802877A" w:rsidR="004959CD" w:rsidRPr="00892787" w:rsidRDefault="004959CD">
            <w:pPr>
              <w:pStyle w:val="Heading1"/>
              <w:keepNext w:val="0"/>
              <w:spacing w:before="0" w:line="240" w:lineRule="auto"/>
              <w:jc w:val="both"/>
              <w:rPr>
                <w:sz w:val="20"/>
                <w:lang w:eastAsia="fr-FR"/>
              </w:rPr>
            </w:pPr>
            <w:r w:rsidRPr="00892787">
              <w:rPr>
                <w:sz w:val="20"/>
                <w:lang w:eastAsia="fr-FR"/>
              </w:rPr>
              <w:t>(</w:t>
            </w:r>
            <w:r w:rsidRPr="00892787">
              <w:rPr>
                <w:bCs/>
                <w:sz w:val="20"/>
              </w:rPr>
              <w:t xml:space="preserve">чл. 8, ал. 4,5 и 6 от ПМС № </w:t>
            </w:r>
            <w:r w:rsidRPr="00556D49">
              <w:rPr>
                <w:bCs/>
                <w:sz w:val="20"/>
              </w:rPr>
              <w:t>160/2016</w:t>
            </w:r>
            <w:r w:rsidRPr="00892787">
              <w:rPr>
                <w:bCs/>
                <w:sz w:val="20"/>
              </w:rPr>
              <w:t xml:space="preserve"> г.</w:t>
            </w:r>
            <w:r w:rsidRPr="00892787">
              <w:rPr>
                <w:sz w:val="20"/>
                <w:lang w:eastAsia="fr-FR"/>
              </w:rPr>
              <w:t>)</w:t>
            </w:r>
          </w:p>
          <w:p w14:paraId="7716B7FE" w14:textId="77777777" w:rsidR="004959CD" w:rsidRPr="00892787" w:rsidRDefault="004959CD">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14:paraId="3D9D82A2" w14:textId="1648BBB8" w:rsidR="004959CD" w:rsidRPr="00892787" w:rsidRDefault="003A25C2" w:rsidP="003A25C2">
            <w:pPr>
              <w:jc w:val="both"/>
              <w:rPr>
                <w:b/>
                <w:sz w:val="20"/>
                <w:szCs w:val="20"/>
                <w:lang w:eastAsia="fr-FR"/>
              </w:rPr>
            </w:pPr>
            <w:r w:rsidRPr="003A25C2">
              <w:rPr>
                <w:b/>
                <w:color w:val="000080"/>
                <w:sz w:val="20"/>
                <w:szCs w:val="20"/>
              </w:rPr>
              <w:t xml:space="preserve">т. 16 от Насоките/т. 16, колона № </w:t>
            </w:r>
            <w:r>
              <w:rPr>
                <w:b/>
                <w:color w:val="000080"/>
                <w:sz w:val="20"/>
                <w:szCs w:val="20"/>
              </w:rPr>
              <w:t>4</w:t>
            </w:r>
            <w:r w:rsidRPr="003A25C2">
              <w:rPr>
                <w:b/>
                <w:color w:val="000080"/>
                <w:sz w:val="20"/>
                <w:szCs w:val="20"/>
              </w:rPr>
              <w:t xml:space="preserve"> от Приложение № 1 към чл. 2, ал. 1 от Наредбата</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5B5C4A78" w14:textId="77777777">
              <w:trPr>
                <w:divId w:val="95416988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23DC9C" w14:textId="77777777" w:rsidR="002301F4" w:rsidRDefault="002301F4" w:rsidP="002301F4">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3265D"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738186"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CACF2"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C3B3C1"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3C5E8" w14:textId="77777777" w:rsidR="002301F4" w:rsidRDefault="002301F4" w:rsidP="002301F4">
                  <w:pPr>
                    <w:jc w:val="center"/>
                    <w:rPr>
                      <w:b/>
                      <w:bCs/>
                      <w:color w:val="0000FF"/>
                    </w:rPr>
                  </w:pPr>
                  <w:r>
                    <w:rPr>
                      <w:color w:val="0000FF"/>
                    </w:rPr>
                    <w:sym w:font="Wingdings 2" w:char="F0A3"/>
                  </w:r>
                </w:p>
              </w:tc>
            </w:tr>
          </w:tbl>
          <w:p w14:paraId="5EA96853" w14:textId="77777777" w:rsidR="004959CD" w:rsidRPr="00892787" w:rsidRDefault="004959CD" w:rsidP="006549F2">
            <w:pPr>
              <w:pStyle w:val="Heading1"/>
              <w:keepNext w:val="0"/>
              <w:jc w:val="center"/>
              <w:rPr>
                <w:b w:val="0"/>
                <w:bCs/>
                <w:sz w:val="20"/>
              </w:rPr>
            </w:pPr>
          </w:p>
        </w:tc>
        <w:tc>
          <w:tcPr>
            <w:tcW w:w="3515" w:type="dxa"/>
            <w:vAlign w:val="center"/>
          </w:tcPr>
          <w:p w14:paraId="24143270" w14:textId="77777777" w:rsidR="004959CD" w:rsidRPr="00892787" w:rsidRDefault="004959CD" w:rsidP="006549F2">
            <w:pPr>
              <w:pStyle w:val="Heading1"/>
              <w:keepNext w:val="0"/>
              <w:spacing w:before="0" w:line="240" w:lineRule="auto"/>
              <w:jc w:val="center"/>
              <w:rPr>
                <w:bCs/>
                <w:sz w:val="20"/>
              </w:rPr>
            </w:pPr>
          </w:p>
        </w:tc>
      </w:tr>
      <w:tr w:rsidR="004959CD" w:rsidRPr="00892787" w14:paraId="6A0C5A79" w14:textId="77777777" w:rsidTr="00551333">
        <w:trPr>
          <w:gridBefore w:val="1"/>
          <w:trHeight w:val="270"/>
        </w:trPr>
        <w:tc>
          <w:tcPr>
            <w:tcW w:w="422" w:type="dxa"/>
            <w:gridSpan w:val="3"/>
          </w:tcPr>
          <w:p w14:paraId="6CC077D6" w14:textId="560BD464" w:rsidR="004959CD" w:rsidRPr="00892787" w:rsidRDefault="00252C8C" w:rsidP="00551333">
            <w:pPr>
              <w:rPr>
                <w:b/>
                <w:bCs/>
                <w:sz w:val="20"/>
                <w:szCs w:val="20"/>
              </w:rPr>
            </w:pPr>
            <w:r>
              <w:rPr>
                <w:b/>
                <w:bCs/>
                <w:sz w:val="20"/>
                <w:szCs w:val="20"/>
                <w:lang w:val="de-DE"/>
              </w:rPr>
              <w:t>2</w:t>
            </w:r>
          </w:p>
        </w:tc>
        <w:tc>
          <w:tcPr>
            <w:tcW w:w="6363" w:type="dxa"/>
            <w:gridSpan w:val="3"/>
            <w:noWrap/>
          </w:tcPr>
          <w:p w14:paraId="2EC24FA5" w14:textId="04141795" w:rsidR="004959CD" w:rsidRPr="00892787" w:rsidRDefault="004959CD"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чл.9, ал.1 и ал.2 от ПМС 160/2016</w:t>
            </w:r>
          </w:p>
          <w:p w14:paraId="6F762D01" w14:textId="77777777" w:rsidR="004959CD" w:rsidRPr="00892787" w:rsidRDefault="004959CD" w:rsidP="006B0105">
            <w:pPr>
              <w:jc w:val="both"/>
              <w:rPr>
                <w:b/>
                <w:color w:val="000000"/>
                <w:sz w:val="20"/>
                <w:szCs w:val="20"/>
              </w:rPr>
            </w:pPr>
          </w:p>
          <w:p w14:paraId="23A964D1" w14:textId="1CCAEB02" w:rsidR="004959CD" w:rsidRPr="00892787" w:rsidRDefault="004959CD"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 съответната програма, предоставил безвъзмездната финансова помощ.</w:t>
            </w:r>
          </w:p>
          <w:p w14:paraId="348D7DAB" w14:textId="77777777" w:rsidR="004959CD" w:rsidRPr="00892787" w:rsidRDefault="004959CD" w:rsidP="006B0105">
            <w:pPr>
              <w:keepLines/>
              <w:jc w:val="both"/>
              <w:outlineLvl w:val="0"/>
              <w:rPr>
                <w:b/>
                <w:sz w:val="20"/>
                <w:szCs w:val="20"/>
              </w:rPr>
            </w:pPr>
            <w:r w:rsidRPr="00892787">
              <w:rPr>
                <w:b/>
                <w:sz w:val="20"/>
                <w:szCs w:val="20"/>
              </w:rPr>
              <w:t xml:space="preserve">(чл. 9, ал. 1, ал. 2 и ал. 3 от ПМС № 160/2016 г.) </w:t>
            </w:r>
          </w:p>
          <w:p w14:paraId="331AD77F" w14:textId="77777777" w:rsidR="004959CD" w:rsidRPr="00892787" w:rsidRDefault="004959CD"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F514C1" w14:textId="2B452592" w:rsidR="004959CD" w:rsidRPr="00892787" w:rsidRDefault="001842F1" w:rsidP="006B0105">
            <w:pPr>
              <w:keepLines/>
              <w:jc w:val="both"/>
              <w:outlineLvl w:val="0"/>
              <w:rPr>
                <w:bCs/>
                <w:color w:val="008000"/>
                <w:sz w:val="20"/>
                <w:szCs w:val="20"/>
              </w:rPr>
            </w:pPr>
            <w:r>
              <w:rPr>
                <w:b/>
                <w:color w:val="365F91"/>
                <w:sz w:val="20"/>
                <w:szCs w:val="20"/>
                <w:lang w:eastAsia="fr-FR"/>
              </w:rPr>
              <w:t xml:space="preserve">т. </w:t>
            </w:r>
            <w:r w:rsidRPr="001842F1">
              <w:rPr>
                <w:b/>
                <w:color w:val="365F91"/>
                <w:sz w:val="20"/>
                <w:szCs w:val="20"/>
                <w:lang w:eastAsia="fr-FR"/>
              </w:rPr>
              <w:t xml:space="preserve">14-20 от Насоките/ т. 14-20, колона № </w:t>
            </w:r>
            <w:r>
              <w:rPr>
                <w:b/>
                <w:color w:val="365F91"/>
                <w:sz w:val="20"/>
                <w:szCs w:val="20"/>
                <w:lang w:eastAsia="fr-FR"/>
              </w:rPr>
              <w:t>4</w:t>
            </w:r>
            <w:r w:rsidRPr="001842F1">
              <w:rPr>
                <w:b/>
                <w:color w:val="365F91"/>
                <w:sz w:val="20"/>
                <w:szCs w:val="20"/>
                <w:lang w:eastAsia="fr-FR"/>
              </w:rPr>
              <w:t xml:space="preserve"> от Приложение № 1 към чл. 2, ал. 1 от Наредбата</w:t>
            </w:r>
            <w:r w:rsidR="004959CD" w:rsidRPr="00892787">
              <w:rPr>
                <w:bCs/>
                <w:color w:val="008000"/>
                <w:sz w:val="20"/>
                <w:szCs w:val="20"/>
              </w:rPr>
              <w:t>Анализирайте:</w:t>
            </w:r>
          </w:p>
          <w:p w14:paraId="7729EB61" w14:textId="77777777" w:rsidR="004959CD" w:rsidRPr="00892787" w:rsidRDefault="004959CD"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0C61570F" w14:textId="77777777">
              <w:trPr>
                <w:divId w:val="99714806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55AF71" w14:textId="77777777" w:rsidR="002301F4" w:rsidRDefault="002301F4" w:rsidP="002301F4">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385CB6"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49AA15"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E93B1"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44994A"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B950E6" w14:textId="77777777" w:rsidR="002301F4" w:rsidRDefault="002301F4" w:rsidP="002301F4">
                  <w:pPr>
                    <w:jc w:val="center"/>
                    <w:rPr>
                      <w:b/>
                      <w:bCs/>
                      <w:color w:val="0000FF"/>
                    </w:rPr>
                  </w:pPr>
                  <w:r>
                    <w:rPr>
                      <w:color w:val="0000FF"/>
                    </w:rPr>
                    <w:sym w:font="Wingdings 2" w:char="F0A3"/>
                  </w:r>
                </w:p>
              </w:tc>
            </w:tr>
          </w:tbl>
          <w:p w14:paraId="1E37DC14" w14:textId="77777777" w:rsidR="004959CD" w:rsidRPr="00892787" w:rsidRDefault="004959CD" w:rsidP="006549F2">
            <w:pPr>
              <w:pStyle w:val="Heading1"/>
              <w:keepNext w:val="0"/>
              <w:jc w:val="center"/>
              <w:rPr>
                <w:b w:val="0"/>
                <w:bCs/>
                <w:sz w:val="20"/>
              </w:rPr>
            </w:pPr>
          </w:p>
        </w:tc>
        <w:tc>
          <w:tcPr>
            <w:tcW w:w="3515" w:type="dxa"/>
            <w:vAlign w:val="center"/>
          </w:tcPr>
          <w:p w14:paraId="6002BE36" w14:textId="77777777" w:rsidR="004959CD" w:rsidRPr="00892787" w:rsidRDefault="004959CD" w:rsidP="006549F2">
            <w:pPr>
              <w:pStyle w:val="Heading1"/>
              <w:keepNext w:val="0"/>
              <w:spacing w:before="0" w:line="240" w:lineRule="auto"/>
              <w:jc w:val="center"/>
              <w:rPr>
                <w:bCs/>
                <w:sz w:val="20"/>
              </w:rPr>
            </w:pPr>
          </w:p>
        </w:tc>
      </w:tr>
      <w:tr w:rsidR="004959CD" w:rsidRPr="00892787" w14:paraId="074429BD" w14:textId="77777777" w:rsidTr="00AA2EA7">
        <w:trPr>
          <w:gridBefore w:val="1"/>
          <w:wBefore w:w="34" w:type="dxa"/>
          <w:trHeight w:val="270"/>
        </w:trPr>
        <w:tc>
          <w:tcPr>
            <w:tcW w:w="14000" w:type="dxa"/>
            <w:gridSpan w:val="10"/>
          </w:tcPr>
          <w:p w14:paraId="7BE1486F" w14:textId="4CC99F80" w:rsidR="004959CD" w:rsidRPr="00892787" w:rsidRDefault="00252C8C">
            <w:pPr>
              <w:pStyle w:val="Heading1"/>
              <w:keepNext w:val="0"/>
              <w:jc w:val="both"/>
              <w:rPr>
                <w:bCs/>
                <w:sz w:val="20"/>
              </w:rPr>
            </w:pPr>
            <w:r>
              <w:rPr>
                <w:bCs/>
                <w:sz w:val="20"/>
                <w:lang w:val="de-DE"/>
              </w:rPr>
              <w:t>IX</w:t>
            </w:r>
            <w:r w:rsidR="004959CD" w:rsidRPr="00892787">
              <w:rPr>
                <w:bCs/>
                <w:sz w:val="20"/>
              </w:rPr>
              <w:t>. Договор за изпълнение</w:t>
            </w:r>
          </w:p>
        </w:tc>
      </w:tr>
      <w:tr w:rsidR="004959CD" w:rsidRPr="00892787" w14:paraId="1B4D7443" w14:textId="77777777" w:rsidTr="00551333">
        <w:trPr>
          <w:gridBefore w:val="1"/>
          <w:wBefore w:w="34" w:type="dxa"/>
          <w:trHeight w:val="270"/>
        </w:trPr>
        <w:tc>
          <w:tcPr>
            <w:tcW w:w="236" w:type="dxa"/>
          </w:tcPr>
          <w:p w14:paraId="5D01F82C" w14:textId="1BA95080" w:rsidR="004959CD" w:rsidRPr="00551333" w:rsidRDefault="00252C8C" w:rsidP="00551333">
            <w:pPr>
              <w:rPr>
                <w:b/>
                <w:bCs/>
                <w:sz w:val="20"/>
                <w:szCs w:val="20"/>
                <w:lang w:val="de-DE"/>
              </w:rPr>
            </w:pPr>
            <w:r>
              <w:rPr>
                <w:b/>
                <w:bCs/>
                <w:sz w:val="20"/>
                <w:szCs w:val="20"/>
                <w:lang w:val="de-DE"/>
              </w:rPr>
              <w:t>1</w:t>
            </w:r>
          </w:p>
        </w:tc>
        <w:tc>
          <w:tcPr>
            <w:tcW w:w="6549" w:type="dxa"/>
            <w:gridSpan w:val="5"/>
            <w:noWrap/>
          </w:tcPr>
          <w:p w14:paraId="2F9A98E3" w14:textId="77777777" w:rsidR="004959CD" w:rsidRPr="00892787" w:rsidRDefault="004959CD" w:rsidP="008C7711">
            <w:pPr>
              <w:pStyle w:val="BodyText3"/>
              <w:rPr>
                <w:b/>
                <w:bCs/>
                <w:sz w:val="20"/>
                <w:szCs w:val="20"/>
              </w:rPr>
            </w:pPr>
            <w:r w:rsidRPr="00892787">
              <w:rPr>
                <w:b/>
                <w:bCs/>
                <w:sz w:val="20"/>
                <w:szCs w:val="20"/>
              </w:rPr>
              <w:t>Бенефициентът представил ли е проект на договор/сключен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 ?</w:t>
            </w:r>
          </w:p>
          <w:p w14:paraId="58E7FB54" w14:textId="77777777" w:rsidR="004959CD" w:rsidRPr="00892787" w:rsidRDefault="004959CD"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Сключването на писмен договор при дейности чрез избор с публична покана е задължително, независимо от обекта на поръчката (доставка, услуга или строителство).</w:t>
            </w:r>
          </w:p>
          <w:p w14:paraId="56A1AE90" w14:textId="77777777" w:rsidR="004959CD" w:rsidRPr="00892787" w:rsidRDefault="004959CD" w:rsidP="00F81223">
            <w:pPr>
              <w:ind w:right="110"/>
              <w:jc w:val="both"/>
              <w:outlineLvl w:val="1"/>
              <w:rPr>
                <w:b/>
                <w:sz w:val="20"/>
                <w:szCs w:val="20"/>
                <w:lang w:eastAsia="fr-FR"/>
              </w:rPr>
            </w:pPr>
            <w:r w:rsidRPr="00892787">
              <w:rPr>
                <w:b/>
                <w:sz w:val="20"/>
                <w:szCs w:val="20"/>
                <w:lang w:eastAsia="fr-FR"/>
              </w:rPr>
              <w:lastRenderedPageBreak/>
              <w:t xml:space="preserve"> (чл. 10, ал. 1 от ПМС № 160/2016 г.)</w:t>
            </w:r>
          </w:p>
          <w:p w14:paraId="13B2BD7B"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14:paraId="4B1BD221" w14:textId="16BF2AFB" w:rsidR="004959CD" w:rsidRPr="00892787" w:rsidRDefault="004C1012" w:rsidP="004C1012">
            <w:pPr>
              <w:jc w:val="both"/>
              <w:rPr>
                <w:b/>
                <w:color w:val="333399"/>
                <w:sz w:val="20"/>
                <w:szCs w:val="20"/>
              </w:rPr>
            </w:pPr>
            <w:r w:rsidRPr="004C1012">
              <w:rPr>
                <w:b/>
                <w:color w:val="000080"/>
                <w:sz w:val="20"/>
                <w:szCs w:val="20"/>
              </w:rPr>
              <w:t xml:space="preserve">т. 14, т. 15, т. 17 от Насоките/ т. 14, т. 15, т. 17, колона № </w:t>
            </w:r>
            <w:r>
              <w:rPr>
                <w:b/>
                <w:color w:val="000080"/>
                <w:sz w:val="20"/>
                <w:szCs w:val="20"/>
              </w:rPr>
              <w:t>4</w:t>
            </w:r>
            <w:r w:rsidRPr="004C1012">
              <w:rPr>
                <w:b/>
                <w:color w:val="000080"/>
                <w:sz w:val="20"/>
                <w:szCs w:val="20"/>
              </w:rPr>
              <w:t xml:space="preserve"> от Приложение № 1 към чл. 2, ал. 1 от Наредбата</w:t>
            </w:r>
          </w:p>
        </w:tc>
        <w:tc>
          <w:tcPr>
            <w:tcW w:w="3700"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14:paraId="016D109A" w14:textId="77777777">
              <w:trPr>
                <w:divId w:val="100535406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232E08" w14:textId="77777777" w:rsidR="002301F4" w:rsidRDefault="002301F4" w:rsidP="002301F4">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9C3A5" w14:textId="77777777" w:rsidR="002301F4" w:rsidRDefault="002301F4" w:rsidP="002301F4">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C36981" w14:textId="77777777" w:rsidR="002301F4" w:rsidRDefault="002301F4" w:rsidP="002301F4">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B36E87" w14:textId="77777777" w:rsidR="002301F4" w:rsidRDefault="002301F4" w:rsidP="002301F4">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403D6" w14:textId="77777777" w:rsidR="002301F4" w:rsidRDefault="002301F4" w:rsidP="002301F4">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341DEF" w14:textId="77777777" w:rsidR="002301F4" w:rsidRDefault="002301F4" w:rsidP="002301F4">
                  <w:pPr>
                    <w:jc w:val="center"/>
                    <w:rPr>
                      <w:b/>
                      <w:bCs/>
                      <w:color w:val="0000FF"/>
                    </w:rPr>
                  </w:pPr>
                  <w:r>
                    <w:rPr>
                      <w:color w:val="0000FF"/>
                    </w:rPr>
                    <w:sym w:font="Wingdings 2" w:char="F0A3"/>
                  </w:r>
                </w:p>
              </w:tc>
            </w:tr>
          </w:tbl>
          <w:p w14:paraId="0559098B" w14:textId="77777777" w:rsidR="004959CD" w:rsidRPr="00892787" w:rsidRDefault="004959CD" w:rsidP="006549F2">
            <w:pPr>
              <w:pStyle w:val="Heading1"/>
              <w:keepNext w:val="0"/>
              <w:jc w:val="center"/>
              <w:rPr>
                <w:bCs/>
                <w:sz w:val="20"/>
              </w:rPr>
            </w:pPr>
          </w:p>
        </w:tc>
        <w:tc>
          <w:tcPr>
            <w:tcW w:w="3515" w:type="dxa"/>
            <w:vAlign w:val="center"/>
          </w:tcPr>
          <w:p w14:paraId="43CFCCE6" w14:textId="77777777" w:rsidR="004959CD" w:rsidRPr="00892787" w:rsidRDefault="004959CD" w:rsidP="006549F2">
            <w:pPr>
              <w:pStyle w:val="Heading1"/>
              <w:keepNext w:val="0"/>
              <w:spacing w:before="0" w:line="240" w:lineRule="auto"/>
              <w:jc w:val="center"/>
              <w:rPr>
                <w:bCs/>
                <w:sz w:val="20"/>
              </w:rPr>
            </w:pPr>
          </w:p>
        </w:tc>
      </w:tr>
      <w:tr w:rsidR="002301F4" w:rsidRPr="00892787" w14:paraId="172D6154" w14:textId="77777777" w:rsidTr="00551333">
        <w:trPr>
          <w:gridBefore w:val="1"/>
          <w:wBefore w:w="34" w:type="dxa"/>
          <w:trHeight w:val="270"/>
        </w:trPr>
        <w:tc>
          <w:tcPr>
            <w:tcW w:w="236" w:type="dxa"/>
          </w:tcPr>
          <w:p w14:paraId="0571FD9E" w14:textId="3DFE6AC7" w:rsidR="002301F4" w:rsidRPr="00551333" w:rsidRDefault="002301F4" w:rsidP="00551333">
            <w:pPr>
              <w:rPr>
                <w:b/>
                <w:bCs/>
                <w:sz w:val="20"/>
                <w:szCs w:val="20"/>
                <w:lang w:val="de-DE"/>
              </w:rPr>
            </w:pPr>
            <w:r>
              <w:rPr>
                <w:b/>
                <w:bCs/>
                <w:sz w:val="20"/>
                <w:szCs w:val="20"/>
                <w:lang w:val="de-DE"/>
              </w:rPr>
              <w:t>2</w:t>
            </w:r>
          </w:p>
        </w:tc>
        <w:tc>
          <w:tcPr>
            <w:tcW w:w="6549" w:type="dxa"/>
            <w:gridSpan w:val="5"/>
            <w:noWrap/>
          </w:tcPr>
          <w:p w14:paraId="011B509F" w14:textId="77777777" w:rsidR="002301F4" w:rsidRPr="00892787" w:rsidRDefault="002301F4" w:rsidP="002301F4">
            <w:pPr>
              <w:pStyle w:val="BodyText3"/>
              <w:rPr>
                <w:b/>
                <w:bCs/>
                <w:sz w:val="20"/>
                <w:szCs w:val="20"/>
              </w:rPr>
            </w:pPr>
            <w:r w:rsidRPr="00892787">
              <w:rPr>
                <w:b/>
                <w:bCs/>
                <w:sz w:val="20"/>
                <w:szCs w:val="20"/>
              </w:rPr>
              <w:t>При сключване на договора (преди или най-късно на датата на сключване) от определения за изпълнител представени ли са:</w:t>
            </w:r>
          </w:p>
          <w:p w14:paraId="0FF09C69" w14:textId="77777777" w:rsidR="002301F4" w:rsidRPr="00892787" w:rsidRDefault="002301F4" w:rsidP="002301F4">
            <w:pPr>
              <w:pStyle w:val="BodyText3"/>
              <w:rPr>
                <w:b/>
                <w:bCs/>
                <w:sz w:val="20"/>
                <w:szCs w:val="20"/>
              </w:rPr>
            </w:pPr>
            <w:r w:rsidRPr="00892787">
              <w:rPr>
                <w:b/>
                <w:bCs/>
                <w:sz w:val="20"/>
                <w:szCs w:val="20"/>
              </w:rPr>
              <w:t xml:space="preserve">- документи за удостоверяване липсата на обстоятелствата по чл. 53, ал. 2 от ЗУСЕСИФ и чл.8, ал.3, т.2 </w:t>
            </w:r>
            <w:r>
              <w:rPr>
                <w:b/>
                <w:bCs/>
                <w:sz w:val="20"/>
                <w:szCs w:val="20"/>
              </w:rPr>
              <w:t xml:space="preserve">във връзка с чл. 12 </w:t>
            </w:r>
            <w:r w:rsidRPr="00892787">
              <w:rPr>
                <w:b/>
                <w:bCs/>
                <w:sz w:val="20"/>
                <w:szCs w:val="20"/>
              </w:rPr>
              <w:t>от ПМС 160/2016 г.</w:t>
            </w:r>
          </w:p>
          <w:p w14:paraId="1CAD27EA" w14:textId="77777777" w:rsidR="002301F4" w:rsidRPr="00892787" w:rsidRDefault="002301F4" w:rsidP="002301F4">
            <w:pPr>
              <w:pStyle w:val="BodyText3"/>
              <w:rPr>
                <w:b/>
                <w:bCs/>
                <w:sz w:val="20"/>
                <w:szCs w:val="20"/>
              </w:rPr>
            </w:pPr>
            <w:r w:rsidRPr="00892787">
              <w:rPr>
                <w:b/>
                <w:bCs/>
                <w:sz w:val="20"/>
                <w:szCs w:val="20"/>
              </w:rPr>
              <w:t>- изискуемата гаранция за изпълнение, ако такава се предвижда?</w:t>
            </w:r>
          </w:p>
          <w:p w14:paraId="39E0EABA" w14:textId="77777777" w:rsidR="002301F4" w:rsidRPr="00892787" w:rsidRDefault="002301F4" w:rsidP="002301F4">
            <w:pPr>
              <w:ind w:right="110"/>
              <w:jc w:val="both"/>
              <w:outlineLvl w:val="1"/>
              <w:rPr>
                <w:b/>
                <w:sz w:val="20"/>
                <w:szCs w:val="20"/>
                <w:lang w:eastAsia="fr-FR"/>
              </w:rPr>
            </w:pPr>
            <w:r w:rsidRPr="00892787">
              <w:rPr>
                <w:b/>
                <w:sz w:val="20"/>
                <w:szCs w:val="20"/>
                <w:lang w:eastAsia="fr-FR"/>
              </w:rPr>
              <w:t>(чл. 53, ал. 2 от ЗУСЕСИФ и чл. 11, ал. 1, т,2 от ПМС № 160/2016 г.)</w:t>
            </w:r>
          </w:p>
          <w:p w14:paraId="0499B1EF" w14:textId="77777777" w:rsidR="002301F4" w:rsidRPr="00892787" w:rsidRDefault="002301F4" w:rsidP="002301F4">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14:paraId="54725415" w14:textId="31101C90" w:rsidR="002301F4" w:rsidRPr="00892787" w:rsidRDefault="002301F4" w:rsidP="002301F4">
            <w:pPr>
              <w:ind w:right="110"/>
              <w:jc w:val="both"/>
              <w:outlineLvl w:val="1"/>
              <w:rPr>
                <w:color w:val="008000"/>
                <w:sz w:val="20"/>
                <w:szCs w:val="20"/>
                <w:lang w:eastAsia="fr-FR"/>
              </w:rPr>
            </w:pPr>
            <w:r w:rsidRPr="00A04AB8">
              <w:rPr>
                <w:b/>
                <w:color w:val="000080"/>
                <w:sz w:val="20"/>
                <w:szCs w:val="20"/>
              </w:rPr>
              <w:t xml:space="preserve">т. 17 и т. 14 от Насоките/т. 17 и т. 14, колона № </w:t>
            </w:r>
            <w:r>
              <w:rPr>
                <w:b/>
                <w:color w:val="000080"/>
                <w:sz w:val="20"/>
                <w:szCs w:val="20"/>
              </w:rPr>
              <w:t>4</w:t>
            </w:r>
            <w:r w:rsidRPr="00A04AB8">
              <w:rPr>
                <w:b/>
                <w:color w:val="000080"/>
                <w:sz w:val="20"/>
                <w:szCs w:val="20"/>
              </w:rPr>
              <w:t xml:space="preserve"> от Приложение № 1 към чл. 2, ал. 1 от Наредбата</w:t>
            </w:r>
            <w:r w:rsidRPr="00892787">
              <w:rPr>
                <w:color w:val="008000"/>
                <w:sz w:val="20"/>
                <w:szCs w:val="20"/>
                <w:lang w:eastAsia="fr-FR"/>
              </w:rPr>
              <w:t>Анализирайте датата и издателя на представените във връзка със сключването на договора за изпълнение документи.</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5E1865" w14:paraId="0CA9D963" w14:textId="77777777" w:rsidTr="0017191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C1B071" w14:textId="77777777" w:rsidR="002301F4" w:rsidRPr="005E1865" w:rsidRDefault="002301F4" w:rsidP="002301F4">
                  <w:pPr>
                    <w:jc w:val="center"/>
                    <w:rPr>
                      <w:sz w:val="20"/>
                      <w:szCs w:val="20"/>
                    </w:rPr>
                  </w:pPr>
                  <w:r w:rsidRPr="005E186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AA8A2" w14:textId="77777777" w:rsidR="002301F4" w:rsidRPr="005E1865" w:rsidRDefault="002301F4" w:rsidP="002301F4">
                  <w:pPr>
                    <w:jc w:val="center"/>
                    <w:rPr>
                      <w:b/>
                      <w:bCs/>
                      <w:color w:val="0000FF"/>
                      <w:lang w:val="en-GB" w:eastAsia="en-US"/>
                    </w:rPr>
                  </w:pPr>
                  <w:r w:rsidRPr="005E186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441091" w14:textId="77777777" w:rsidR="002301F4" w:rsidRPr="005E1865" w:rsidRDefault="002301F4" w:rsidP="002301F4">
                  <w:pPr>
                    <w:jc w:val="center"/>
                    <w:rPr>
                      <w:b/>
                      <w:bCs/>
                      <w:color w:val="0000FF"/>
                      <w:sz w:val="20"/>
                      <w:szCs w:val="20"/>
                    </w:rPr>
                  </w:pPr>
                  <w:r w:rsidRPr="005E186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3C499F" w14:textId="77777777" w:rsidR="002301F4" w:rsidRPr="005E1865" w:rsidRDefault="002301F4" w:rsidP="002301F4">
                  <w:pPr>
                    <w:jc w:val="center"/>
                    <w:rPr>
                      <w:lang w:val="en-GB" w:eastAsia="en-US"/>
                    </w:rPr>
                  </w:pPr>
                  <w:r w:rsidRPr="005E186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0FC0D" w14:textId="77777777" w:rsidR="002301F4" w:rsidRPr="005E1865" w:rsidRDefault="002301F4" w:rsidP="002301F4">
                  <w:pPr>
                    <w:jc w:val="center"/>
                    <w:rPr>
                      <w:b/>
                      <w:bCs/>
                      <w:color w:val="0000FF"/>
                    </w:rPr>
                  </w:pPr>
                  <w:r w:rsidRPr="005E186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326DC4" w14:textId="77777777" w:rsidR="002301F4" w:rsidRPr="005E1865" w:rsidRDefault="002301F4" w:rsidP="002301F4">
                  <w:pPr>
                    <w:jc w:val="center"/>
                    <w:rPr>
                      <w:b/>
                      <w:bCs/>
                      <w:color w:val="0000FF"/>
                    </w:rPr>
                  </w:pPr>
                  <w:r w:rsidRPr="005E1865">
                    <w:rPr>
                      <w:color w:val="0000FF"/>
                    </w:rPr>
                    <w:sym w:font="Wingdings 2" w:char="F0A3"/>
                  </w:r>
                </w:p>
              </w:tc>
            </w:tr>
          </w:tbl>
          <w:p w14:paraId="41107FF2" w14:textId="77777777" w:rsidR="002301F4" w:rsidRPr="00892787" w:rsidRDefault="002301F4" w:rsidP="002301F4">
            <w:pPr>
              <w:pStyle w:val="BodyText"/>
              <w:jc w:val="center"/>
              <w:rPr>
                <w:sz w:val="20"/>
                <w:szCs w:val="20"/>
              </w:rPr>
            </w:pPr>
          </w:p>
        </w:tc>
        <w:tc>
          <w:tcPr>
            <w:tcW w:w="3515" w:type="dxa"/>
            <w:vAlign w:val="center"/>
          </w:tcPr>
          <w:p w14:paraId="31094A58" w14:textId="77777777" w:rsidR="002301F4" w:rsidRPr="00892787" w:rsidRDefault="002301F4" w:rsidP="002301F4">
            <w:pPr>
              <w:pStyle w:val="Heading1"/>
              <w:keepNext w:val="0"/>
              <w:jc w:val="center"/>
              <w:rPr>
                <w:bCs/>
                <w:sz w:val="20"/>
              </w:rPr>
            </w:pPr>
          </w:p>
        </w:tc>
      </w:tr>
      <w:tr w:rsidR="002301F4" w:rsidRPr="00892787" w14:paraId="4AC115A6" w14:textId="77777777" w:rsidTr="00551333">
        <w:trPr>
          <w:gridBefore w:val="1"/>
          <w:wBefore w:w="34" w:type="dxa"/>
          <w:trHeight w:val="270"/>
        </w:trPr>
        <w:tc>
          <w:tcPr>
            <w:tcW w:w="236" w:type="dxa"/>
          </w:tcPr>
          <w:p w14:paraId="42FB827F" w14:textId="6657ADB9" w:rsidR="002301F4" w:rsidRPr="00551333" w:rsidRDefault="002301F4" w:rsidP="00551333">
            <w:pPr>
              <w:rPr>
                <w:b/>
                <w:bCs/>
                <w:sz w:val="20"/>
                <w:szCs w:val="20"/>
                <w:lang w:val="de-DE"/>
              </w:rPr>
            </w:pPr>
            <w:r>
              <w:rPr>
                <w:b/>
                <w:bCs/>
                <w:sz w:val="20"/>
                <w:szCs w:val="20"/>
                <w:lang w:val="de-DE"/>
              </w:rPr>
              <w:t>3</w:t>
            </w:r>
          </w:p>
        </w:tc>
        <w:tc>
          <w:tcPr>
            <w:tcW w:w="6549" w:type="dxa"/>
            <w:gridSpan w:val="5"/>
            <w:noWrap/>
          </w:tcPr>
          <w:p w14:paraId="45CA17B4" w14:textId="77777777" w:rsidR="002301F4" w:rsidRPr="00892787" w:rsidRDefault="002301F4" w:rsidP="002301F4">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14:paraId="74FC3EDC" w14:textId="77777777" w:rsidR="002301F4" w:rsidRPr="00892787" w:rsidRDefault="002301F4" w:rsidP="002301F4">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w:t>
            </w:r>
            <w:r>
              <w:rPr>
                <w:bCs/>
                <w:sz w:val="20"/>
                <w:szCs w:val="20"/>
              </w:rPr>
              <w:t xml:space="preserve">. </w:t>
            </w:r>
            <w:r w:rsidRPr="00892787">
              <w:rPr>
                <w:bCs/>
                <w:sz w:val="20"/>
                <w:szCs w:val="20"/>
              </w:rPr>
              <w:t>10, ал. 3 от</w:t>
            </w:r>
            <w:r w:rsidRPr="00892787">
              <w:t xml:space="preserve"> </w:t>
            </w:r>
            <w:r w:rsidRPr="00892787">
              <w:rPr>
                <w:bCs/>
                <w:sz w:val="20"/>
                <w:szCs w:val="20"/>
              </w:rPr>
              <w:t xml:space="preserve">ПМС № 160/2016 г. </w:t>
            </w:r>
          </w:p>
          <w:p w14:paraId="0C048266" w14:textId="77777777" w:rsidR="002301F4" w:rsidRPr="00892787" w:rsidRDefault="002301F4" w:rsidP="002301F4">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14:paraId="240B3BED" w14:textId="21440275" w:rsidR="002301F4" w:rsidRPr="00892787" w:rsidRDefault="002301F4" w:rsidP="002301F4">
            <w:pPr>
              <w:jc w:val="both"/>
              <w:rPr>
                <w:color w:val="D99594"/>
                <w:sz w:val="20"/>
                <w:szCs w:val="20"/>
                <w:lang w:eastAsia="fr-FR"/>
              </w:rPr>
            </w:pPr>
            <w:r w:rsidRPr="00892787">
              <w:rPr>
                <w:b/>
                <w:color w:val="D99594"/>
                <w:sz w:val="20"/>
                <w:szCs w:val="20"/>
                <w:lang w:eastAsia="fr-FR"/>
              </w:rPr>
              <w:t xml:space="preserve">Насочващи източници на информация: </w:t>
            </w:r>
            <w:r w:rsidRPr="00892787">
              <w:rPr>
                <w:color w:val="D99594"/>
                <w:sz w:val="20"/>
                <w:szCs w:val="20"/>
                <w:lang w:eastAsia="fr-FR"/>
              </w:rPr>
              <w:t>прегледайте сключения договор и– анекси</w:t>
            </w:r>
            <w:r>
              <w:rPr>
                <w:color w:val="D99594"/>
                <w:sz w:val="20"/>
                <w:szCs w:val="20"/>
                <w:lang w:eastAsia="fr-FR"/>
              </w:rPr>
              <w:t xml:space="preserve">. </w:t>
            </w:r>
          </w:p>
          <w:p w14:paraId="452A8DC8" w14:textId="5FB3AD6D" w:rsidR="002301F4" w:rsidRPr="00892787" w:rsidRDefault="002301F4" w:rsidP="002301F4">
            <w:pPr>
              <w:ind w:right="110"/>
              <w:jc w:val="both"/>
              <w:outlineLvl w:val="1"/>
              <w:rPr>
                <w:color w:val="008000"/>
                <w:sz w:val="20"/>
                <w:szCs w:val="20"/>
                <w:lang w:eastAsia="fr-FR"/>
              </w:rPr>
            </w:pPr>
            <w:r w:rsidRPr="00494C4B">
              <w:rPr>
                <w:b/>
                <w:color w:val="0070C0"/>
                <w:sz w:val="20"/>
                <w:szCs w:val="20"/>
              </w:rPr>
              <w:t xml:space="preserve">т. 23 от Насоките/т. 23, колона № </w:t>
            </w:r>
            <w:r>
              <w:rPr>
                <w:b/>
                <w:color w:val="0070C0"/>
                <w:sz w:val="20"/>
                <w:szCs w:val="20"/>
              </w:rPr>
              <w:t>4</w:t>
            </w:r>
            <w:r w:rsidRPr="00494C4B">
              <w:rPr>
                <w:b/>
                <w:color w:val="0070C0"/>
                <w:sz w:val="20"/>
                <w:szCs w:val="20"/>
              </w:rPr>
              <w:t xml:space="preserve"> от Приложение № 1 към чл. 2, ал. 1 от Наредбата</w:t>
            </w:r>
            <w:r w:rsidRPr="00892787">
              <w:rPr>
                <w:color w:val="008000"/>
                <w:sz w:val="20"/>
                <w:szCs w:val="20"/>
                <w:lang w:eastAsia="fr-FR"/>
              </w:rPr>
              <w:t xml:space="preserve"> </w:t>
            </w:r>
          </w:p>
          <w:p w14:paraId="79E8A133" w14:textId="77777777" w:rsidR="002301F4" w:rsidRPr="00892787" w:rsidRDefault="002301F4" w:rsidP="002301F4">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14:paraId="0A7119DF" w14:textId="2A333551" w:rsidR="002301F4" w:rsidRPr="00892787" w:rsidRDefault="002301F4" w:rsidP="002301F4">
            <w:pPr>
              <w:ind w:right="110"/>
              <w:jc w:val="both"/>
              <w:outlineLvl w:val="1"/>
              <w:rPr>
                <w:b/>
                <w:bCs/>
                <w:color w:val="92D050"/>
                <w:sz w:val="20"/>
                <w:szCs w:val="20"/>
              </w:rPr>
            </w:pP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5E1865" w14:paraId="56D0D724" w14:textId="77777777" w:rsidTr="0017191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0574FE" w14:textId="77777777" w:rsidR="002301F4" w:rsidRPr="005E1865" w:rsidRDefault="002301F4" w:rsidP="002301F4">
                  <w:pPr>
                    <w:jc w:val="center"/>
                    <w:rPr>
                      <w:sz w:val="20"/>
                      <w:szCs w:val="20"/>
                    </w:rPr>
                  </w:pPr>
                  <w:r w:rsidRPr="005E186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661FCC" w14:textId="77777777" w:rsidR="002301F4" w:rsidRPr="005E1865" w:rsidRDefault="002301F4" w:rsidP="002301F4">
                  <w:pPr>
                    <w:jc w:val="center"/>
                    <w:rPr>
                      <w:b/>
                      <w:bCs/>
                      <w:color w:val="0000FF"/>
                      <w:lang w:val="en-GB" w:eastAsia="en-US"/>
                    </w:rPr>
                  </w:pPr>
                  <w:r w:rsidRPr="005E186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DEA1C3" w14:textId="77777777" w:rsidR="002301F4" w:rsidRPr="005E1865" w:rsidRDefault="002301F4" w:rsidP="002301F4">
                  <w:pPr>
                    <w:jc w:val="center"/>
                    <w:rPr>
                      <w:b/>
                      <w:bCs/>
                      <w:color w:val="0000FF"/>
                      <w:sz w:val="20"/>
                      <w:szCs w:val="20"/>
                    </w:rPr>
                  </w:pPr>
                  <w:r w:rsidRPr="005E186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F088B6" w14:textId="77777777" w:rsidR="002301F4" w:rsidRPr="005E1865" w:rsidRDefault="002301F4" w:rsidP="002301F4">
                  <w:pPr>
                    <w:jc w:val="center"/>
                    <w:rPr>
                      <w:lang w:val="en-GB" w:eastAsia="en-US"/>
                    </w:rPr>
                  </w:pPr>
                  <w:r w:rsidRPr="005E186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983EA" w14:textId="77777777" w:rsidR="002301F4" w:rsidRPr="005E1865" w:rsidRDefault="002301F4" w:rsidP="002301F4">
                  <w:pPr>
                    <w:jc w:val="center"/>
                    <w:rPr>
                      <w:b/>
                      <w:bCs/>
                      <w:color w:val="0000FF"/>
                    </w:rPr>
                  </w:pPr>
                  <w:r w:rsidRPr="005E186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065AA8" w14:textId="77777777" w:rsidR="002301F4" w:rsidRPr="005E1865" w:rsidRDefault="002301F4" w:rsidP="002301F4">
                  <w:pPr>
                    <w:jc w:val="center"/>
                    <w:rPr>
                      <w:b/>
                      <w:bCs/>
                      <w:color w:val="0000FF"/>
                    </w:rPr>
                  </w:pPr>
                  <w:r w:rsidRPr="005E1865">
                    <w:rPr>
                      <w:color w:val="0000FF"/>
                    </w:rPr>
                    <w:sym w:font="Wingdings 2" w:char="F0A3"/>
                  </w:r>
                </w:p>
              </w:tc>
            </w:tr>
          </w:tbl>
          <w:p w14:paraId="2FFA48FE" w14:textId="77777777" w:rsidR="002301F4" w:rsidRPr="00892787" w:rsidRDefault="002301F4" w:rsidP="002301F4">
            <w:pPr>
              <w:pStyle w:val="BodyText"/>
              <w:jc w:val="center"/>
              <w:rPr>
                <w:sz w:val="20"/>
                <w:szCs w:val="20"/>
              </w:rPr>
            </w:pPr>
          </w:p>
        </w:tc>
        <w:tc>
          <w:tcPr>
            <w:tcW w:w="3515" w:type="dxa"/>
          </w:tcPr>
          <w:p w14:paraId="2FCF0EF7" w14:textId="77777777" w:rsidR="002301F4" w:rsidRPr="00892787" w:rsidRDefault="002301F4" w:rsidP="002301F4">
            <w:pPr>
              <w:pStyle w:val="Heading1"/>
              <w:keepNext w:val="0"/>
              <w:jc w:val="center"/>
              <w:rPr>
                <w:bCs/>
                <w:sz w:val="20"/>
              </w:rPr>
            </w:pPr>
          </w:p>
        </w:tc>
      </w:tr>
      <w:tr w:rsidR="00E208A9" w:rsidRPr="00892787" w14:paraId="0667CD07" w14:textId="77777777" w:rsidTr="00AA2EA7">
        <w:trPr>
          <w:gridBefore w:val="1"/>
          <w:wBefore w:w="34" w:type="dxa"/>
          <w:trHeight w:val="270"/>
        </w:trPr>
        <w:tc>
          <w:tcPr>
            <w:tcW w:w="14000" w:type="dxa"/>
            <w:gridSpan w:val="10"/>
          </w:tcPr>
          <w:p w14:paraId="6C686DE0" w14:textId="7EABA29B" w:rsidR="00E208A9" w:rsidRPr="00892787" w:rsidRDefault="00252C8C" w:rsidP="00E208A9">
            <w:pPr>
              <w:pStyle w:val="Heading1"/>
              <w:keepNext w:val="0"/>
              <w:spacing w:before="0" w:line="240" w:lineRule="auto"/>
              <w:jc w:val="both"/>
              <w:rPr>
                <w:sz w:val="20"/>
                <w:lang w:eastAsia="fr-FR"/>
              </w:rPr>
            </w:pPr>
            <w:r>
              <w:rPr>
                <w:sz w:val="20"/>
                <w:lang w:val="de-DE" w:eastAsia="fr-FR"/>
              </w:rPr>
              <w:t>X</w:t>
            </w:r>
            <w:r w:rsidR="00E208A9" w:rsidRPr="00892787">
              <w:rPr>
                <w:b w:val="0"/>
                <w:sz w:val="20"/>
                <w:lang w:eastAsia="fr-FR"/>
              </w:rPr>
              <w:t xml:space="preserve">. </w:t>
            </w:r>
            <w:r w:rsidR="00E208A9" w:rsidRPr="00892787">
              <w:rPr>
                <w:sz w:val="20"/>
                <w:lang w:eastAsia="fr-FR"/>
              </w:rPr>
              <w:t xml:space="preserve">ИНДИКАТОРИ ЗА НЕРЕДНОСТИ И ИЗМАМИ, КОИТО ИМАТ ОТНОШЕНИЕ КЪМ </w:t>
            </w:r>
            <w:r w:rsidR="00E208A9" w:rsidRPr="00892787" w:rsidDel="00FC4D9A">
              <w:rPr>
                <w:sz w:val="20"/>
                <w:lang w:eastAsia="fr-FR"/>
              </w:rPr>
              <w:t xml:space="preserve">ПРОВЕДЕНАТА </w:t>
            </w:r>
            <w:r w:rsidR="00E208A9" w:rsidRPr="00892787">
              <w:rPr>
                <w:sz w:val="20"/>
                <w:lang w:eastAsia="fr-FR"/>
              </w:rPr>
              <w:t xml:space="preserve">ПРОЦЕДУРА </w:t>
            </w:r>
          </w:p>
          <w:p w14:paraId="7D4C0BC7" w14:textId="77777777" w:rsidR="00E208A9" w:rsidRPr="00892787" w:rsidRDefault="00E208A9" w:rsidP="00E208A9">
            <w:pPr>
              <w:pStyle w:val="Heading1"/>
              <w:keepNext w:val="0"/>
              <w:spacing w:before="0" w:line="240" w:lineRule="auto"/>
              <w:jc w:val="both"/>
              <w:rPr>
                <w:bCs/>
                <w:sz w:val="20"/>
              </w:rPr>
            </w:pPr>
            <w:r w:rsidRPr="00892787">
              <w:rPr>
                <w:sz w:val="20"/>
                <w:lang w:eastAsia="fr-FR"/>
              </w:rPr>
              <w:lastRenderedPageBreak/>
              <w:t>(„ЧЕРВЕНИ ФЛАГОВЕ“)</w:t>
            </w:r>
          </w:p>
        </w:tc>
      </w:tr>
      <w:tr w:rsidR="002301F4" w:rsidRPr="00892787" w14:paraId="1F0835D2" w14:textId="77777777" w:rsidTr="00551333">
        <w:trPr>
          <w:gridBefore w:val="1"/>
          <w:wBefore w:w="34" w:type="dxa"/>
          <w:trHeight w:val="270"/>
        </w:trPr>
        <w:tc>
          <w:tcPr>
            <w:tcW w:w="236" w:type="dxa"/>
          </w:tcPr>
          <w:p w14:paraId="573142C2" w14:textId="405228B9" w:rsidR="002301F4" w:rsidRPr="00892787" w:rsidRDefault="002301F4" w:rsidP="00551333">
            <w:pPr>
              <w:rPr>
                <w:b/>
                <w:bCs/>
                <w:sz w:val="20"/>
                <w:szCs w:val="20"/>
              </w:rPr>
            </w:pPr>
            <w:r>
              <w:rPr>
                <w:b/>
                <w:bCs/>
                <w:sz w:val="20"/>
                <w:szCs w:val="20"/>
                <w:lang w:val="de-DE"/>
              </w:rPr>
              <w:lastRenderedPageBreak/>
              <w:t>1</w:t>
            </w:r>
          </w:p>
        </w:tc>
        <w:tc>
          <w:tcPr>
            <w:tcW w:w="6549" w:type="dxa"/>
            <w:gridSpan w:val="5"/>
            <w:noWrap/>
          </w:tcPr>
          <w:p w14:paraId="17DAF5AE" w14:textId="77777777" w:rsidR="002301F4" w:rsidRPr="00892787" w:rsidRDefault="002301F4" w:rsidP="002301F4">
            <w:pPr>
              <w:jc w:val="both"/>
              <w:rPr>
                <w:b/>
                <w:sz w:val="20"/>
                <w:szCs w:val="20"/>
                <w:lang w:eastAsia="fr-FR"/>
              </w:rPr>
            </w:pPr>
            <w:r w:rsidRPr="00892787">
              <w:rPr>
                <w:b/>
                <w:sz w:val="20"/>
                <w:szCs w:val="20"/>
                <w:lang w:eastAsia="fr-FR"/>
              </w:rPr>
              <w:t>Налице ли са в проверяваната процедурата индикатори за конфликт на интереси?</w:t>
            </w:r>
          </w:p>
          <w:p w14:paraId="460FC896" w14:textId="77777777" w:rsidR="002301F4" w:rsidRPr="00892787" w:rsidRDefault="002301F4" w:rsidP="002301F4">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9B3645" w14:paraId="497A742D" w14:textId="77777777" w:rsidTr="00237C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B5D209" w14:textId="77777777" w:rsidR="002301F4" w:rsidRPr="009B3645" w:rsidRDefault="002301F4" w:rsidP="002301F4">
                  <w:pPr>
                    <w:jc w:val="center"/>
                    <w:rPr>
                      <w:sz w:val="20"/>
                      <w:szCs w:val="20"/>
                    </w:rPr>
                  </w:pPr>
                  <w:r w:rsidRPr="009B364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4794F0" w14:textId="77777777" w:rsidR="002301F4" w:rsidRPr="009B3645" w:rsidRDefault="002301F4" w:rsidP="002301F4">
                  <w:pPr>
                    <w:jc w:val="center"/>
                    <w:rPr>
                      <w:b/>
                      <w:bCs/>
                      <w:color w:val="0000FF"/>
                      <w:lang w:val="en-GB" w:eastAsia="en-US"/>
                    </w:rPr>
                  </w:pPr>
                  <w:r w:rsidRPr="009B364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2983B9" w14:textId="77777777" w:rsidR="002301F4" w:rsidRPr="009B3645" w:rsidRDefault="002301F4" w:rsidP="002301F4">
                  <w:pPr>
                    <w:jc w:val="center"/>
                    <w:rPr>
                      <w:b/>
                      <w:bCs/>
                      <w:color w:val="0000FF"/>
                      <w:sz w:val="20"/>
                      <w:szCs w:val="20"/>
                    </w:rPr>
                  </w:pPr>
                  <w:r w:rsidRPr="009B364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AEFD17" w14:textId="77777777" w:rsidR="002301F4" w:rsidRPr="009B3645" w:rsidRDefault="002301F4" w:rsidP="002301F4">
                  <w:pPr>
                    <w:jc w:val="center"/>
                    <w:rPr>
                      <w:lang w:val="en-GB" w:eastAsia="en-US"/>
                    </w:rPr>
                  </w:pPr>
                  <w:r w:rsidRPr="009B364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02DA1" w14:textId="77777777" w:rsidR="002301F4" w:rsidRPr="009B3645" w:rsidRDefault="002301F4" w:rsidP="002301F4">
                  <w:pPr>
                    <w:jc w:val="center"/>
                    <w:rPr>
                      <w:b/>
                      <w:bCs/>
                      <w:color w:val="0000FF"/>
                    </w:rPr>
                  </w:pPr>
                  <w:r w:rsidRPr="009B364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33DE6" w14:textId="77777777" w:rsidR="002301F4" w:rsidRPr="009B3645" w:rsidRDefault="002301F4" w:rsidP="002301F4">
                  <w:pPr>
                    <w:jc w:val="center"/>
                    <w:rPr>
                      <w:b/>
                      <w:bCs/>
                      <w:color w:val="0000FF"/>
                    </w:rPr>
                  </w:pPr>
                  <w:r w:rsidRPr="009B3645">
                    <w:rPr>
                      <w:color w:val="0000FF"/>
                    </w:rPr>
                    <w:sym w:font="Wingdings 2" w:char="F0A3"/>
                  </w:r>
                </w:p>
              </w:tc>
            </w:tr>
          </w:tbl>
          <w:p w14:paraId="668EFB0E" w14:textId="77777777" w:rsidR="002301F4" w:rsidRPr="00892787" w:rsidRDefault="002301F4" w:rsidP="002301F4">
            <w:pPr>
              <w:pStyle w:val="BodyText"/>
              <w:jc w:val="center"/>
              <w:rPr>
                <w:b/>
                <w:sz w:val="20"/>
                <w:szCs w:val="20"/>
              </w:rPr>
            </w:pPr>
          </w:p>
        </w:tc>
        <w:tc>
          <w:tcPr>
            <w:tcW w:w="3515" w:type="dxa"/>
            <w:vAlign w:val="center"/>
          </w:tcPr>
          <w:p w14:paraId="16423CC1" w14:textId="77777777" w:rsidR="002301F4" w:rsidRPr="00892787" w:rsidRDefault="002301F4" w:rsidP="002301F4">
            <w:pPr>
              <w:pStyle w:val="Heading1"/>
              <w:keepNext w:val="0"/>
              <w:jc w:val="center"/>
              <w:rPr>
                <w:bCs/>
                <w:sz w:val="20"/>
              </w:rPr>
            </w:pPr>
          </w:p>
        </w:tc>
      </w:tr>
      <w:tr w:rsidR="002301F4" w:rsidRPr="00892787" w14:paraId="4E592314" w14:textId="77777777" w:rsidTr="00551333">
        <w:trPr>
          <w:gridBefore w:val="1"/>
          <w:wBefore w:w="34" w:type="dxa"/>
          <w:trHeight w:val="270"/>
        </w:trPr>
        <w:tc>
          <w:tcPr>
            <w:tcW w:w="236" w:type="dxa"/>
          </w:tcPr>
          <w:p w14:paraId="19058A4A" w14:textId="3574720C" w:rsidR="002301F4" w:rsidRPr="00892787" w:rsidRDefault="002301F4" w:rsidP="00551333">
            <w:pPr>
              <w:rPr>
                <w:b/>
                <w:bCs/>
                <w:sz w:val="20"/>
                <w:szCs w:val="20"/>
              </w:rPr>
            </w:pPr>
            <w:r>
              <w:rPr>
                <w:b/>
                <w:bCs/>
                <w:sz w:val="20"/>
                <w:szCs w:val="20"/>
                <w:lang w:val="de-DE"/>
              </w:rPr>
              <w:t>2</w:t>
            </w:r>
          </w:p>
        </w:tc>
        <w:tc>
          <w:tcPr>
            <w:tcW w:w="6549" w:type="dxa"/>
            <w:gridSpan w:val="5"/>
            <w:noWrap/>
          </w:tcPr>
          <w:p w14:paraId="0496F9ED" w14:textId="77777777" w:rsidR="002301F4" w:rsidRPr="00892787" w:rsidRDefault="002301F4" w:rsidP="002301F4">
            <w:pPr>
              <w:jc w:val="both"/>
              <w:rPr>
                <w:color w:val="008000"/>
                <w:sz w:val="20"/>
                <w:szCs w:val="20"/>
              </w:rPr>
            </w:pPr>
            <w:r w:rsidRPr="00892787">
              <w:rPr>
                <w:b/>
                <w:sz w:val="20"/>
                <w:szCs w:val="20"/>
                <w:lang w:eastAsia="fr-FR"/>
              </w:rPr>
              <w:t>Налице ли са в проверяваната процедурата индикатори за договаряне при офериране?</w:t>
            </w:r>
          </w:p>
          <w:p w14:paraId="2EFE9FB0" w14:textId="77777777" w:rsidR="002301F4" w:rsidRPr="00892787" w:rsidRDefault="002301F4" w:rsidP="002301F4">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9B3645" w14:paraId="48721D3A" w14:textId="77777777" w:rsidTr="00237C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C7B118" w14:textId="77777777" w:rsidR="002301F4" w:rsidRPr="009B3645" w:rsidRDefault="002301F4" w:rsidP="002301F4">
                  <w:pPr>
                    <w:jc w:val="center"/>
                    <w:rPr>
                      <w:sz w:val="20"/>
                      <w:szCs w:val="20"/>
                    </w:rPr>
                  </w:pPr>
                  <w:r w:rsidRPr="009B364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E1E23F" w14:textId="77777777" w:rsidR="002301F4" w:rsidRPr="009B3645" w:rsidRDefault="002301F4" w:rsidP="002301F4">
                  <w:pPr>
                    <w:jc w:val="center"/>
                    <w:rPr>
                      <w:b/>
                      <w:bCs/>
                      <w:color w:val="0000FF"/>
                      <w:lang w:val="en-GB" w:eastAsia="en-US"/>
                    </w:rPr>
                  </w:pPr>
                  <w:r w:rsidRPr="009B364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186E6" w14:textId="77777777" w:rsidR="002301F4" w:rsidRPr="009B3645" w:rsidRDefault="002301F4" w:rsidP="002301F4">
                  <w:pPr>
                    <w:jc w:val="center"/>
                    <w:rPr>
                      <w:b/>
                      <w:bCs/>
                      <w:color w:val="0000FF"/>
                      <w:sz w:val="20"/>
                      <w:szCs w:val="20"/>
                    </w:rPr>
                  </w:pPr>
                  <w:r w:rsidRPr="009B364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90CA58" w14:textId="77777777" w:rsidR="002301F4" w:rsidRPr="009B3645" w:rsidRDefault="002301F4" w:rsidP="002301F4">
                  <w:pPr>
                    <w:jc w:val="center"/>
                    <w:rPr>
                      <w:lang w:val="en-GB" w:eastAsia="en-US"/>
                    </w:rPr>
                  </w:pPr>
                  <w:r w:rsidRPr="009B364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AF72EE" w14:textId="77777777" w:rsidR="002301F4" w:rsidRPr="009B3645" w:rsidRDefault="002301F4" w:rsidP="002301F4">
                  <w:pPr>
                    <w:jc w:val="center"/>
                    <w:rPr>
                      <w:b/>
                      <w:bCs/>
                      <w:color w:val="0000FF"/>
                    </w:rPr>
                  </w:pPr>
                  <w:r w:rsidRPr="009B364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8D50C" w14:textId="77777777" w:rsidR="002301F4" w:rsidRPr="009B3645" w:rsidRDefault="002301F4" w:rsidP="002301F4">
                  <w:pPr>
                    <w:jc w:val="center"/>
                    <w:rPr>
                      <w:b/>
                      <w:bCs/>
                      <w:color w:val="0000FF"/>
                    </w:rPr>
                  </w:pPr>
                  <w:r w:rsidRPr="009B3645">
                    <w:rPr>
                      <w:color w:val="0000FF"/>
                    </w:rPr>
                    <w:sym w:font="Wingdings 2" w:char="F0A3"/>
                  </w:r>
                </w:p>
              </w:tc>
            </w:tr>
          </w:tbl>
          <w:p w14:paraId="7940EB51" w14:textId="77777777" w:rsidR="002301F4" w:rsidRPr="00892787" w:rsidRDefault="002301F4" w:rsidP="002301F4">
            <w:pPr>
              <w:pStyle w:val="BodyText"/>
              <w:jc w:val="center"/>
              <w:rPr>
                <w:b/>
                <w:sz w:val="20"/>
                <w:szCs w:val="20"/>
              </w:rPr>
            </w:pPr>
          </w:p>
        </w:tc>
        <w:tc>
          <w:tcPr>
            <w:tcW w:w="3515" w:type="dxa"/>
            <w:vAlign w:val="center"/>
          </w:tcPr>
          <w:p w14:paraId="4A906E19" w14:textId="77777777" w:rsidR="002301F4" w:rsidRPr="00892787" w:rsidRDefault="002301F4" w:rsidP="002301F4">
            <w:pPr>
              <w:pStyle w:val="Heading1"/>
              <w:keepNext w:val="0"/>
              <w:jc w:val="center"/>
              <w:rPr>
                <w:bCs/>
                <w:sz w:val="20"/>
              </w:rPr>
            </w:pPr>
          </w:p>
        </w:tc>
      </w:tr>
      <w:tr w:rsidR="002301F4" w:rsidRPr="00892787" w14:paraId="33E567B2" w14:textId="77777777" w:rsidTr="00551333">
        <w:trPr>
          <w:gridBefore w:val="1"/>
          <w:wBefore w:w="34" w:type="dxa"/>
          <w:trHeight w:val="270"/>
        </w:trPr>
        <w:tc>
          <w:tcPr>
            <w:tcW w:w="236" w:type="dxa"/>
          </w:tcPr>
          <w:p w14:paraId="4CA3883D" w14:textId="1E5400D4" w:rsidR="002301F4" w:rsidRPr="00551333" w:rsidRDefault="002301F4" w:rsidP="00551333">
            <w:pPr>
              <w:rPr>
                <w:b/>
                <w:bCs/>
                <w:sz w:val="20"/>
                <w:szCs w:val="20"/>
                <w:lang w:val="de-DE"/>
              </w:rPr>
            </w:pPr>
            <w:r>
              <w:rPr>
                <w:b/>
                <w:bCs/>
                <w:sz w:val="20"/>
                <w:szCs w:val="20"/>
                <w:lang w:val="de-DE"/>
              </w:rPr>
              <w:t>3</w:t>
            </w:r>
          </w:p>
        </w:tc>
        <w:tc>
          <w:tcPr>
            <w:tcW w:w="6549" w:type="dxa"/>
            <w:gridSpan w:val="5"/>
            <w:noWrap/>
          </w:tcPr>
          <w:p w14:paraId="38AE5B0F" w14:textId="77777777" w:rsidR="002301F4" w:rsidRPr="00892787" w:rsidRDefault="002301F4" w:rsidP="002301F4">
            <w:pPr>
              <w:jc w:val="both"/>
              <w:rPr>
                <w:b/>
                <w:sz w:val="20"/>
                <w:szCs w:val="20"/>
                <w:lang w:eastAsia="fr-FR"/>
              </w:rPr>
            </w:pPr>
            <w:r w:rsidRPr="00892787">
              <w:rPr>
                <w:b/>
                <w:sz w:val="20"/>
                <w:szCs w:val="20"/>
                <w:lang w:eastAsia="fr-FR"/>
              </w:rPr>
              <w:t>Налице ли са в проверяваната процедурата индикатори за неоснователно възлагане на един изпълнител?</w:t>
            </w:r>
          </w:p>
          <w:p w14:paraId="13E8328E" w14:textId="77777777" w:rsidR="002301F4" w:rsidRPr="00892787" w:rsidRDefault="002301F4" w:rsidP="002301F4">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700"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9B3645" w14:paraId="6F18D922" w14:textId="77777777" w:rsidTr="00237C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D81B40" w14:textId="77777777" w:rsidR="002301F4" w:rsidRPr="009B3645" w:rsidRDefault="002301F4" w:rsidP="002301F4">
                  <w:pPr>
                    <w:jc w:val="center"/>
                    <w:rPr>
                      <w:sz w:val="20"/>
                      <w:szCs w:val="20"/>
                    </w:rPr>
                  </w:pPr>
                  <w:r w:rsidRPr="009B364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9A56A4" w14:textId="77777777" w:rsidR="002301F4" w:rsidRPr="009B3645" w:rsidRDefault="002301F4" w:rsidP="002301F4">
                  <w:pPr>
                    <w:jc w:val="center"/>
                    <w:rPr>
                      <w:b/>
                      <w:bCs/>
                      <w:color w:val="0000FF"/>
                      <w:lang w:val="en-GB" w:eastAsia="en-US"/>
                    </w:rPr>
                  </w:pPr>
                  <w:r w:rsidRPr="009B364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FABD19" w14:textId="77777777" w:rsidR="002301F4" w:rsidRPr="009B3645" w:rsidRDefault="002301F4" w:rsidP="002301F4">
                  <w:pPr>
                    <w:jc w:val="center"/>
                    <w:rPr>
                      <w:b/>
                      <w:bCs/>
                      <w:color w:val="0000FF"/>
                      <w:sz w:val="20"/>
                      <w:szCs w:val="20"/>
                    </w:rPr>
                  </w:pPr>
                  <w:r w:rsidRPr="009B364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55B07" w14:textId="77777777" w:rsidR="002301F4" w:rsidRPr="009B3645" w:rsidRDefault="002301F4" w:rsidP="002301F4">
                  <w:pPr>
                    <w:jc w:val="center"/>
                    <w:rPr>
                      <w:lang w:val="en-GB" w:eastAsia="en-US"/>
                    </w:rPr>
                  </w:pPr>
                  <w:r w:rsidRPr="009B364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F1C115" w14:textId="77777777" w:rsidR="002301F4" w:rsidRPr="009B3645" w:rsidRDefault="002301F4" w:rsidP="002301F4">
                  <w:pPr>
                    <w:jc w:val="center"/>
                    <w:rPr>
                      <w:b/>
                      <w:bCs/>
                      <w:color w:val="0000FF"/>
                    </w:rPr>
                  </w:pPr>
                  <w:r w:rsidRPr="009B364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91C8A" w14:textId="77777777" w:rsidR="002301F4" w:rsidRPr="009B3645" w:rsidRDefault="002301F4" w:rsidP="002301F4">
                  <w:pPr>
                    <w:jc w:val="center"/>
                    <w:rPr>
                      <w:b/>
                      <w:bCs/>
                      <w:color w:val="0000FF"/>
                    </w:rPr>
                  </w:pPr>
                  <w:r w:rsidRPr="009B3645">
                    <w:rPr>
                      <w:color w:val="0000FF"/>
                    </w:rPr>
                    <w:sym w:font="Wingdings 2" w:char="F0A3"/>
                  </w:r>
                </w:p>
              </w:tc>
            </w:tr>
          </w:tbl>
          <w:p w14:paraId="4DE83ED6" w14:textId="77777777" w:rsidR="002301F4" w:rsidRPr="00892787" w:rsidRDefault="002301F4" w:rsidP="002301F4">
            <w:pPr>
              <w:pStyle w:val="BodyText"/>
              <w:jc w:val="center"/>
              <w:rPr>
                <w:b/>
                <w:sz w:val="20"/>
                <w:szCs w:val="20"/>
              </w:rPr>
            </w:pPr>
          </w:p>
        </w:tc>
        <w:tc>
          <w:tcPr>
            <w:tcW w:w="3515" w:type="dxa"/>
            <w:vAlign w:val="center"/>
          </w:tcPr>
          <w:p w14:paraId="61BF7BFF" w14:textId="77777777" w:rsidR="002301F4" w:rsidRPr="00892787" w:rsidRDefault="002301F4" w:rsidP="002301F4">
            <w:pPr>
              <w:pStyle w:val="Heading1"/>
              <w:keepNext w:val="0"/>
              <w:jc w:val="center"/>
              <w:rPr>
                <w:bCs/>
                <w:sz w:val="20"/>
              </w:rPr>
            </w:pPr>
          </w:p>
        </w:tc>
      </w:tr>
      <w:tr w:rsidR="00CE0EBD" w:rsidRPr="002C233F" w14:paraId="77D48045" w14:textId="77777777" w:rsidTr="00AA2EA7">
        <w:trPr>
          <w:trHeight w:val="270"/>
        </w:trPr>
        <w:tc>
          <w:tcPr>
            <w:tcW w:w="14034" w:type="dxa"/>
            <w:gridSpan w:val="11"/>
          </w:tcPr>
          <w:p w14:paraId="2584EF13" w14:textId="198A2140" w:rsidR="00CE0EBD" w:rsidRPr="002C233F" w:rsidRDefault="00252C8C" w:rsidP="00715583">
            <w:pPr>
              <w:keepLines/>
              <w:jc w:val="both"/>
              <w:outlineLvl w:val="0"/>
              <w:rPr>
                <w:b/>
                <w:bCs/>
                <w:sz w:val="20"/>
                <w:szCs w:val="20"/>
              </w:rPr>
            </w:pPr>
            <w:r>
              <w:rPr>
                <w:b/>
                <w:sz w:val="20"/>
                <w:szCs w:val="20"/>
                <w:lang w:val="de-DE" w:eastAsia="fr-FR"/>
              </w:rPr>
              <w:t>XI</w:t>
            </w:r>
            <w:r w:rsidR="00CE0EBD" w:rsidRPr="002C233F">
              <w:rPr>
                <w:sz w:val="20"/>
                <w:szCs w:val="20"/>
                <w:lang w:eastAsia="fr-FR"/>
              </w:rPr>
              <w:t xml:space="preserve">. </w:t>
            </w:r>
            <w:r w:rsidR="00CE0EBD">
              <w:rPr>
                <w:b/>
                <w:sz w:val="20"/>
                <w:szCs w:val="20"/>
                <w:lang w:eastAsia="fr-FR"/>
              </w:rPr>
              <w:t>ПРОВЕРКА В ИНСТРУМЕНТА АРАХНЕ</w:t>
            </w:r>
          </w:p>
        </w:tc>
      </w:tr>
      <w:tr w:rsidR="002301F4" w:rsidRPr="002C233F" w14:paraId="629A89EF" w14:textId="77777777" w:rsidTr="00551333">
        <w:trPr>
          <w:trHeight w:val="270"/>
        </w:trPr>
        <w:tc>
          <w:tcPr>
            <w:tcW w:w="426" w:type="dxa"/>
            <w:gridSpan w:val="3"/>
          </w:tcPr>
          <w:p w14:paraId="2E49C523" w14:textId="632A6159" w:rsidR="002301F4" w:rsidRPr="00551333" w:rsidRDefault="002301F4" w:rsidP="002301F4">
            <w:pPr>
              <w:widowControl w:val="0"/>
              <w:spacing w:before="240" w:after="60"/>
              <w:jc w:val="both"/>
              <w:outlineLvl w:val="2"/>
              <w:rPr>
                <w:bCs/>
                <w:sz w:val="20"/>
                <w:szCs w:val="20"/>
                <w:lang w:val="de-DE" w:eastAsia="fr-FR"/>
              </w:rPr>
            </w:pPr>
            <w:r>
              <w:rPr>
                <w:bCs/>
                <w:sz w:val="20"/>
                <w:szCs w:val="20"/>
                <w:lang w:val="de-DE" w:eastAsia="fr-FR"/>
              </w:rPr>
              <w:t>1</w:t>
            </w:r>
          </w:p>
        </w:tc>
        <w:tc>
          <w:tcPr>
            <w:tcW w:w="6379" w:type="dxa"/>
            <w:gridSpan w:val="3"/>
            <w:noWrap/>
          </w:tcPr>
          <w:p w14:paraId="5F1CA31C" w14:textId="77777777" w:rsidR="002301F4" w:rsidRPr="002C233F" w:rsidRDefault="002301F4" w:rsidP="002301F4">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714"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90BFE" w14:paraId="3D4AD97C" w14:textId="77777777" w:rsidTr="007E21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08100A" w14:textId="77777777" w:rsidR="002301F4" w:rsidRPr="00690BFE" w:rsidRDefault="002301F4" w:rsidP="002301F4">
                  <w:pPr>
                    <w:jc w:val="center"/>
                    <w:rPr>
                      <w:sz w:val="20"/>
                      <w:szCs w:val="20"/>
                    </w:rPr>
                  </w:pPr>
                  <w:r w:rsidRPr="00690BFE">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5C19E4" w14:textId="77777777" w:rsidR="002301F4" w:rsidRPr="00690BFE" w:rsidRDefault="002301F4" w:rsidP="002301F4">
                  <w:pPr>
                    <w:jc w:val="center"/>
                    <w:rPr>
                      <w:b/>
                      <w:bCs/>
                      <w:color w:val="0000FF"/>
                      <w:lang w:val="en-GB" w:eastAsia="en-US"/>
                    </w:rPr>
                  </w:pPr>
                  <w:r w:rsidRPr="00690BF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59F387" w14:textId="77777777" w:rsidR="002301F4" w:rsidRPr="00690BFE" w:rsidRDefault="002301F4" w:rsidP="002301F4">
                  <w:pPr>
                    <w:jc w:val="center"/>
                    <w:rPr>
                      <w:b/>
                      <w:bCs/>
                      <w:color w:val="0000FF"/>
                      <w:sz w:val="20"/>
                      <w:szCs w:val="20"/>
                    </w:rPr>
                  </w:pPr>
                  <w:r w:rsidRPr="00690BF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E0689E" w14:textId="77777777" w:rsidR="002301F4" w:rsidRPr="00690BFE" w:rsidRDefault="002301F4" w:rsidP="002301F4">
                  <w:pPr>
                    <w:jc w:val="center"/>
                    <w:rPr>
                      <w:lang w:val="en-GB" w:eastAsia="en-US"/>
                    </w:rPr>
                  </w:pPr>
                  <w:r w:rsidRPr="00690BF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A68CA" w14:textId="77777777" w:rsidR="002301F4" w:rsidRPr="00690BFE" w:rsidRDefault="002301F4" w:rsidP="002301F4">
                  <w:pPr>
                    <w:jc w:val="center"/>
                    <w:rPr>
                      <w:b/>
                      <w:bCs/>
                      <w:color w:val="0000FF"/>
                    </w:rPr>
                  </w:pPr>
                  <w:r w:rsidRPr="00690BF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32DCBB" w14:textId="77777777" w:rsidR="002301F4" w:rsidRPr="00690BFE" w:rsidRDefault="002301F4" w:rsidP="002301F4">
                  <w:pPr>
                    <w:jc w:val="center"/>
                    <w:rPr>
                      <w:b/>
                      <w:bCs/>
                      <w:color w:val="0000FF"/>
                    </w:rPr>
                  </w:pPr>
                  <w:r w:rsidRPr="00690BFE">
                    <w:rPr>
                      <w:color w:val="0000FF"/>
                    </w:rPr>
                    <w:sym w:font="Wingdings 2" w:char="F0A3"/>
                  </w:r>
                </w:p>
              </w:tc>
            </w:tr>
          </w:tbl>
          <w:p w14:paraId="68AA4961" w14:textId="77777777" w:rsidR="002301F4" w:rsidRPr="002C233F" w:rsidRDefault="002301F4" w:rsidP="002301F4">
            <w:pPr>
              <w:keepLines/>
              <w:spacing w:before="130" w:line="280" w:lineRule="atLeast"/>
              <w:jc w:val="both"/>
              <w:outlineLvl w:val="0"/>
              <w:rPr>
                <w:b/>
                <w:bCs/>
                <w:sz w:val="20"/>
                <w:szCs w:val="20"/>
              </w:rPr>
            </w:pPr>
          </w:p>
        </w:tc>
        <w:tc>
          <w:tcPr>
            <w:tcW w:w="3515" w:type="dxa"/>
          </w:tcPr>
          <w:p w14:paraId="67CDF0C4" w14:textId="77777777" w:rsidR="002301F4" w:rsidRPr="002C233F" w:rsidRDefault="002301F4" w:rsidP="002301F4">
            <w:pPr>
              <w:keepLines/>
              <w:spacing w:before="130" w:line="280" w:lineRule="atLeast"/>
              <w:jc w:val="both"/>
              <w:outlineLvl w:val="0"/>
              <w:rPr>
                <w:b/>
                <w:bCs/>
                <w:sz w:val="20"/>
                <w:szCs w:val="20"/>
              </w:rPr>
            </w:pPr>
          </w:p>
        </w:tc>
      </w:tr>
      <w:tr w:rsidR="002301F4" w:rsidRPr="002C233F" w14:paraId="634CE3FC" w14:textId="77777777" w:rsidTr="00551333">
        <w:trPr>
          <w:trHeight w:val="270"/>
        </w:trPr>
        <w:tc>
          <w:tcPr>
            <w:tcW w:w="426" w:type="dxa"/>
            <w:gridSpan w:val="3"/>
          </w:tcPr>
          <w:p w14:paraId="5DAA83E4" w14:textId="6BE59003" w:rsidR="002301F4" w:rsidRPr="00551333" w:rsidRDefault="002301F4" w:rsidP="002301F4">
            <w:pPr>
              <w:widowControl w:val="0"/>
              <w:spacing w:before="240" w:after="60"/>
              <w:jc w:val="both"/>
              <w:outlineLvl w:val="2"/>
              <w:rPr>
                <w:bCs/>
                <w:sz w:val="20"/>
                <w:szCs w:val="20"/>
                <w:lang w:val="de-DE" w:eastAsia="fr-FR"/>
              </w:rPr>
            </w:pPr>
            <w:r>
              <w:rPr>
                <w:bCs/>
                <w:sz w:val="20"/>
                <w:szCs w:val="20"/>
                <w:lang w:val="de-DE" w:eastAsia="fr-FR"/>
              </w:rPr>
              <w:t>2</w:t>
            </w:r>
          </w:p>
        </w:tc>
        <w:tc>
          <w:tcPr>
            <w:tcW w:w="6379" w:type="dxa"/>
            <w:gridSpan w:val="3"/>
            <w:noWrap/>
          </w:tcPr>
          <w:p w14:paraId="7192BB82" w14:textId="77777777" w:rsidR="002301F4" w:rsidRPr="002C233F" w:rsidRDefault="002301F4" w:rsidP="002301F4">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714"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2301F4" w:rsidRPr="00690BFE" w14:paraId="372C7B73" w14:textId="77777777" w:rsidTr="007E21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8644EE" w14:textId="77777777" w:rsidR="002301F4" w:rsidRPr="00690BFE" w:rsidRDefault="002301F4" w:rsidP="002301F4">
                  <w:pPr>
                    <w:jc w:val="center"/>
                    <w:rPr>
                      <w:sz w:val="20"/>
                      <w:szCs w:val="20"/>
                    </w:rPr>
                  </w:pPr>
                  <w:r w:rsidRPr="00690BFE">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F6B53" w14:textId="77777777" w:rsidR="002301F4" w:rsidRPr="00690BFE" w:rsidRDefault="002301F4" w:rsidP="002301F4">
                  <w:pPr>
                    <w:jc w:val="center"/>
                    <w:rPr>
                      <w:b/>
                      <w:bCs/>
                      <w:color w:val="0000FF"/>
                      <w:lang w:val="en-GB" w:eastAsia="en-US"/>
                    </w:rPr>
                  </w:pPr>
                  <w:r w:rsidRPr="00690BF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953B94" w14:textId="77777777" w:rsidR="002301F4" w:rsidRPr="00690BFE" w:rsidRDefault="002301F4" w:rsidP="002301F4">
                  <w:pPr>
                    <w:jc w:val="center"/>
                    <w:rPr>
                      <w:b/>
                      <w:bCs/>
                      <w:color w:val="0000FF"/>
                      <w:sz w:val="20"/>
                      <w:szCs w:val="20"/>
                    </w:rPr>
                  </w:pPr>
                  <w:r w:rsidRPr="00690BF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1B49DF" w14:textId="77777777" w:rsidR="002301F4" w:rsidRPr="00690BFE" w:rsidRDefault="002301F4" w:rsidP="002301F4">
                  <w:pPr>
                    <w:jc w:val="center"/>
                    <w:rPr>
                      <w:lang w:val="en-GB" w:eastAsia="en-US"/>
                    </w:rPr>
                  </w:pPr>
                  <w:r w:rsidRPr="00690BF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EDD731" w14:textId="77777777" w:rsidR="002301F4" w:rsidRPr="00690BFE" w:rsidRDefault="002301F4" w:rsidP="002301F4">
                  <w:pPr>
                    <w:jc w:val="center"/>
                    <w:rPr>
                      <w:b/>
                      <w:bCs/>
                      <w:color w:val="0000FF"/>
                    </w:rPr>
                  </w:pPr>
                  <w:r w:rsidRPr="00690BF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652AED" w14:textId="77777777" w:rsidR="002301F4" w:rsidRPr="00690BFE" w:rsidRDefault="002301F4" w:rsidP="002301F4">
                  <w:pPr>
                    <w:jc w:val="center"/>
                    <w:rPr>
                      <w:b/>
                      <w:bCs/>
                      <w:color w:val="0000FF"/>
                    </w:rPr>
                  </w:pPr>
                  <w:r w:rsidRPr="00690BFE">
                    <w:rPr>
                      <w:color w:val="0000FF"/>
                    </w:rPr>
                    <w:sym w:font="Wingdings 2" w:char="F0A3"/>
                  </w:r>
                </w:p>
              </w:tc>
            </w:tr>
          </w:tbl>
          <w:p w14:paraId="253069D5" w14:textId="77777777" w:rsidR="002301F4" w:rsidRPr="002C233F" w:rsidRDefault="002301F4" w:rsidP="002301F4">
            <w:pPr>
              <w:keepLines/>
              <w:spacing w:before="130" w:line="280" w:lineRule="atLeast"/>
              <w:jc w:val="both"/>
              <w:outlineLvl w:val="0"/>
              <w:rPr>
                <w:b/>
                <w:bCs/>
                <w:sz w:val="20"/>
                <w:szCs w:val="20"/>
              </w:rPr>
            </w:pPr>
          </w:p>
        </w:tc>
        <w:tc>
          <w:tcPr>
            <w:tcW w:w="3515" w:type="dxa"/>
          </w:tcPr>
          <w:p w14:paraId="4D58D0BE" w14:textId="77777777" w:rsidR="002301F4" w:rsidRPr="002C233F" w:rsidRDefault="002301F4" w:rsidP="002301F4">
            <w:pPr>
              <w:keepLines/>
              <w:spacing w:before="130" w:line="280" w:lineRule="atLeast"/>
              <w:jc w:val="both"/>
              <w:outlineLvl w:val="0"/>
              <w:rPr>
                <w:b/>
                <w:bCs/>
                <w:sz w:val="20"/>
                <w:szCs w:val="20"/>
              </w:rPr>
            </w:pPr>
          </w:p>
        </w:tc>
      </w:tr>
    </w:tbl>
    <w:p w14:paraId="02C7ECB6" w14:textId="77777777" w:rsidR="002D140A" w:rsidRPr="00892787" w:rsidRDefault="002D140A" w:rsidP="00F81223">
      <w:pPr>
        <w:jc w:val="both"/>
        <w:rPr>
          <w:sz w:val="20"/>
          <w:szCs w:val="20"/>
        </w:rPr>
      </w:pPr>
    </w:p>
    <w:tbl>
      <w:tblPr>
        <w:tblW w:w="150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5026"/>
      </w:tblGrid>
      <w:tr w:rsidR="00733DB3" w:rsidRPr="00733DB3" w14:paraId="73688B7A" w14:textId="77777777" w:rsidTr="00715583">
        <w:trPr>
          <w:trHeight w:val="296"/>
          <w:tblHeader/>
        </w:trPr>
        <w:tc>
          <w:tcPr>
            <w:tcW w:w="15026" w:type="dxa"/>
            <w:tcBorders>
              <w:top w:val="single" w:sz="4" w:space="0" w:color="auto"/>
              <w:left w:val="single" w:sz="4" w:space="0" w:color="auto"/>
              <w:bottom w:val="single" w:sz="4" w:space="0" w:color="auto"/>
              <w:right w:val="single" w:sz="4" w:space="0" w:color="auto"/>
            </w:tcBorders>
            <w:shd w:val="clear" w:color="auto" w:fill="FFFF99"/>
            <w:hideMark/>
          </w:tcPr>
          <w:p w14:paraId="70766FCA" w14:textId="60218D8F" w:rsidR="00733DB3" w:rsidRPr="00733DB3" w:rsidRDefault="00733DB3" w:rsidP="00733DB3">
            <w:pPr>
              <w:keepNext/>
              <w:ind w:left="142" w:right="283"/>
              <w:rPr>
                <w:b/>
              </w:rPr>
            </w:pPr>
            <w:r w:rsidRPr="00733DB3">
              <w:rPr>
                <w:b/>
                <w:lang w:val="en-US"/>
              </w:rPr>
              <w:t>X</w:t>
            </w:r>
            <w:r>
              <w:rPr>
                <w:b/>
                <w:lang w:val="en-US"/>
              </w:rPr>
              <w:t>II</w:t>
            </w:r>
            <w:r w:rsidRPr="00733DB3">
              <w:rPr>
                <w:b/>
              </w:rPr>
              <w:t>. Проверката е извършена в периода от .......................  до ……..</w:t>
            </w:r>
          </w:p>
          <w:p w14:paraId="0AAB9465" w14:textId="77777777" w:rsidR="00733DB3" w:rsidRPr="00733DB3" w:rsidRDefault="00733DB3" w:rsidP="00733DB3">
            <w:pPr>
              <w:keepNext/>
              <w:ind w:left="142" w:right="283"/>
              <w:rPr>
                <w:b/>
              </w:rPr>
            </w:pPr>
          </w:p>
        </w:tc>
      </w:tr>
      <w:tr w:rsidR="00733DB3" w:rsidRPr="00733DB3" w14:paraId="2A6438D2" w14:textId="77777777" w:rsidTr="00715583">
        <w:trPr>
          <w:trHeight w:val="296"/>
          <w:tblHeader/>
        </w:trPr>
        <w:tc>
          <w:tcPr>
            <w:tcW w:w="15026" w:type="dxa"/>
            <w:tcBorders>
              <w:top w:val="single" w:sz="4" w:space="0" w:color="auto"/>
              <w:left w:val="single" w:sz="4" w:space="0" w:color="auto"/>
              <w:bottom w:val="single" w:sz="4" w:space="0" w:color="auto"/>
              <w:right w:val="single" w:sz="4" w:space="0" w:color="auto"/>
            </w:tcBorders>
            <w:shd w:val="clear" w:color="auto" w:fill="FFFF99"/>
          </w:tcPr>
          <w:p w14:paraId="0CBBCEA5" w14:textId="77777777" w:rsidR="00733DB3" w:rsidRPr="00733DB3" w:rsidRDefault="00733DB3" w:rsidP="00733DB3">
            <w:pPr>
              <w:keepNext/>
              <w:numPr>
                <w:ilvl w:val="0"/>
                <w:numId w:val="85"/>
              </w:numPr>
              <w:ind w:right="283"/>
              <w:contextualSpacing/>
            </w:pPr>
            <w:r w:rsidRPr="00733DB3">
              <w:rPr>
                <w:b/>
              </w:rPr>
              <w:t>Проверката е извършена в периода от .......................  до ……..</w:t>
            </w:r>
          </w:p>
          <w:p w14:paraId="1BF34538" w14:textId="77777777" w:rsidR="00733DB3" w:rsidRPr="00733DB3" w:rsidRDefault="00733DB3" w:rsidP="00733DB3">
            <w:pPr>
              <w:keepNext/>
              <w:numPr>
                <w:ilvl w:val="0"/>
                <w:numId w:val="85"/>
              </w:numPr>
              <w:spacing w:before="130" w:after="130"/>
              <w:ind w:right="283"/>
              <w:contextualSpacing/>
              <w:jc w:val="both"/>
              <w:rPr>
                <w:b/>
              </w:rPr>
            </w:pPr>
            <w:r w:rsidRPr="00733DB3">
              <w:rPr>
                <w:b/>
              </w:rPr>
              <w:t>Установих … броя отклонения,  които нямат финансов ефект – Референция -  Въпроси № ............. по-горе.  И/ИЛИ</w:t>
            </w:r>
          </w:p>
          <w:p w14:paraId="5EB32E70" w14:textId="77777777" w:rsidR="00733DB3" w:rsidRPr="00733DB3" w:rsidRDefault="00733DB3" w:rsidP="00733DB3">
            <w:pPr>
              <w:spacing w:before="130" w:after="130"/>
              <w:jc w:val="both"/>
              <w:rPr>
                <w:b/>
              </w:rPr>
            </w:pPr>
            <w:r w:rsidRPr="00733DB3">
              <w:rPr>
                <w:b/>
              </w:rPr>
              <w:t xml:space="preserve">Установих … броя отклонения,  които имат финансов ефект – Референция -  Въпроси №  ...............по-горе.  </w:t>
            </w:r>
          </w:p>
          <w:p w14:paraId="1B096844" w14:textId="77777777" w:rsidR="00733DB3" w:rsidRPr="00733DB3" w:rsidRDefault="00733DB3" w:rsidP="00733DB3">
            <w:pPr>
              <w:spacing w:before="130" w:after="130"/>
              <w:jc w:val="both"/>
              <w:rPr>
                <w:b/>
              </w:rPr>
            </w:pPr>
            <w:r w:rsidRPr="00733DB3">
              <w:rPr>
                <w:b/>
              </w:rPr>
              <w:t>Заключение:</w:t>
            </w:r>
          </w:p>
          <w:p w14:paraId="52F1A98E" w14:textId="77777777" w:rsidR="00733DB3" w:rsidRPr="00733DB3" w:rsidRDefault="00733DB3" w:rsidP="00733DB3">
            <w:pPr>
              <w:keepNext/>
              <w:numPr>
                <w:ilvl w:val="0"/>
                <w:numId w:val="85"/>
              </w:numPr>
              <w:ind w:right="283"/>
              <w:contextualSpacing/>
              <w:rPr>
                <w:b/>
              </w:rPr>
            </w:pPr>
            <w:r w:rsidRPr="00733DB3">
              <w:rPr>
                <w:b/>
              </w:rPr>
              <w:t>При съмнение за нарушения е подаден сигнал за нередност:</w:t>
            </w:r>
          </w:p>
          <w:p w14:paraId="1C0296E9" w14:textId="77777777" w:rsidR="00733DB3" w:rsidRPr="00733DB3" w:rsidRDefault="00733DB3" w:rsidP="00733DB3">
            <w:pPr>
              <w:keepNext/>
              <w:ind w:right="283"/>
              <w:rPr>
                <w:b/>
              </w:rPr>
            </w:pPr>
          </w:p>
        </w:tc>
      </w:tr>
    </w:tbl>
    <w:p w14:paraId="61E49166" w14:textId="77777777" w:rsidR="00733DB3" w:rsidRPr="00733DB3" w:rsidRDefault="00733DB3" w:rsidP="00733DB3"/>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5"/>
        <w:gridCol w:w="8241"/>
      </w:tblGrid>
      <w:tr w:rsidR="00733DB3" w:rsidRPr="00733DB3" w14:paraId="1A9F322D" w14:textId="77777777" w:rsidTr="00715583">
        <w:tc>
          <w:tcPr>
            <w:tcW w:w="6785" w:type="dxa"/>
            <w:shd w:val="clear" w:color="auto" w:fill="auto"/>
          </w:tcPr>
          <w:p w14:paraId="18AAF057" w14:textId="77639974" w:rsidR="00733DB3" w:rsidRPr="00733DB3" w:rsidRDefault="00733DB3" w:rsidP="00733DB3">
            <w:pPr>
              <w:spacing w:before="120"/>
              <w:jc w:val="both"/>
            </w:pPr>
            <w:r w:rsidRPr="00733DB3">
              <w:rPr>
                <w:lang w:val="de-DE"/>
              </w:rPr>
              <w:t>X</w:t>
            </w:r>
            <w:r>
              <w:rPr>
                <w:lang w:val="de-DE"/>
              </w:rPr>
              <w:t>III</w:t>
            </w:r>
            <w:r w:rsidRPr="00733DB3">
              <w:t>. Съгласувал – началник отдел „МВ“</w:t>
            </w:r>
          </w:p>
          <w:p w14:paraId="1A283C2B" w14:textId="77777777" w:rsidR="00733DB3" w:rsidRDefault="00733DB3" w:rsidP="00733DB3">
            <w:pPr>
              <w:numPr>
                <w:ilvl w:val="0"/>
                <w:numId w:val="86"/>
              </w:numPr>
              <w:spacing w:before="120"/>
              <w:contextualSpacing/>
              <w:jc w:val="both"/>
            </w:pPr>
            <w:r w:rsidRPr="00733DB3">
              <w:lastRenderedPageBreak/>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1F2E5C" w14:paraId="37626D66" w14:textId="77777777">
              <w:trPr>
                <w:divId w:val="161286063"/>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447AC38C" w14:textId="77777777" w:rsidR="001F2E5C" w:rsidRDefault="001F2E5C" w:rsidP="001F2E5C">
                  <w:pPr>
                    <w:rPr>
                      <w:b/>
                      <w:sz w:val="18"/>
                      <w:szCs w:val="18"/>
                    </w:rPr>
                  </w:pPr>
                  <w:r>
                    <w:rPr>
                      <w:b/>
                      <w:sz w:val="18"/>
                      <w:szCs w:val="18"/>
                    </w:rPr>
                    <w:t>ДА</w:t>
                  </w:r>
                </w:p>
                <w:p w14:paraId="34ACAB1A" w14:textId="77777777" w:rsidR="001F2E5C" w:rsidRDefault="001F2E5C" w:rsidP="001F2E5C">
                  <w:pPr>
                    <w:rPr>
                      <w:b/>
                      <w:sz w:val="18"/>
                      <w:szCs w:val="18"/>
                    </w:rPr>
                  </w:pPr>
                </w:p>
                <w:p w14:paraId="5F2CC4BB" w14:textId="77777777" w:rsidR="001F2E5C" w:rsidRDefault="001F2E5C" w:rsidP="001F2E5C">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5384344A" w14:textId="77777777" w:rsidR="001F2E5C" w:rsidRDefault="001F2E5C" w:rsidP="001F2E5C">
                  <w:pPr>
                    <w:rPr>
                      <w:b/>
                      <w:sz w:val="18"/>
                      <w:szCs w:val="18"/>
                    </w:rPr>
                  </w:pPr>
                  <w:r>
                    <w:rPr>
                      <w:b/>
                      <w:sz w:val="18"/>
                      <w:szCs w:val="18"/>
                    </w:rPr>
                    <w:t>НЕ</w:t>
                  </w:r>
                </w:p>
                <w:p w14:paraId="11D6EC7A" w14:textId="77777777" w:rsidR="001F2E5C" w:rsidRDefault="001F2E5C" w:rsidP="001F2E5C">
                  <w:pPr>
                    <w:rPr>
                      <w:b/>
                      <w:sz w:val="18"/>
                      <w:szCs w:val="18"/>
                    </w:rPr>
                  </w:pPr>
                </w:p>
                <w:p w14:paraId="7D3AC5E1" w14:textId="77777777" w:rsidR="001F2E5C" w:rsidRDefault="001F2E5C" w:rsidP="001F2E5C">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52C64678" w14:textId="77777777" w:rsidR="001F2E5C" w:rsidRDefault="001F2E5C" w:rsidP="001F2E5C">
                  <w:pPr>
                    <w:rPr>
                      <w:b/>
                      <w:sz w:val="18"/>
                      <w:szCs w:val="18"/>
                    </w:rPr>
                  </w:pPr>
                  <w:r>
                    <w:rPr>
                      <w:b/>
                      <w:sz w:val="18"/>
                      <w:szCs w:val="18"/>
                    </w:rPr>
                    <w:t>Н/П</w:t>
                  </w:r>
                </w:p>
                <w:p w14:paraId="1B8A3BA5" w14:textId="77777777" w:rsidR="001F2E5C" w:rsidRDefault="001F2E5C" w:rsidP="001F2E5C">
                  <w:pPr>
                    <w:rPr>
                      <w:b/>
                      <w:sz w:val="18"/>
                      <w:szCs w:val="18"/>
                    </w:rPr>
                  </w:pPr>
                </w:p>
                <w:p w14:paraId="211ED873" w14:textId="77777777" w:rsidR="001F2E5C" w:rsidRDefault="001F2E5C" w:rsidP="001F2E5C">
                  <w:pPr>
                    <w:rPr>
                      <w:b/>
                      <w:sz w:val="18"/>
                      <w:szCs w:val="18"/>
                    </w:rPr>
                  </w:pPr>
                  <w:r>
                    <w:rPr>
                      <w:color w:val="0000FF"/>
                    </w:rPr>
                    <w:sym w:font="Wingdings 2" w:char="F0A3"/>
                  </w:r>
                </w:p>
              </w:tc>
            </w:tr>
          </w:tbl>
          <w:p w14:paraId="70D2FDDD" w14:textId="65B63550" w:rsidR="001F2E5C" w:rsidRPr="00733DB3" w:rsidRDefault="001F2E5C" w:rsidP="00551333">
            <w:pPr>
              <w:spacing w:before="120"/>
              <w:contextualSpacing/>
              <w:jc w:val="both"/>
            </w:pPr>
          </w:p>
        </w:tc>
        <w:tc>
          <w:tcPr>
            <w:tcW w:w="8241" w:type="dxa"/>
            <w:shd w:val="clear" w:color="auto" w:fill="auto"/>
          </w:tcPr>
          <w:p w14:paraId="6961F354" w14:textId="77777777" w:rsidR="00733DB3" w:rsidRPr="00733DB3" w:rsidRDefault="00733DB3" w:rsidP="00733DB3">
            <w:pPr>
              <w:spacing w:before="120"/>
              <w:jc w:val="both"/>
            </w:pPr>
          </w:p>
          <w:p w14:paraId="6DC0DB05" w14:textId="77777777" w:rsidR="00733DB3" w:rsidRPr="00733DB3" w:rsidRDefault="00733DB3" w:rsidP="00733DB3">
            <w:pPr>
              <w:spacing w:before="120"/>
              <w:jc w:val="both"/>
            </w:pPr>
          </w:p>
        </w:tc>
      </w:tr>
    </w:tbl>
    <w:p w14:paraId="6854966D" w14:textId="77777777" w:rsidR="00733DB3" w:rsidRPr="00733DB3" w:rsidRDefault="00733DB3" w:rsidP="00733DB3"/>
    <w:tbl>
      <w:tblPr>
        <w:tblW w:w="14884" w:type="dxa"/>
        <w:tblInd w:w="-72" w:type="dxa"/>
        <w:tblLayout w:type="fixed"/>
        <w:tblCellMar>
          <w:left w:w="70" w:type="dxa"/>
          <w:right w:w="70" w:type="dxa"/>
        </w:tblCellMar>
        <w:tblLook w:val="04A0" w:firstRow="1" w:lastRow="0" w:firstColumn="1" w:lastColumn="0" w:noHBand="0" w:noVBand="1"/>
      </w:tblPr>
      <w:tblGrid>
        <w:gridCol w:w="9298"/>
        <w:gridCol w:w="848"/>
        <w:gridCol w:w="797"/>
        <w:gridCol w:w="797"/>
        <w:gridCol w:w="3144"/>
      </w:tblGrid>
      <w:tr w:rsidR="00733DB3" w:rsidRPr="00733DB3" w14:paraId="155BEF53" w14:textId="77777777" w:rsidTr="00715583">
        <w:trPr>
          <w:cantSplit/>
          <w:trHeight w:val="461"/>
        </w:trPr>
        <w:tc>
          <w:tcPr>
            <w:tcW w:w="9298" w:type="dxa"/>
            <w:tcBorders>
              <w:top w:val="single" w:sz="4" w:space="0" w:color="auto"/>
              <w:left w:val="single" w:sz="4" w:space="0" w:color="auto"/>
              <w:bottom w:val="single" w:sz="4" w:space="0" w:color="auto"/>
              <w:right w:val="single" w:sz="4" w:space="0" w:color="auto"/>
            </w:tcBorders>
            <w:noWrap/>
            <w:vAlign w:val="center"/>
            <w:hideMark/>
          </w:tcPr>
          <w:p w14:paraId="101BC8A4" w14:textId="77777777" w:rsidR="00733DB3" w:rsidRPr="00733DB3" w:rsidRDefault="00733DB3" w:rsidP="00733DB3">
            <w:pPr>
              <w:jc w:val="both"/>
              <w:rPr>
                <w:lang w:eastAsia="fr-FR"/>
              </w:rPr>
            </w:pPr>
          </w:p>
          <w:p w14:paraId="14ECE46B" w14:textId="7FB9ECBC" w:rsidR="00733DB3" w:rsidRPr="00733DB3" w:rsidRDefault="00733DB3" w:rsidP="00733DB3">
            <w:pPr>
              <w:jc w:val="both"/>
              <w:rPr>
                <w:lang w:eastAsia="fr-FR"/>
              </w:rPr>
            </w:pPr>
            <w:r w:rsidRPr="00733DB3">
              <w:rPr>
                <w:lang w:val="en-US" w:eastAsia="fr-FR"/>
              </w:rPr>
              <w:t>XI</w:t>
            </w:r>
            <w:r>
              <w:rPr>
                <w:lang w:val="en-US" w:eastAsia="fr-FR"/>
              </w:rPr>
              <w:t>V</w:t>
            </w:r>
            <w:r w:rsidRPr="00733DB3">
              <w:rPr>
                <w:lang w:val="en-US" w:eastAsia="fr-FR"/>
              </w:rPr>
              <w:t xml:space="preserve">. </w:t>
            </w:r>
            <w:r w:rsidRPr="00733DB3">
              <w:rPr>
                <w:lang w:eastAsia="fr-FR"/>
              </w:rPr>
              <w:t>Изпратен на МВ 1</w:t>
            </w:r>
          </w:p>
          <w:p w14:paraId="5F03901F" w14:textId="77777777" w:rsidR="00733DB3" w:rsidRPr="00733DB3" w:rsidRDefault="00733DB3" w:rsidP="00733DB3">
            <w:pPr>
              <w:numPr>
                <w:ilvl w:val="0"/>
                <w:numId w:val="87"/>
              </w:numPr>
              <w:contextualSpacing/>
              <w:jc w:val="both"/>
              <w:rPr>
                <w:lang w:eastAsia="fr-FR"/>
              </w:rPr>
            </w:pPr>
            <w:r w:rsidRPr="00733DB3">
              <w:rPr>
                <w:lang w:eastAsia="fr-FR"/>
              </w:rPr>
              <w:t>Изпратен на МВ 1</w:t>
            </w:r>
          </w:p>
          <w:p w14:paraId="26BCD865" w14:textId="77777777" w:rsidR="00733DB3" w:rsidRPr="00733DB3" w:rsidRDefault="00733DB3" w:rsidP="00733DB3">
            <w:pPr>
              <w:jc w:val="both"/>
              <w:rPr>
                <w:lang w:eastAsia="fr-FR"/>
              </w:rPr>
            </w:pPr>
          </w:p>
        </w:tc>
        <w:tc>
          <w:tcPr>
            <w:tcW w:w="848" w:type="dxa"/>
            <w:tcBorders>
              <w:top w:val="single" w:sz="4" w:space="0" w:color="auto"/>
              <w:left w:val="single" w:sz="4" w:space="0" w:color="auto"/>
              <w:bottom w:val="single" w:sz="4" w:space="0" w:color="auto"/>
              <w:right w:val="single" w:sz="4" w:space="0" w:color="auto"/>
            </w:tcBorders>
            <w:vAlign w:val="center"/>
            <w:hideMark/>
          </w:tcPr>
          <w:p w14:paraId="35C65A15" w14:textId="77777777" w:rsidR="00733DB3" w:rsidRPr="00733DB3" w:rsidRDefault="00733DB3" w:rsidP="00733DB3">
            <w:pPr>
              <w:jc w:val="center"/>
              <w:rPr>
                <w:color w:val="0000FF"/>
              </w:rPr>
            </w:pPr>
            <w:r w:rsidRPr="00733DB3">
              <w:rPr>
                <w:color w:val="0000FF"/>
              </w:rPr>
              <w:t xml:space="preserve">ДА </w:t>
            </w:r>
            <w:r w:rsidRPr="00733DB3">
              <w:rPr>
                <w:color w:val="0000FF"/>
              </w:rPr>
              <w:sym w:font="Wingdings 2" w:char="F0A3"/>
            </w:r>
          </w:p>
          <w:p w14:paraId="157AA4BC" w14:textId="77777777" w:rsidR="00733DB3" w:rsidRPr="00733DB3" w:rsidRDefault="00733DB3" w:rsidP="00733DB3">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1D0E7041" w14:textId="77777777" w:rsidR="00733DB3" w:rsidRPr="00733DB3" w:rsidRDefault="00733DB3" w:rsidP="00733DB3">
            <w:pPr>
              <w:jc w:val="center"/>
              <w:rPr>
                <w:color w:val="0000FF"/>
              </w:rPr>
            </w:pPr>
            <w:r w:rsidRPr="00733DB3">
              <w:rPr>
                <w:color w:val="0000FF"/>
              </w:rPr>
              <w:t xml:space="preserve">НЕ </w:t>
            </w:r>
            <w:r w:rsidRPr="00733DB3">
              <w:rPr>
                <w:color w:val="0000FF"/>
              </w:rPr>
              <w:sym w:font="Wingdings 2" w:char="F0A3"/>
            </w:r>
          </w:p>
          <w:p w14:paraId="4DF52AAE" w14:textId="77777777" w:rsidR="00733DB3" w:rsidRPr="00733DB3" w:rsidRDefault="00733DB3" w:rsidP="00733DB3">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51733079" w14:textId="77777777" w:rsidR="00733DB3" w:rsidRPr="00733DB3" w:rsidRDefault="00733DB3" w:rsidP="00733DB3">
            <w:pPr>
              <w:jc w:val="center"/>
              <w:rPr>
                <w:color w:val="0000FF"/>
              </w:rPr>
            </w:pPr>
            <w:r w:rsidRPr="00733DB3">
              <w:rPr>
                <w:color w:val="0000FF"/>
              </w:rPr>
              <w:t xml:space="preserve">Н/П </w:t>
            </w:r>
            <w:r w:rsidRPr="00733DB3">
              <w:rPr>
                <w:color w:val="0000FF"/>
              </w:rPr>
              <w:sym w:font="Wingdings 2" w:char="F0A3"/>
            </w:r>
          </w:p>
          <w:p w14:paraId="4B1774F0" w14:textId="77777777" w:rsidR="00733DB3" w:rsidRPr="00733DB3" w:rsidRDefault="00733DB3" w:rsidP="00733DB3">
            <w:pPr>
              <w:jc w:val="center"/>
              <w:rPr>
                <w:color w:val="0000FF"/>
                <w:lang w:val="ru-RU"/>
              </w:rPr>
            </w:pPr>
          </w:p>
        </w:tc>
        <w:tc>
          <w:tcPr>
            <w:tcW w:w="3144" w:type="dxa"/>
            <w:tcBorders>
              <w:top w:val="single" w:sz="4" w:space="0" w:color="auto"/>
              <w:left w:val="single" w:sz="4" w:space="0" w:color="auto"/>
              <w:bottom w:val="single" w:sz="4" w:space="0" w:color="auto"/>
              <w:right w:val="single" w:sz="4" w:space="0" w:color="auto"/>
            </w:tcBorders>
            <w:vAlign w:val="center"/>
            <w:hideMark/>
          </w:tcPr>
          <w:p w14:paraId="5DEDF301" w14:textId="77777777" w:rsidR="00733DB3" w:rsidRPr="00733DB3" w:rsidRDefault="00733DB3" w:rsidP="00733DB3">
            <w:pPr>
              <w:jc w:val="center"/>
              <w:rPr>
                <w:b/>
                <w:bCs/>
              </w:rPr>
            </w:pPr>
            <w:r w:rsidRPr="00733DB3">
              <w:rPr>
                <w:b/>
                <w:bCs/>
              </w:rPr>
              <w:t>Бележки и коментари</w:t>
            </w:r>
          </w:p>
          <w:p w14:paraId="0C9042B6" w14:textId="77777777" w:rsidR="00733DB3" w:rsidRPr="00733DB3" w:rsidRDefault="00733DB3" w:rsidP="00733DB3">
            <w:pPr>
              <w:jc w:val="center"/>
              <w:rPr>
                <w:b/>
                <w:bCs/>
                <w:color w:val="0000FF"/>
                <w:lang w:val="ru-RU"/>
              </w:rPr>
            </w:pPr>
          </w:p>
        </w:tc>
      </w:tr>
    </w:tbl>
    <w:p w14:paraId="1F032477" w14:textId="0CDFEE82" w:rsidR="005C1354" w:rsidRDefault="005C1354" w:rsidP="005C1354">
      <w:pPr>
        <w:rPr>
          <w:vanish/>
        </w:rPr>
      </w:pPr>
    </w:p>
    <w:p w14:paraId="05CDA1C9" w14:textId="77777777" w:rsidR="00362DCE" w:rsidRDefault="00362DCE" w:rsidP="005C1354">
      <w:pPr>
        <w:rPr>
          <w:vanish/>
        </w:rPr>
      </w:pPr>
    </w:p>
    <w:p w14:paraId="106C8FD9" w14:textId="3834D9A9" w:rsidR="00F00C0E" w:rsidRPr="00892787" w:rsidRDefault="00F00C0E" w:rsidP="00551333">
      <w:pPr>
        <w:rPr>
          <w:sz w:val="20"/>
          <w:szCs w:val="20"/>
        </w:rPr>
      </w:pP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715583" w:rsidRDefault="00715583">
      <w:r>
        <w:separator/>
      </w:r>
    </w:p>
  </w:endnote>
  <w:endnote w:type="continuationSeparator" w:id="0">
    <w:p w14:paraId="436C0C68" w14:textId="77777777" w:rsidR="00715583" w:rsidRDefault="0071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715583" w:rsidRDefault="0071558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715583" w:rsidRDefault="0071558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40EE5045" w:rsidR="00715583" w:rsidRDefault="0071558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1333">
      <w:rPr>
        <w:rStyle w:val="PageNumber"/>
        <w:noProof/>
      </w:rPr>
      <w:t>6</w:t>
    </w:r>
    <w:r>
      <w:rPr>
        <w:rStyle w:val="PageNumber"/>
      </w:rPr>
      <w:fldChar w:fldCharType="end"/>
    </w:r>
  </w:p>
  <w:p w14:paraId="1DDF75A6" w14:textId="77777777" w:rsidR="00715583" w:rsidRPr="00F2575D" w:rsidRDefault="00715583"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715583" w:rsidRDefault="00715583">
      <w:r>
        <w:separator/>
      </w:r>
    </w:p>
  </w:footnote>
  <w:footnote w:type="continuationSeparator" w:id="0">
    <w:p w14:paraId="2E3F685D" w14:textId="77777777" w:rsidR="00715583" w:rsidRDefault="00715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715583" w:rsidRDefault="00715583" w:rsidP="00A84076">
    <w:pPr>
      <w:pStyle w:val="Header"/>
      <w:jc w:val="left"/>
      <w:rPr>
        <w:i w:val="0"/>
        <w:lang w:val="ru-RU"/>
      </w:rPr>
    </w:pPr>
  </w:p>
  <w:p w14:paraId="675BEF1B" w14:textId="77777777" w:rsidR="00715583" w:rsidRPr="00BF14B5" w:rsidRDefault="00715583"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715583" w:rsidRDefault="00715583" w:rsidP="00A84076">
    <w:pPr>
      <w:pStyle w:val="Header"/>
      <w:jc w:val="left"/>
      <w:rPr>
        <w:i w:val="0"/>
        <w:lang w:val="ru-RU"/>
      </w:rPr>
    </w:pPr>
  </w:p>
  <w:p w14:paraId="4D9D1F4C" w14:textId="77777777" w:rsidR="00715583" w:rsidRPr="00180A2E" w:rsidRDefault="00715583"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6"/>
  </w:num>
  <w:num w:numId="31">
    <w:abstractNumId w:val="16"/>
  </w:num>
  <w:num w:numId="32">
    <w:abstractNumId w:val="17"/>
  </w:num>
  <w:num w:numId="33">
    <w:abstractNumId w:val="39"/>
  </w:num>
  <w:num w:numId="34">
    <w:abstractNumId w:val="25"/>
  </w:num>
  <w:num w:numId="35">
    <w:abstractNumId w:val="12"/>
  </w:num>
  <w:num w:numId="36">
    <w:abstractNumId w:val="35"/>
  </w:num>
  <w:num w:numId="37">
    <w:abstractNumId w:val="11"/>
  </w:num>
  <w:num w:numId="38">
    <w:abstractNumId w:val="40"/>
  </w:num>
  <w:num w:numId="39">
    <w:abstractNumId w:val="47"/>
  </w:num>
  <w:num w:numId="40">
    <w:abstractNumId w:val="7"/>
  </w:num>
  <w:num w:numId="41">
    <w:abstractNumId w:val="10"/>
  </w:num>
  <w:num w:numId="42">
    <w:abstractNumId w:val="53"/>
  </w:num>
  <w:num w:numId="43">
    <w:abstractNumId w:val="23"/>
  </w:num>
  <w:num w:numId="44">
    <w:abstractNumId w:val="22"/>
  </w:num>
  <w:num w:numId="45">
    <w:abstractNumId w:val="44"/>
  </w:num>
  <w:num w:numId="46">
    <w:abstractNumId w:val="51"/>
  </w:num>
  <w:num w:numId="47">
    <w:abstractNumId w:val="13"/>
  </w:num>
  <w:num w:numId="48">
    <w:abstractNumId w:val="45"/>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1"/>
  </w:num>
  <w:num w:numId="59">
    <w:abstractNumId w:val="50"/>
  </w:num>
  <w:num w:numId="60">
    <w:abstractNumId w:val="42"/>
  </w:num>
  <w:num w:numId="61">
    <w:abstractNumId w:val="18"/>
  </w:num>
  <w:num w:numId="62">
    <w:abstractNumId w:val="44"/>
  </w:num>
  <w:num w:numId="63">
    <w:abstractNumId w:val="22"/>
  </w:num>
  <w:num w:numId="64">
    <w:abstractNumId w:val="36"/>
  </w:num>
  <w:num w:numId="65">
    <w:abstractNumId w:val="26"/>
  </w:num>
  <w:num w:numId="66">
    <w:abstractNumId w:val="41"/>
  </w:num>
  <w:num w:numId="67">
    <w:abstractNumId w:val="28"/>
  </w:num>
  <w:num w:numId="68">
    <w:abstractNumId w:val="34"/>
  </w:num>
  <w:num w:numId="69">
    <w:abstractNumId w:val="20"/>
  </w:num>
  <w:num w:numId="70">
    <w:abstractNumId w:val="33"/>
  </w:num>
  <w:num w:numId="71">
    <w:abstractNumId w:val="27"/>
  </w:num>
  <w:num w:numId="72">
    <w:abstractNumId w:val="38"/>
  </w:num>
  <w:num w:numId="73">
    <w:abstractNumId w:val="24"/>
  </w:num>
  <w:num w:numId="74">
    <w:abstractNumId w:val="48"/>
  </w:num>
  <w:num w:numId="75">
    <w:abstractNumId w:val="54"/>
  </w:num>
  <w:num w:numId="76">
    <w:abstractNumId w:val="55"/>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9"/>
  </w:num>
  <w:num w:numId="85">
    <w:abstractNumId w:val="56"/>
  </w:num>
  <w:num w:numId="86">
    <w:abstractNumId w:val="52"/>
  </w:num>
  <w:num w:numId="87">
    <w:abstractNumId w:val="3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2E5C"/>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1F4"/>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2C8C"/>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2201"/>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C7E03"/>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5FF"/>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333"/>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6D6"/>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6DA"/>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161"/>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583"/>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3DB3"/>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10E1"/>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AFA"/>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AAC"/>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2A63"/>
    <w:rsid w:val="00C93753"/>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1C28"/>
    <w:rsid w:val="00D327E3"/>
    <w:rsid w:val="00D32ABA"/>
    <w:rsid w:val="00D32D52"/>
    <w:rsid w:val="00D32FDA"/>
    <w:rsid w:val="00D359FC"/>
    <w:rsid w:val="00D365C3"/>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86063">
      <w:bodyDiv w:val="1"/>
      <w:marLeft w:val="0"/>
      <w:marRight w:val="0"/>
      <w:marTop w:val="0"/>
      <w:marBottom w:val="0"/>
      <w:divBdr>
        <w:top w:val="none" w:sz="0" w:space="0" w:color="auto"/>
        <w:left w:val="none" w:sz="0" w:space="0" w:color="auto"/>
        <w:bottom w:val="none" w:sz="0" w:space="0" w:color="auto"/>
        <w:right w:val="none" w:sz="0" w:space="0" w:color="auto"/>
      </w:divBdr>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2441">
      <w:bodyDiv w:val="1"/>
      <w:marLeft w:val="0"/>
      <w:marRight w:val="0"/>
      <w:marTop w:val="0"/>
      <w:marBottom w:val="0"/>
      <w:divBdr>
        <w:top w:val="none" w:sz="0" w:space="0" w:color="auto"/>
        <w:left w:val="none" w:sz="0" w:space="0" w:color="auto"/>
        <w:bottom w:val="none" w:sz="0" w:space="0" w:color="auto"/>
        <w:right w:val="none" w:sz="0" w:space="0" w:color="auto"/>
      </w:divBdr>
    </w:div>
    <w:div w:id="394354139">
      <w:bodyDiv w:val="1"/>
      <w:marLeft w:val="0"/>
      <w:marRight w:val="0"/>
      <w:marTop w:val="0"/>
      <w:marBottom w:val="0"/>
      <w:divBdr>
        <w:top w:val="none" w:sz="0" w:space="0" w:color="auto"/>
        <w:left w:val="none" w:sz="0" w:space="0" w:color="auto"/>
        <w:bottom w:val="none" w:sz="0" w:space="0" w:color="auto"/>
        <w:right w:val="none" w:sz="0" w:space="0" w:color="auto"/>
      </w:divBdr>
    </w:div>
    <w:div w:id="487015748">
      <w:bodyDiv w:val="1"/>
      <w:marLeft w:val="0"/>
      <w:marRight w:val="0"/>
      <w:marTop w:val="0"/>
      <w:marBottom w:val="0"/>
      <w:divBdr>
        <w:top w:val="none" w:sz="0" w:space="0" w:color="auto"/>
        <w:left w:val="none" w:sz="0" w:space="0" w:color="auto"/>
        <w:bottom w:val="none" w:sz="0" w:space="0" w:color="auto"/>
        <w:right w:val="none" w:sz="0" w:space="0" w:color="auto"/>
      </w:divBdr>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05170561">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54169884">
      <w:bodyDiv w:val="1"/>
      <w:marLeft w:val="0"/>
      <w:marRight w:val="0"/>
      <w:marTop w:val="0"/>
      <w:marBottom w:val="0"/>
      <w:divBdr>
        <w:top w:val="none" w:sz="0" w:space="0" w:color="auto"/>
        <w:left w:val="none" w:sz="0" w:space="0" w:color="auto"/>
        <w:bottom w:val="none" w:sz="0" w:space="0" w:color="auto"/>
        <w:right w:val="none" w:sz="0" w:space="0" w:color="auto"/>
      </w:divBdr>
    </w:div>
    <w:div w:id="956525344">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7148067">
      <w:bodyDiv w:val="1"/>
      <w:marLeft w:val="0"/>
      <w:marRight w:val="0"/>
      <w:marTop w:val="0"/>
      <w:marBottom w:val="0"/>
      <w:divBdr>
        <w:top w:val="none" w:sz="0" w:space="0" w:color="auto"/>
        <w:left w:val="none" w:sz="0" w:space="0" w:color="auto"/>
        <w:bottom w:val="none" w:sz="0" w:space="0" w:color="auto"/>
        <w:right w:val="none" w:sz="0" w:space="0" w:color="auto"/>
      </w:divBdr>
    </w:div>
    <w:div w:id="1005354069">
      <w:bodyDiv w:val="1"/>
      <w:marLeft w:val="0"/>
      <w:marRight w:val="0"/>
      <w:marTop w:val="0"/>
      <w:marBottom w:val="0"/>
      <w:divBdr>
        <w:top w:val="none" w:sz="0" w:space="0" w:color="auto"/>
        <w:left w:val="none" w:sz="0" w:space="0" w:color="auto"/>
        <w:bottom w:val="none" w:sz="0" w:space="0" w:color="auto"/>
        <w:right w:val="none" w:sz="0" w:space="0" w:color="auto"/>
      </w:divBdr>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399669818">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1905797147">
      <w:bodyDiv w:val="1"/>
      <w:marLeft w:val="0"/>
      <w:marRight w:val="0"/>
      <w:marTop w:val="0"/>
      <w:marBottom w:val="0"/>
      <w:divBdr>
        <w:top w:val="none" w:sz="0" w:space="0" w:color="auto"/>
        <w:left w:val="none" w:sz="0" w:space="0" w:color="auto"/>
        <w:bottom w:val="none" w:sz="0" w:space="0" w:color="auto"/>
        <w:right w:val="none" w:sz="0" w:space="0" w:color="auto"/>
      </w:divBdr>
    </w:div>
    <w:div w:id="214468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15EE0-186D-4F01-BED0-CE15C804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4428</Words>
  <Characters>23984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28356</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48</cp:revision>
  <cp:lastPrinted>2016-11-15T12:48:00Z</cp:lastPrinted>
  <dcterms:created xsi:type="dcterms:W3CDTF">2019-07-18T08:15:00Z</dcterms:created>
  <dcterms:modified xsi:type="dcterms:W3CDTF">2020-12-21T15:42:00Z</dcterms:modified>
</cp:coreProperties>
</file>