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2"/>
        <w:gridCol w:w="7371"/>
        <w:gridCol w:w="3962"/>
      </w:tblGrid>
      <w:tr w:rsidR="008B6530" w14:paraId="44D1C286" w14:textId="77777777" w:rsidTr="008B6530">
        <w:trPr>
          <w:trHeight w:val="743"/>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4AEE71D8" w14:textId="77777777" w:rsidR="008B6530" w:rsidRDefault="008B6530">
            <w:pPr>
              <w:pStyle w:val="Index"/>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8923AF9" w14:textId="77777777" w:rsidR="008B6530" w:rsidRDefault="008B6530">
            <w:pPr>
              <w:pStyle w:val="Index"/>
              <w:spacing w:before="0" w:beforeAutospacing="0" w:after="0" w:afterAutospacing="0"/>
              <w:jc w:val="center"/>
              <w:rPr>
                <w:b/>
                <w:sz w:val="22"/>
                <w:szCs w:val="22"/>
                <w:lang w:val="bg-BG"/>
              </w:rPr>
            </w:pPr>
            <w:r>
              <w:rPr>
                <w:b/>
                <w:sz w:val="22"/>
                <w:szCs w:val="22"/>
                <w:lang w:val="bg-BG"/>
              </w:rPr>
              <w:t>Наръчник за изпълнение на</w:t>
            </w:r>
          </w:p>
          <w:p w14:paraId="5CED2238" w14:textId="77777777" w:rsidR="008B6530" w:rsidRDefault="008B6530">
            <w:pPr>
              <w:pStyle w:val="Index"/>
              <w:spacing w:before="0" w:beforeAutospacing="0" w:after="0" w:afterAutospacing="0"/>
              <w:jc w:val="center"/>
              <w:rPr>
                <w:b/>
                <w:sz w:val="22"/>
                <w:szCs w:val="22"/>
                <w:lang w:val="bg-BG"/>
              </w:rPr>
            </w:pPr>
            <w:r>
              <w:rPr>
                <w:b/>
                <w:sz w:val="22"/>
                <w:szCs w:val="22"/>
                <w:lang w:val="bg-BG"/>
              </w:rPr>
              <w:t>Оперативна програма</w:t>
            </w:r>
          </w:p>
          <w:p w14:paraId="1046AE4A" w14:textId="77777777" w:rsidR="008B6530" w:rsidRDefault="008B6530">
            <w:pPr>
              <w:pStyle w:val="Index"/>
              <w:spacing w:before="0" w:beforeAutospacing="0" w:after="0" w:afterAutospacing="0"/>
              <w:jc w:val="center"/>
              <w:rPr>
                <w:b/>
                <w:i/>
                <w:iCs/>
                <w:sz w:val="22"/>
                <w:szCs w:val="22"/>
                <w:lang w:val="bg-BG"/>
              </w:rPr>
            </w:pPr>
            <w:r>
              <w:rPr>
                <w:b/>
                <w:sz w:val="22"/>
                <w:szCs w:val="22"/>
                <w:lang w:val="bg-BG"/>
              </w:rPr>
              <w:t>„Добро управление” 2014-2020</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2990E99" w14:textId="3DAF38E8" w:rsidR="008B6530" w:rsidRPr="00004F61" w:rsidRDefault="008B6530">
            <w:pPr>
              <w:pStyle w:val="Index"/>
              <w:jc w:val="center"/>
              <w:rPr>
                <w:b/>
                <w:bCs/>
                <w:i/>
                <w:sz w:val="22"/>
                <w:szCs w:val="22"/>
                <w:highlight w:val="yellow"/>
              </w:rPr>
            </w:pPr>
            <w:r>
              <w:rPr>
                <w:b/>
                <w:bCs/>
                <w:i/>
                <w:sz w:val="22"/>
                <w:szCs w:val="22"/>
                <w:lang w:val="bg-BG"/>
              </w:rPr>
              <w:t xml:space="preserve">Приложение </w:t>
            </w:r>
            <w:r>
              <w:rPr>
                <w:b/>
                <w:bCs/>
                <w:i/>
                <w:sz w:val="22"/>
                <w:szCs w:val="22"/>
              </w:rPr>
              <w:t>III-K05-</w:t>
            </w:r>
            <w:r w:rsidRPr="009B6104">
              <w:rPr>
                <w:b/>
                <w:bCs/>
                <w:i/>
                <w:sz w:val="22"/>
                <w:szCs w:val="22"/>
              </w:rPr>
              <w:t>7N</w:t>
            </w:r>
            <w:r w:rsidRPr="009B6104">
              <w:rPr>
                <w:b/>
                <w:bCs/>
                <w:i/>
                <w:sz w:val="22"/>
                <w:szCs w:val="22"/>
                <w:lang w:val="bg-BG"/>
              </w:rPr>
              <w:t>-</w:t>
            </w:r>
            <w:r w:rsidR="00004F61" w:rsidRPr="009B6104">
              <w:rPr>
                <w:b/>
                <w:bCs/>
                <w:i/>
                <w:sz w:val="22"/>
                <w:szCs w:val="22"/>
              </w:rPr>
              <w:t>5</w:t>
            </w:r>
          </w:p>
        </w:tc>
      </w:tr>
      <w:tr w:rsidR="008B6530" w14:paraId="36237ED6" w14:textId="77777777" w:rsidTr="008B6530">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3E205856" w14:textId="77777777" w:rsidR="008B6530" w:rsidRDefault="008B6530">
            <w:pPr>
              <w:pStyle w:val="Index"/>
              <w:spacing w:before="0" w:beforeAutospacing="0" w:after="0" w:afterAutospacing="0"/>
              <w:jc w:val="center"/>
              <w:rPr>
                <w:b/>
                <w:i/>
                <w:iCs/>
                <w:sz w:val="22"/>
                <w:szCs w:val="22"/>
                <w:lang w:val="bg-BG"/>
              </w:rPr>
            </w:pPr>
            <w:r>
              <w:rPr>
                <w:b/>
                <w:i/>
                <w:iCs/>
                <w:sz w:val="22"/>
                <w:szCs w:val="22"/>
                <w:lang w:val="bg-BG"/>
              </w:rPr>
              <w:t xml:space="preserve">Дирекция </w:t>
            </w:r>
          </w:p>
          <w:p w14:paraId="79E9BAEC" w14:textId="77777777" w:rsidR="008B6530" w:rsidRDefault="008B6530">
            <w:pPr>
              <w:pStyle w:val="Index"/>
              <w:spacing w:before="0" w:beforeAutospacing="0" w:after="0" w:afterAutospacing="0"/>
              <w:jc w:val="center"/>
              <w:rPr>
                <w:b/>
                <w:sz w:val="22"/>
                <w:szCs w:val="22"/>
                <w:lang w:val="bg-BG"/>
              </w:rPr>
            </w:pPr>
            <w:r>
              <w:rPr>
                <w:b/>
                <w:i/>
                <w:iCs/>
                <w:sz w:val="22"/>
                <w:szCs w:val="22"/>
                <w:lang w:val="bg-BG"/>
              </w:rPr>
              <w:t>„Добро управление”</w:t>
            </w:r>
          </w:p>
        </w:tc>
        <w:tc>
          <w:tcPr>
            <w:tcW w:w="11333"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16B4EE37" w14:textId="77777777" w:rsidR="008B6530" w:rsidRDefault="008B6530">
            <w:pPr>
              <w:pStyle w:val="Index"/>
              <w:jc w:val="center"/>
              <w:rPr>
                <w:b/>
                <w:color w:val="FFFFFF"/>
                <w:sz w:val="28"/>
                <w:szCs w:val="28"/>
                <w:lang w:val="bg-BG"/>
              </w:rPr>
            </w:pPr>
            <w:r>
              <w:rPr>
                <w:b/>
                <w:color w:val="FFFFFF"/>
                <w:sz w:val="28"/>
                <w:szCs w:val="28"/>
                <w:lang w:val="bg-BG"/>
              </w:rPr>
              <w:t>Контролен лист за проверка на обществени поръчки, възложени след открита процедура по чл. 18, ал. 1, т. 1 от ЗОП</w:t>
            </w:r>
          </w:p>
        </w:tc>
      </w:tr>
      <w:tr w:rsidR="008B6530" w14:paraId="3F443322" w14:textId="77777777" w:rsidTr="008B6530">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0AC59CD4" w14:textId="5E405B4D" w:rsidR="008B6530" w:rsidRDefault="008B6530">
            <w:pPr>
              <w:pStyle w:val="TableContents"/>
              <w:jc w:val="both"/>
              <w:rPr>
                <w:b/>
                <w:i/>
                <w:iCs/>
                <w:sz w:val="22"/>
                <w:szCs w:val="22"/>
                <w:lang w:val="bg-BG"/>
              </w:rPr>
            </w:pPr>
            <w:r>
              <w:rPr>
                <w:sz w:val="22"/>
                <w:szCs w:val="22"/>
                <w:lang w:val="bg-BG"/>
              </w:rPr>
              <w:t xml:space="preserve">Вариант на документа: </w:t>
            </w:r>
            <w:r w:rsidRPr="009B6104">
              <w:rPr>
                <w:sz w:val="22"/>
                <w:szCs w:val="22"/>
                <w:lang w:val="bg-BG"/>
              </w:rPr>
              <w:t>1</w:t>
            </w:r>
          </w:p>
        </w:tc>
        <w:tc>
          <w:tcPr>
            <w:tcW w:w="7371" w:type="dxa"/>
            <w:tcBorders>
              <w:top w:val="single" w:sz="4" w:space="0" w:color="auto"/>
              <w:left w:val="single" w:sz="4" w:space="0" w:color="auto"/>
              <w:bottom w:val="single" w:sz="4" w:space="0" w:color="auto"/>
              <w:right w:val="single" w:sz="4" w:space="0" w:color="auto"/>
            </w:tcBorders>
            <w:vAlign w:val="center"/>
            <w:hideMark/>
          </w:tcPr>
          <w:p w14:paraId="5A1E369F" w14:textId="77777777" w:rsidR="008B6530" w:rsidRDefault="008B6530">
            <w:pPr>
              <w:jc w:val="center"/>
              <w:rPr>
                <w:i/>
                <w:iCs/>
                <w:sz w:val="22"/>
                <w:szCs w:val="22"/>
              </w:rPr>
            </w:pPr>
            <w:r>
              <w:rPr>
                <w:i/>
                <w:iCs/>
                <w:sz w:val="22"/>
                <w:szCs w:val="22"/>
              </w:rPr>
              <w:t xml:space="preserve">Одобрен от: </w:t>
            </w:r>
          </w:p>
          <w:p w14:paraId="54226826" w14:textId="77777777" w:rsidR="008B6530" w:rsidRDefault="008B6530">
            <w:pPr>
              <w:pStyle w:val="TableContents"/>
              <w:spacing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tcBorders>
              <w:top w:val="single" w:sz="4" w:space="0" w:color="auto"/>
              <w:left w:val="single" w:sz="4" w:space="0" w:color="auto"/>
              <w:bottom w:val="single" w:sz="4" w:space="0" w:color="auto"/>
              <w:right w:val="single" w:sz="4" w:space="0" w:color="auto"/>
            </w:tcBorders>
            <w:vAlign w:val="center"/>
            <w:hideMark/>
          </w:tcPr>
          <w:p w14:paraId="47025358" w14:textId="7042570C" w:rsidR="008B6530" w:rsidRDefault="008B6530" w:rsidP="009B6104">
            <w:pPr>
              <w:pStyle w:val="TableContents"/>
              <w:jc w:val="center"/>
              <w:rPr>
                <w:b/>
                <w:sz w:val="28"/>
                <w:szCs w:val="28"/>
                <w:highlight w:val="yellow"/>
                <w:lang w:val="bg-BG"/>
              </w:rPr>
            </w:pPr>
            <w:r>
              <w:rPr>
                <w:sz w:val="22"/>
                <w:szCs w:val="22"/>
                <w:lang w:val="bg-BG"/>
              </w:rPr>
              <w:t>Дата:</w:t>
            </w:r>
            <w:r w:rsidR="009B6104">
              <w:rPr>
                <w:sz w:val="22"/>
                <w:szCs w:val="22"/>
                <w:lang w:val="bg-BG"/>
              </w:rPr>
              <w:t xml:space="preserve"> </w:t>
            </w:r>
            <w:r w:rsidR="0049064E" w:rsidRPr="0049064E">
              <w:rPr>
                <w:sz w:val="22"/>
                <w:szCs w:val="22"/>
                <w:lang w:val="bg-BG"/>
              </w:rPr>
              <w:t>2</w:t>
            </w:r>
            <w:r w:rsidR="00AE6D04">
              <w:rPr>
                <w:sz w:val="22"/>
                <w:szCs w:val="22"/>
                <w:lang w:val="bg-BG"/>
              </w:rPr>
              <w:t>2.12</w:t>
            </w:r>
            <w:r w:rsidRPr="0049064E">
              <w:rPr>
                <w:sz w:val="22"/>
                <w:szCs w:val="22"/>
                <w:lang w:val="bg-BG"/>
              </w:rPr>
              <w:t>.2020 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3B191118" w14:textId="77777777" w:rsidR="002D140A" w:rsidRPr="000A7FDB" w:rsidRDefault="002D140A" w:rsidP="00AE5F7D">
      <w:pPr>
        <w:jc w:val="both"/>
        <w:rPr>
          <w:sz w:val="20"/>
          <w:szCs w:val="20"/>
        </w:rPr>
      </w:pPr>
    </w:p>
    <w:p w14:paraId="79153F3E" w14:textId="6679E54C" w:rsidR="0075010E" w:rsidRPr="00E01F39" w:rsidRDefault="0075010E" w:rsidP="0075010E">
      <w:pPr>
        <w:ind w:right="426"/>
        <w:rPr>
          <w:b/>
          <w:sz w:val="20"/>
          <w:szCs w:val="20"/>
        </w:rPr>
      </w:pPr>
      <w:r w:rsidRPr="00E01F39">
        <w:rPr>
          <w:b/>
          <w:sz w:val="20"/>
          <w:szCs w:val="20"/>
        </w:rPr>
        <w:t>УКАЗАНИЯ:</w:t>
      </w:r>
    </w:p>
    <w:p w14:paraId="3F28293B" w14:textId="62C0C6AF"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434072FB"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2A53835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06610DF7" w14:textId="41A83B12"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предварителни обявления (ако има такива) (по отделно от ОВ и от АОП),</w:t>
      </w:r>
    </w:p>
    <w:p w14:paraId="5461669D" w14:textId="0176E936"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обявления за обществената поръчка (по отделно от ОВ и от АОП),</w:t>
      </w:r>
    </w:p>
    <w:p w14:paraId="37AA837B" w14:textId="4F0B1B6D"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документация за участие, вкл. разясненията на възложителя,</w:t>
      </w:r>
    </w:p>
    <w:p w14:paraId="2382D57C" w14:textId="323076A9"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актове на АОП по предварителен контрол (ако има такива),</w:t>
      </w:r>
    </w:p>
    <w:p w14:paraId="6D44BAAE" w14:textId="611C5BDA"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 xml:space="preserve">решение за </w:t>
      </w:r>
      <w:r w:rsidR="00153ACC">
        <w:rPr>
          <w:bCs/>
          <w:sz w:val="20"/>
          <w:szCs w:val="20"/>
        </w:rPr>
        <w:t xml:space="preserve">одобряване </w:t>
      </w:r>
      <w:r w:rsidRPr="000A7FDB">
        <w:rPr>
          <w:bCs/>
          <w:sz w:val="20"/>
          <w:szCs w:val="20"/>
        </w:rPr>
        <w:t xml:space="preserve">на обявлението </w:t>
      </w:r>
      <w:r w:rsidR="00153ACC">
        <w:rPr>
          <w:bCs/>
          <w:sz w:val="20"/>
          <w:szCs w:val="20"/>
        </w:rPr>
        <w:t>за изменение или допълнителна информация</w:t>
      </w:r>
      <w:r w:rsidRPr="000A7FDB">
        <w:rPr>
          <w:bCs/>
          <w:sz w:val="20"/>
          <w:szCs w:val="20"/>
        </w:rPr>
        <w:t xml:space="preserve"> (ако има такова) (по отделно от ОВ и от АОП),</w:t>
      </w:r>
    </w:p>
    <w:p w14:paraId="00BA8DBD" w14:textId="5279CFE7"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0FDC4E20" w14:textId="28B95871"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решение за определяне на изпълнител,</w:t>
      </w:r>
    </w:p>
    <w:p w14:paraId="11ADD987" w14:textId="33E5F232"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557EBBFD" w14:textId="0603E591"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актове на КЗК и ВАС във връзка с процедурата,</w:t>
      </w:r>
    </w:p>
    <w:p w14:paraId="79FEB3FB" w14:textId="083BFF01"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доклади от проверки на други органи по процедурата,</w:t>
      </w:r>
    </w:p>
    <w:p w14:paraId="3B4BAF40" w14:textId="5D43550E"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14 от този КЛ),</w:t>
      </w:r>
    </w:p>
    <w:p w14:paraId="618F08E2" w14:textId="3F535FF2" w:rsidR="0075010E" w:rsidRPr="000A7FDB" w:rsidRDefault="0075010E" w:rsidP="00CC073F">
      <w:pPr>
        <w:pStyle w:val="ListParagraph"/>
        <w:numPr>
          <w:ilvl w:val="0"/>
          <w:numId w:val="20"/>
        </w:numPr>
        <w:tabs>
          <w:tab w:val="num" w:pos="360"/>
        </w:tabs>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754AFC0" w14:textId="7C949463" w:rsidR="0075010E" w:rsidRPr="000A7FDB" w:rsidRDefault="0075010E" w:rsidP="0075010E">
      <w:pPr>
        <w:pStyle w:val="ListParagraph"/>
        <w:spacing w:after="120"/>
        <w:ind w:left="0"/>
        <w:jc w:val="both"/>
        <w:rPr>
          <w:bCs/>
          <w:sz w:val="20"/>
          <w:szCs w:val="20"/>
        </w:rPr>
      </w:pPr>
    </w:p>
    <w:p w14:paraId="16E736F0" w14:textId="02D2018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64DA3536" w:rsidR="0075010E" w:rsidRPr="00877C5C" w:rsidRDefault="0075010E" w:rsidP="0075010E">
      <w:pPr>
        <w:tabs>
          <w:tab w:val="num" w:pos="0"/>
        </w:tabs>
        <w:spacing w:after="240"/>
        <w:jc w:val="both"/>
        <w:rPr>
          <w:b/>
          <w:i/>
          <w:sz w:val="20"/>
          <w:szCs w:val="20"/>
        </w:rPr>
      </w:pPr>
      <w:r w:rsidRPr="000A7FDB">
        <w:rPr>
          <w:b/>
          <w:sz w:val="20"/>
          <w:szCs w:val="20"/>
        </w:rPr>
        <w:t>3</w:t>
      </w:r>
      <w:r w:rsidRPr="00B95C02">
        <w:rPr>
          <w:b/>
          <w:sz w:val="20"/>
          <w:szCs w:val="20"/>
        </w:rPr>
        <w:t>. Задължително се попълват таблици №1-4.</w:t>
      </w:r>
    </w:p>
    <w:p w14:paraId="396542DD" w14:textId="665C8A54" w:rsidR="0007362A" w:rsidRPr="000760EE" w:rsidRDefault="0007362A" w:rsidP="0007362A">
      <w:pPr>
        <w:tabs>
          <w:tab w:val="num" w:pos="0"/>
        </w:tabs>
        <w:spacing w:after="240"/>
        <w:jc w:val="both"/>
        <w:rPr>
          <w:sz w:val="20"/>
          <w:szCs w:val="20"/>
        </w:rPr>
      </w:pPr>
      <w:r w:rsidRPr="000760EE">
        <w:rPr>
          <w:b/>
          <w:sz w:val="20"/>
          <w:szCs w:val="20"/>
        </w:rPr>
        <w:lastRenderedPageBreak/>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05ABD1A8"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05D93539"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58387FAD"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47C99F56"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0544437C" w14:textId="2F341E64"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2468265A" w:rsidR="0007362A" w:rsidRPr="000760EE" w:rsidRDefault="0007362A" w:rsidP="0007362A">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376790EC" w:rsidR="0007362A" w:rsidRPr="000760EE" w:rsidRDefault="0007362A" w:rsidP="0007362A">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5AC26629" w14:textId="06FE4045" w:rsidR="0007362A" w:rsidRPr="000760EE" w:rsidRDefault="0007362A" w:rsidP="0007362A">
      <w:pPr>
        <w:tabs>
          <w:tab w:val="num" w:pos="0"/>
        </w:tabs>
        <w:spacing w:after="120"/>
        <w:jc w:val="both"/>
        <w:rPr>
          <w:bCs/>
          <w:i/>
          <w:sz w:val="20"/>
          <w:szCs w:val="20"/>
        </w:rPr>
      </w:pPr>
      <w:r w:rsidRPr="000760EE">
        <w:rPr>
          <w:bCs/>
          <w:i/>
          <w:sz w:val="20"/>
          <w:szCs w:val="20"/>
        </w:rPr>
        <w:t>Общ подход</w:t>
      </w:r>
    </w:p>
    <w:p w14:paraId="6ED60863" w14:textId="355213EE" w:rsidR="0007362A" w:rsidRPr="000760EE" w:rsidRDefault="0007362A" w:rsidP="0007362A">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240CA179" w14:textId="4ED82020" w:rsidR="0007362A" w:rsidRPr="000760EE" w:rsidRDefault="0007362A" w:rsidP="0007362A">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877C5C">
        <w:rPr>
          <w:bCs/>
          <w:i/>
          <w:sz w:val="20"/>
          <w:szCs w:val="20"/>
        </w:rPr>
        <w:t>1</w:t>
      </w:r>
      <w:r w:rsidRPr="000760EE">
        <w:rPr>
          <w:bCs/>
          <w:i/>
          <w:sz w:val="20"/>
          <w:szCs w:val="20"/>
        </w:rPr>
        <w:t>4/</w:t>
      </w:r>
      <w:r w:rsidRPr="00877C5C">
        <w:rPr>
          <w:bCs/>
          <w:i/>
          <w:sz w:val="20"/>
          <w:szCs w:val="20"/>
        </w:rPr>
        <w:t>24</w:t>
      </w:r>
      <w:r w:rsidRPr="000760EE">
        <w:rPr>
          <w:bCs/>
          <w:i/>
          <w:sz w:val="20"/>
          <w:szCs w:val="20"/>
        </w:rPr>
        <w:t>/ЕО</w:t>
      </w:r>
    </w:p>
    <w:p w14:paraId="139B5AD4" w14:textId="22DA0D0F" w:rsidR="0007362A" w:rsidRPr="000760EE" w:rsidRDefault="0007362A" w:rsidP="0007362A">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877C5C">
        <w:rPr>
          <w:bCs/>
          <w:sz w:val="20"/>
          <w:szCs w:val="20"/>
        </w:rPr>
        <w:t>1</w:t>
      </w:r>
      <w:r w:rsidRPr="000760EE">
        <w:rPr>
          <w:bCs/>
          <w:sz w:val="20"/>
          <w:szCs w:val="20"/>
        </w:rPr>
        <w:t>4/</w:t>
      </w:r>
      <w:r w:rsidRPr="00877C5C">
        <w:rPr>
          <w:bCs/>
          <w:sz w:val="20"/>
          <w:szCs w:val="20"/>
        </w:rPr>
        <w:t>24</w:t>
      </w:r>
      <w:r w:rsidRPr="000760EE">
        <w:rPr>
          <w:bCs/>
          <w:sz w:val="20"/>
          <w:szCs w:val="20"/>
        </w:rPr>
        <w:t xml:space="preserve">/ЕО за нарушения по т. 6, т. 8-12, т. 13-20 </w:t>
      </w:r>
      <w:r w:rsidRPr="00FB5DE0">
        <w:rPr>
          <w:bCs/>
          <w:sz w:val="20"/>
          <w:szCs w:val="20"/>
        </w:rPr>
        <w:t xml:space="preserve">от </w:t>
      </w:r>
      <w:r w:rsidRPr="00CF2BD6">
        <w:rPr>
          <w:bCs/>
          <w:sz w:val="20"/>
          <w:szCs w:val="20"/>
        </w:rPr>
        <w:t>Насоките на ЕК</w:t>
      </w:r>
      <w:r w:rsidRPr="00FB5DE0">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49F82F83" w14:textId="2A64BC37" w:rsidR="0007362A" w:rsidRPr="000760EE" w:rsidRDefault="0007362A" w:rsidP="0007362A">
      <w:pPr>
        <w:tabs>
          <w:tab w:val="num" w:pos="0"/>
        </w:tabs>
        <w:spacing w:after="120"/>
        <w:jc w:val="both"/>
        <w:rPr>
          <w:bCs/>
          <w:sz w:val="20"/>
          <w:szCs w:val="20"/>
        </w:rPr>
      </w:pPr>
      <w:r w:rsidRPr="000760EE">
        <w:rPr>
          <w:b/>
          <w:bCs/>
          <w:sz w:val="20"/>
          <w:szCs w:val="20"/>
        </w:rPr>
        <w:lastRenderedPageBreak/>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51438CC8" w14:textId="6C7F1477" w:rsidR="0007362A" w:rsidRPr="000760EE" w:rsidRDefault="0007362A" w:rsidP="0007362A">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277CA67B" w14:textId="7185E22D"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75E51D47" w:rsidR="0007362A" w:rsidRPr="000760EE" w:rsidRDefault="0007362A" w:rsidP="0007362A">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7E00F49" w14:textId="235EB94E"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3C8CEDC6" w:rsidR="0007362A" w:rsidRPr="000760EE" w:rsidRDefault="0007362A" w:rsidP="0007362A">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397F98B7" w14:textId="058AA165" w:rsidR="0007362A" w:rsidRPr="000760EE" w:rsidRDefault="0007362A" w:rsidP="0007362A">
      <w:pPr>
        <w:tabs>
          <w:tab w:val="num" w:pos="0"/>
        </w:tabs>
        <w:jc w:val="both"/>
        <w:rPr>
          <w:bCs/>
          <w:sz w:val="20"/>
          <w:szCs w:val="20"/>
        </w:rPr>
      </w:pPr>
    </w:p>
    <w:p w14:paraId="6F12813D" w14:textId="077EA273"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01A4F2EF"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1417431B"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083B711D"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526183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20DEDA73"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33082E93"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63C0615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2973CEA9" w:rsidR="0007362A" w:rsidRPr="000760EE" w:rsidRDefault="0007362A" w:rsidP="0007362A">
      <w:pPr>
        <w:tabs>
          <w:tab w:val="num" w:pos="0"/>
        </w:tabs>
        <w:spacing w:before="120" w:after="120"/>
        <w:jc w:val="both"/>
        <w:rPr>
          <w:bCs/>
          <w:sz w:val="20"/>
          <w:szCs w:val="20"/>
        </w:rPr>
      </w:pPr>
      <w:r w:rsidRPr="000760EE">
        <w:rPr>
          <w:bCs/>
          <w:sz w:val="20"/>
          <w:szCs w:val="20"/>
        </w:rPr>
        <w:lastRenderedPageBreak/>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120ABB88"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CBA8ED8"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2A5DB2B5"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0C9AE49"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438FD84E"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2C0C3666" w:rsidR="0007362A" w:rsidRPr="000760EE" w:rsidRDefault="0007362A" w:rsidP="00CC073F">
      <w:pPr>
        <w:numPr>
          <w:ilvl w:val="0"/>
          <w:numId w:val="21"/>
        </w:numPr>
        <w:tabs>
          <w:tab w:val="clear" w:pos="720"/>
          <w:tab w:val="num" w:pos="36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25536434" w:rsidR="0007362A" w:rsidRPr="000760EE" w:rsidRDefault="0007362A" w:rsidP="00CC073F">
      <w:pPr>
        <w:numPr>
          <w:ilvl w:val="0"/>
          <w:numId w:val="21"/>
        </w:numPr>
        <w:tabs>
          <w:tab w:val="clear" w:pos="720"/>
          <w:tab w:val="num" w:pos="36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570D83E2" w:rsidR="0007362A" w:rsidRPr="000760EE" w:rsidRDefault="0007362A" w:rsidP="00CC073F">
      <w:pPr>
        <w:numPr>
          <w:ilvl w:val="0"/>
          <w:numId w:val="21"/>
        </w:numPr>
        <w:tabs>
          <w:tab w:val="clear" w:pos="720"/>
          <w:tab w:val="num" w:pos="36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0B881CF3" w:rsidR="0007362A" w:rsidRPr="000760EE" w:rsidRDefault="0007362A" w:rsidP="00CC073F">
      <w:pPr>
        <w:numPr>
          <w:ilvl w:val="0"/>
          <w:numId w:val="21"/>
        </w:numPr>
        <w:tabs>
          <w:tab w:val="clear" w:pos="720"/>
          <w:tab w:val="num" w:pos="36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332CF60E" w:rsidR="0007362A" w:rsidRPr="000760EE" w:rsidRDefault="0007362A" w:rsidP="00CC073F">
      <w:pPr>
        <w:numPr>
          <w:ilvl w:val="0"/>
          <w:numId w:val="21"/>
        </w:numPr>
        <w:tabs>
          <w:tab w:val="clear" w:pos="720"/>
          <w:tab w:val="num" w:pos="36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116FA608" w:rsidR="0007362A" w:rsidRPr="000760EE" w:rsidRDefault="0007362A" w:rsidP="00CC073F">
      <w:pPr>
        <w:numPr>
          <w:ilvl w:val="0"/>
          <w:numId w:val="21"/>
        </w:numPr>
        <w:tabs>
          <w:tab w:val="clear" w:pos="720"/>
          <w:tab w:val="num" w:pos="36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536C0C73" w:rsidR="0007362A" w:rsidRPr="000760EE" w:rsidRDefault="0007362A" w:rsidP="00CC073F">
      <w:pPr>
        <w:numPr>
          <w:ilvl w:val="0"/>
          <w:numId w:val="21"/>
        </w:numPr>
        <w:tabs>
          <w:tab w:val="clear" w:pos="720"/>
          <w:tab w:val="num" w:pos="36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67C99695" w:rsidR="0007362A" w:rsidRPr="000760EE" w:rsidRDefault="0007362A" w:rsidP="00CC073F">
      <w:pPr>
        <w:numPr>
          <w:ilvl w:val="0"/>
          <w:numId w:val="21"/>
        </w:numPr>
        <w:tabs>
          <w:tab w:val="clear" w:pos="720"/>
          <w:tab w:val="num" w:pos="36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3BA2C3DF" w:rsidR="0007362A" w:rsidRPr="000760EE" w:rsidRDefault="0007362A" w:rsidP="0007362A">
      <w:pPr>
        <w:ind w:left="360"/>
        <w:jc w:val="both"/>
        <w:rPr>
          <w:sz w:val="20"/>
          <w:szCs w:val="20"/>
          <w:lang w:eastAsia="fr-FR"/>
        </w:rPr>
      </w:pPr>
    </w:p>
    <w:p w14:paraId="24E4105E" w14:textId="0122C4BE"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273363EE"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3FC3988E"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4ECDB575"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42AE034D" w:rsidR="0007362A" w:rsidRPr="000760EE" w:rsidRDefault="0007362A" w:rsidP="0007362A">
      <w:pPr>
        <w:ind w:left="720"/>
        <w:jc w:val="both"/>
        <w:rPr>
          <w:sz w:val="20"/>
          <w:szCs w:val="20"/>
          <w:lang w:eastAsia="fr-FR"/>
        </w:rPr>
      </w:pPr>
      <w:r w:rsidRPr="000760EE">
        <w:rPr>
          <w:sz w:val="20"/>
          <w:szCs w:val="20"/>
          <w:lang w:eastAsia="fr-FR"/>
        </w:rPr>
        <w:lastRenderedPageBreak/>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05BB616E"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25F8AFF1"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35B72D0B"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0688702D"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0E738FE8"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6412471C"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1EBFE5F0"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E7D243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2905848D"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40A0E1F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46E5FFED"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3A134D60"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492C73B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9E3066D"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1ACA8784"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66BDA48C" w:rsidR="0007362A" w:rsidRPr="000760EE" w:rsidRDefault="0007362A" w:rsidP="0007362A">
      <w:pPr>
        <w:ind w:left="360"/>
        <w:jc w:val="both"/>
        <w:rPr>
          <w:sz w:val="20"/>
          <w:szCs w:val="20"/>
          <w:lang w:eastAsia="fr-FR"/>
        </w:rPr>
      </w:pPr>
    </w:p>
    <w:p w14:paraId="1B35D99D" w14:textId="0986974B"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F7782D6"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4A4714"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46E11F51"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26BBC71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1E81EF8E"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4D6EE77" w:rsidR="00F872AE" w:rsidRDefault="0007362A" w:rsidP="00F872AE">
      <w:pPr>
        <w:ind w:left="709" w:hanging="425"/>
        <w:jc w:val="both"/>
        <w:rPr>
          <w:sz w:val="20"/>
          <w:szCs w:val="20"/>
          <w:lang w:eastAsia="fr-FR"/>
        </w:rPr>
      </w:pPr>
      <w:r w:rsidRPr="000760EE">
        <w:rPr>
          <w:sz w:val="20"/>
          <w:szCs w:val="20"/>
          <w:lang w:eastAsia="fr-FR"/>
        </w:rPr>
        <w:lastRenderedPageBreak/>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4874643" w:rsidR="00581AFA" w:rsidRDefault="00581AFA" w:rsidP="00581AFA">
      <w:pPr>
        <w:ind w:left="709" w:hanging="425"/>
        <w:jc w:val="both"/>
        <w:rPr>
          <w:bCs/>
          <w:sz w:val="20"/>
          <w:szCs w:val="20"/>
        </w:rPr>
      </w:pPr>
    </w:p>
    <w:p w14:paraId="6DCEA8CC" w14:textId="6B078B4D"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31C5262E"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0A4C48BD"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p w14:paraId="2A601138" w14:textId="77777777" w:rsidR="002C233F" w:rsidRPr="00877C5C" w:rsidRDefault="002C233F" w:rsidP="002C233F"/>
    <w:sectPr w:rsidR="002C233F" w:rsidRPr="00877C5C"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BE2D4B" w:rsidRDefault="00BE2D4B">
      <w:r>
        <w:separator/>
      </w:r>
    </w:p>
  </w:endnote>
  <w:endnote w:type="continuationSeparator" w:id="0">
    <w:p w14:paraId="649E86A2" w14:textId="77777777" w:rsidR="00BE2D4B" w:rsidRDefault="00BE2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BE2D4B" w:rsidRDefault="00BE2D4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BE2D4B" w:rsidRDefault="00BE2D4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7DD29C55" w:rsidR="00BE2D4B" w:rsidRDefault="00BE2D4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1261C">
      <w:rPr>
        <w:rStyle w:val="PageNumber"/>
        <w:noProof/>
      </w:rPr>
      <w:t>2</w:t>
    </w:r>
    <w:r>
      <w:rPr>
        <w:rStyle w:val="PageNumber"/>
      </w:rPr>
      <w:fldChar w:fldCharType="end"/>
    </w:r>
  </w:p>
  <w:p w14:paraId="7CA41DDC" w14:textId="77777777" w:rsidR="00BE2D4B" w:rsidRDefault="00BE2D4B"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BE2D4B" w:rsidRDefault="00BE2D4B">
      <w:r>
        <w:separator/>
      </w:r>
    </w:p>
  </w:footnote>
  <w:footnote w:type="continuationSeparator" w:id="0">
    <w:p w14:paraId="5A0CBB94" w14:textId="77777777" w:rsidR="00BE2D4B" w:rsidRDefault="00BE2D4B">
      <w:r>
        <w:continuationSeparator/>
      </w:r>
    </w:p>
  </w:footnote>
  <w:footnote w:id="1">
    <w:p w14:paraId="4259D962" w14:textId="3B80E919" w:rsidR="00FE6AF9" w:rsidRDefault="00436CF3">
      <w:r>
        <w:rPr>
          <w:sz w:val="20"/>
          <w:szCs w:val="20"/>
          <w:lang w:eastAsia="zh-CN"/>
        </w:rPr>
        <w:t xml:space="preserve">1 </w:t>
      </w:r>
      <w:r w:rsidR="00BE2D4B" w:rsidRPr="00436CF3">
        <w:rPr>
          <w:sz w:val="20"/>
          <w:szCs w:val="20"/>
          <w:lang w:val="en-US" w:eastAsia="zh-CN"/>
        </w:rPr>
        <w:t>Насоки за определяне на финансови корекции, които се правят върху разходите, финансирани от Европейския съюз,  при несъответствие с правилата за възлагане на обществени поръчки, приети с решение на Европейската комисия от 14.05.2019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BE2D4B" w:rsidRPr="00BF14B5" w:rsidRDefault="00BE2D4B"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BE2D4B" w:rsidRPr="00A84076" w:rsidRDefault="00BE2D4B"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BB4A7E"/>
    <w:multiLevelType w:val="multilevel"/>
    <w:tmpl w:val="F67207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7"/>
  </w:num>
  <w:num w:numId="2">
    <w:abstractNumId w:val="14"/>
  </w:num>
  <w:num w:numId="3">
    <w:abstractNumId w:val="3"/>
  </w:num>
  <w:num w:numId="4">
    <w:abstractNumId w:val="4"/>
  </w:num>
  <w:num w:numId="5">
    <w:abstractNumId w:val="12"/>
  </w:num>
  <w:num w:numId="6">
    <w:abstractNumId w:val="6"/>
  </w:num>
  <w:num w:numId="7">
    <w:abstractNumId w:val="1"/>
  </w:num>
  <w:num w:numId="8">
    <w:abstractNumId w:val="9"/>
  </w:num>
  <w:num w:numId="9">
    <w:abstractNumId w:val="0"/>
  </w:num>
  <w:num w:numId="10">
    <w:abstractNumId w:val="15"/>
  </w:num>
  <w:num w:numId="11">
    <w:abstractNumId w:val="18"/>
  </w:num>
  <w:num w:numId="12">
    <w:abstractNumId w:val="16"/>
  </w:num>
  <w:num w:numId="13">
    <w:abstractNumId w:val="5"/>
  </w:num>
  <w:num w:numId="14">
    <w:abstractNumId w:val="13"/>
  </w:num>
  <w:num w:numId="15">
    <w:abstractNumId w:val="8"/>
  </w:num>
  <w:num w:numId="16">
    <w:abstractNumId w:val="10"/>
  </w:num>
  <w:num w:numId="17">
    <w:abstractNumId w:val="19"/>
  </w:num>
  <w:num w:numId="18">
    <w:abstractNumId w:val="17"/>
  </w:num>
  <w:num w:numId="19">
    <w:abstractNumId w:val="11"/>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4F61"/>
    <w:rsid w:val="00005F8C"/>
    <w:rsid w:val="00006D93"/>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4EC"/>
    <w:rsid w:val="0003673F"/>
    <w:rsid w:val="00036BD9"/>
    <w:rsid w:val="000371DE"/>
    <w:rsid w:val="00040389"/>
    <w:rsid w:val="00040835"/>
    <w:rsid w:val="0004146A"/>
    <w:rsid w:val="00042152"/>
    <w:rsid w:val="00042E84"/>
    <w:rsid w:val="00044420"/>
    <w:rsid w:val="0004443D"/>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005"/>
    <w:rsid w:val="00066AD1"/>
    <w:rsid w:val="00067B75"/>
    <w:rsid w:val="000713C0"/>
    <w:rsid w:val="0007183A"/>
    <w:rsid w:val="0007362A"/>
    <w:rsid w:val="000741A8"/>
    <w:rsid w:val="000744D5"/>
    <w:rsid w:val="000746CA"/>
    <w:rsid w:val="00074FEF"/>
    <w:rsid w:val="0007578C"/>
    <w:rsid w:val="000765A5"/>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C7"/>
    <w:rsid w:val="00105CAF"/>
    <w:rsid w:val="00106371"/>
    <w:rsid w:val="0010662B"/>
    <w:rsid w:val="001069DD"/>
    <w:rsid w:val="00106E1C"/>
    <w:rsid w:val="0010799F"/>
    <w:rsid w:val="00107B0F"/>
    <w:rsid w:val="0011020F"/>
    <w:rsid w:val="0011062E"/>
    <w:rsid w:val="00111930"/>
    <w:rsid w:val="00112B65"/>
    <w:rsid w:val="001132B0"/>
    <w:rsid w:val="0011349A"/>
    <w:rsid w:val="0011494A"/>
    <w:rsid w:val="00114F8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D47"/>
    <w:rsid w:val="00150F3E"/>
    <w:rsid w:val="001520B6"/>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76AFC"/>
    <w:rsid w:val="00180203"/>
    <w:rsid w:val="001805A7"/>
    <w:rsid w:val="0018088C"/>
    <w:rsid w:val="00181264"/>
    <w:rsid w:val="00181412"/>
    <w:rsid w:val="00181733"/>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BCC"/>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73D"/>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9E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4F3B"/>
    <w:rsid w:val="00225438"/>
    <w:rsid w:val="0022608A"/>
    <w:rsid w:val="002269DF"/>
    <w:rsid w:val="00226C9D"/>
    <w:rsid w:val="002272E2"/>
    <w:rsid w:val="0022735B"/>
    <w:rsid w:val="002306C0"/>
    <w:rsid w:val="002313F3"/>
    <w:rsid w:val="00231815"/>
    <w:rsid w:val="00232128"/>
    <w:rsid w:val="00232701"/>
    <w:rsid w:val="002329D3"/>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387C"/>
    <w:rsid w:val="0026439E"/>
    <w:rsid w:val="0026443B"/>
    <w:rsid w:val="0026463B"/>
    <w:rsid w:val="00265855"/>
    <w:rsid w:val="0026608F"/>
    <w:rsid w:val="00266817"/>
    <w:rsid w:val="00266C79"/>
    <w:rsid w:val="00267243"/>
    <w:rsid w:val="00267973"/>
    <w:rsid w:val="00267F57"/>
    <w:rsid w:val="00270AE0"/>
    <w:rsid w:val="00271EE8"/>
    <w:rsid w:val="002724CA"/>
    <w:rsid w:val="002725E0"/>
    <w:rsid w:val="00272F86"/>
    <w:rsid w:val="002745BF"/>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5F0"/>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710"/>
    <w:rsid w:val="002C1BBA"/>
    <w:rsid w:val="002C218C"/>
    <w:rsid w:val="002C233F"/>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E90"/>
    <w:rsid w:val="003165B6"/>
    <w:rsid w:val="00317584"/>
    <w:rsid w:val="003177BD"/>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6AE4"/>
    <w:rsid w:val="00356C06"/>
    <w:rsid w:val="0036103F"/>
    <w:rsid w:val="00362325"/>
    <w:rsid w:val="00362874"/>
    <w:rsid w:val="003628A0"/>
    <w:rsid w:val="003629BA"/>
    <w:rsid w:val="00363252"/>
    <w:rsid w:val="0036371D"/>
    <w:rsid w:val="00363BFB"/>
    <w:rsid w:val="003643F3"/>
    <w:rsid w:val="00365029"/>
    <w:rsid w:val="003652B1"/>
    <w:rsid w:val="00365C4E"/>
    <w:rsid w:val="00366996"/>
    <w:rsid w:val="0036720F"/>
    <w:rsid w:val="00367507"/>
    <w:rsid w:val="0036773E"/>
    <w:rsid w:val="00367AF3"/>
    <w:rsid w:val="00370B17"/>
    <w:rsid w:val="00372780"/>
    <w:rsid w:val="00373025"/>
    <w:rsid w:val="0037353D"/>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1C7C"/>
    <w:rsid w:val="0039221F"/>
    <w:rsid w:val="00392379"/>
    <w:rsid w:val="003925DF"/>
    <w:rsid w:val="003928EE"/>
    <w:rsid w:val="00393883"/>
    <w:rsid w:val="003939FB"/>
    <w:rsid w:val="003946AF"/>
    <w:rsid w:val="00394994"/>
    <w:rsid w:val="003959F5"/>
    <w:rsid w:val="0039616B"/>
    <w:rsid w:val="003964EA"/>
    <w:rsid w:val="00396698"/>
    <w:rsid w:val="0039685B"/>
    <w:rsid w:val="003977FF"/>
    <w:rsid w:val="00397A68"/>
    <w:rsid w:val="003A09CC"/>
    <w:rsid w:val="003A2298"/>
    <w:rsid w:val="003A29CF"/>
    <w:rsid w:val="003A2A48"/>
    <w:rsid w:val="003A3102"/>
    <w:rsid w:val="003A3744"/>
    <w:rsid w:val="003A439C"/>
    <w:rsid w:val="003A4C23"/>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A2D"/>
    <w:rsid w:val="003E30FB"/>
    <w:rsid w:val="003E33D3"/>
    <w:rsid w:val="003E40DE"/>
    <w:rsid w:val="003E4120"/>
    <w:rsid w:val="003E48DC"/>
    <w:rsid w:val="003E4935"/>
    <w:rsid w:val="003E4FB8"/>
    <w:rsid w:val="003E6232"/>
    <w:rsid w:val="003E6384"/>
    <w:rsid w:val="003E7337"/>
    <w:rsid w:val="003E7B34"/>
    <w:rsid w:val="003E7D76"/>
    <w:rsid w:val="003F02C5"/>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05FB2"/>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6CF3"/>
    <w:rsid w:val="00437F26"/>
    <w:rsid w:val="00440DF8"/>
    <w:rsid w:val="00441049"/>
    <w:rsid w:val="0044228F"/>
    <w:rsid w:val="00443A3C"/>
    <w:rsid w:val="00443F15"/>
    <w:rsid w:val="00444120"/>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B1F"/>
    <w:rsid w:val="00457D07"/>
    <w:rsid w:val="00460055"/>
    <w:rsid w:val="00460912"/>
    <w:rsid w:val="00460941"/>
    <w:rsid w:val="00461516"/>
    <w:rsid w:val="0046168D"/>
    <w:rsid w:val="00461A00"/>
    <w:rsid w:val="00461ABB"/>
    <w:rsid w:val="00461D73"/>
    <w:rsid w:val="004627ED"/>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4381"/>
    <w:rsid w:val="00484C2E"/>
    <w:rsid w:val="0048561E"/>
    <w:rsid w:val="0048573D"/>
    <w:rsid w:val="004858D4"/>
    <w:rsid w:val="00485955"/>
    <w:rsid w:val="00486D05"/>
    <w:rsid w:val="0048704D"/>
    <w:rsid w:val="004877D4"/>
    <w:rsid w:val="00490338"/>
    <w:rsid w:val="0049064E"/>
    <w:rsid w:val="004909F3"/>
    <w:rsid w:val="00490CF7"/>
    <w:rsid w:val="004914FC"/>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C02F8"/>
    <w:rsid w:val="004C08B5"/>
    <w:rsid w:val="004C0E48"/>
    <w:rsid w:val="004C1261"/>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490"/>
    <w:rsid w:val="004F68EF"/>
    <w:rsid w:val="004F6B7F"/>
    <w:rsid w:val="004F71EF"/>
    <w:rsid w:val="004F753A"/>
    <w:rsid w:val="004F77F7"/>
    <w:rsid w:val="004F7BD0"/>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5E0A"/>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6C5"/>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4196"/>
    <w:rsid w:val="00574A9F"/>
    <w:rsid w:val="00574B99"/>
    <w:rsid w:val="00575C86"/>
    <w:rsid w:val="005777DE"/>
    <w:rsid w:val="00581AFA"/>
    <w:rsid w:val="00582FA6"/>
    <w:rsid w:val="00583DE5"/>
    <w:rsid w:val="0058699B"/>
    <w:rsid w:val="00586BA3"/>
    <w:rsid w:val="00586FEF"/>
    <w:rsid w:val="00587A7C"/>
    <w:rsid w:val="00587F6D"/>
    <w:rsid w:val="005908D1"/>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5A10"/>
    <w:rsid w:val="005D644D"/>
    <w:rsid w:val="005D6491"/>
    <w:rsid w:val="005D64F2"/>
    <w:rsid w:val="005D6AAE"/>
    <w:rsid w:val="005D7236"/>
    <w:rsid w:val="005D7E1B"/>
    <w:rsid w:val="005E1085"/>
    <w:rsid w:val="005E1700"/>
    <w:rsid w:val="005E42A7"/>
    <w:rsid w:val="005E4644"/>
    <w:rsid w:val="005E4DB1"/>
    <w:rsid w:val="005E52FD"/>
    <w:rsid w:val="005E5BD3"/>
    <w:rsid w:val="005E6208"/>
    <w:rsid w:val="005E6823"/>
    <w:rsid w:val="005E6E48"/>
    <w:rsid w:val="005E6EA0"/>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80A"/>
    <w:rsid w:val="00612957"/>
    <w:rsid w:val="00612A07"/>
    <w:rsid w:val="0061344C"/>
    <w:rsid w:val="00614668"/>
    <w:rsid w:val="00614935"/>
    <w:rsid w:val="00614E9C"/>
    <w:rsid w:val="00615D08"/>
    <w:rsid w:val="00616658"/>
    <w:rsid w:val="006167D7"/>
    <w:rsid w:val="00616ECB"/>
    <w:rsid w:val="00616F5C"/>
    <w:rsid w:val="00617BE6"/>
    <w:rsid w:val="00620216"/>
    <w:rsid w:val="0062027B"/>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DEC"/>
    <w:rsid w:val="00637384"/>
    <w:rsid w:val="006376DE"/>
    <w:rsid w:val="006378AF"/>
    <w:rsid w:val="00640682"/>
    <w:rsid w:val="00641328"/>
    <w:rsid w:val="006420DC"/>
    <w:rsid w:val="00642E19"/>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187A"/>
    <w:rsid w:val="00721CCF"/>
    <w:rsid w:val="00722C37"/>
    <w:rsid w:val="00723086"/>
    <w:rsid w:val="0072346F"/>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7622"/>
    <w:rsid w:val="00747894"/>
    <w:rsid w:val="0075010E"/>
    <w:rsid w:val="00750CCB"/>
    <w:rsid w:val="00753A2B"/>
    <w:rsid w:val="00753AEF"/>
    <w:rsid w:val="00755EDB"/>
    <w:rsid w:val="007563F2"/>
    <w:rsid w:val="007570F6"/>
    <w:rsid w:val="00760F43"/>
    <w:rsid w:val="0076160B"/>
    <w:rsid w:val="007620DA"/>
    <w:rsid w:val="007627AF"/>
    <w:rsid w:val="007628E2"/>
    <w:rsid w:val="00762E4B"/>
    <w:rsid w:val="00763644"/>
    <w:rsid w:val="00764310"/>
    <w:rsid w:val="0076440A"/>
    <w:rsid w:val="0076454D"/>
    <w:rsid w:val="007645D8"/>
    <w:rsid w:val="007651F3"/>
    <w:rsid w:val="00765719"/>
    <w:rsid w:val="00765749"/>
    <w:rsid w:val="00767D48"/>
    <w:rsid w:val="0077052B"/>
    <w:rsid w:val="00771BDE"/>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332"/>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2F8C"/>
    <w:rsid w:val="007D37DD"/>
    <w:rsid w:val="007D5A1A"/>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4AA"/>
    <w:rsid w:val="007F57CD"/>
    <w:rsid w:val="007F5C62"/>
    <w:rsid w:val="007F7354"/>
    <w:rsid w:val="007F7F17"/>
    <w:rsid w:val="0080136D"/>
    <w:rsid w:val="008016CE"/>
    <w:rsid w:val="00802387"/>
    <w:rsid w:val="008031BA"/>
    <w:rsid w:val="00803736"/>
    <w:rsid w:val="0080565C"/>
    <w:rsid w:val="008063C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4F9"/>
    <w:rsid w:val="0083775B"/>
    <w:rsid w:val="00840ECB"/>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3867"/>
    <w:rsid w:val="00853A39"/>
    <w:rsid w:val="008541B5"/>
    <w:rsid w:val="0085527A"/>
    <w:rsid w:val="00856818"/>
    <w:rsid w:val="00857EB3"/>
    <w:rsid w:val="00860688"/>
    <w:rsid w:val="008616B3"/>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77C5C"/>
    <w:rsid w:val="0088026C"/>
    <w:rsid w:val="0088062D"/>
    <w:rsid w:val="00880B0F"/>
    <w:rsid w:val="00881203"/>
    <w:rsid w:val="00881FF9"/>
    <w:rsid w:val="0088256C"/>
    <w:rsid w:val="00882F47"/>
    <w:rsid w:val="00883249"/>
    <w:rsid w:val="008841B9"/>
    <w:rsid w:val="00884573"/>
    <w:rsid w:val="008848B4"/>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B6530"/>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D7F9B"/>
    <w:rsid w:val="008E01FA"/>
    <w:rsid w:val="008E0552"/>
    <w:rsid w:val="008E09D2"/>
    <w:rsid w:val="008E22F2"/>
    <w:rsid w:val="008E2943"/>
    <w:rsid w:val="008E2D0B"/>
    <w:rsid w:val="008E2F1E"/>
    <w:rsid w:val="008E300A"/>
    <w:rsid w:val="008E3073"/>
    <w:rsid w:val="008E37EE"/>
    <w:rsid w:val="008E3A31"/>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0712C"/>
    <w:rsid w:val="00910F56"/>
    <w:rsid w:val="00911307"/>
    <w:rsid w:val="00911AC0"/>
    <w:rsid w:val="00911AF5"/>
    <w:rsid w:val="00911E9B"/>
    <w:rsid w:val="00912BCF"/>
    <w:rsid w:val="0091335D"/>
    <w:rsid w:val="00913A87"/>
    <w:rsid w:val="0091428F"/>
    <w:rsid w:val="00914929"/>
    <w:rsid w:val="009152D9"/>
    <w:rsid w:val="009155FD"/>
    <w:rsid w:val="0091588D"/>
    <w:rsid w:val="00915923"/>
    <w:rsid w:val="00916014"/>
    <w:rsid w:val="009165BE"/>
    <w:rsid w:val="00917118"/>
    <w:rsid w:val="00917FB8"/>
    <w:rsid w:val="0092029E"/>
    <w:rsid w:val="0092031E"/>
    <w:rsid w:val="00920EE5"/>
    <w:rsid w:val="009210FB"/>
    <w:rsid w:val="00921C4D"/>
    <w:rsid w:val="00922042"/>
    <w:rsid w:val="009224F0"/>
    <w:rsid w:val="00923047"/>
    <w:rsid w:val="00923170"/>
    <w:rsid w:val="009234E7"/>
    <w:rsid w:val="0092575E"/>
    <w:rsid w:val="009263C9"/>
    <w:rsid w:val="00926678"/>
    <w:rsid w:val="009273E2"/>
    <w:rsid w:val="00927F7D"/>
    <w:rsid w:val="00930549"/>
    <w:rsid w:val="00930B00"/>
    <w:rsid w:val="00931BF7"/>
    <w:rsid w:val="009325A3"/>
    <w:rsid w:val="00932657"/>
    <w:rsid w:val="00933902"/>
    <w:rsid w:val="00933DF1"/>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4D4B"/>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7D5"/>
    <w:rsid w:val="009927D7"/>
    <w:rsid w:val="00992CBE"/>
    <w:rsid w:val="00994352"/>
    <w:rsid w:val="0099492F"/>
    <w:rsid w:val="00994B8F"/>
    <w:rsid w:val="00994DFC"/>
    <w:rsid w:val="00994EEA"/>
    <w:rsid w:val="00995724"/>
    <w:rsid w:val="009966F3"/>
    <w:rsid w:val="00997061"/>
    <w:rsid w:val="00997391"/>
    <w:rsid w:val="009A052F"/>
    <w:rsid w:val="009A0F41"/>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B6104"/>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0F4"/>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15"/>
    <w:rsid w:val="009E634B"/>
    <w:rsid w:val="009E6C4B"/>
    <w:rsid w:val="009E72F4"/>
    <w:rsid w:val="009E79FB"/>
    <w:rsid w:val="009E7D5B"/>
    <w:rsid w:val="009F1DFA"/>
    <w:rsid w:val="009F201C"/>
    <w:rsid w:val="009F2208"/>
    <w:rsid w:val="009F55ED"/>
    <w:rsid w:val="009F62FC"/>
    <w:rsid w:val="009F778F"/>
    <w:rsid w:val="009F7BD6"/>
    <w:rsid w:val="009F7C36"/>
    <w:rsid w:val="009F7D30"/>
    <w:rsid w:val="00A00278"/>
    <w:rsid w:val="00A011DE"/>
    <w:rsid w:val="00A015BA"/>
    <w:rsid w:val="00A028F1"/>
    <w:rsid w:val="00A02BEC"/>
    <w:rsid w:val="00A02FA7"/>
    <w:rsid w:val="00A037EE"/>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8D8"/>
    <w:rsid w:val="00A453BF"/>
    <w:rsid w:val="00A4580C"/>
    <w:rsid w:val="00A45B86"/>
    <w:rsid w:val="00A45CA9"/>
    <w:rsid w:val="00A462B7"/>
    <w:rsid w:val="00A462CA"/>
    <w:rsid w:val="00A46F8D"/>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42E"/>
    <w:rsid w:val="00A7285F"/>
    <w:rsid w:val="00A7432F"/>
    <w:rsid w:val="00A74716"/>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7BAA"/>
    <w:rsid w:val="00A97C78"/>
    <w:rsid w:val="00AA0B85"/>
    <w:rsid w:val="00AA21D4"/>
    <w:rsid w:val="00AA2F5E"/>
    <w:rsid w:val="00AA48A2"/>
    <w:rsid w:val="00AA4BA4"/>
    <w:rsid w:val="00AA5299"/>
    <w:rsid w:val="00AA678F"/>
    <w:rsid w:val="00AA742E"/>
    <w:rsid w:val="00AA75C8"/>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14"/>
    <w:rsid w:val="00AD6DB4"/>
    <w:rsid w:val="00AD7E80"/>
    <w:rsid w:val="00AE0572"/>
    <w:rsid w:val="00AE0AC9"/>
    <w:rsid w:val="00AE1C84"/>
    <w:rsid w:val="00AE1D86"/>
    <w:rsid w:val="00AE283D"/>
    <w:rsid w:val="00AE4258"/>
    <w:rsid w:val="00AE5F7D"/>
    <w:rsid w:val="00AE6D04"/>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07D74"/>
    <w:rsid w:val="00B1028E"/>
    <w:rsid w:val="00B11E50"/>
    <w:rsid w:val="00B12071"/>
    <w:rsid w:val="00B12874"/>
    <w:rsid w:val="00B13456"/>
    <w:rsid w:val="00B13BFA"/>
    <w:rsid w:val="00B13F2F"/>
    <w:rsid w:val="00B140C5"/>
    <w:rsid w:val="00B14906"/>
    <w:rsid w:val="00B1498E"/>
    <w:rsid w:val="00B16A96"/>
    <w:rsid w:val="00B16C0E"/>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057"/>
    <w:rsid w:val="00B82287"/>
    <w:rsid w:val="00B82704"/>
    <w:rsid w:val="00B82C7A"/>
    <w:rsid w:val="00B843E8"/>
    <w:rsid w:val="00B843F4"/>
    <w:rsid w:val="00B84A58"/>
    <w:rsid w:val="00B8672F"/>
    <w:rsid w:val="00B86A26"/>
    <w:rsid w:val="00B9036D"/>
    <w:rsid w:val="00B9048C"/>
    <w:rsid w:val="00B90670"/>
    <w:rsid w:val="00B9123F"/>
    <w:rsid w:val="00B91CA2"/>
    <w:rsid w:val="00B92F56"/>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5FE"/>
    <w:rsid w:val="00BB793C"/>
    <w:rsid w:val="00BC0ABC"/>
    <w:rsid w:val="00BC0BF1"/>
    <w:rsid w:val="00BC0D52"/>
    <w:rsid w:val="00BC0E0D"/>
    <w:rsid w:val="00BC0E3D"/>
    <w:rsid w:val="00BC2AEF"/>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2D"/>
    <w:rsid w:val="00BD19FF"/>
    <w:rsid w:val="00BD1D1B"/>
    <w:rsid w:val="00BD1F61"/>
    <w:rsid w:val="00BD235D"/>
    <w:rsid w:val="00BD2914"/>
    <w:rsid w:val="00BD3762"/>
    <w:rsid w:val="00BD4C68"/>
    <w:rsid w:val="00BD4CEE"/>
    <w:rsid w:val="00BD626D"/>
    <w:rsid w:val="00BD7160"/>
    <w:rsid w:val="00BE0230"/>
    <w:rsid w:val="00BE0537"/>
    <w:rsid w:val="00BE06F8"/>
    <w:rsid w:val="00BE1751"/>
    <w:rsid w:val="00BE1D89"/>
    <w:rsid w:val="00BE2907"/>
    <w:rsid w:val="00BE2D4B"/>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C06"/>
    <w:rsid w:val="00C17A3A"/>
    <w:rsid w:val="00C17D71"/>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73F"/>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1D7"/>
    <w:rsid w:val="00CE42F2"/>
    <w:rsid w:val="00CE484C"/>
    <w:rsid w:val="00CE4E12"/>
    <w:rsid w:val="00CE50DE"/>
    <w:rsid w:val="00CE52FF"/>
    <w:rsid w:val="00CE5939"/>
    <w:rsid w:val="00CE5E56"/>
    <w:rsid w:val="00CE6456"/>
    <w:rsid w:val="00CE64CF"/>
    <w:rsid w:val="00CE681F"/>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5558"/>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3A1E"/>
    <w:rsid w:val="00DB40CD"/>
    <w:rsid w:val="00DB41F0"/>
    <w:rsid w:val="00DB45A3"/>
    <w:rsid w:val="00DB49B6"/>
    <w:rsid w:val="00DB5461"/>
    <w:rsid w:val="00DB5B3F"/>
    <w:rsid w:val="00DB5C7B"/>
    <w:rsid w:val="00DB64A3"/>
    <w:rsid w:val="00DB758E"/>
    <w:rsid w:val="00DB7969"/>
    <w:rsid w:val="00DC05D0"/>
    <w:rsid w:val="00DC0C18"/>
    <w:rsid w:val="00DC1141"/>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7E73"/>
    <w:rsid w:val="00DF02DE"/>
    <w:rsid w:val="00DF11AB"/>
    <w:rsid w:val="00DF236B"/>
    <w:rsid w:val="00DF381C"/>
    <w:rsid w:val="00DF4967"/>
    <w:rsid w:val="00DF4B82"/>
    <w:rsid w:val="00DF59F5"/>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C22"/>
    <w:rsid w:val="00E067B7"/>
    <w:rsid w:val="00E06851"/>
    <w:rsid w:val="00E06E5A"/>
    <w:rsid w:val="00E07966"/>
    <w:rsid w:val="00E07DA9"/>
    <w:rsid w:val="00E1092F"/>
    <w:rsid w:val="00E1248C"/>
    <w:rsid w:val="00E1451D"/>
    <w:rsid w:val="00E14F34"/>
    <w:rsid w:val="00E15276"/>
    <w:rsid w:val="00E15BCA"/>
    <w:rsid w:val="00E16297"/>
    <w:rsid w:val="00E17E56"/>
    <w:rsid w:val="00E20B21"/>
    <w:rsid w:val="00E2212E"/>
    <w:rsid w:val="00E226CE"/>
    <w:rsid w:val="00E23EDF"/>
    <w:rsid w:val="00E242B7"/>
    <w:rsid w:val="00E242BD"/>
    <w:rsid w:val="00E247B6"/>
    <w:rsid w:val="00E25068"/>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6CD"/>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69D"/>
    <w:rsid w:val="00E807DB"/>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B27"/>
    <w:rsid w:val="00EC51EF"/>
    <w:rsid w:val="00EC64FA"/>
    <w:rsid w:val="00EC756B"/>
    <w:rsid w:val="00ED090A"/>
    <w:rsid w:val="00ED2D5C"/>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1C"/>
    <w:rsid w:val="00F1269C"/>
    <w:rsid w:val="00F1287C"/>
    <w:rsid w:val="00F14DA5"/>
    <w:rsid w:val="00F1569D"/>
    <w:rsid w:val="00F16B41"/>
    <w:rsid w:val="00F16D9D"/>
    <w:rsid w:val="00F16E88"/>
    <w:rsid w:val="00F174BC"/>
    <w:rsid w:val="00F174E1"/>
    <w:rsid w:val="00F1776A"/>
    <w:rsid w:val="00F17AB2"/>
    <w:rsid w:val="00F20B2B"/>
    <w:rsid w:val="00F20D04"/>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571"/>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2D2"/>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6AF9"/>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9102547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4231">
      <w:bodyDiv w:val="1"/>
      <w:marLeft w:val="0"/>
      <w:marRight w:val="0"/>
      <w:marTop w:val="0"/>
      <w:marBottom w:val="0"/>
      <w:divBdr>
        <w:top w:val="none" w:sz="0" w:space="0" w:color="auto"/>
        <w:left w:val="none" w:sz="0" w:space="0" w:color="auto"/>
        <w:bottom w:val="none" w:sz="0" w:space="0" w:color="auto"/>
        <w:right w:val="none" w:sz="0" w:space="0" w:color="auto"/>
      </w:divBdr>
    </w:div>
    <w:div w:id="176430370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212129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550FE-A1BB-4EA2-9915-8C1C3AD33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2253</Words>
  <Characters>13470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Анна Лютакова</cp:lastModifiedBy>
  <cp:revision>86</cp:revision>
  <cp:lastPrinted>2014-02-10T09:04:00Z</cp:lastPrinted>
  <dcterms:created xsi:type="dcterms:W3CDTF">2019-07-18T08:02:00Z</dcterms:created>
  <dcterms:modified xsi:type="dcterms:W3CDTF">2020-12-21T15:31:00Z</dcterms:modified>
</cp:coreProperties>
</file>