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4"/>
        <w:gridCol w:w="7088"/>
        <w:gridCol w:w="3250"/>
      </w:tblGrid>
      <w:tr w:rsidR="00CB202C" w:rsidRPr="00D86986" w14:paraId="0A8B25CA" w14:textId="77777777" w:rsidTr="00065CD3">
        <w:trPr>
          <w:trHeight w:val="743"/>
          <w:tblHeader/>
        </w:trPr>
        <w:tc>
          <w:tcPr>
            <w:tcW w:w="3554" w:type="dxa"/>
            <w:shd w:val="clear" w:color="auto" w:fill="auto"/>
            <w:vAlign w:val="center"/>
          </w:tcPr>
          <w:p w14:paraId="2D7C8F55" w14:textId="77777777" w:rsidR="00CB202C" w:rsidRPr="00470914" w:rsidRDefault="00CB202C" w:rsidP="00065CD3">
            <w:pPr>
              <w:pStyle w:val="Index"/>
              <w:keepNext/>
              <w:spacing w:after="0"/>
              <w:jc w:val="center"/>
              <w:rPr>
                <w:i/>
                <w:iCs/>
                <w:sz w:val="22"/>
                <w:szCs w:val="22"/>
                <w:lang w:val="bg-BG"/>
              </w:rPr>
            </w:pPr>
            <w:r w:rsidRPr="00470914">
              <w:rPr>
                <w:b/>
                <w:i/>
                <w:iCs/>
                <w:sz w:val="22"/>
                <w:szCs w:val="22"/>
                <w:lang w:val="bg-BG"/>
              </w:rPr>
              <w:t>Администрация на министерския съвет</w:t>
            </w:r>
          </w:p>
        </w:tc>
        <w:tc>
          <w:tcPr>
            <w:tcW w:w="7088" w:type="dxa"/>
            <w:tcBorders>
              <w:bottom w:val="single" w:sz="4" w:space="0" w:color="auto"/>
            </w:tcBorders>
            <w:vAlign w:val="center"/>
          </w:tcPr>
          <w:p w14:paraId="1E938A2B" w14:textId="77777777" w:rsidR="00CB202C" w:rsidRPr="00470914" w:rsidRDefault="00CB202C" w:rsidP="00065CD3">
            <w:pPr>
              <w:pStyle w:val="Index"/>
              <w:keepNext/>
              <w:spacing w:before="0" w:beforeAutospacing="0" w:after="0" w:afterAutospacing="0"/>
              <w:jc w:val="center"/>
              <w:rPr>
                <w:b/>
                <w:sz w:val="22"/>
                <w:szCs w:val="22"/>
                <w:lang w:val="bg-BG"/>
              </w:rPr>
            </w:pPr>
            <w:r w:rsidRPr="00470914">
              <w:rPr>
                <w:b/>
                <w:sz w:val="22"/>
                <w:szCs w:val="22"/>
                <w:lang w:val="bg-BG"/>
              </w:rPr>
              <w:t>Наръчник за изпълнение на</w:t>
            </w:r>
          </w:p>
          <w:p w14:paraId="1D2868BE" w14:textId="77777777" w:rsidR="00CB202C" w:rsidRPr="00470914" w:rsidRDefault="00CB202C" w:rsidP="00065CD3">
            <w:pPr>
              <w:pStyle w:val="Index"/>
              <w:keepNext/>
              <w:spacing w:before="0" w:beforeAutospacing="0" w:after="0" w:afterAutospacing="0"/>
              <w:jc w:val="center"/>
              <w:rPr>
                <w:b/>
                <w:sz w:val="22"/>
                <w:szCs w:val="22"/>
                <w:lang w:val="bg-BG"/>
              </w:rPr>
            </w:pPr>
            <w:r w:rsidRPr="00470914">
              <w:rPr>
                <w:b/>
                <w:sz w:val="22"/>
                <w:szCs w:val="22"/>
                <w:lang w:val="bg-BG"/>
              </w:rPr>
              <w:t>Оперативна програма</w:t>
            </w:r>
          </w:p>
          <w:p w14:paraId="324701B0" w14:textId="77777777" w:rsidR="00CB202C" w:rsidRPr="00470914" w:rsidRDefault="00CB202C" w:rsidP="00065CD3">
            <w:pPr>
              <w:pStyle w:val="Index"/>
              <w:keepNext/>
              <w:spacing w:before="0" w:beforeAutospacing="0" w:after="0" w:afterAutospacing="0"/>
              <w:jc w:val="center"/>
              <w:rPr>
                <w:b/>
                <w:i/>
                <w:iCs/>
                <w:sz w:val="22"/>
                <w:szCs w:val="22"/>
                <w:lang w:val="bg-BG"/>
              </w:rPr>
            </w:pPr>
            <w:r w:rsidRPr="00470914">
              <w:rPr>
                <w:b/>
                <w:sz w:val="22"/>
                <w:szCs w:val="22"/>
                <w:lang w:val="bg-BG"/>
              </w:rPr>
              <w:t>„Добро управление” 2014-2020</w:t>
            </w:r>
          </w:p>
        </w:tc>
        <w:tc>
          <w:tcPr>
            <w:tcW w:w="3250" w:type="dxa"/>
            <w:tcBorders>
              <w:bottom w:val="single" w:sz="4" w:space="0" w:color="auto"/>
            </w:tcBorders>
            <w:vAlign w:val="center"/>
          </w:tcPr>
          <w:p w14:paraId="69188D69" w14:textId="0805984A" w:rsidR="00CB202C" w:rsidRPr="00470914" w:rsidRDefault="00CB202C" w:rsidP="00065CD3">
            <w:pPr>
              <w:pStyle w:val="Index"/>
              <w:keepNext/>
              <w:spacing w:after="0"/>
              <w:jc w:val="center"/>
              <w:rPr>
                <w:b/>
                <w:bCs/>
                <w:i/>
                <w:sz w:val="22"/>
                <w:szCs w:val="22"/>
              </w:rPr>
            </w:pPr>
            <w:r w:rsidRPr="00470914">
              <w:rPr>
                <w:b/>
                <w:bCs/>
                <w:i/>
                <w:sz w:val="22"/>
                <w:szCs w:val="22"/>
                <w:lang w:val="bg-BG"/>
              </w:rPr>
              <w:t xml:space="preserve">Приложение </w:t>
            </w:r>
            <w:r w:rsidRPr="00470914">
              <w:rPr>
                <w:b/>
                <w:bCs/>
                <w:i/>
                <w:sz w:val="22"/>
                <w:szCs w:val="22"/>
              </w:rPr>
              <w:t>III-K05-</w:t>
            </w:r>
            <w:r w:rsidRPr="00470914">
              <w:rPr>
                <w:b/>
                <w:bCs/>
                <w:i/>
                <w:sz w:val="22"/>
                <w:szCs w:val="22"/>
                <w:lang w:val="bg-BG"/>
              </w:rPr>
              <w:t>20</w:t>
            </w:r>
            <w:r w:rsidRPr="00470914">
              <w:rPr>
                <w:b/>
                <w:bCs/>
                <w:i/>
                <w:sz w:val="22"/>
                <w:szCs w:val="22"/>
              </w:rPr>
              <w:t>N</w:t>
            </w:r>
            <w:r w:rsidR="00470914">
              <w:rPr>
                <w:b/>
                <w:bCs/>
                <w:i/>
                <w:sz w:val="22"/>
                <w:szCs w:val="22"/>
                <w:lang w:val="de-DE"/>
              </w:rPr>
              <w:t>N</w:t>
            </w:r>
            <w:r w:rsidRPr="00470914">
              <w:rPr>
                <w:b/>
                <w:bCs/>
                <w:i/>
                <w:sz w:val="22"/>
                <w:szCs w:val="22"/>
              </w:rPr>
              <w:t>N-1</w:t>
            </w:r>
          </w:p>
          <w:p w14:paraId="6DF5D221" w14:textId="77777777" w:rsidR="00CB202C" w:rsidRPr="00470914" w:rsidRDefault="00CB202C" w:rsidP="00065CD3">
            <w:pPr>
              <w:pStyle w:val="Index"/>
              <w:keepNext/>
              <w:spacing w:after="0"/>
              <w:jc w:val="center"/>
              <w:rPr>
                <w:b/>
                <w:bCs/>
                <w:i/>
                <w:sz w:val="22"/>
                <w:szCs w:val="22"/>
                <w:lang w:val="bg-BG"/>
              </w:rPr>
            </w:pPr>
          </w:p>
        </w:tc>
      </w:tr>
      <w:tr w:rsidR="00CB202C" w:rsidRPr="004212B2" w14:paraId="39FC9E73" w14:textId="77777777" w:rsidTr="00065CD3">
        <w:trPr>
          <w:trHeight w:val="742"/>
          <w:tblHeader/>
        </w:trPr>
        <w:tc>
          <w:tcPr>
            <w:tcW w:w="3554" w:type="dxa"/>
            <w:shd w:val="clear" w:color="auto" w:fill="auto"/>
            <w:vAlign w:val="center"/>
          </w:tcPr>
          <w:p w14:paraId="17357C25" w14:textId="77777777" w:rsidR="00CB202C" w:rsidRPr="00470914" w:rsidRDefault="00CB202C" w:rsidP="00065CD3">
            <w:pPr>
              <w:pStyle w:val="Index"/>
              <w:keepNext/>
              <w:spacing w:before="0" w:beforeAutospacing="0" w:after="0" w:afterAutospacing="0"/>
              <w:jc w:val="center"/>
              <w:rPr>
                <w:b/>
                <w:i/>
                <w:iCs/>
                <w:sz w:val="22"/>
                <w:szCs w:val="22"/>
                <w:lang w:val="bg-BG"/>
              </w:rPr>
            </w:pPr>
            <w:r w:rsidRPr="00470914">
              <w:rPr>
                <w:b/>
                <w:i/>
                <w:iCs/>
                <w:sz w:val="22"/>
                <w:szCs w:val="22"/>
                <w:lang w:val="bg-BG"/>
              </w:rPr>
              <w:t xml:space="preserve">Дирекция </w:t>
            </w:r>
          </w:p>
          <w:p w14:paraId="79E84F09" w14:textId="77777777" w:rsidR="00CB202C" w:rsidRPr="00470914" w:rsidRDefault="00CB202C" w:rsidP="00065CD3">
            <w:pPr>
              <w:pStyle w:val="Index"/>
              <w:keepNext/>
              <w:spacing w:before="0" w:beforeAutospacing="0" w:after="0" w:afterAutospacing="0"/>
              <w:jc w:val="center"/>
              <w:rPr>
                <w:b/>
                <w:sz w:val="22"/>
                <w:szCs w:val="22"/>
                <w:lang w:val="bg-BG"/>
              </w:rPr>
            </w:pPr>
            <w:r w:rsidRPr="00470914">
              <w:rPr>
                <w:b/>
                <w:i/>
                <w:iCs/>
                <w:sz w:val="22"/>
                <w:szCs w:val="22"/>
                <w:lang w:val="bg-BG"/>
              </w:rPr>
              <w:t>„Добро управление”</w:t>
            </w:r>
          </w:p>
        </w:tc>
        <w:tc>
          <w:tcPr>
            <w:tcW w:w="10338" w:type="dxa"/>
            <w:gridSpan w:val="2"/>
            <w:shd w:val="clear" w:color="auto" w:fill="666699"/>
            <w:vAlign w:val="center"/>
          </w:tcPr>
          <w:p w14:paraId="602D03EE" w14:textId="77777777" w:rsidR="00CB202C" w:rsidRPr="00470914" w:rsidRDefault="00CB202C" w:rsidP="00065CD3">
            <w:pPr>
              <w:pStyle w:val="Index"/>
              <w:keepNext/>
              <w:spacing w:after="0"/>
              <w:jc w:val="center"/>
              <w:rPr>
                <w:b/>
                <w:color w:val="FFFFFF"/>
                <w:sz w:val="28"/>
                <w:szCs w:val="28"/>
                <w:lang w:val="bg-BG"/>
              </w:rPr>
            </w:pPr>
            <w:r w:rsidRPr="00470914">
              <w:rPr>
                <w:b/>
                <w:color w:val="FFFFFF"/>
                <w:sz w:val="28"/>
                <w:szCs w:val="28"/>
                <w:lang w:val="bg-BG"/>
              </w:rPr>
              <w:t>Контролен лист за проверка на направено изменение към сключен договор с изпълнител</w:t>
            </w:r>
          </w:p>
        </w:tc>
      </w:tr>
      <w:tr w:rsidR="00CB202C" w:rsidRPr="00B6068B" w14:paraId="0A614170" w14:textId="77777777" w:rsidTr="00065CD3">
        <w:trPr>
          <w:trHeight w:val="742"/>
          <w:tblHeader/>
        </w:trPr>
        <w:tc>
          <w:tcPr>
            <w:tcW w:w="3554" w:type="dxa"/>
            <w:shd w:val="clear" w:color="auto" w:fill="auto"/>
            <w:vAlign w:val="center"/>
          </w:tcPr>
          <w:p w14:paraId="2B576537" w14:textId="77777777" w:rsidR="00CB202C" w:rsidRPr="00470914" w:rsidRDefault="00CB202C" w:rsidP="00065CD3">
            <w:pPr>
              <w:pStyle w:val="Index"/>
              <w:keepNext/>
              <w:spacing w:after="0"/>
              <w:rPr>
                <w:b/>
                <w:i/>
                <w:iCs/>
                <w:sz w:val="22"/>
                <w:szCs w:val="22"/>
                <w:lang w:val="ru-RU"/>
              </w:rPr>
            </w:pPr>
            <w:r w:rsidRPr="00470914">
              <w:rPr>
                <w:sz w:val="22"/>
                <w:szCs w:val="22"/>
                <w:lang w:val="bg-BG"/>
              </w:rPr>
              <w:t>Вариант на документа: 1</w:t>
            </w:r>
          </w:p>
        </w:tc>
        <w:tc>
          <w:tcPr>
            <w:tcW w:w="7088" w:type="dxa"/>
            <w:vAlign w:val="center"/>
          </w:tcPr>
          <w:p w14:paraId="52D2B4BD" w14:textId="77777777" w:rsidR="00CB202C" w:rsidRPr="00470914" w:rsidRDefault="00CB202C" w:rsidP="00065CD3">
            <w:pPr>
              <w:keepNext/>
              <w:jc w:val="center"/>
              <w:rPr>
                <w:i/>
                <w:iCs/>
                <w:sz w:val="22"/>
                <w:szCs w:val="22"/>
              </w:rPr>
            </w:pPr>
            <w:r w:rsidRPr="00470914">
              <w:rPr>
                <w:i/>
                <w:iCs/>
                <w:sz w:val="22"/>
                <w:szCs w:val="22"/>
              </w:rPr>
              <w:t xml:space="preserve">Одобрен от: </w:t>
            </w:r>
          </w:p>
          <w:p w14:paraId="786C949E" w14:textId="77777777" w:rsidR="00CB202C" w:rsidRPr="00470914" w:rsidRDefault="00CB202C" w:rsidP="00065CD3">
            <w:pPr>
              <w:pStyle w:val="TableContents"/>
              <w:keepNext/>
              <w:spacing w:beforeAutospacing="0" w:after="0" w:afterAutospacing="0"/>
              <w:jc w:val="center"/>
              <w:rPr>
                <w:b/>
                <w:sz w:val="28"/>
                <w:szCs w:val="28"/>
                <w:lang w:val="bg-BG"/>
              </w:rPr>
            </w:pPr>
            <w:r w:rsidRPr="00470914">
              <w:rPr>
                <w:i/>
                <w:iCs/>
                <w:sz w:val="22"/>
                <w:szCs w:val="22"/>
                <w:lang w:val="bg-BG"/>
              </w:rPr>
              <w:t>Ръководителя на Управляващия орган на Оперативна програма „Добро управление”</w:t>
            </w:r>
          </w:p>
        </w:tc>
        <w:tc>
          <w:tcPr>
            <w:tcW w:w="3250" w:type="dxa"/>
            <w:vAlign w:val="center"/>
          </w:tcPr>
          <w:p w14:paraId="788E690E" w14:textId="5AD1A4E0" w:rsidR="00CB202C" w:rsidRPr="00470914" w:rsidRDefault="00CB202C" w:rsidP="00470914">
            <w:pPr>
              <w:pStyle w:val="TableContents"/>
              <w:keepNext/>
              <w:spacing w:after="0"/>
              <w:jc w:val="center"/>
              <w:rPr>
                <w:b/>
                <w:sz w:val="28"/>
                <w:szCs w:val="28"/>
              </w:rPr>
            </w:pPr>
            <w:r w:rsidRPr="00470914">
              <w:rPr>
                <w:sz w:val="22"/>
                <w:szCs w:val="22"/>
                <w:lang w:val="bg-BG"/>
              </w:rPr>
              <w:t xml:space="preserve">Дата: </w:t>
            </w:r>
            <w:r w:rsidR="00470914">
              <w:rPr>
                <w:sz w:val="22"/>
                <w:szCs w:val="22"/>
                <w:lang w:val="bg-BG"/>
              </w:rPr>
              <w:t>22.12.</w:t>
            </w:r>
            <w:bookmarkStart w:id="0" w:name="_GoBack"/>
            <w:bookmarkEnd w:id="0"/>
            <w:r w:rsidRPr="00470914">
              <w:rPr>
                <w:sz w:val="22"/>
                <w:szCs w:val="22"/>
              </w:rPr>
              <w:t>20</w:t>
            </w:r>
            <w:r w:rsidRPr="00470914">
              <w:rPr>
                <w:sz w:val="22"/>
                <w:szCs w:val="22"/>
                <w:lang w:val="bg-BG"/>
              </w:rPr>
              <w:t xml:space="preserve">20 </w:t>
            </w:r>
            <w:r w:rsidRPr="00470914">
              <w:rPr>
                <w:sz w:val="22"/>
                <w:szCs w:val="22"/>
              </w:rPr>
              <w:t xml:space="preserve">г. </w:t>
            </w:r>
          </w:p>
        </w:tc>
      </w:tr>
    </w:tbl>
    <w:p w14:paraId="2A6BF9E4" w14:textId="77777777" w:rsidR="002D140A" w:rsidRPr="000A7FDB" w:rsidRDefault="002D140A" w:rsidP="00641AC2">
      <w:pPr>
        <w:keepNext/>
        <w:tabs>
          <w:tab w:val="num" w:pos="0"/>
        </w:tabs>
        <w:jc w:val="both"/>
        <w:rPr>
          <w:sz w:val="20"/>
          <w:szCs w:val="20"/>
        </w:rPr>
      </w:pPr>
    </w:p>
    <w:p w14:paraId="0B5E66A4" w14:textId="77777777" w:rsidR="002D140A" w:rsidRPr="000A7FDB" w:rsidRDefault="002D140A" w:rsidP="00641AC2">
      <w:pPr>
        <w:keepNext/>
        <w:jc w:val="both"/>
        <w:rPr>
          <w:sz w:val="20"/>
          <w:szCs w:val="20"/>
        </w:rPr>
      </w:pPr>
    </w:p>
    <w:p w14:paraId="3F9447A4" w14:textId="3B8C9BA3" w:rsidR="002018E2" w:rsidRPr="002018E2" w:rsidRDefault="002018E2" w:rsidP="00641AC2">
      <w:pPr>
        <w:keepNext/>
        <w:jc w:val="both"/>
        <w:rPr>
          <w:b/>
          <w:sz w:val="20"/>
          <w:szCs w:val="20"/>
        </w:rPr>
      </w:pPr>
      <w:r w:rsidRPr="002018E2">
        <w:rPr>
          <w:b/>
          <w:sz w:val="20"/>
          <w:szCs w:val="20"/>
        </w:rPr>
        <w:t>УКАЗАНИЯ:</w:t>
      </w:r>
    </w:p>
    <w:p w14:paraId="644CA06F" w14:textId="2D4F3E61" w:rsidR="002018E2" w:rsidRDefault="00D83753" w:rsidP="00641AC2">
      <w:pPr>
        <w:keepNext/>
        <w:tabs>
          <w:tab w:val="num" w:pos="0"/>
        </w:tabs>
        <w:spacing w:after="120"/>
        <w:jc w:val="both"/>
        <w:rPr>
          <w:b/>
          <w:sz w:val="20"/>
          <w:szCs w:val="20"/>
        </w:rPr>
      </w:pPr>
      <w:r w:rsidRPr="00D83753">
        <w:rPr>
          <w:b/>
          <w:sz w:val="20"/>
          <w:szCs w:val="20"/>
        </w:rPr>
        <w:t>I. ЗА ПРОВЕРЯВАЩИЯ ЕКИП (Служител 1 и Служител 2):</w:t>
      </w:r>
      <w:r w:rsidR="002018E2" w:rsidRPr="002018E2">
        <w:rPr>
          <w:b/>
          <w:sz w:val="20"/>
          <w:szCs w:val="20"/>
        </w:rPr>
        <w:t>1. Минимум следните документи са предмет на  проверка:</w:t>
      </w:r>
    </w:p>
    <w:p w14:paraId="0CEFCA15" w14:textId="563A6968" w:rsidR="006A3698" w:rsidRPr="006A3698" w:rsidRDefault="00127CF5" w:rsidP="00641AC2">
      <w:pPr>
        <w:pStyle w:val="ListParagraph"/>
        <w:keepNext/>
        <w:numPr>
          <w:ilvl w:val="0"/>
          <w:numId w:val="11"/>
        </w:numPr>
        <w:tabs>
          <w:tab w:val="num" w:pos="0"/>
        </w:tabs>
        <w:spacing w:after="120"/>
        <w:jc w:val="both"/>
        <w:rPr>
          <w:bCs/>
          <w:sz w:val="20"/>
          <w:szCs w:val="20"/>
        </w:rPr>
      </w:pPr>
      <w:r w:rsidRPr="006A3698">
        <w:rPr>
          <w:bCs/>
          <w:sz w:val="20"/>
          <w:szCs w:val="20"/>
        </w:rPr>
        <w:t>Обявление за изменение на договора;</w:t>
      </w:r>
    </w:p>
    <w:p w14:paraId="662832B6" w14:textId="4CC34DB9" w:rsidR="00B8230A" w:rsidRPr="006A3698" w:rsidRDefault="006A3698" w:rsidP="00641AC2">
      <w:pPr>
        <w:pStyle w:val="ListParagraph"/>
        <w:keepNext/>
        <w:numPr>
          <w:ilvl w:val="0"/>
          <w:numId w:val="11"/>
        </w:numPr>
        <w:tabs>
          <w:tab w:val="num" w:pos="0"/>
        </w:tabs>
        <w:spacing w:after="120"/>
        <w:jc w:val="both"/>
        <w:rPr>
          <w:bCs/>
          <w:sz w:val="20"/>
          <w:szCs w:val="20"/>
        </w:rPr>
      </w:pPr>
      <w:r w:rsidRPr="006A3698">
        <w:rPr>
          <w:bCs/>
          <w:sz w:val="20"/>
          <w:szCs w:val="20"/>
        </w:rPr>
        <w:t>А</w:t>
      </w:r>
      <w:r w:rsidR="00FC6FCC" w:rsidRPr="006A3698">
        <w:rPr>
          <w:bCs/>
          <w:sz w:val="20"/>
          <w:szCs w:val="20"/>
        </w:rPr>
        <w:t xml:space="preserve">некс/допълнително споразумение или др., </w:t>
      </w:r>
      <w:r w:rsidR="0033700F" w:rsidRPr="006A3698">
        <w:rPr>
          <w:bCs/>
          <w:sz w:val="20"/>
          <w:szCs w:val="20"/>
        </w:rPr>
        <w:t xml:space="preserve"> удостоверяващи направеното изменение</w:t>
      </w:r>
      <w:r w:rsidR="00B8230A" w:rsidRPr="006A3698">
        <w:rPr>
          <w:bCs/>
          <w:sz w:val="20"/>
          <w:szCs w:val="20"/>
        </w:rPr>
        <w:t xml:space="preserve"> към договор с избран изпълнител;</w:t>
      </w:r>
    </w:p>
    <w:p w14:paraId="2F2E5AF7" w14:textId="64C1B320" w:rsidR="00F57536" w:rsidRDefault="00F57536" w:rsidP="00641AC2">
      <w:pPr>
        <w:keepNext/>
        <w:tabs>
          <w:tab w:val="num" w:pos="0"/>
        </w:tabs>
        <w:spacing w:after="120"/>
        <w:jc w:val="both"/>
        <w:rPr>
          <w:bCs/>
          <w:sz w:val="20"/>
          <w:szCs w:val="20"/>
        </w:rPr>
      </w:pPr>
      <w:r>
        <w:rPr>
          <w:bCs/>
          <w:sz w:val="20"/>
          <w:szCs w:val="20"/>
        </w:rPr>
        <w:tab/>
      </w:r>
      <w:r w:rsidR="006A3698">
        <w:rPr>
          <w:bCs/>
          <w:sz w:val="20"/>
          <w:szCs w:val="20"/>
        </w:rPr>
        <w:t>3</w:t>
      </w:r>
      <w:r w:rsidRPr="00470914">
        <w:rPr>
          <w:bCs/>
          <w:sz w:val="20"/>
          <w:szCs w:val="20"/>
        </w:rPr>
        <w:t xml:space="preserve">) </w:t>
      </w:r>
      <w:r w:rsidR="00835E65">
        <w:rPr>
          <w:bCs/>
          <w:sz w:val="20"/>
          <w:szCs w:val="20"/>
        </w:rPr>
        <w:t xml:space="preserve"> </w:t>
      </w:r>
      <w:r w:rsidR="00127CF5">
        <w:rPr>
          <w:bCs/>
          <w:sz w:val="20"/>
          <w:szCs w:val="20"/>
        </w:rPr>
        <w:t>Д</w:t>
      </w:r>
      <w:r w:rsidR="00127CF5" w:rsidRPr="006A3B70">
        <w:rPr>
          <w:bCs/>
          <w:sz w:val="20"/>
          <w:szCs w:val="20"/>
        </w:rPr>
        <w:t>окументация за участие, вкл. разясненията на възложителя</w:t>
      </w:r>
      <w:r w:rsidR="00127CF5">
        <w:rPr>
          <w:bCs/>
          <w:sz w:val="20"/>
          <w:szCs w:val="20"/>
        </w:rPr>
        <w:t>;</w:t>
      </w:r>
    </w:p>
    <w:p w14:paraId="20649052" w14:textId="45155CE1" w:rsidR="00127CF5" w:rsidRPr="00D25C83" w:rsidRDefault="00F57536" w:rsidP="00641AC2">
      <w:pPr>
        <w:keepNext/>
        <w:tabs>
          <w:tab w:val="num" w:pos="0"/>
        </w:tabs>
        <w:spacing w:after="120"/>
        <w:jc w:val="both"/>
        <w:rPr>
          <w:bCs/>
          <w:sz w:val="20"/>
          <w:szCs w:val="20"/>
        </w:rPr>
      </w:pPr>
      <w:r>
        <w:rPr>
          <w:bCs/>
          <w:sz w:val="20"/>
          <w:szCs w:val="20"/>
        </w:rPr>
        <w:tab/>
      </w:r>
      <w:r w:rsidR="006A3698">
        <w:rPr>
          <w:bCs/>
          <w:sz w:val="20"/>
          <w:szCs w:val="20"/>
        </w:rPr>
        <w:t>4</w:t>
      </w:r>
      <w:r w:rsidRPr="00470914">
        <w:rPr>
          <w:bCs/>
          <w:sz w:val="20"/>
          <w:szCs w:val="20"/>
        </w:rPr>
        <w:t>)</w:t>
      </w:r>
      <w:r w:rsidR="00FC6FCC">
        <w:rPr>
          <w:bCs/>
          <w:sz w:val="20"/>
          <w:szCs w:val="20"/>
        </w:rPr>
        <w:t xml:space="preserve"> </w:t>
      </w:r>
      <w:r w:rsidR="00835E65">
        <w:rPr>
          <w:bCs/>
          <w:sz w:val="20"/>
          <w:szCs w:val="20"/>
        </w:rPr>
        <w:t xml:space="preserve"> </w:t>
      </w:r>
      <w:r w:rsidR="00127CF5">
        <w:rPr>
          <w:bCs/>
          <w:sz w:val="20"/>
          <w:szCs w:val="20"/>
        </w:rPr>
        <w:t>Актове на АОП;</w:t>
      </w:r>
    </w:p>
    <w:p w14:paraId="4D01646B" w14:textId="7B422458" w:rsidR="00134EB2" w:rsidRDefault="006A3698" w:rsidP="00641AC2">
      <w:pPr>
        <w:keepNext/>
        <w:ind w:firstLine="720"/>
        <w:rPr>
          <w:bCs/>
          <w:sz w:val="20"/>
          <w:szCs w:val="20"/>
        </w:rPr>
      </w:pPr>
      <w:r>
        <w:rPr>
          <w:bCs/>
          <w:sz w:val="20"/>
          <w:szCs w:val="20"/>
        </w:rPr>
        <w:t>5</w:t>
      </w:r>
      <w:r w:rsidR="00F57536" w:rsidRPr="00470914">
        <w:rPr>
          <w:bCs/>
          <w:sz w:val="20"/>
          <w:szCs w:val="20"/>
        </w:rPr>
        <w:t xml:space="preserve">) </w:t>
      </w:r>
      <w:r w:rsidR="00835E65">
        <w:rPr>
          <w:bCs/>
          <w:sz w:val="20"/>
          <w:szCs w:val="20"/>
        </w:rPr>
        <w:t xml:space="preserve"> О</w:t>
      </w:r>
      <w:r w:rsidR="00127CF5" w:rsidRPr="006A3B70">
        <w:rPr>
          <w:bCs/>
          <w:sz w:val="20"/>
          <w:szCs w:val="20"/>
        </w:rPr>
        <w:t>ферта на класирания на първо място участник</w:t>
      </w:r>
      <w:r w:rsidR="00127CF5">
        <w:rPr>
          <w:bCs/>
          <w:sz w:val="20"/>
          <w:szCs w:val="20"/>
        </w:rPr>
        <w:t>;</w:t>
      </w:r>
    </w:p>
    <w:p w14:paraId="4976336A" w14:textId="33793DF4" w:rsidR="00127CF5" w:rsidRPr="00127CF5" w:rsidRDefault="00127CF5" w:rsidP="00641AC2">
      <w:pPr>
        <w:keepNext/>
        <w:ind w:firstLine="720"/>
        <w:rPr>
          <w:bCs/>
          <w:sz w:val="20"/>
          <w:szCs w:val="20"/>
        </w:rPr>
      </w:pPr>
    </w:p>
    <w:p w14:paraId="569F3B7A" w14:textId="4AD74866" w:rsidR="00FC6FCC" w:rsidRDefault="00F57536" w:rsidP="00641AC2">
      <w:pPr>
        <w:keepNext/>
        <w:spacing w:after="120"/>
        <w:ind w:firstLine="720"/>
        <w:jc w:val="both"/>
        <w:rPr>
          <w:bCs/>
          <w:sz w:val="20"/>
          <w:szCs w:val="20"/>
        </w:rPr>
      </w:pPr>
      <w:r>
        <w:rPr>
          <w:bCs/>
          <w:sz w:val="20"/>
          <w:szCs w:val="20"/>
        </w:rPr>
        <w:t>6</w:t>
      </w:r>
      <w:r w:rsidRPr="00470914">
        <w:rPr>
          <w:bCs/>
          <w:sz w:val="20"/>
          <w:szCs w:val="20"/>
        </w:rPr>
        <w:t>)</w:t>
      </w:r>
      <w:r w:rsidR="000910F3">
        <w:rPr>
          <w:bCs/>
          <w:sz w:val="20"/>
          <w:szCs w:val="20"/>
        </w:rPr>
        <w:t xml:space="preserve"> </w:t>
      </w:r>
      <w:r w:rsidR="00835E65">
        <w:rPr>
          <w:bCs/>
          <w:sz w:val="20"/>
          <w:szCs w:val="20"/>
        </w:rPr>
        <w:t xml:space="preserve"> Д</w:t>
      </w:r>
      <w:r w:rsidR="00FC6FCC">
        <w:rPr>
          <w:bCs/>
          <w:sz w:val="20"/>
          <w:szCs w:val="20"/>
        </w:rPr>
        <w:t>руги анекси/допълни</w:t>
      </w:r>
      <w:r>
        <w:rPr>
          <w:bCs/>
          <w:sz w:val="20"/>
          <w:szCs w:val="20"/>
        </w:rPr>
        <w:t>телни споразумения към договора;</w:t>
      </w:r>
    </w:p>
    <w:p w14:paraId="35B9AC96" w14:textId="6C1A1814" w:rsidR="00FC6FCC" w:rsidRPr="00F57536" w:rsidRDefault="00F57536" w:rsidP="00641AC2">
      <w:pPr>
        <w:keepNext/>
        <w:spacing w:after="120"/>
        <w:ind w:firstLine="720"/>
        <w:jc w:val="both"/>
        <w:rPr>
          <w:bCs/>
          <w:sz w:val="20"/>
          <w:szCs w:val="20"/>
        </w:rPr>
      </w:pPr>
      <w:r>
        <w:rPr>
          <w:bCs/>
          <w:sz w:val="20"/>
          <w:szCs w:val="20"/>
        </w:rPr>
        <w:t>7</w:t>
      </w:r>
      <w:r w:rsidRPr="00470914">
        <w:rPr>
          <w:bCs/>
          <w:sz w:val="20"/>
          <w:szCs w:val="20"/>
        </w:rPr>
        <w:t>)</w:t>
      </w:r>
      <w:r w:rsidR="00835E65">
        <w:rPr>
          <w:bCs/>
          <w:sz w:val="20"/>
          <w:szCs w:val="20"/>
        </w:rPr>
        <w:t xml:space="preserve">  О</w:t>
      </w:r>
      <w:r w:rsidR="00FC6FCC">
        <w:rPr>
          <w:bCs/>
          <w:sz w:val="20"/>
          <w:szCs w:val="20"/>
        </w:rPr>
        <w:t xml:space="preserve">бявление, документация и техническа оферта на класирания на първо място участник </w:t>
      </w:r>
      <w:r w:rsidR="00FC6FCC" w:rsidRPr="00470914">
        <w:rPr>
          <w:bCs/>
          <w:sz w:val="20"/>
          <w:szCs w:val="20"/>
        </w:rPr>
        <w:t>()</w:t>
      </w:r>
      <w:r>
        <w:rPr>
          <w:bCs/>
          <w:sz w:val="20"/>
          <w:szCs w:val="20"/>
        </w:rPr>
        <w:t>;</w:t>
      </w:r>
    </w:p>
    <w:p w14:paraId="2F1EB43C" w14:textId="2EF88D7B" w:rsidR="00FC14BC" w:rsidRPr="00D25C83" w:rsidRDefault="00F57536" w:rsidP="00641AC2">
      <w:pPr>
        <w:keepNext/>
        <w:spacing w:after="120"/>
        <w:ind w:firstLine="720"/>
        <w:jc w:val="both"/>
        <w:rPr>
          <w:bCs/>
          <w:sz w:val="20"/>
          <w:szCs w:val="20"/>
        </w:rPr>
      </w:pPr>
      <w:r>
        <w:rPr>
          <w:bCs/>
          <w:sz w:val="20"/>
          <w:szCs w:val="20"/>
        </w:rPr>
        <w:t>8</w:t>
      </w:r>
      <w:r w:rsidRPr="00470914">
        <w:rPr>
          <w:bCs/>
          <w:sz w:val="20"/>
          <w:szCs w:val="20"/>
        </w:rPr>
        <w:t>)</w:t>
      </w:r>
      <w:r w:rsidR="00835E65">
        <w:rPr>
          <w:bCs/>
          <w:sz w:val="20"/>
          <w:szCs w:val="20"/>
        </w:rPr>
        <w:t xml:space="preserve">  Д</w:t>
      </w:r>
      <w:r w:rsidR="00FC14BC" w:rsidRPr="00D25C83">
        <w:rPr>
          <w:bCs/>
          <w:sz w:val="20"/>
          <w:szCs w:val="20"/>
        </w:rPr>
        <w:t xml:space="preserve">оклади от проверки на други </w:t>
      </w:r>
      <w:r>
        <w:rPr>
          <w:bCs/>
          <w:sz w:val="20"/>
          <w:szCs w:val="20"/>
        </w:rPr>
        <w:t>контролни органи</w:t>
      </w:r>
      <w:r w:rsidR="00FC14BC" w:rsidRPr="00D25C83">
        <w:rPr>
          <w:bCs/>
          <w:sz w:val="20"/>
          <w:szCs w:val="20"/>
        </w:rPr>
        <w:t>,</w:t>
      </w:r>
      <w:r>
        <w:rPr>
          <w:bCs/>
          <w:sz w:val="20"/>
          <w:szCs w:val="20"/>
        </w:rPr>
        <w:t xml:space="preserve"> във връзка с изпълнението на договора;</w:t>
      </w:r>
    </w:p>
    <w:p w14:paraId="47F52F0C" w14:textId="1815AB43" w:rsidR="006A3698" w:rsidRDefault="00127CF5" w:rsidP="00641AC2">
      <w:pPr>
        <w:keepNext/>
        <w:spacing w:after="120"/>
        <w:ind w:firstLine="720"/>
        <w:jc w:val="both"/>
        <w:rPr>
          <w:bCs/>
          <w:sz w:val="20"/>
          <w:szCs w:val="20"/>
        </w:rPr>
      </w:pPr>
      <w:r>
        <w:rPr>
          <w:bCs/>
          <w:sz w:val="20"/>
          <w:szCs w:val="20"/>
        </w:rPr>
        <w:t>9</w:t>
      </w:r>
      <w:r w:rsidR="00835E65" w:rsidRPr="00470914">
        <w:rPr>
          <w:bCs/>
          <w:sz w:val="20"/>
          <w:szCs w:val="20"/>
        </w:rPr>
        <w:t>)</w:t>
      </w:r>
      <w:r w:rsidR="00835E65">
        <w:rPr>
          <w:bCs/>
          <w:sz w:val="20"/>
          <w:szCs w:val="20"/>
        </w:rPr>
        <w:t xml:space="preserve">  И</w:t>
      </w:r>
      <w:r w:rsidR="006A3698">
        <w:rPr>
          <w:bCs/>
          <w:sz w:val="20"/>
          <w:szCs w:val="20"/>
        </w:rPr>
        <w:t>А</w:t>
      </w:r>
      <w:r w:rsidR="00835E65">
        <w:rPr>
          <w:bCs/>
          <w:sz w:val="20"/>
          <w:szCs w:val="20"/>
        </w:rPr>
        <w:t>А за налагане</w:t>
      </w:r>
      <w:r w:rsidR="006A3698">
        <w:rPr>
          <w:bCs/>
          <w:sz w:val="20"/>
          <w:szCs w:val="20"/>
        </w:rPr>
        <w:t xml:space="preserve"> на финансови корекции по договора</w:t>
      </w:r>
      <w:r w:rsidR="00835E65">
        <w:rPr>
          <w:bCs/>
          <w:sz w:val="20"/>
          <w:szCs w:val="20"/>
        </w:rPr>
        <w:t>/</w:t>
      </w:r>
      <w:r w:rsidR="006A3698">
        <w:rPr>
          <w:bCs/>
          <w:sz w:val="20"/>
          <w:szCs w:val="20"/>
        </w:rPr>
        <w:t xml:space="preserve">писма за </w:t>
      </w:r>
      <w:proofErr w:type="spellStart"/>
      <w:r w:rsidR="00835E65">
        <w:rPr>
          <w:bCs/>
          <w:sz w:val="20"/>
          <w:szCs w:val="20"/>
        </w:rPr>
        <w:t>неналагане</w:t>
      </w:r>
      <w:proofErr w:type="spellEnd"/>
      <w:r w:rsidR="00835E65">
        <w:rPr>
          <w:bCs/>
          <w:sz w:val="20"/>
          <w:szCs w:val="20"/>
        </w:rPr>
        <w:t xml:space="preserve"> на ФК по основния договор</w:t>
      </w:r>
    </w:p>
    <w:p w14:paraId="241AC39E" w14:textId="265D6BF0" w:rsidR="00F57536" w:rsidRPr="00835E65" w:rsidRDefault="006A3698" w:rsidP="00641AC2">
      <w:pPr>
        <w:keepNext/>
        <w:spacing w:after="120"/>
        <w:ind w:firstLine="720"/>
        <w:jc w:val="both"/>
        <w:rPr>
          <w:bCs/>
          <w:sz w:val="20"/>
          <w:szCs w:val="20"/>
        </w:rPr>
      </w:pPr>
      <w:r>
        <w:rPr>
          <w:bCs/>
          <w:sz w:val="20"/>
          <w:szCs w:val="20"/>
        </w:rPr>
        <w:t xml:space="preserve">10) Други </w:t>
      </w:r>
      <w:proofErr w:type="spellStart"/>
      <w:r>
        <w:rPr>
          <w:bCs/>
          <w:sz w:val="20"/>
          <w:szCs w:val="20"/>
        </w:rPr>
        <w:t>относими</w:t>
      </w:r>
      <w:proofErr w:type="spellEnd"/>
      <w:r>
        <w:rPr>
          <w:bCs/>
          <w:sz w:val="20"/>
          <w:szCs w:val="20"/>
        </w:rPr>
        <w:t xml:space="preserve"> документи и доказателства</w:t>
      </w:r>
      <w:r w:rsidR="00835E65">
        <w:rPr>
          <w:bCs/>
          <w:sz w:val="20"/>
          <w:szCs w:val="20"/>
        </w:rPr>
        <w:t>.</w:t>
      </w:r>
    </w:p>
    <w:p w14:paraId="31CF3939" w14:textId="69029F17" w:rsidR="00134EB2" w:rsidRPr="000A7FDB" w:rsidRDefault="00134EB2" w:rsidP="00641AC2">
      <w:pPr>
        <w:pStyle w:val="ListParagraph"/>
        <w:keepNext/>
        <w:spacing w:after="120"/>
        <w:ind w:left="0"/>
        <w:jc w:val="both"/>
        <w:rPr>
          <w:bCs/>
          <w:sz w:val="20"/>
          <w:szCs w:val="20"/>
        </w:rPr>
      </w:pPr>
    </w:p>
    <w:p w14:paraId="75D31BB7" w14:textId="62F57214" w:rsidR="001B2E76" w:rsidRPr="00D25C83" w:rsidRDefault="001B2E76" w:rsidP="00641AC2">
      <w:pPr>
        <w:pStyle w:val="ListParagraph"/>
        <w:keepNext/>
        <w:spacing w:after="120"/>
        <w:jc w:val="both"/>
        <w:rPr>
          <w:b/>
          <w:bCs/>
          <w:sz w:val="20"/>
          <w:szCs w:val="20"/>
        </w:rPr>
      </w:pPr>
      <w:r w:rsidRPr="00D25C83">
        <w:rPr>
          <w:b/>
          <w:bCs/>
          <w:sz w:val="20"/>
          <w:szCs w:val="20"/>
        </w:rPr>
        <w:t>2. Задължително се дава отговор в колона „Да/Не/НП".</w:t>
      </w:r>
    </w:p>
    <w:p w14:paraId="3EDB3DC8" w14:textId="7D2655E9" w:rsidR="001B2E76" w:rsidRPr="001B2E76" w:rsidRDefault="001B2E76" w:rsidP="00641AC2">
      <w:pPr>
        <w:pStyle w:val="ListParagraph"/>
        <w:keepNext/>
        <w:spacing w:after="120"/>
        <w:jc w:val="both"/>
        <w:rPr>
          <w:bCs/>
          <w:sz w:val="20"/>
          <w:szCs w:val="20"/>
        </w:rPr>
      </w:pPr>
    </w:p>
    <w:p w14:paraId="7BDDF6B2" w14:textId="42BAB405" w:rsidR="001B2E76" w:rsidRPr="001B2E76" w:rsidRDefault="001B2E76" w:rsidP="00641AC2">
      <w:pPr>
        <w:pStyle w:val="ListParagraph"/>
        <w:keepNext/>
        <w:spacing w:after="120"/>
        <w:jc w:val="both"/>
        <w:rPr>
          <w:bCs/>
          <w:sz w:val="20"/>
          <w:szCs w:val="20"/>
        </w:rPr>
      </w:pPr>
    </w:p>
    <w:p w14:paraId="0D4E1117" w14:textId="7B7025E4" w:rsidR="001B2E76" w:rsidRPr="00D25C83" w:rsidRDefault="001B2E76" w:rsidP="00641AC2">
      <w:pPr>
        <w:pStyle w:val="ListParagraph"/>
        <w:keepNext/>
        <w:spacing w:after="120"/>
        <w:jc w:val="both"/>
        <w:rPr>
          <w:b/>
          <w:bCs/>
          <w:sz w:val="20"/>
          <w:szCs w:val="20"/>
        </w:rPr>
      </w:pPr>
      <w:r w:rsidRPr="00D25C83">
        <w:rPr>
          <w:b/>
          <w:bCs/>
          <w:sz w:val="20"/>
          <w:szCs w:val="20"/>
        </w:rPr>
        <w:t xml:space="preserve">3. В случай, че отговорът на въпроса в предходната колона показва УСТАНОВЕНО ОТКЛОНЕНИЕ, в колона „Коментари/Референции" се посочват: </w:t>
      </w:r>
    </w:p>
    <w:p w14:paraId="06F24DBD" w14:textId="186A8841" w:rsidR="001B2E76" w:rsidRPr="00D25C83" w:rsidRDefault="001B2E76" w:rsidP="00641AC2">
      <w:pPr>
        <w:pStyle w:val="ListParagraph"/>
        <w:keepNext/>
        <w:spacing w:after="120"/>
        <w:jc w:val="both"/>
        <w:rPr>
          <w:b/>
          <w:bCs/>
          <w:sz w:val="20"/>
          <w:szCs w:val="20"/>
        </w:rPr>
      </w:pPr>
    </w:p>
    <w:p w14:paraId="189D0FD9" w14:textId="1018A3E5" w:rsidR="001B2E76" w:rsidRPr="001B2E76" w:rsidRDefault="001B2E76" w:rsidP="00641AC2">
      <w:pPr>
        <w:pStyle w:val="ListParagraph"/>
        <w:keepNext/>
        <w:spacing w:after="120"/>
        <w:jc w:val="both"/>
        <w:rPr>
          <w:bCs/>
          <w:sz w:val="20"/>
          <w:szCs w:val="20"/>
        </w:rPr>
      </w:pPr>
      <w:r w:rsidRPr="001B2E76">
        <w:rPr>
          <w:bCs/>
          <w:sz w:val="20"/>
          <w:szCs w:val="20"/>
        </w:rPr>
        <w:t>а) Приложимата правна норма (съкратено винаги, когато е възможно) - тя представлява критерия/изискването, спрямо което оценяваме фактите.</w:t>
      </w:r>
    </w:p>
    <w:p w14:paraId="5C75B68C" w14:textId="1C543C1F" w:rsidR="001B2E76" w:rsidRPr="001B2E76" w:rsidRDefault="001B2E76" w:rsidP="00641AC2">
      <w:pPr>
        <w:pStyle w:val="ListParagraph"/>
        <w:keepNext/>
        <w:spacing w:after="120"/>
        <w:jc w:val="both"/>
        <w:rPr>
          <w:bCs/>
          <w:sz w:val="20"/>
          <w:szCs w:val="20"/>
        </w:rPr>
      </w:pPr>
    </w:p>
    <w:p w14:paraId="2AE8F3F9" w14:textId="3540207B" w:rsidR="001B2E76" w:rsidRPr="001B2E76" w:rsidRDefault="001B2E76" w:rsidP="00641AC2">
      <w:pPr>
        <w:pStyle w:val="ListParagraph"/>
        <w:keepNext/>
        <w:spacing w:after="120"/>
        <w:jc w:val="both"/>
        <w:rPr>
          <w:bCs/>
          <w:sz w:val="20"/>
          <w:szCs w:val="20"/>
        </w:rPr>
      </w:pPr>
      <w:r w:rsidRPr="001B2E76">
        <w:rPr>
          <w:bCs/>
          <w:sz w:val="20"/>
          <w:szCs w:val="20"/>
        </w:rPr>
        <w:t xml:space="preserve">б) Установените </w:t>
      </w:r>
      <w:proofErr w:type="spellStart"/>
      <w:r w:rsidRPr="001B2E76">
        <w:rPr>
          <w:bCs/>
          <w:sz w:val="20"/>
          <w:szCs w:val="20"/>
        </w:rPr>
        <w:t>относими</w:t>
      </w:r>
      <w:proofErr w:type="spellEnd"/>
      <w:r w:rsidRPr="001B2E76">
        <w:rPr>
          <w:bCs/>
          <w:sz w:val="20"/>
          <w:szCs w:val="20"/>
        </w:rPr>
        <w:t xml:space="preserve"> факти - те не съответстват на а) и затова представляват отклонение.</w:t>
      </w:r>
    </w:p>
    <w:p w14:paraId="45E46C80" w14:textId="782ADF27" w:rsidR="001B2E76" w:rsidRPr="001B2E76" w:rsidRDefault="001B2E76" w:rsidP="00641AC2">
      <w:pPr>
        <w:pStyle w:val="ListParagraph"/>
        <w:keepNext/>
        <w:spacing w:after="120"/>
        <w:jc w:val="both"/>
        <w:rPr>
          <w:bCs/>
          <w:sz w:val="20"/>
          <w:szCs w:val="20"/>
        </w:rPr>
      </w:pPr>
    </w:p>
    <w:p w14:paraId="67234A8E" w14:textId="06DE2CBF" w:rsidR="001B2E76" w:rsidRPr="001B2E76" w:rsidRDefault="001B2E76" w:rsidP="00641AC2">
      <w:pPr>
        <w:pStyle w:val="ListParagraph"/>
        <w:keepNext/>
        <w:spacing w:after="120"/>
        <w:jc w:val="both"/>
        <w:rPr>
          <w:bCs/>
          <w:sz w:val="20"/>
          <w:szCs w:val="20"/>
        </w:rPr>
      </w:pPr>
      <w:r w:rsidRPr="001B2E76">
        <w:rPr>
          <w:bCs/>
          <w:sz w:val="20"/>
          <w:szCs w:val="20"/>
        </w:rPr>
        <w:t>- експертът ги излага пълно, кратко, точно и ясно, като взима предвид конкретните указания към съответния въпрос за проверка.</w:t>
      </w:r>
    </w:p>
    <w:p w14:paraId="4FF0248B" w14:textId="14674EDE" w:rsidR="001B2E76" w:rsidRPr="001B2E76" w:rsidRDefault="001B2E76" w:rsidP="00641AC2">
      <w:pPr>
        <w:pStyle w:val="ListParagraph"/>
        <w:keepNext/>
        <w:spacing w:after="120"/>
        <w:jc w:val="both"/>
        <w:rPr>
          <w:bCs/>
          <w:sz w:val="20"/>
          <w:szCs w:val="20"/>
        </w:rPr>
      </w:pPr>
    </w:p>
    <w:p w14:paraId="60B48A21" w14:textId="3B3FD889" w:rsidR="001B2E76" w:rsidRDefault="001B2E76" w:rsidP="00641AC2">
      <w:pPr>
        <w:pStyle w:val="ListParagraph"/>
        <w:keepNext/>
        <w:spacing w:after="120"/>
        <w:jc w:val="both"/>
        <w:rPr>
          <w:bCs/>
          <w:sz w:val="20"/>
          <w:szCs w:val="20"/>
        </w:rPr>
      </w:pPr>
      <w:r>
        <w:rPr>
          <w:bCs/>
          <w:sz w:val="20"/>
          <w:szCs w:val="20"/>
        </w:rPr>
        <w:t>в</w:t>
      </w:r>
      <w:r w:rsidRPr="001B2E76">
        <w:rPr>
          <w:bCs/>
          <w:sz w:val="20"/>
          <w:szCs w:val="20"/>
        </w:rPr>
        <w:t xml:space="preserve">) Ефект на отклонението - като взема предвид всички </w:t>
      </w:r>
      <w:proofErr w:type="spellStart"/>
      <w:r w:rsidRPr="001B2E76">
        <w:rPr>
          <w:bCs/>
          <w:sz w:val="20"/>
          <w:szCs w:val="20"/>
        </w:rPr>
        <w:t>относими</w:t>
      </w:r>
      <w:proofErr w:type="spellEnd"/>
      <w:r w:rsidRPr="001B2E76">
        <w:rPr>
          <w:bCs/>
          <w:sz w:val="20"/>
          <w:szCs w:val="20"/>
        </w:rPr>
        <w:t xml:space="preserve"> факти и обстоятелства по проверяваната процедура и приложимото национално и Европейско </w:t>
      </w:r>
      <w:r w:rsidR="00EB4ED4">
        <w:rPr>
          <w:bCs/>
          <w:sz w:val="20"/>
          <w:szCs w:val="20"/>
        </w:rPr>
        <w:t>законодателство</w:t>
      </w:r>
      <w:r w:rsidRPr="001B2E76">
        <w:rPr>
          <w:bCs/>
          <w:sz w:val="20"/>
          <w:szCs w:val="20"/>
        </w:rPr>
        <w:t>,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приложимото национално и Европейско законодателство.</w:t>
      </w:r>
    </w:p>
    <w:p w14:paraId="0923EE5B" w14:textId="1B62D56A" w:rsidR="001B2E76" w:rsidRPr="001B2E76" w:rsidRDefault="001B2E76" w:rsidP="00641AC2">
      <w:pPr>
        <w:pStyle w:val="ListParagraph"/>
        <w:keepNext/>
        <w:spacing w:after="120"/>
        <w:jc w:val="both"/>
        <w:rPr>
          <w:bCs/>
          <w:sz w:val="20"/>
          <w:szCs w:val="20"/>
        </w:rPr>
      </w:pPr>
    </w:p>
    <w:p w14:paraId="427BCEC8" w14:textId="0BFFD04C" w:rsidR="001B2E76" w:rsidRPr="00D25C83" w:rsidRDefault="00D5509E" w:rsidP="00641AC2">
      <w:pPr>
        <w:pStyle w:val="ListParagraph"/>
        <w:keepNext/>
        <w:spacing w:after="120"/>
        <w:jc w:val="both"/>
        <w:rPr>
          <w:b/>
          <w:bCs/>
          <w:sz w:val="20"/>
          <w:szCs w:val="20"/>
        </w:rPr>
      </w:pPr>
      <w:r w:rsidRPr="00D25C83">
        <w:rPr>
          <w:b/>
          <w:bCs/>
          <w:sz w:val="20"/>
          <w:szCs w:val="20"/>
        </w:rPr>
        <w:t xml:space="preserve">4. </w:t>
      </w:r>
      <w:r w:rsidR="001B2E76" w:rsidRPr="00D25C83">
        <w:rPr>
          <w:b/>
          <w:bCs/>
          <w:sz w:val="20"/>
          <w:szCs w:val="20"/>
        </w:rPr>
        <w:t>Общ подход</w:t>
      </w:r>
    </w:p>
    <w:p w14:paraId="22B8B190" w14:textId="66CAAC55" w:rsidR="00F720BB" w:rsidRPr="000A7FDB" w:rsidRDefault="00F720BB" w:rsidP="00641AC2">
      <w:pPr>
        <w:keepNext/>
        <w:tabs>
          <w:tab w:val="num" w:pos="0"/>
        </w:tabs>
        <w:spacing w:after="120"/>
        <w:ind w:left="720"/>
        <w:jc w:val="both"/>
        <w:rPr>
          <w:bCs/>
          <w:sz w:val="20"/>
          <w:szCs w:val="20"/>
        </w:rPr>
      </w:pPr>
      <w:r w:rsidRPr="000A7FDB">
        <w:rPr>
          <w:bCs/>
          <w:sz w:val="20"/>
          <w:szCs w:val="20"/>
        </w:rPr>
        <w:t xml:space="preserve">В случай, че поръчката има прогнозна стойност, която е под праговете на Директива за </w:t>
      </w:r>
      <w:r w:rsidR="00373695">
        <w:rPr>
          <w:bCs/>
          <w:sz w:val="20"/>
          <w:szCs w:val="20"/>
        </w:rPr>
        <w:t xml:space="preserve">установени </w:t>
      </w:r>
      <w:r w:rsidRPr="000A7FDB">
        <w:rPr>
          <w:bCs/>
          <w:sz w:val="20"/>
          <w:szCs w:val="20"/>
        </w:rPr>
        <w:t>нарушения по т.</w:t>
      </w:r>
      <w:r w:rsidR="00373695">
        <w:rPr>
          <w:bCs/>
          <w:sz w:val="20"/>
          <w:szCs w:val="20"/>
        </w:rPr>
        <w:t xml:space="preserve">22-25 от Насоките на ЕК, респ. Методиката за определяне на финансови корекции, </w:t>
      </w:r>
      <w:r w:rsidRPr="000A7FDB">
        <w:rPr>
          <w:bCs/>
          <w:sz w:val="20"/>
          <w:szCs w:val="20"/>
        </w:rPr>
        <w:t xml:space="preserve">най-тежката финансова корекция е 10 %. Допълнително </w:t>
      </w:r>
      <w:r>
        <w:rPr>
          <w:bCs/>
          <w:sz w:val="20"/>
          <w:szCs w:val="20"/>
        </w:rPr>
        <w:t xml:space="preserve">експертът </w:t>
      </w:r>
      <w:r w:rsidRPr="00F370DD">
        <w:rPr>
          <w:bCs/>
          <w:sz w:val="20"/>
          <w:szCs w:val="20"/>
        </w:rPr>
        <w:t xml:space="preserve"> </w:t>
      </w:r>
      <w:r w:rsidRPr="000A7FDB">
        <w:rPr>
          <w:bCs/>
          <w:sz w:val="20"/>
          <w:szCs w:val="20"/>
        </w:rPr>
        <w:t>преценява дали са налице факти и обстоятелства, които могат да доведат до намаляване на финансовата корекция. Намалението започва от 10 %.</w:t>
      </w:r>
    </w:p>
    <w:p w14:paraId="2280B22A" w14:textId="08421C03" w:rsidR="001B2E76" w:rsidRPr="001B2E76" w:rsidRDefault="001B2E76" w:rsidP="00641AC2">
      <w:pPr>
        <w:pStyle w:val="ListParagraph"/>
        <w:keepNext/>
        <w:spacing w:after="120"/>
        <w:jc w:val="both"/>
        <w:rPr>
          <w:bCs/>
          <w:sz w:val="20"/>
          <w:szCs w:val="20"/>
        </w:rPr>
      </w:pPr>
    </w:p>
    <w:p w14:paraId="3E3FA85C" w14:textId="44B63269" w:rsidR="001B2E76" w:rsidRDefault="001B2E76" w:rsidP="00641AC2">
      <w:pPr>
        <w:pStyle w:val="ListParagraph"/>
        <w:keepNext/>
        <w:spacing w:after="120"/>
        <w:jc w:val="both"/>
        <w:rPr>
          <w:bCs/>
          <w:sz w:val="20"/>
          <w:szCs w:val="20"/>
        </w:rPr>
      </w:pPr>
      <w:r w:rsidRPr="001B2E76">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приложимото национално и Европейско законодателство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w:t>
      </w:r>
    </w:p>
    <w:p w14:paraId="2B2AA69E" w14:textId="1CB8D08C" w:rsidR="007944AF" w:rsidRDefault="007944AF" w:rsidP="00641AC2">
      <w:pPr>
        <w:pStyle w:val="ListParagraph"/>
        <w:keepNext/>
        <w:spacing w:after="120"/>
        <w:jc w:val="both"/>
        <w:rPr>
          <w:bCs/>
          <w:sz w:val="20"/>
          <w:szCs w:val="20"/>
        </w:rPr>
      </w:pPr>
    </w:p>
    <w:p w14:paraId="1E46C308" w14:textId="79253BA2" w:rsidR="00835E65" w:rsidRDefault="00835E65" w:rsidP="00641AC2">
      <w:pPr>
        <w:pStyle w:val="ListParagraph"/>
        <w:keepNext/>
        <w:spacing w:after="120"/>
        <w:jc w:val="both"/>
        <w:rPr>
          <w:bCs/>
          <w:sz w:val="20"/>
          <w:szCs w:val="20"/>
        </w:rPr>
      </w:pPr>
    </w:p>
    <w:p w14:paraId="1BB4D643" w14:textId="246DBF92" w:rsidR="00835E65" w:rsidRDefault="00835E65" w:rsidP="00641AC2">
      <w:pPr>
        <w:pStyle w:val="ListParagraph"/>
        <w:keepNext/>
        <w:spacing w:after="120"/>
        <w:jc w:val="both"/>
        <w:rPr>
          <w:bCs/>
          <w:sz w:val="20"/>
          <w:szCs w:val="20"/>
        </w:rPr>
      </w:pPr>
    </w:p>
    <w:p w14:paraId="3FFDEC85" w14:textId="215B187C" w:rsidR="007944AF" w:rsidRPr="007944AF" w:rsidRDefault="007944AF" w:rsidP="00641AC2">
      <w:pPr>
        <w:pStyle w:val="ListParagraph"/>
        <w:keepNext/>
        <w:spacing w:after="120"/>
        <w:jc w:val="both"/>
        <w:rPr>
          <w:bCs/>
          <w:sz w:val="20"/>
          <w:szCs w:val="20"/>
        </w:rPr>
      </w:pPr>
    </w:p>
    <w:p w14:paraId="2F879A8E" w14:textId="6B490A65" w:rsidR="00D83753" w:rsidRPr="00D83753" w:rsidRDefault="00D83753" w:rsidP="00641AC2">
      <w:pPr>
        <w:pStyle w:val="ListParagraph"/>
        <w:keepNext/>
        <w:spacing w:after="120"/>
        <w:jc w:val="both"/>
        <w:rPr>
          <w:bCs/>
          <w:sz w:val="20"/>
          <w:szCs w:val="20"/>
        </w:rPr>
      </w:pPr>
      <w:r w:rsidRPr="00D83753">
        <w:rPr>
          <w:bCs/>
          <w:sz w:val="20"/>
          <w:szCs w:val="20"/>
        </w:rPr>
        <w:t>ІI. ЗА НАЧАЛНИКА НА ОТДЕЛ „МВ”</w:t>
      </w:r>
    </w:p>
    <w:p w14:paraId="00410438" w14:textId="3BD3091E" w:rsidR="00D83753" w:rsidRPr="00D83753" w:rsidRDefault="00D83753" w:rsidP="00641AC2">
      <w:pPr>
        <w:pStyle w:val="ListParagraph"/>
        <w:keepNext/>
        <w:spacing w:after="120"/>
        <w:jc w:val="both"/>
        <w:rPr>
          <w:bCs/>
          <w:sz w:val="20"/>
          <w:szCs w:val="20"/>
        </w:rPr>
      </w:pPr>
      <w:r w:rsidRPr="00D83753">
        <w:rPr>
          <w:bCs/>
          <w:sz w:val="20"/>
          <w:szCs w:val="20"/>
        </w:rPr>
        <w:t>Началникът на отдел „МВ” извършва преглед на контролния лист (КЛ) и потвърждава, че:</w:t>
      </w:r>
    </w:p>
    <w:p w14:paraId="594B8885" w14:textId="0002B72A" w:rsidR="00D83753" w:rsidRPr="00D83753" w:rsidRDefault="00D83753" w:rsidP="00641AC2">
      <w:pPr>
        <w:pStyle w:val="ListParagraph"/>
        <w:keepNext/>
        <w:spacing w:after="120"/>
        <w:jc w:val="both"/>
        <w:rPr>
          <w:bCs/>
          <w:sz w:val="20"/>
          <w:szCs w:val="20"/>
        </w:rPr>
      </w:pPr>
      <w:r w:rsidRPr="00D83753">
        <w:rPr>
          <w:bCs/>
          <w:sz w:val="20"/>
          <w:szCs w:val="20"/>
        </w:rPr>
        <w:t>1. Служителите са попълнили: общата информация за поръчката, колона „Да/Не/НП” за всички въпроси;</w:t>
      </w:r>
    </w:p>
    <w:p w14:paraId="6B8DD564" w14:textId="658D3ECA" w:rsidR="00D83753" w:rsidRDefault="00D83753" w:rsidP="00641AC2">
      <w:pPr>
        <w:pStyle w:val="ListParagraph"/>
        <w:keepNext/>
        <w:spacing w:after="120"/>
        <w:jc w:val="both"/>
        <w:rPr>
          <w:bCs/>
          <w:sz w:val="20"/>
          <w:szCs w:val="20"/>
        </w:rPr>
      </w:pPr>
      <w:r w:rsidRPr="00D83753">
        <w:rPr>
          <w:bCs/>
          <w:sz w:val="20"/>
          <w:szCs w:val="20"/>
        </w:rPr>
        <w:t>2. Установените отклонения са документирани в колона „Коментари/Референции” в съответствие с изискванията по-горе.</w:t>
      </w:r>
    </w:p>
    <w:p w14:paraId="575FA459" w14:textId="77777777" w:rsidR="00D83753" w:rsidRDefault="00D83753" w:rsidP="00641AC2">
      <w:pPr>
        <w:pStyle w:val="ListParagraph"/>
        <w:keepNext/>
        <w:spacing w:after="120"/>
        <w:jc w:val="both"/>
        <w:rPr>
          <w:bCs/>
          <w:sz w:val="20"/>
          <w:szCs w:val="20"/>
        </w:rPr>
      </w:pPr>
    </w:p>
    <w:p w14:paraId="05942B5E" w14:textId="77777777" w:rsidR="00835E65" w:rsidRDefault="00835E65" w:rsidP="00641AC2">
      <w:pPr>
        <w:pStyle w:val="ListParagraph"/>
        <w:keepNext/>
        <w:spacing w:after="120"/>
        <w:jc w:val="both"/>
        <w:rPr>
          <w:bCs/>
          <w:sz w:val="20"/>
          <w:szCs w:val="20"/>
        </w:rPr>
      </w:pPr>
    </w:p>
    <w:p w14:paraId="13C256D4" w14:textId="77777777" w:rsidR="00835E65" w:rsidRDefault="00835E65" w:rsidP="00641AC2">
      <w:pPr>
        <w:pStyle w:val="ListParagraph"/>
        <w:keepNext/>
        <w:spacing w:after="120"/>
        <w:jc w:val="both"/>
        <w:rPr>
          <w:bCs/>
          <w:sz w:val="20"/>
          <w:szCs w:val="20"/>
        </w:rPr>
      </w:pPr>
    </w:p>
    <w:p w14:paraId="52CF10A8" w14:textId="77777777" w:rsidR="00413906" w:rsidRPr="005B7F7A" w:rsidRDefault="00413906" w:rsidP="00641AC2">
      <w:pPr>
        <w:keepNext/>
      </w:pPr>
    </w:p>
    <w:p w14:paraId="6CBEF00B" w14:textId="77777777" w:rsidR="00413906" w:rsidRDefault="00413906" w:rsidP="00641AC2">
      <w:pPr>
        <w:keepNext/>
      </w:pPr>
    </w:p>
    <w:p w14:paraId="740BCF3A" w14:textId="77777777" w:rsidR="00413906" w:rsidRDefault="00413906" w:rsidP="00641AC2">
      <w:pPr>
        <w:keepNext/>
      </w:pPr>
    </w:p>
    <w:p w14:paraId="0419E061" w14:textId="77777777" w:rsidR="00413906" w:rsidRDefault="00413906" w:rsidP="00641AC2">
      <w:pPr>
        <w:keepNext/>
      </w:pPr>
    </w:p>
    <w:p w14:paraId="6FC1A9E6" w14:textId="77777777" w:rsidR="00413906" w:rsidRDefault="00413906" w:rsidP="00641AC2">
      <w:pPr>
        <w:keepNext/>
      </w:pPr>
    </w:p>
    <w:p w14:paraId="5AFFB045" w14:textId="77777777" w:rsidR="00EF5977" w:rsidRPr="000A7FDB" w:rsidRDefault="00EF5977" w:rsidP="00641AC2">
      <w:pPr>
        <w:keepNext/>
        <w:rPr>
          <w:vanish/>
        </w:rPr>
      </w:pPr>
    </w:p>
    <w:sectPr w:rsidR="00EF5977" w:rsidRPr="000A7FDB" w:rsidSect="00462F69">
      <w:headerReference w:type="default" r:id="rId8"/>
      <w:footerReference w:type="even" r:id="rId9"/>
      <w:footerReference w:type="default" r:id="rId10"/>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02AAB" w14:textId="77777777" w:rsidR="00392261" w:rsidRDefault="00392261">
      <w:r>
        <w:separator/>
      </w:r>
    </w:p>
  </w:endnote>
  <w:endnote w:type="continuationSeparator" w:id="0">
    <w:p w14:paraId="1A758C66" w14:textId="77777777" w:rsidR="00392261" w:rsidRDefault="0039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3C02"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ADB69"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3D81" w14:textId="649166DD"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0914">
      <w:rPr>
        <w:rStyle w:val="PageNumber"/>
        <w:noProof/>
      </w:rPr>
      <w:t>1</w:t>
    </w:r>
    <w:r>
      <w:rPr>
        <w:rStyle w:val="PageNumber"/>
      </w:rPr>
      <w:fldChar w:fldCharType="end"/>
    </w:r>
  </w:p>
  <w:p w14:paraId="522B71C7" w14:textId="77777777" w:rsidR="009148E9" w:rsidRDefault="009148E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C0D34" w14:textId="77777777" w:rsidR="00392261" w:rsidRDefault="00392261">
      <w:r>
        <w:separator/>
      </w:r>
    </w:p>
  </w:footnote>
  <w:footnote w:type="continuationSeparator" w:id="0">
    <w:p w14:paraId="263F0946" w14:textId="77777777" w:rsidR="00392261" w:rsidRDefault="0039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05F2" w14:textId="4234A339" w:rsidR="009148E9" w:rsidRPr="00A84076" w:rsidRDefault="00EE3D7E" w:rsidP="00EE3D7E">
    <w:pPr>
      <w:pStyle w:val="Header"/>
      <w:jc w:val="center"/>
      <w:rPr>
        <w:lang w:val="ru-RU"/>
      </w:rPr>
    </w:pPr>
    <w:r>
      <w:rPr>
        <w:rFonts w:ascii="Trebuchet MS" w:eastAsia="SimSun" w:hAnsi="Trebuchet MS"/>
        <w:noProof/>
        <w:color w:val="32598C"/>
        <w:sz w:val="19"/>
        <w:szCs w:val="19"/>
      </w:rPr>
      <w:drawing>
        <wp:inline distT="0" distB="0" distL="0" distR="0" wp14:anchorId="52C68E4C" wp14:editId="1EBA075D">
          <wp:extent cx="702310" cy="541020"/>
          <wp:effectExtent l="0" t="0" r="254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310" cy="541020"/>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264DEB81" wp14:editId="0AFCD621">
          <wp:extent cx="3599180" cy="417195"/>
          <wp:effectExtent l="0" t="0" r="1270" b="1905"/>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7195"/>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16506AF0" wp14:editId="78FE1021">
          <wp:extent cx="621665" cy="563245"/>
          <wp:effectExtent l="0" t="0" r="6985" b="8255"/>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1665" cy="5632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0BB7"/>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2BF0"/>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4881"/>
    <w:rsid w:val="00115916"/>
    <w:rsid w:val="00116416"/>
    <w:rsid w:val="0011700C"/>
    <w:rsid w:val="00117650"/>
    <w:rsid w:val="00120D2E"/>
    <w:rsid w:val="00121BE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64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1CA"/>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A7C8E"/>
    <w:rsid w:val="001B02F8"/>
    <w:rsid w:val="001B092D"/>
    <w:rsid w:val="001B16CF"/>
    <w:rsid w:val="001B2B51"/>
    <w:rsid w:val="001B2E76"/>
    <w:rsid w:val="001B3A5D"/>
    <w:rsid w:val="001B53B7"/>
    <w:rsid w:val="001B6F26"/>
    <w:rsid w:val="001B7305"/>
    <w:rsid w:val="001C061D"/>
    <w:rsid w:val="001C0CFC"/>
    <w:rsid w:val="001C120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722"/>
    <w:rsid w:val="001D4BC9"/>
    <w:rsid w:val="001D5E6A"/>
    <w:rsid w:val="001D6D53"/>
    <w:rsid w:val="001D6E9B"/>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89F"/>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1DC"/>
    <w:rsid w:val="002A01C3"/>
    <w:rsid w:val="002A028F"/>
    <w:rsid w:val="002A0653"/>
    <w:rsid w:val="002A0B5C"/>
    <w:rsid w:val="002A1A00"/>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AD7"/>
    <w:rsid w:val="002D7D13"/>
    <w:rsid w:val="002E0A4D"/>
    <w:rsid w:val="002E1920"/>
    <w:rsid w:val="002E1F62"/>
    <w:rsid w:val="002E219F"/>
    <w:rsid w:val="002E2227"/>
    <w:rsid w:val="002E317C"/>
    <w:rsid w:val="002E3B40"/>
    <w:rsid w:val="002E474C"/>
    <w:rsid w:val="002E5D45"/>
    <w:rsid w:val="002E5E9F"/>
    <w:rsid w:val="002E6E54"/>
    <w:rsid w:val="002E7025"/>
    <w:rsid w:val="002E74F8"/>
    <w:rsid w:val="002E7BF0"/>
    <w:rsid w:val="002F03B4"/>
    <w:rsid w:val="002F0D9E"/>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3D6F"/>
    <w:rsid w:val="00314E90"/>
    <w:rsid w:val="00315E59"/>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261"/>
    <w:rsid w:val="003925DF"/>
    <w:rsid w:val="00392B44"/>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5A62"/>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E8C"/>
    <w:rsid w:val="0043009A"/>
    <w:rsid w:val="00430201"/>
    <w:rsid w:val="00431056"/>
    <w:rsid w:val="00431EB7"/>
    <w:rsid w:val="004329D6"/>
    <w:rsid w:val="00432A9A"/>
    <w:rsid w:val="00432C52"/>
    <w:rsid w:val="0043322C"/>
    <w:rsid w:val="0043418F"/>
    <w:rsid w:val="004346B0"/>
    <w:rsid w:val="00434847"/>
    <w:rsid w:val="00434AC7"/>
    <w:rsid w:val="00435292"/>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0914"/>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2A65"/>
    <w:rsid w:val="0056336A"/>
    <w:rsid w:val="00563489"/>
    <w:rsid w:val="00563D90"/>
    <w:rsid w:val="0056488B"/>
    <w:rsid w:val="00564DAC"/>
    <w:rsid w:val="00565835"/>
    <w:rsid w:val="00565C11"/>
    <w:rsid w:val="00565EC2"/>
    <w:rsid w:val="00566550"/>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B7F7A"/>
    <w:rsid w:val="005C11F9"/>
    <w:rsid w:val="005C197B"/>
    <w:rsid w:val="005C2585"/>
    <w:rsid w:val="005C28E1"/>
    <w:rsid w:val="005C3215"/>
    <w:rsid w:val="005C4C5E"/>
    <w:rsid w:val="005C5EF2"/>
    <w:rsid w:val="005D01B5"/>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8E9"/>
    <w:rsid w:val="00635DEC"/>
    <w:rsid w:val="006371E8"/>
    <w:rsid w:val="00637384"/>
    <w:rsid w:val="006376DE"/>
    <w:rsid w:val="006378AF"/>
    <w:rsid w:val="00640682"/>
    <w:rsid w:val="00641328"/>
    <w:rsid w:val="00641AC2"/>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2F"/>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22E"/>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B21"/>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583"/>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185F"/>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59A5"/>
    <w:rsid w:val="00826835"/>
    <w:rsid w:val="0082708F"/>
    <w:rsid w:val="008278A3"/>
    <w:rsid w:val="008306B4"/>
    <w:rsid w:val="008314B0"/>
    <w:rsid w:val="00831916"/>
    <w:rsid w:val="00831C2B"/>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BE7"/>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54D2"/>
    <w:rsid w:val="00907ADF"/>
    <w:rsid w:val="00910F56"/>
    <w:rsid w:val="00911307"/>
    <w:rsid w:val="00911AC0"/>
    <w:rsid w:val="00911AF5"/>
    <w:rsid w:val="00911E9B"/>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1A8"/>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5C71"/>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37F6"/>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589"/>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2FD"/>
    <w:rsid w:val="00A53163"/>
    <w:rsid w:val="00A546FF"/>
    <w:rsid w:val="00A54880"/>
    <w:rsid w:val="00A5488A"/>
    <w:rsid w:val="00A54E7E"/>
    <w:rsid w:val="00A5581C"/>
    <w:rsid w:val="00A572D6"/>
    <w:rsid w:val="00A573ED"/>
    <w:rsid w:val="00A600BF"/>
    <w:rsid w:val="00A60107"/>
    <w:rsid w:val="00A603A7"/>
    <w:rsid w:val="00A61C23"/>
    <w:rsid w:val="00A61D9A"/>
    <w:rsid w:val="00A622DB"/>
    <w:rsid w:val="00A62A0A"/>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117E"/>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6E3"/>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74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3F72"/>
    <w:rsid w:val="00C44037"/>
    <w:rsid w:val="00C44991"/>
    <w:rsid w:val="00C46BE4"/>
    <w:rsid w:val="00C50938"/>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2BF4"/>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168F"/>
    <w:rsid w:val="00CB1B1A"/>
    <w:rsid w:val="00CB202C"/>
    <w:rsid w:val="00CB532E"/>
    <w:rsid w:val="00CB5550"/>
    <w:rsid w:val="00CB5B92"/>
    <w:rsid w:val="00CB60CE"/>
    <w:rsid w:val="00CB6245"/>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586"/>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42F2"/>
    <w:rsid w:val="00CE484C"/>
    <w:rsid w:val="00CE4E12"/>
    <w:rsid w:val="00CE50DE"/>
    <w:rsid w:val="00CE6304"/>
    <w:rsid w:val="00CE6456"/>
    <w:rsid w:val="00CE64CF"/>
    <w:rsid w:val="00CE681F"/>
    <w:rsid w:val="00CE6D42"/>
    <w:rsid w:val="00CE7247"/>
    <w:rsid w:val="00CE76AA"/>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93B"/>
    <w:rsid w:val="00D03A96"/>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1B74"/>
    <w:rsid w:val="00D72B78"/>
    <w:rsid w:val="00D74629"/>
    <w:rsid w:val="00D751AB"/>
    <w:rsid w:val="00D7529D"/>
    <w:rsid w:val="00D76C42"/>
    <w:rsid w:val="00D80B47"/>
    <w:rsid w:val="00D8116D"/>
    <w:rsid w:val="00D8179E"/>
    <w:rsid w:val="00D8182B"/>
    <w:rsid w:val="00D81CD2"/>
    <w:rsid w:val="00D8279D"/>
    <w:rsid w:val="00D83753"/>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96FD3"/>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731"/>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6BDD"/>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49"/>
    <w:rsid w:val="00E5265D"/>
    <w:rsid w:val="00E5288B"/>
    <w:rsid w:val="00E55B04"/>
    <w:rsid w:val="00E574E3"/>
    <w:rsid w:val="00E5793F"/>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11"/>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0F5"/>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D7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977"/>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59B"/>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925190F"/>
  <w15:docId w15:val="{0C1DF805-BC32-4C3B-BF2F-E8B699EB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paragraph" w:customStyle="1" w:styleId="TableContents">
    <w:name w:val="Table Contents"/>
    <w:basedOn w:val="BodyText"/>
    <w:rsid w:val="00641AC2"/>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641AC2"/>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182358232">
      <w:bodyDiv w:val="1"/>
      <w:marLeft w:val="0"/>
      <w:marRight w:val="0"/>
      <w:marTop w:val="0"/>
      <w:marBottom w:val="0"/>
      <w:divBdr>
        <w:top w:val="none" w:sz="0" w:space="0" w:color="auto"/>
        <w:left w:val="none" w:sz="0" w:space="0" w:color="auto"/>
        <w:bottom w:val="none" w:sz="0" w:space="0" w:color="auto"/>
        <w:right w:val="none" w:sz="0" w:space="0" w:color="auto"/>
      </w:divBdr>
    </w:div>
    <w:div w:id="1562523846">
      <w:bodyDiv w:val="1"/>
      <w:marLeft w:val="0"/>
      <w:marRight w:val="0"/>
      <w:marTop w:val="0"/>
      <w:marBottom w:val="0"/>
      <w:divBdr>
        <w:top w:val="none" w:sz="0" w:space="0" w:color="auto"/>
        <w:left w:val="none" w:sz="0" w:space="0" w:color="auto"/>
        <w:bottom w:val="none" w:sz="0" w:space="0" w:color="auto"/>
        <w:right w:val="none" w:sz="0" w:space="0" w:color="auto"/>
      </w:divBdr>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5BC02-CF9F-40B0-A0E5-2E23375E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456</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Биляна Мишева</dc:creator>
  <cp:lastModifiedBy>Анна Лютакова</cp:lastModifiedBy>
  <cp:revision>22</cp:revision>
  <cp:lastPrinted>2016-06-30T10:24:00Z</cp:lastPrinted>
  <dcterms:created xsi:type="dcterms:W3CDTF">2019-07-18T08:15:00Z</dcterms:created>
  <dcterms:modified xsi:type="dcterms:W3CDTF">2020-12-21T12:32:00Z</dcterms:modified>
</cp:coreProperties>
</file>