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5A46C" w14:textId="77777777" w:rsidR="002505A9" w:rsidRDefault="002505A9" w:rsidP="0040525D">
      <w:pPr>
        <w:spacing w:before="120" w:after="0" w:line="240" w:lineRule="auto"/>
        <w:jc w:val="both"/>
        <w:rPr>
          <w:rFonts w:ascii="Times New Roman" w:hAnsi="Times New Roman"/>
          <w:color w:val="000000"/>
          <w:sz w:val="24"/>
          <w:szCs w:val="24"/>
          <w:lang w:val="bg-BG"/>
        </w:rPr>
      </w:pPr>
    </w:p>
    <w:tbl>
      <w:tblPr>
        <w:tblpPr w:leftFromText="141" w:rightFromText="141" w:vertAnchor="text" w:horzAnchor="margin" w:tblpXSpec="center" w:tblpY="-41"/>
        <w:tblOverlap w:val="never"/>
        <w:tblW w:w="10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670"/>
        <w:gridCol w:w="2557"/>
      </w:tblGrid>
      <w:tr w:rsidR="001B7620" w:rsidRPr="00B21461" w14:paraId="786D3086" w14:textId="77777777" w:rsidTr="00985F31">
        <w:trPr>
          <w:trHeight w:val="743"/>
          <w:tblHeader/>
        </w:trPr>
        <w:tc>
          <w:tcPr>
            <w:tcW w:w="2410" w:type="dxa"/>
            <w:shd w:val="clear" w:color="auto" w:fill="auto"/>
            <w:vAlign w:val="center"/>
          </w:tcPr>
          <w:p w14:paraId="792177E8" w14:textId="77777777" w:rsidR="001B7620" w:rsidRPr="00B21461" w:rsidRDefault="001B7620" w:rsidP="00C867B8">
            <w:pPr>
              <w:pStyle w:val="Index"/>
              <w:spacing w:after="0"/>
              <w:ind w:left="5" w:hanging="5"/>
              <w:jc w:val="center"/>
              <w:rPr>
                <w:i/>
                <w:iCs/>
                <w:sz w:val="22"/>
                <w:szCs w:val="22"/>
                <w:lang w:val="bg-BG"/>
              </w:rPr>
            </w:pPr>
            <w:r w:rsidRPr="00B21461">
              <w:rPr>
                <w:b/>
                <w:i/>
                <w:iCs/>
                <w:sz w:val="22"/>
                <w:szCs w:val="22"/>
                <w:lang w:val="bg-BG"/>
              </w:rPr>
              <w:t xml:space="preserve">Администрация на Министерския съвет </w:t>
            </w:r>
          </w:p>
        </w:tc>
        <w:tc>
          <w:tcPr>
            <w:tcW w:w="5670" w:type="dxa"/>
            <w:tcBorders>
              <w:bottom w:val="single" w:sz="4" w:space="0" w:color="auto"/>
            </w:tcBorders>
            <w:vAlign w:val="center"/>
          </w:tcPr>
          <w:p w14:paraId="1401F3BA" w14:textId="77777777" w:rsidR="001B7620" w:rsidRPr="00B21461" w:rsidRDefault="001B7620" w:rsidP="00C867B8">
            <w:pPr>
              <w:pStyle w:val="Index"/>
              <w:spacing w:before="0" w:beforeAutospacing="0" w:after="0" w:afterAutospacing="0"/>
              <w:jc w:val="center"/>
              <w:rPr>
                <w:b/>
                <w:sz w:val="22"/>
                <w:szCs w:val="22"/>
                <w:lang w:val="bg-BG"/>
              </w:rPr>
            </w:pPr>
            <w:r w:rsidRPr="00B21461">
              <w:rPr>
                <w:b/>
                <w:sz w:val="22"/>
                <w:szCs w:val="22"/>
                <w:lang w:val="bg-BG"/>
              </w:rPr>
              <w:t>Наръчник за  изпълнение на</w:t>
            </w:r>
          </w:p>
          <w:p w14:paraId="29EFD51A" w14:textId="77777777" w:rsidR="001B7620" w:rsidRPr="00B21461" w:rsidRDefault="001B7620" w:rsidP="00C867B8">
            <w:pPr>
              <w:pStyle w:val="Index"/>
              <w:spacing w:before="0" w:beforeAutospacing="0" w:after="0" w:afterAutospacing="0"/>
              <w:jc w:val="center"/>
              <w:rPr>
                <w:b/>
                <w:sz w:val="22"/>
                <w:szCs w:val="22"/>
                <w:lang w:val="bg-BG"/>
              </w:rPr>
            </w:pPr>
            <w:r w:rsidRPr="00B21461">
              <w:rPr>
                <w:b/>
                <w:sz w:val="22"/>
                <w:szCs w:val="22"/>
                <w:lang w:val="bg-BG"/>
              </w:rPr>
              <w:t>Оперативна програма</w:t>
            </w:r>
          </w:p>
          <w:p w14:paraId="70CF1890" w14:textId="77777777" w:rsidR="001B7620" w:rsidRPr="00B21461" w:rsidRDefault="001B7620" w:rsidP="00C867B8">
            <w:pPr>
              <w:pStyle w:val="Index"/>
              <w:spacing w:before="0" w:beforeAutospacing="0" w:after="0" w:afterAutospacing="0"/>
              <w:jc w:val="center"/>
              <w:rPr>
                <w:b/>
                <w:i/>
                <w:iCs/>
                <w:sz w:val="22"/>
                <w:szCs w:val="22"/>
                <w:lang w:val="bg-BG"/>
              </w:rPr>
            </w:pPr>
            <w:r w:rsidRPr="00B21461">
              <w:rPr>
                <w:b/>
                <w:sz w:val="22"/>
                <w:szCs w:val="22"/>
                <w:lang w:val="bg-BG"/>
              </w:rPr>
              <w:t>„Добро управление” 2014-2020</w:t>
            </w:r>
          </w:p>
        </w:tc>
        <w:tc>
          <w:tcPr>
            <w:tcW w:w="2557" w:type="dxa"/>
            <w:tcBorders>
              <w:bottom w:val="single" w:sz="4" w:space="0" w:color="auto"/>
            </w:tcBorders>
            <w:vAlign w:val="center"/>
          </w:tcPr>
          <w:p w14:paraId="53EE4F83" w14:textId="77777777" w:rsidR="001B7620" w:rsidRPr="00B21461" w:rsidRDefault="00E363C4" w:rsidP="00376D64">
            <w:pPr>
              <w:pStyle w:val="Index"/>
              <w:spacing w:after="0"/>
              <w:jc w:val="center"/>
              <w:rPr>
                <w:b/>
                <w:bCs/>
                <w:i/>
                <w:sz w:val="22"/>
                <w:szCs w:val="22"/>
                <w:lang w:val="bg-BG"/>
              </w:rPr>
            </w:pPr>
            <w:r w:rsidRPr="00B21461">
              <w:rPr>
                <w:b/>
                <w:bCs/>
                <w:i/>
                <w:sz w:val="22"/>
                <w:szCs w:val="22"/>
                <w:lang w:val="bg-BG"/>
              </w:rPr>
              <w:t>Процедура</w:t>
            </w:r>
            <w:r w:rsidR="001B7620" w:rsidRPr="00B21461">
              <w:rPr>
                <w:b/>
                <w:bCs/>
                <w:i/>
                <w:sz w:val="22"/>
                <w:szCs w:val="22"/>
                <w:lang w:val="bg-BG"/>
              </w:rPr>
              <w:t xml:space="preserve"> </w:t>
            </w:r>
            <w:r w:rsidR="00376D64" w:rsidRPr="00B21461">
              <w:rPr>
                <w:b/>
                <w:bCs/>
                <w:i/>
                <w:sz w:val="22"/>
                <w:szCs w:val="22"/>
              </w:rPr>
              <w:t>VIII</w:t>
            </w:r>
            <w:r w:rsidRPr="00B21461">
              <w:rPr>
                <w:b/>
                <w:bCs/>
                <w:i/>
                <w:sz w:val="22"/>
                <w:szCs w:val="22"/>
              </w:rPr>
              <w:t>-</w:t>
            </w:r>
            <w:r w:rsidRPr="00B21461">
              <w:rPr>
                <w:b/>
                <w:bCs/>
                <w:i/>
                <w:sz w:val="22"/>
                <w:szCs w:val="22"/>
                <w:lang w:val="bg-BG"/>
              </w:rPr>
              <w:t>П01</w:t>
            </w:r>
            <w:r w:rsidR="001B7620" w:rsidRPr="00B21461">
              <w:rPr>
                <w:b/>
                <w:bCs/>
                <w:i/>
                <w:sz w:val="22"/>
                <w:szCs w:val="22"/>
                <w:lang w:val="bg-BG"/>
              </w:rPr>
              <w:t xml:space="preserve"> </w:t>
            </w:r>
          </w:p>
        </w:tc>
      </w:tr>
      <w:tr w:rsidR="001B7620" w:rsidRPr="00B21461" w14:paraId="4A09DA9E" w14:textId="77777777" w:rsidTr="00985F31">
        <w:trPr>
          <w:trHeight w:val="742"/>
          <w:tblHeader/>
        </w:trPr>
        <w:tc>
          <w:tcPr>
            <w:tcW w:w="2410" w:type="dxa"/>
            <w:shd w:val="clear" w:color="auto" w:fill="auto"/>
            <w:vAlign w:val="center"/>
          </w:tcPr>
          <w:p w14:paraId="0FEB8004" w14:textId="77777777" w:rsidR="001B7620" w:rsidRPr="00B21461" w:rsidRDefault="001B7620" w:rsidP="00C867B8">
            <w:pPr>
              <w:pStyle w:val="Index"/>
              <w:spacing w:before="0" w:beforeAutospacing="0" w:after="0" w:afterAutospacing="0"/>
              <w:jc w:val="center"/>
              <w:rPr>
                <w:b/>
                <w:i/>
                <w:iCs/>
                <w:sz w:val="22"/>
                <w:szCs w:val="22"/>
                <w:lang w:val="bg-BG"/>
              </w:rPr>
            </w:pPr>
            <w:r w:rsidRPr="00B21461">
              <w:rPr>
                <w:b/>
                <w:i/>
                <w:iCs/>
                <w:sz w:val="22"/>
                <w:szCs w:val="22"/>
                <w:lang w:val="bg-BG"/>
              </w:rPr>
              <w:t xml:space="preserve">Дирекция </w:t>
            </w:r>
          </w:p>
          <w:p w14:paraId="589ACC54" w14:textId="77777777" w:rsidR="001B7620" w:rsidRPr="00B21461" w:rsidRDefault="001B7620" w:rsidP="00C867B8">
            <w:pPr>
              <w:pStyle w:val="Index"/>
              <w:spacing w:before="0" w:beforeAutospacing="0" w:after="0" w:afterAutospacing="0"/>
              <w:jc w:val="center"/>
              <w:rPr>
                <w:b/>
                <w:sz w:val="22"/>
                <w:szCs w:val="22"/>
                <w:lang w:val="bg-BG"/>
              </w:rPr>
            </w:pPr>
            <w:r w:rsidRPr="00B21461">
              <w:rPr>
                <w:b/>
                <w:i/>
                <w:iCs/>
                <w:sz w:val="22"/>
                <w:szCs w:val="22"/>
                <w:lang w:val="bg-BG"/>
              </w:rPr>
              <w:t>„Добро управление”</w:t>
            </w:r>
          </w:p>
        </w:tc>
        <w:tc>
          <w:tcPr>
            <w:tcW w:w="8227" w:type="dxa"/>
            <w:gridSpan w:val="2"/>
            <w:shd w:val="clear" w:color="auto" w:fill="666699"/>
            <w:vAlign w:val="center"/>
          </w:tcPr>
          <w:p w14:paraId="459D992B" w14:textId="1C0FC6A9" w:rsidR="001B7620" w:rsidRPr="00B21461" w:rsidRDefault="001B7620" w:rsidP="00C376A3">
            <w:pPr>
              <w:pStyle w:val="Index"/>
              <w:spacing w:after="0"/>
              <w:jc w:val="center"/>
              <w:rPr>
                <w:b/>
                <w:color w:val="FFFFFF"/>
                <w:sz w:val="28"/>
                <w:szCs w:val="28"/>
                <w:lang w:val="bg-BG"/>
              </w:rPr>
            </w:pPr>
            <w:r w:rsidRPr="00B21461">
              <w:rPr>
                <w:b/>
                <w:color w:val="FFFFFF"/>
                <w:sz w:val="28"/>
                <w:szCs w:val="28"/>
                <w:lang w:val="bg-BG"/>
              </w:rPr>
              <w:t>Процедура за подготовка и изпращане на Годишен/окончателен доклад за изпълнението на ОПДУ</w:t>
            </w:r>
          </w:p>
        </w:tc>
      </w:tr>
      <w:tr w:rsidR="001B7620" w:rsidRPr="00B21461" w14:paraId="60754A32" w14:textId="77777777" w:rsidTr="000F110C">
        <w:trPr>
          <w:trHeight w:val="742"/>
          <w:tblHeader/>
        </w:trPr>
        <w:tc>
          <w:tcPr>
            <w:tcW w:w="2410" w:type="dxa"/>
            <w:shd w:val="clear" w:color="auto" w:fill="auto"/>
            <w:vAlign w:val="center"/>
          </w:tcPr>
          <w:p w14:paraId="7714AAA0" w14:textId="630E2655" w:rsidR="001B7620" w:rsidRPr="00B21461" w:rsidRDefault="001B7620" w:rsidP="00285378">
            <w:pPr>
              <w:pStyle w:val="Index"/>
              <w:spacing w:after="0"/>
              <w:rPr>
                <w:b/>
                <w:i/>
                <w:iCs/>
                <w:sz w:val="22"/>
                <w:szCs w:val="22"/>
                <w:lang w:val="bg-BG"/>
              </w:rPr>
            </w:pPr>
            <w:r w:rsidRPr="00B21461">
              <w:rPr>
                <w:sz w:val="22"/>
                <w:szCs w:val="22"/>
                <w:lang w:val="bg-BG"/>
              </w:rPr>
              <w:t xml:space="preserve">Вариант на документа: </w:t>
            </w:r>
            <w:r w:rsidR="00285378">
              <w:rPr>
                <w:sz w:val="22"/>
                <w:szCs w:val="22"/>
                <w:lang w:val="bg-BG"/>
              </w:rPr>
              <w:t>7</w:t>
            </w:r>
          </w:p>
        </w:tc>
        <w:tc>
          <w:tcPr>
            <w:tcW w:w="5670" w:type="dxa"/>
            <w:vAlign w:val="center"/>
          </w:tcPr>
          <w:p w14:paraId="6EE2A40C" w14:textId="77777777" w:rsidR="001B7620" w:rsidRPr="00B21461" w:rsidRDefault="001B7620" w:rsidP="00A05BC2">
            <w:pPr>
              <w:jc w:val="center"/>
              <w:rPr>
                <w:rFonts w:ascii="Times New Roman" w:eastAsia="HG Mincho Light J" w:hAnsi="Times New Roman"/>
                <w:i/>
                <w:iCs/>
                <w:color w:val="000000"/>
                <w:lang w:val="bg-BG" w:eastAsia="bg-BG"/>
              </w:rPr>
            </w:pPr>
            <w:r w:rsidRPr="00B21461">
              <w:rPr>
                <w:rFonts w:ascii="Times New Roman" w:eastAsia="HG Mincho Light J" w:hAnsi="Times New Roman"/>
                <w:i/>
                <w:iCs/>
                <w:color w:val="000000"/>
                <w:lang w:val="bg-BG" w:eastAsia="bg-BG"/>
              </w:rPr>
              <w:t>Одобрен от: Ръководителя на Управляващия орган на Оперативна програма „</w:t>
            </w:r>
            <w:r w:rsidR="00E363C4" w:rsidRPr="00B21461">
              <w:rPr>
                <w:rFonts w:ascii="Times New Roman" w:eastAsia="HG Mincho Light J" w:hAnsi="Times New Roman"/>
                <w:i/>
                <w:iCs/>
                <w:color w:val="000000"/>
                <w:lang w:val="bg-BG" w:eastAsia="bg-BG"/>
              </w:rPr>
              <w:t>Добро управление</w:t>
            </w:r>
            <w:r w:rsidRPr="00B21461">
              <w:rPr>
                <w:rFonts w:ascii="Times New Roman" w:eastAsia="HG Mincho Light J" w:hAnsi="Times New Roman"/>
                <w:i/>
                <w:iCs/>
                <w:color w:val="000000"/>
                <w:lang w:val="bg-BG" w:eastAsia="bg-BG"/>
              </w:rPr>
              <w:t>”</w:t>
            </w:r>
          </w:p>
        </w:tc>
        <w:tc>
          <w:tcPr>
            <w:tcW w:w="2557" w:type="dxa"/>
            <w:shd w:val="clear" w:color="auto" w:fill="auto"/>
            <w:vAlign w:val="center"/>
          </w:tcPr>
          <w:p w14:paraId="07BC5E2B" w14:textId="30E186E3" w:rsidR="001B7620" w:rsidRPr="00B21461" w:rsidRDefault="00985F31" w:rsidP="00871FCB">
            <w:pPr>
              <w:pStyle w:val="TableContents"/>
              <w:spacing w:after="0"/>
              <w:jc w:val="center"/>
              <w:rPr>
                <w:b/>
                <w:sz w:val="28"/>
                <w:szCs w:val="28"/>
                <w:lang w:val="bg-BG"/>
              </w:rPr>
            </w:pPr>
            <w:r w:rsidRPr="00871FCB">
              <w:rPr>
                <w:sz w:val="22"/>
                <w:szCs w:val="22"/>
                <w:lang w:val="bg-BG"/>
              </w:rPr>
              <w:t xml:space="preserve">Дата: </w:t>
            </w:r>
            <w:r w:rsidR="00871FCB" w:rsidRPr="000F110C">
              <w:rPr>
                <w:sz w:val="22"/>
                <w:szCs w:val="22"/>
                <w:lang w:val="bg-BG"/>
              </w:rPr>
              <w:t>01.08</w:t>
            </w:r>
            <w:r w:rsidR="006E4D88" w:rsidRPr="00871FCB">
              <w:rPr>
                <w:sz w:val="22"/>
                <w:szCs w:val="22"/>
                <w:lang w:val="bg-BG"/>
              </w:rPr>
              <w:t>.2022</w:t>
            </w:r>
            <w:r w:rsidR="00187D51" w:rsidRPr="00871FCB">
              <w:rPr>
                <w:sz w:val="22"/>
                <w:szCs w:val="22"/>
                <w:lang w:val="bg-BG"/>
              </w:rPr>
              <w:t xml:space="preserve"> г.</w:t>
            </w:r>
          </w:p>
        </w:tc>
      </w:tr>
    </w:tbl>
    <w:p w14:paraId="0EAC514F" w14:textId="77777777" w:rsidR="0040525D" w:rsidRPr="00B21461" w:rsidRDefault="0040525D" w:rsidP="0040525D">
      <w:pPr>
        <w:spacing w:before="120" w:after="0" w:line="240" w:lineRule="auto"/>
        <w:jc w:val="both"/>
        <w:rPr>
          <w:rFonts w:ascii="Times New Roman" w:hAnsi="Times New Roman"/>
          <w:color w:val="000000"/>
          <w:sz w:val="24"/>
          <w:szCs w:val="24"/>
          <w:lang w:val="bg-BG"/>
        </w:rPr>
      </w:pPr>
      <w:r w:rsidRPr="00B21461">
        <w:rPr>
          <w:rFonts w:ascii="Times New Roman" w:hAnsi="Times New Roman"/>
          <w:color w:val="000000"/>
          <w:sz w:val="24"/>
          <w:szCs w:val="24"/>
          <w:lang w:val="bg-BG"/>
        </w:rPr>
        <w:t>УО е длъжен да представя следните доклади за изпълнение на ОПДУ:</w:t>
      </w:r>
    </w:p>
    <w:p w14:paraId="03B801D2" w14:textId="2F1C074F" w:rsidR="0040525D" w:rsidRPr="00B21461" w:rsidRDefault="0040525D" w:rsidP="0040525D">
      <w:pPr>
        <w:pStyle w:val="Style"/>
        <w:numPr>
          <w:ilvl w:val="0"/>
          <w:numId w:val="1"/>
        </w:numPr>
        <w:tabs>
          <w:tab w:val="num" w:pos="0"/>
          <w:tab w:val="num" w:pos="1080"/>
        </w:tabs>
        <w:spacing w:before="120"/>
        <w:ind w:left="0" w:right="0" w:firstLine="709"/>
      </w:pPr>
      <w:r w:rsidRPr="00B21461">
        <w:t>Годишни доклади – съгласно чл. 50 и чл. 111 от Регламент (ЕС) № 1303/2013 г., УО на ОПДУ изпраща до ЕК годишен доклад за изпълнение на програмата за първи път през 2016 г. Докладът са подготвя от УО, като се разглежда и одобрява от КН</w:t>
      </w:r>
      <w:r w:rsidR="000011B4" w:rsidRPr="00B21461">
        <w:t xml:space="preserve"> </w:t>
      </w:r>
      <w:r w:rsidR="001247BC" w:rsidRPr="00B21461">
        <w:t>и се</w:t>
      </w:r>
      <w:r w:rsidRPr="00B21461">
        <w:t xml:space="preserve"> изп</w:t>
      </w:r>
      <w:bookmarkStart w:id="0" w:name="_GoBack"/>
      <w:bookmarkEnd w:id="0"/>
      <w:r w:rsidRPr="00B21461">
        <w:t>раща до ЕК</w:t>
      </w:r>
      <w:r w:rsidR="001247BC" w:rsidRPr="00B21461">
        <w:t xml:space="preserve"> чрез системата </w:t>
      </w:r>
      <w:r w:rsidR="001247BC" w:rsidRPr="00B21461">
        <w:rPr>
          <w:lang w:val="en-US"/>
        </w:rPr>
        <w:t>SFC</w:t>
      </w:r>
      <w:r w:rsidRPr="00B21461">
        <w:t xml:space="preserve">. Първият доклад по оперативната програма ОПДУ се представя в срок до 31 май 2016 г. и обхваща финансовите години 2014 г. и 2015 г. Докладите за следващите години се представят в същия срок </w:t>
      </w:r>
      <w:r w:rsidR="004A2C3F" w:rsidRPr="00B21461">
        <w:t>(</w:t>
      </w:r>
      <w:r w:rsidRPr="00B21461">
        <w:t>до 31 май на съответната година за предходната</w:t>
      </w:r>
      <w:r w:rsidR="004A2C3F" w:rsidRPr="00B21461">
        <w:t>)</w:t>
      </w:r>
      <w:r w:rsidRPr="00B21461">
        <w:t>, с изключение на докладите, предадени през 2017 г. и 2019 г., за които крайният срок е 30 юни.</w:t>
      </w:r>
    </w:p>
    <w:p w14:paraId="452A78A8" w14:textId="3914BF82" w:rsidR="0040525D" w:rsidRPr="00B21461" w:rsidRDefault="0040525D" w:rsidP="0040525D">
      <w:pPr>
        <w:pStyle w:val="Style"/>
        <w:numPr>
          <w:ilvl w:val="0"/>
          <w:numId w:val="1"/>
        </w:numPr>
        <w:tabs>
          <w:tab w:val="num" w:pos="0"/>
          <w:tab w:val="num" w:pos="1080"/>
        </w:tabs>
        <w:spacing w:before="120"/>
        <w:ind w:left="0" w:right="0" w:firstLine="709"/>
        <w:rPr>
          <w:color w:val="000000"/>
        </w:rPr>
      </w:pPr>
      <w:r w:rsidRPr="00B21461">
        <w:t>Окончателен до</w:t>
      </w:r>
      <w:r w:rsidRPr="00B21461">
        <w:rPr>
          <w:color w:val="000000"/>
        </w:rPr>
        <w:t>клад – съгласно</w:t>
      </w:r>
      <w:r w:rsidRPr="00B21461">
        <w:t xml:space="preserve"> чл. 50 от Регламент (ЕС) № 1303/2013 г., УО на ОПДУ изпраща до ЕК окончателния доклад за изпълнението на програмата в срок до 15.02.2025 г.</w:t>
      </w:r>
      <w:r w:rsidRPr="00B21461">
        <w:rPr>
          <w:rStyle w:val="FootnoteReference"/>
        </w:rPr>
        <w:footnoteReference w:id="1"/>
      </w:r>
      <w:r w:rsidRPr="00B21461">
        <w:t xml:space="preserve"> Докладът с</w:t>
      </w:r>
      <w:r w:rsidR="00832863" w:rsidRPr="00B21461">
        <w:t>е</w:t>
      </w:r>
      <w:r w:rsidRPr="00B21461">
        <w:t xml:space="preserve"> подготвя от УО, като се разглежда и одобрява от КН</w:t>
      </w:r>
      <w:r w:rsidR="001D07AA" w:rsidRPr="00B21461">
        <w:t xml:space="preserve"> и се изпраща на ЕК чрез системата </w:t>
      </w:r>
      <w:r w:rsidR="001D07AA" w:rsidRPr="00B21461">
        <w:rPr>
          <w:lang w:val="en-US"/>
        </w:rPr>
        <w:t>SFC</w:t>
      </w:r>
      <w:r w:rsidRPr="00B21461">
        <w:t>.</w:t>
      </w:r>
    </w:p>
    <w:p w14:paraId="096394AF" w14:textId="77777777" w:rsidR="0040525D" w:rsidRPr="00B21461" w:rsidRDefault="0040525D" w:rsidP="0040525D">
      <w:pPr>
        <w:pStyle w:val="Style"/>
        <w:tabs>
          <w:tab w:val="num" w:pos="1080"/>
        </w:tabs>
        <w:spacing w:before="120"/>
        <w:ind w:left="0" w:right="0" w:firstLine="0"/>
        <w:rPr>
          <w:i/>
        </w:rPr>
      </w:pPr>
    </w:p>
    <w:p w14:paraId="4C4BB445" w14:textId="77777777" w:rsidR="0040525D" w:rsidRPr="00B21461" w:rsidRDefault="0040525D" w:rsidP="0040525D">
      <w:pPr>
        <w:pStyle w:val="Style"/>
        <w:tabs>
          <w:tab w:val="num" w:pos="1080"/>
        </w:tabs>
        <w:spacing w:before="120"/>
        <w:ind w:left="0" w:right="0" w:firstLine="0"/>
        <w:rPr>
          <w:i/>
        </w:rPr>
      </w:pPr>
      <w:r w:rsidRPr="00B21461">
        <w:rPr>
          <w:i/>
        </w:rPr>
        <w:t>Подготовка и изпращане на годишен доклад за изпълнение на ОПДУ</w:t>
      </w:r>
    </w:p>
    <w:p w14:paraId="0F4FABD6" w14:textId="6FA70459" w:rsidR="0040525D" w:rsidRPr="00B21461" w:rsidRDefault="0040525D" w:rsidP="0040525D">
      <w:pPr>
        <w:pStyle w:val="Style"/>
        <w:tabs>
          <w:tab w:val="num" w:pos="1080"/>
        </w:tabs>
        <w:spacing w:before="120"/>
        <w:ind w:left="0" w:right="0" w:firstLine="0"/>
        <w:rPr>
          <w:i/>
          <w:color w:val="000000"/>
        </w:rPr>
      </w:pPr>
    </w:p>
    <w:tbl>
      <w:tblPr>
        <w:tblW w:w="10617"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425"/>
        <w:gridCol w:w="1522"/>
        <w:gridCol w:w="1980"/>
        <w:gridCol w:w="4320"/>
        <w:gridCol w:w="2370"/>
      </w:tblGrid>
      <w:tr w:rsidR="00BC3B67" w:rsidRPr="00B21461" w14:paraId="1195930D" w14:textId="77777777" w:rsidTr="000F110C">
        <w:trPr>
          <w:tblHeader/>
          <w:jc w:val="center"/>
        </w:trPr>
        <w:tc>
          <w:tcPr>
            <w:tcW w:w="425" w:type="dxa"/>
            <w:vAlign w:val="center"/>
          </w:tcPr>
          <w:p w14:paraId="3E15076B" w14:textId="77777777" w:rsidR="00BC3B67" w:rsidRPr="00B21461" w:rsidRDefault="00BC3B67" w:rsidP="00C867B8">
            <w:pPr>
              <w:spacing w:after="0" w:line="240" w:lineRule="auto"/>
              <w:jc w:val="center"/>
              <w:rPr>
                <w:rFonts w:ascii="Times New Roman" w:hAnsi="Times New Roman"/>
                <w:b/>
                <w:sz w:val="20"/>
                <w:szCs w:val="20"/>
                <w:lang w:val="bg-BG"/>
              </w:rPr>
            </w:pPr>
          </w:p>
        </w:tc>
        <w:tc>
          <w:tcPr>
            <w:tcW w:w="1522" w:type="dxa"/>
            <w:vAlign w:val="center"/>
          </w:tcPr>
          <w:p w14:paraId="7E7FF260" w14:textId="606FDA42" w:rsidR="00BC3B67" w:rsidRPr="00B21461" w:rsidRDefault="00BC3B67" w:rsidP="00C867B8">
            <w:pPr>
              <w:spacing w:after="0" w:line="240" w:lineRule="auto"/>
              <w:jc w:val="center"/>
              <w:rPr>
                <w:rFonts w:ascii="Times New Roman" w:hAnsi="Times New Roman"/>
                <w:b/>
                <w:sz w:val="20"/>
                <w:szCs w:val="20"/>
                <w:lang w:val="bg-BG"/>
              </w:rPr>
            </w:pPr>
            <w:r w:rsidRPr="00B21461">
              <w:rPr>
                <w:rFonts w:ascii="Times New Roman" w:hAnsi="Times New Roman"/>
                <w:b/>
                <w:sz w:val="20"/>
                <w:szCs w:val="20"/>
                <w:lang w:val="bg-BG"/>
              </w:rPr>
              <w:t>Дейност</w:t>
            </w:r>
          </w:p>
        </w:tc>
        <w:tc>
          <w:tcPr>
            <w:tcW w:w="1980" w:type="dxa"/>
            <w:vAlign w:val="center"/>
          </w:tcPr>
          <w:p w14:paraId="0D825194" w14:textId="77777777" w:rsidR="00BC3B67" w:rsidRPr="00B21461" w:rsidRDefault="00BC3B67" w:rsidP="00C867B8">
            <w:pPr>
              <w:spacing w:after="0" w:line="240" w:lineRule="auto"/>
              <w:jc w:val="center"/>
              <w:rPr>
                <w:rFonts w:ascii="Times New Roman" w:hAnsi="Times New Roman"/>
                <w:b/>
                <w:sz w:val="20"/>
                <w:szCs w:val="20"/>
                <w:lang w:val="bg-BG"/>
              </w:rPr>
            </w:pPr>
            <w:r w:rsidRPr="00B21461">
              <w:rPr>
                <w:rFonts w:ascii="Times New Roman" w:hAnsi="Times New Roman"/>
                <w:b/>
                <w:sz w:val="20"/>
                <w:szCs w:val="20"/>
                <w:lang w:val="bg-BG"/>
              </w:rPr>
              <w:t>Отговорник</w:t>
            </w:r>
          </w:p>
        </w:tc>
        <w:tc>
          <w:tcPr>
            <w:tcW w:w="4320" w:type="dxa"/>
            <w:vAlign w:val="center"/>
          </w:tcPr>
          <w:p w14:paraId="5B804240" w14:textId="77777777" w:rsidR="00BC3B67" w:rsidRPr="00B21461" w:rsidRDefault="00BC3B67" w:rsidP="00C867B8">
            <w:pPr>
              <w:spacing w:after="0" w:line="240" w:lineRule="auto"/>
              <w:jc w:val="center"/>
              <w:rPr>
                <w:rFonts w:ascii="Times New Roman" w:hAnsi="Times New Roman"/>
                <w:b/>
                <w:sz w:val="20"/>
                <w:szCs w:val="20"/>
                <w:lang w:val="bg-BG"/>
              </w:rPr>
            </w:pPr>
            <w:r w:rsidRPr="00B21461">
              <w:rPr>
                <w:rFonts w:ascii="Times New Roman" w:hAnsi="Times New Roman"/>
                <w:b/>
                <w:sz w:val="20"/>
                <w:szCs w:val="20"/>
                <w:lang w:val="bg-BG"/>
              </w:rPr>
              <w:t>Описание (как)</w:t>
            </w:r>
          </w:p>
        </w:tc>
        <w:tc>
          <w:tcPr>
            <w:tcW w:w="2370" w:type="dxa"/>
            <w:vAlign w:val="center"/>
          </w:tcPr>
          <w:p w14:paraId="627A86E3" w14:textId="77777777" w:rsidR="00BC3B67" w:rsidRPr="00B21461" w:rsidRDefault="00BC3B67" w:rsidP="00C867B8">
            <w:pPr>
              <w:spacing w:after="0" w:line="240" w:lineRule="auto"/>
              <w:jc w:val="center"/>
              <w:rPr>
                <w:rFonts w:ascii="Times New Roman" w:hAnsi="Times New Roman"/>
                <w:b/>
                <w:sz w:val="20"/>
                <w:szCs w:val="20"/>
                <w:lang w:val="bg-BG"/>
              </w:rPr>
            </w:pPr>
            <w:r w:rsidRPr="00B21461">
              <w:rPr>
                <w:rFonts w:ascii="Times New Roman" w:hAnsi="Times New Roman"/>
                <w:b/>
                <w:sz w:val="20"/>
                <w:szCs w:val="20"/>
                <w:lang w:val="bg-BG"/>
              </w:rPr>
              <w:t>Срок</w:t>
            </w:r>
          </w:p>
        </w:tc>
      </w:tr>
      <w:tr w:rsidR="00BC3B67" w:rsidRPr="00B21461" w14:paraId="2E8C45A9" w14:textId="77777777" w:rsidTr="000F110C">
        <w:trPr>
          <w:trHeight w:val="1263"/>
          <w:jc w:val="center"/>
        </w:trPr>
        <w:tc>
          <w:tcPr>
            <w:tcW w:w="425" w:type="dxa"/>
            <w:vMerge w:val="restart"/>
            <w:vAlign w:val="center"/>
          </w:tcPr>
          <w:p w14:paraId="3BE57088" w14:textId="2AA51501" w:rsidR="00BC3B67" w:rsidRPr="00BC3B67" w:rsidRDefault="00BC3B67" w:rsidP="00C867B8">
            <w:pPr>
              <w:spacing w:after="0" w:line="240" w:lineRule="auto"/>
              <w:jc w:val="both"/>
              <w:rPr>
                <w:rFonts w:ascii="Times New Roman" w:hAnsi="Times New Roman"/>
                <w:sz w:val="16"/>
                <w:szCs w:val="16"/>
                <w:lang w:val="bg-BG"/>
              </w:rPr>
            </w:pPr>
            <w:r>
              <w:rPr>
                <w:rFonts w:ascii="Times New Roman" w:hAnsi="Times New Roman"/>
                <w:sz w:val="16"/>
                <w:szCs w:val="16"/>
              </w:rPr>
              <w:t>1</w:t>
            </w:r>
            <w:r>
              <w:rPr>
                <w:rFonts w:ascii="Times New Roman" w:hAnsi="Times New Roman"/>
                <w:sz w:val="16"/>
                <w:szCs w:val="16"/>
                <w:lang w:val="bg-BG"/>
              </w:rPr>
              <w:t>.</w:t>
            </w:r>
          </w:p>
        </w:tc>
        <w:tc>
          <w:tcPr>
            <w:tcW w:w="1522" w:type="dxa"/>
            <w:vMerge w:val="restart"/>
            <w:vAlign w:val="center"/>
          </w:tcPr>
          <w:p w14:paraId="374189B6" w14:textId="47CA6DDC" w:rsidR="00BC3B67" w:rsidRPr="00B21461" w:rsidDel="00DE7FED" w:rsidRDefault="00BC3B67" w:rsidP="00C867B8">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Подготовка на доклада</w:t>
            </w:r>
          </w:p>
        </w:tc>
        <w:tc>
          <w:tcPr>
            <w:tcW w:w="1980" w:type="dxa"/>
            <w:vAlign w:val="center"/>
          </w:tcPr>
          <w:p w14:paraId="684CD6A5" w14:textId="57007D8B" w:rsidR="00BC3B67" w:rsidRPr="00B21461" w:rsidRDefault="00BC3B67" w:rsidP="00285378">
            <w:pPr>
              <w:spacing w:after="0" w:line="240" w:lineRule="auto"/>
              <w:rPr>
                <w:rFonts w:ascii="Times New Roman" w:hAnsi="Times New Roman"/>
                <w:sz w:val="16"/>
                <w:szCs w:val="16"/>
                <w:lang w:val="bg-BG"/>
              </w:rPr>
            </w:pPr>
            <w:r w:rsidRPr="00B21461">
              <w:rPr>
                <w:rFonts w:ascii="Times New Roman" w:hAnsi="Times New Roman"/>
                <w:sz w:val="16"/>
                <w:szCs w:val="16"/>
                <w:lang w:val="bg-BG"/>
              </w:rPr>
              <w:t>Началниците на отдели в дирекция „Добро управление“ (ДУ)</w:t>
            </w:r>
          </w:p>
        </w:tc>
        <w:tc>
          <w:tcPr>
            <w:tcW w:w="4320" w:type="dxa"/>
            <w:shd w:val="clear" w:color="auto" w:fill="auto"/>
            <w:vAlign w:val="center"/>
          </w:tcPr>
          <w:p w14:paraId="66D35560" w14:textId="48DD177C" w:rsidR="00BC3B67" w:rsidRPr="00B21461" w:rsidRDefault="00BC3B67" w:rsidP="00285378">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Началниците на отдели възлагат на служители от отделите да изготвят частите на Годишния доклад </w:t>
            </w:r>
            <w:r w:rsidR="00B46AEF">
              <w:rPr>
                <w:rFonts w:ascii="Times New Roman" w:hAnsi="Times New Roman"/>
                <w:sz w:val="16"/>
                <w:szCs w:val="16"/>
              </w:rPr>
              <w:t>(</w:t>
            </w:r>
            <w:r w:rsidR="00B46AEF">
              <w:rPr>
                <w:rFonts w:ascii="Times New Roman" w:hAnsi="Times New Roman"/>
                <w:sz w:val="16"/>
                <w:szCs w:val="16"/>
                <w:lang w:val="bg-BG"/>
              </w:rPr>
              <w:t>ГД</w:t>
            </w:r>
            <w:r w:rsidR="00B46AEF">
              <w:rPr>
                <w:rFonts w:ascii="Times New Roman" w:hAnsi="Times New Roman"/>
                <w:sz w:val="16"/>
                <w:szCs w:val="16"/>
              </w:rPr>
              <w:t>)</w:t>
            </w:r>
            <w:r w:rsidR="00B46AEF">
              <w:rPr>
                <w:rFonts w:ascii="Times New Roman" w:hAnsi="Times New Roman"/>
                <w:sz w:val="16"/>
                <w:szCs w:val="16"/>
                <w:lang w:val="bg-BG"/>
              </w:rPr>
              <w:t xml:space="preserve"> </w:t>
            </w:r>
            <w:r w:rsidRPr="00B21461">
              <w:rPr>
                <w:rFonts w:ascii="Times New Roman" w:hAnsi="Times New Roman"/>
                <w:sz w:val="16"/>
                <w:szCs w:val="16"/>
                <w:lang w:val="bg-BG"/>
              </w:rPr>
              <w:t>за изпълнението на ОПДУ съобразно компетенциите си</w:t>
            </w:r>
          </w:p>
        </w:tc>
        <w:tc>
          <w:tcPr>
            <w:tcW w:w="2370" w:type="dxa"/>
            <w:shd w:val="clear" w:color="auto" w:fill="auto"/>
            <w:vAlign w:val="center"/>
          </w:tcPr>
          <w:p w14:paraId="547F311F" w14:textId="1683322B" w:rsidR="00BC3B67" w:rsidRPr="00B21461" w:rsidRDefault="00BC3B67" w:rsidP="00107E33">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В първата половина на м. февруари всяка година</w:t>
            </w:r>
          </w:p>
        </w:tc>
      </w:tr>
      <w:tr w:rsidR="00BC3B67" w:rsidRPr="00B21461" w14:paraId="7E73071E" w14:textId="77777777" w:rsidTr="000F110C">
        <w:trPr>
          <w:trHeight w:val="838"/>
          <w:jc w:val="center"/>
        </w:trPr>
        <w:tc>
          <w:tcPr>
            <w:tcW w:w="425" w:type="dxa"/>
            <w:vMerge/>
            <w:vAlign w:val="center"/>
          </w:tcPr>
          <w:p w14:paraId="5E72308F" w14:textId="77777777" w:rsidR="00BC3B67" w:rsidRPr="00B21461" w:rsidRDefault="00BC3B67" w:rsidP="00C867B8">
            <w:pPr>
              <w:spacing w:after="0" w:line="240" w:lineRule="auto"/>
              <w:jc w:val="both"/>
              <w:rPr>
                <w:rFonts w:ascii="Times New Roman" w:hAnsi="Times New Roman"/>
                <w:sz w:val="16"/>
                <w:szCs w:val="16"/>
                <w:lang w:val="bg-BG"/>
              </w:rPr>
            </w:pPr>
          </w:p>
        </w:tc>
        <w:tc>
          <w:tcPr>
            <w:tcW w:w="1522" w:type="dxa"/>
            <w:vMerge/>
            <w:vAlign w:val="center"/>
          </w:tcPr>
          <w:p w14:paraId="56591E3D" w14:textId="6C1AE28D" w:rsidR="00BC3B67" w:rsidRPr="00B21461" w:rsidRDefault="00BC3B67" w:rsidP="00C867B8">
            <w:pPr>
              <w:spacing w:after="0" w:line="240" w:lineRule="auto"/>
              <w:jc w:val="both"/>
              <w:rPr>
                <w:rFonts w:ascii="Times New Roman" w:hAnsi="Times New Roman"/>
                <w:sz w:val="16"/>
                <w:szCs w:val="16"/>
                <w:lang w:val="bg-BG"/>
              </w:rPr>
            </w:pPr>
          </w:p>
        </w:tc>
        <w:tc>
          <w:tcPr>
            <w:tcW w:w="1980" w:type="dxa"/>
            <w:vAlign w:val="center"/>
          </w:tcPr>
          <w:p w14:paraId="33E9ECB1" w14:textId="77777777" w:rsidR="00BC3B67" w:rsidRPr="00B21461" w:rsidRDefault="00BC3B67" w:rsidP="00D24BDC">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Служители, отговорни за съответните части от всички отдели</w:t>
            </w:r>
          </w:p>
        </w:tc>
        <w:tc>
          <w:tcPr>
            <w:tcW w:w="4320" w:type="dxa"/>
            <w:shd w:val="clear" w:color="auto" w:fill="auto"/>
            <w:vAlign w:val="center"/>
          </w:tcPr>
          <w:p w14:paraId="302A16AC" w14:textId="64DACFA7" w:rsidR="00BC3B67" w:rsidRPr="00B21461" w:rsidRDefault="00BC3B67" w:rsidP="00B46AEF">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Събират, обобщават и анализират необходимата информация за </w:t>
            </w:r>
            <w:r w:rsidR="00B46AEF">
              <w:rPr>
                <w:rFonts w:ascii="Times New Roman" w:hAnsi="Times New Roman"/>
                <w:sz w:val="16"/>
                <w:szCs w:val="16"/>
                <w:lang w:val="bg-BG"/>
              </w:rPr>
              <w:t>ГД</w:t>
            </w:r>
            <w:r w:rsidR="00B46AEF" w:rsidRPr="00B21461">
              <w:rPr>
                <w:rFonts w:ascii="Times New Roman" w:hAnsi="Times New Roman"/>
                <w:sz w:val="16"/>
                <w:szCs w:val="16"/>
                <w:lang w:val="bg-BG"/>
              </w:rPr>
              <w:t xml:space="preserve"> </w:t>
            </w:r>
            <w:r w:rsidRPr="00B21461">
              <w:rPr>
                <w:rFonts w:ascii="Times New Roman" w:hAnsi="Times New Roman"/>
                <w:sz w:val="16"/>
                <w:szCs w:val="16"/>
                <w:lang w:val="bg-BG"/>
              </w:rPr>
              <w:t>за изпълнението на ОПДУ за предходната година и въвеждат информацията в съответните раздели в създадения общ файл. Указания за агрегиране на данните относно напредъка по индикаторите, който се отчита в годишния/окончателния доклад за изпълнението на ОПДУ, са дадени в Приложение 1 към настоящата процедура</w:t>
            </w:r>
            <w:r w:rsidR="00B46AEF">
              <w:rPr>
                <w:rFonts w:ascii="Times New Roman" w:hAnsi="Times New Roman"/>
                <w:sz w:val="16"/>
                <w:szCs w:val="16"/>
                <w:lang w:val="bg-BG"/>
              </w:rPr>
              <w:t>.</w:t>
            </w:r>
          </w:p>
        </w:tc>
        <w:tc>
          <w:tcPr>
            <w:tcW w:w="2370" w:type="dxa"/>
            <w:shd w:val="clear" w:color="auto" w:fill="auto"/>
            <w:vAlign w:val="center"/>
          </w:tcPr>
          <w:p w14:paraId="59B48C31" w14:textId="77777777" w:rsidR="00BC3B67" w:rsidRPr="00B21461" w:rsidRDefault="00BC3B67" w:rsidP="00510396">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последния работен ден от месец март всяка година, а за годишните доклади за 2017 и 2019 г. – до края на месец април</w:t>
            </w:r>
          </w:p>
        </w:tc>
      </w:tr>
      <w:tr w:rsidR="00BC3B67" w:rsidRPr="00B21461" w14:paraId="3761F41A" w14:textId="77777777" w:rsidTr="000F110C">
        <w:trPr>
          <w:trHeight w:val="609"/>
          <w:jc w:val="center"/>
        </w:trPr>
        <w:tc>
          <w:tcPr>
            <w:tcW w:w="425" w:type="dxa"/>
            <w:vAlign w:val="center"/>
          </w:tcPr>
          <w:p w14:paraId="54DB740D" w14:textId="523CBC02" w:rsidR="00BC3B67" w:rsidRPr="00B21461" w:rsidRDefault="00BC3B67" w:rsidP="00562F9D">
            <w:pPr>
              <w:spacing w:after="0" w:line="240" w:lineRule="auto"/>
              <w:jc w:val="both"/>
              <w:rPr>
                <w:rFonts w:ascii="Times New Roman" w:hAnsi="Times New Roman"/>
                <w:sz w:val="16"/>
                <w:szCs w:val="16"/>
                <w:lang w:val="bg-BG"/>
              </w:rPr>
            </w:pPr>
            <w:r>
              <w:rPr>
                <w:rFonts w:ascii="Times New Roman" w:hAnsi="Times New Roman"/>
                <w:sz w:val="16"/>
                <w:szCs w:val="16"/>
                <w:lang w:val="bg-BG"/>
              </w:rPr>
              <w:t>2.</w:t>
            </w:r>
          </w:p>
        </w:tc>
        <w:tc>
          <w:tcPr>
            <w:tcW w:w="1522" w:type="dxa"/>
            <w:vAlign w:val="center"/>
          </w:tcPr>
          <w:p w14:paraId="13C52193" w14:textId="5DBDC92C"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Подготовка и попълване на контролен лист </w:t>
            </w:r>
          </w:p>
        </w:tc>
        <w:tc>
          <w:tcPr>
            <w:tcW w:w="1980" w:type="dxa"/>
            <w:vAlign w:val="center"/>
          </w:tcPr>
          <w:p w14:paraId="0CA5B555" w14:textId="4FC6CBAD" w:rsidR="00BC3B67" w:rsidRPr="00B21461" w:rsidRDefault="00BC3B67" w:rsidP="00107E33">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Служители от отдели ПД, МВ и ФУ</w:t>
            </w:r>
          </w:p>
        </w:tc>
        <w:tc>
          <w:tcPr>
            <w:tcW w:w="4320" w:type="dxa"/>
            <w:shd w:val="clear" w:color="auto" w:fill="DEEAF6" w:themeFill="accent1" w:themeFillTint="33"/>
            <w:vAlign w:val="center"/>
          </w:tcPr>
          <w:p w14:paraId="45B046BC" w14:textId="395D312E" w:rsidR="00BC3B67" w:rsidRPr="00B21461" w:rsidRDefault="00BC3B67" w:rsidP="00107E33">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Служител ПД създава контролния лист (КЛ) за </w:t>
            </w:r>
            <w:r w:rsidR="00B46AEF">
              <w:rPr>
                <w:rFonts w:ascii="Times New Roman" w:hAnsi="Times New Roman"/>
                <w:sz w:val="16"/>
                <w:szCs w:val="16"/>
                <w:lang w:val="bg-BG"/>
              </w:rPr>
              <w:t xml:space="preserve">ГД </w:t>
            </w:r>
            <w:r w:rsidRPr="00B21461">
              <w:rPr>
                <w:rFonts w:ascii="Times New Roman" w:hAnsi="Times New Roman"/>
                <w:sz w:val="16"/>
                <w:szCs w:val="16"/>
                <w:lang w:val="bg-BG"/>
              </w:rPr>
              <w:t>за изпълнението на ОПДУ (Приложение VIII-K01).</w:t>
            </w:r>
          </w:p>
          <w:p w14:paraId="4C2A48CF" w14:textId="2C10C549" w:rsidR="00BC3B67" w:rsidRPr="00B21461" w:rsidRDefault="00BC3B67" w:rsidP="00EB48BB">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КЛ се попълва последователно от служители ПД, МВ и ФУ и се насочва към следващия служител, като последният го насочва към началник на отдел ПД</w:t>
            </w:r>
          </w:p>
        </w:tc>
        <w:tc>
          <w:tcPr>
            <w:tcW w:w="2370" w:type="dxa"/>
            <w:shd w:val="clear" w:color="auto" w:fill="DEEAF6" w:themeFill="accent1" w:themeFillTint="33"/>
            <w:vAlign w:val="center"/>
          </w:tcPr>
          <w:p w14:paraId="0CF51F3D" w14:textId="0DD1A465"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последния работен ден от месец март</w:t>
            </w:r>
          </w:p>
          <w:p w14:paraId="0D37F941" w14:textId="5070A84B" w:rsidR="00BC3B67" w:rsidRPr="00B21461" w:rsidRDefault="00BC3B67" w:rsidP="00562F9D">
            <w:pPr>
              <w:spacing w:after="0" w:line="240" w:lineRule="auto"/>
              <w:jc w:val="both"/>
              <w:rPr>
                <w:rFonts w:ascii="Times New Roman" w:hAnsi="Times New Roman"/>
                <w:sz w:val="16"/>
                <w:szCs w:val="16"/>
                <w:lang w:val="bg-BG"/>
              </w:rPr>
            </w:pPr>
          </w:p>
        </w:tc>
      </w:tr>
      <w:tr w:rsidR="00BC3B67" w:rsidRPr="00B21461" w14:paraId="3DED58EB" w14:textId="77777777" w:rsidTr="000F110C">
        <w:trPr>
          <w:trHeight w:val="717"/>
          <w:jc w:val="center"/>
        </w:trPr>
        <w:tc>
          <w:tcPr>
            <w:tcW w:w="425" w:type="dxa"/>
            <w:vMerge w:val="restart"/>
            <w:vAlign w:val="center"/>
          </w:tcPr>
          <w:p w14:paraId="531E5196" w14:textId="3BFB36DE" w:rsidR="00BC3B67" w:rsidRPr="00B21461" w:rsidRDefault="00BC3B67" w:rsidP="00562F9D">
            <w:pPr>
              <w:spacing w:after="0" w:line="240" w:lineRule="auto"/>
              <w:jc w:val="both"/>
              <w:rPr>
                <w:rFonts w:ascii="Times New Roman" w:hAnsi="Times New Roman"/>
                <w:sz w:val="16"/>
                <w:szCs w:val="16"/>
                <w:lang w:val="bg-BG"/>
              </w:rPr>
            </w:pPr>
            <w:r>
              <w:rPr>
                <w:rFonts w:ascii="Times New Roman" w:hAnsi="Times New Roman"/>
                <w:sz w:val="16"/>
                <w:szCs w:val="16"/>
                <w:lang w:val="bg-BG"/>
              </w:rPr>
              <w:t>3.</w:t>
            </w:r>
          </w:p>
        </w:tc>
        <w:tc>
          <w:tcPr>
            <w:tcW w:w="1522" w:type="dxa"/>
            <w:vMerge w:val="restart"/>
            <w:vAlign w:val="center"/>
          </w:tcPr>
          <w:p w14:paraId="1DE50981" w14:textId="01FFF31D"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Разглеждане одобряване на доклада</w:t>
            </w:r>
          </w:p>
        </w:tc>
        <w:tc>
          <w:tcPr>
            <w:tcW w:w="1980" w:type="dxa"/>
            <w:vAlign w:val="center"/>
          </w:tcPr>
          <w:p w14:paraId="293B9538" w14:textId="77777777"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Началници на отдели </w:t>
            </w:r>
          </w:p>
          <w:p w14:paraId="76AA5A39" w14:textId="7C5D144E" w:rsidR="00BC3B67" w:rsidRPr="00B21461" w:rsidRDefault="00BC3B67" w:rsidP="00562F9D">
            <w:pPr>
              <w:spacing w:after="0" w:line="240" w:lineRule="auto"/>
              <w:jc w:val="both"/>
              <w:rPr>
                <w:rFonts w:ascii="Times New Roman" w:hAnsi="Times New Roman"/>
                <w:sz w:val="16"/>
                <w:szCs w:val="16"/>
                <w:lang w:val="bg-BG"/>
              </w:rPr>
            </w:pPr>
          </w:p>
        </w:tc>
        <w:tc>
          <w:tcPr>
            <w:tcW w:w="4320" w:type="dxa"/>
            <w:shd w:val="clear" w:color="auto" w:fill="DEEAF6" w:themeFill="accent1" w:themeFillTint="33"/>
            <w:vAlign w:val="center"/>
          </w:tcPr>
          <w:p w14:paraId="00543E0A" w14:textId="4439A4A6" w:rsidR="00BC3B67" w:rsidRPr="00B21461" w:rsidRDefault="00BC3B67" w:rsidP="00B46AEF">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Съгласуват </w:t>
            </w:r>
            <w:r w:rsidR="00B46AEF">
              <w:rPr>
                <w:rFonts w:ascii="Times New Roman" w:hAnsi="Times New Roman"/>
                <w:sz w:val="16"/>
                <w:szCs w:val="16"/>
                <w:lang w:val="bg-BG"/>
              </w:rPr>
              <w:t>ГД</w:t>
            </w:r>
            <w:r w:rsidRPr="00B21461">
              <w:rPr>
                <w:rFonts w:ascii="Times New Roman" w:hAnsi="Times New Roman"/>
                <w:sz w:val="16"/>
                <w:szCs w:val="16"/>
                <w:lang w:val="bg-BG"/>
              </w:rPr>
              <w:t xml:space="preserve">, като последователно попълват КЛ и го насочват към следващия началник на отдел, а началникът на отдел ФУ насочва КЛ към РУО </w:t>
            </w:r>
          </w:p>
        </w:tc>
        <w:tc>
          <w:tcPr>
            <w:tcW w:w="2370" w:type="dxa"/>
            <w:shd w:val="clear" w:color="auto" w:fill="DEEAF6" w:themeFill="accent1" w:themeFillTint="33"/>
            <w:vAlign w:val="center"/>
          </w:tcPr>
          <w:p w14:paraId="3ADCA687" w14:textId="726E3D6F" w:rsidR="00BC3B67" w:rsidRPr="00B21461" w:rsidRDefault="00BC3B67" w:rsidP="00B46AEF">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Не по-късно от 15 работни дни преди датата за провеждане на заседанието на КН</w:t>
            </w:r>
          </w:p>
        </w:tc>
      </w:tr>
      <w:tr w:rsidR="00BC3B67" w:rsidRPr="00B21461" w14:paraId="63397CFE" w14:textId="77777777" w:rsidTr="00D07A92">
        <w:trPr>
          <w:trHeight w:val="504"/>
          <w:jc w:val="center"/>
        </w:trPr>
        <w:tc>
          <w:tcPr>
            <w:tcW w:w="425" w:type="dxa"/>
            <w:vMerge/>
            <w:vAlign w:val="center"/>
          </w:tcPr>
          <w:p w14:paraId="4AF02C4F" w14:textId="77777777" w:rsidR="00BC3B67" w:rsidRPr="00B21461" w:rsidRDefault="00BC3B67" w:rsidP="00562F9D">
            <w:pPr>
              <w:spacing w:after="0" w:line="240" w:lineRule="auto"/>
              <w:jc w:val="both"/>
              <w:rPr>
                <w:rFonts w:ascii="Times New Roman" w:hAnsi="Times New Roman"/>
                <w:sz w:val="16"/>
                <w:szCs w:val="16"/>
                <w:lang w:val="bg-BG"/>
              </w:rPr>
            </w:pPr>
          </w:p>
        </w:tc>
        <w:tc>
          <w:tcPr>
            <w:tcW w:w="1522" w:type="dxa"/>
            <w:vMerge/>
            <w:vAlign w:val="center"/>
          </w:tcPr>
          <w:p w14:paraId="6AADA9CF" w14:textId="4D2CCE39" w:rsidR="00BC3B67" w:rsidRPr="00B21461" w:rsidRDefault="00BC3B67" w:rsidP="00562F9D">
            <w:pPr>
              <w:spacing w:after="0" w:line="240" w:lineRule="auto"/>
              <w:jc w:val="both"/>
              <w:rPr>
                <w:rFonts w:ascii="Times New Roman" w:hAnsi="Times New Roman"/>
                <w:sz w:val="16"/>
                <w:szCs w:val="16"/>
                <w:lang w:val="bg-BG"/>
              </w:rPr>
            </w:pPr>
          </w:p>
        </w:tc>
        <w:tc>
          <w:tcPr>
            <w:tcW w:w="1980" w:type="dxa"/>
            <w:vAlign w:val="center"/>
          </w:tcPr>
          <w:p w14:paraId="23584ED4" w14:textId="77777777"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РУО на ОПДУ</w:t>
            </w:r>
          </w:p>
        </w:tc>
        <w:tc>
          <w:tcPr>
            <w:tcW w:w="4320" w:type="dxa"/>
            <w:shd w:val="clear" w:color="auto" w:fill="DEEAF6" w:themeFill="accent1" w:themeFillTint="33"/>
            <w:vAlign w:val="center"/>
          </w:tcPr>
          <w:p w14:paraId="0DD4F2AF" w14:textId="0A37AFF5" w:rsidR="00BC3B67" w:rsidRPr="00B21461" w:rsidRDefault="00BC3B67" w:rsidP="00B46AEF">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Одобрява </w:t>
            </w:r>
            <w:r w:rsidR="00B46AEF">
              <w:rPr>
                <w:rFonts w:ascii="Times New Roman" w:hAnsi="Times New Roman"/>
                <w:sz w:val="16"/>
                <w:szCs w:val="16"/>
                <w:lang w:val="bg-BG"/>
              </w:rPr>
              <w:t>ГД</w:t>
            </w:r>
            <w:r w:rsidR="00B46AEF" w:rsidRPr="00B21461">
              <w:rPr>
                <w:rFonts w:ascii="Times New Roman" w:hAnsi="Times New Roman"/>
                <w:sz w:val="16"/>
                <w:szCs w:val="16"/>
                <w:lang w:val="bg-BG"/>
              </w:rPr>
              <w:t xml:space="preserve"> </w:t>
            </w:r>
            <w:r w:rsidRPr="00B21461">
              <w:rPr>
                <w:rFonts w:ascii="Times New Roman" w:hAnsi="Times New Roman"/>
                <w:sz w:val="16"/>
                <w:szCs w:val="16"/>
                <w:lang w:val="bg-BG"/>
              </w:rPr>
              <w:t>и попълва КЛ.</w:t>
            </w:r>
          </w:p>
        </w:tc>
        <w:tc>
          <w:tcPr>
            <w:tcW w:w="2370" w:type="dxa"/>
            <w:shd w:val="clear" w:color="auto" w:fill="DEEAF6" w:themeFill="accent1" w:themeFillTint="33"/>
            <w:vAlign w:val="center"/>
          </w:tcPr>
          <w:p w14:paraId="3D6EEAFB" w14:textId="1565FB62" w:rsidR="00BC3B67" w:rsidRPr="00B21461" w:rsidRDefault="00BC3B67" w:rsidP="00BC3B67">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Не по-късно от 1</w:t>
            </w:r>
            <w:r>
              <w:rPr>
                <w:rFonts w:ascii="Times New Roman" w:hAnsi="Times New Roman"/>
                <w:sz w:val="16"/>
                <w:szCs w:val="16"/>
                <w:lang w:val="bg-BG"/>
              </w:rPr>
              <w:t>1</w:t>
            </w:r>
            <w:r w:rsidRPr="00B21461">
              <w:rPr>
                <w:rFonts w:ascii="Times New Roman" w:hAnsi="Times New Roman"/>
                <w:sz w:val="16"/>
                <w:szCs w:val="16"/>
                <w:lang w:val="bg-BG"/>
              </w:rPr>
              <w:t xml:space="preserve"> работни дни преди датата за провеждане на заседанието на КН</w:t>
            </w:r>
          </w:p>
        </w:tc>
      </w:tr>
      <w:tr w:rsidR="00BC3B67" w:rsidRPr="00B21461" w14:paraId="33B1419A" w14:textId="77777777" w:rsidTr="00D07A92">
        <w:trPr>
          <w:trHeight w:val="641"/>
          <w:jc w:val="center"/>
        </w:trPr>
        <w:tc>
          <w:tcPr>
            <w:tcW w:w="425" w:type="dxa"/>
            <w:vMerge/>
            <w:vAlign w:val="center"/>
          </w:tcPr>
          <w:p w14:paraId="19DD4993" w14:textId="77777777" w:rsidR="00BC3B67" w:rsidRPr="00B21461" w:rsidRDefault="00BC3B67" w:rsidP="00562F9D">
            <w:pPr>
              <w:spacing w:after="0" w:line="240" w:lineRule="auto"/>
              <w:jc w:val="both"/>
              <w:rPr>
                <w:rFonts w:ascii="Times New Roman" w:hAnsi="Times New Roman"/>
                <w:sz w:val="16"/>
                <w:szCs w:val="16"/>
                <w:lang w:val="bg-BG"/>
              </w:rPr>
            </w:pPr>
          </w:p>
        </w:tc>
        <w:tc>
          <w:tcPr>
            <w:tcW w:w="1522" w:type="dxa"/>
            <w:vMerge/>
            <w:vAlign w:val="center"/>
          </w:tcPr>
          <w:p w14:paraId="2F7D0600" w14:textId="7AE0B71A" w:rsidR="00BC3B67" w:rsidRPr="00B21461" w:rsidRDefault="00BC3B67" w:rsidP="00562F9D">
            <w:pPr>
              <w:spacing w:after="0" w:line="240" w:lineRule="auto"/>
              <w:jc w:val="both"/>
              <w:rPr>
                <w:rFonts w:ascii="Times New Roman" w:hAnsi="Times New Roman"/>
                <w:sz w:val="16"/>
                <w:szCs w:val="16"/>
                <w:lang w:val="bg-BG"/>
              </w:rPr>
            </w:pPr>
          </w:p>
        </w:tc>
        <w:tc>
          <w:tcPr>
            <w:tcW w:w="1980" w:type="dxa"/>
            <w:vMerge w:val="restart"/>
            <w:shd w:val="clear" w:color="auto" w:fill="auto"/>
            <w:vAlign w:val="center"/>
          </w:tcPr>
          <w:p w14:paraId="6A5BECCA" w14:textId="77777777"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Секретариат на КН</w:t>
            </w:r>
          </w:p>
        </w:tc>
        <w:tc>
          <w:tcPr>
            <w:tcW w:w="4320" w:type="dxa"/>
            <w:shd w:val="clear" w:color="auto" w:fill="auto"/>
            <w:vAlign w:val="center"/>
          </w:tcPr>
          <w:p w14:paraId="6397E376" w14:textId="0469ACFB" w:rsidR="00BC3B67" w:rsidRPr="0095726B" w:rsidRDefault="00BC3B67" w:rsidP="00B46AEF">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Изпраща </w:t>
            </w:r>
            <w:r w:rsidR="00B46AEF">
              <w:rPr>
                <w:rFonts w:ascii="Times New Roman" w:hAnsi="Times New Roman"/>
                <w:sz w:val="16"/>
                <w:szCs w:val="16"/>
                <w:lang w:val="bg-BG"/>
              </w:rPr>
              <w:t>ГД</w:t>
            </w:r>
            <w:r w:rsidR="00B46AEF" w:rsidRPr="00B21461">
              <w:rPr>
                <w:rFonts w:ascii="Times New Roman" w:hAnsi="Times New Roman"/>
                <w:sz w:val="16"/>
                <w:szCs w:val="16"/>
                <w:lang w:val="bg-BG"/>
              </w:rPr>
              <w:t xml:space="preserve"> </w:t>
            </w:r>
            <w:r w:rsidRPr="00B21461">
              <w:rPr>
                <w:rFonts w:ascii="Times New Roman" w:hAnsi="Times New Roman"/>
                <w:sz w:val="16"/>
                <w:szCs w:val="16"/>
                <w:lang w:val="bg-BG"/>
              </w:rPr>
              <w:t>на членовете на КН</w:t>
            </w:r>
            <w:r>
              <w:rPr>
                <w:rFonts w:ascii="Times New Roman" w:hAnsi="Times New Roman"/>
                <w:sz w:val="16"/>
                <w:szCs w:val="16"/>
                <w:lang w:val="bg-BG"/>
              </w:rPr>
              <w:t>.</w:t>
            </w:r>
          </w:p>
        </w:tc>
        <w:tc>
          <w:tcPr>
            <w:tcW w:w="2370" w:type="dxa"/>
            <w:shd w:val="clear" w:color="auto" w:fill="auto"/>
            <w:vAlign w:val="center"/>
          </w:tcPr>
          <w:p w14:paraId="54FE1D27" w14:textId="77777777"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10 работни дни преди датата за провеждане на заседанието на КН</w:t>
            </w:r>
          </w:p>
        </w:tc>
      </w:tr>
      <w:tr w:rsidR="00BC3B67" w:rsidRPr="00B21461" w14:paraId="60480D9F" w14:textId="77777777" w:rsidTr="00D07A92">
        <w:trPr>
          <w:trHeight w:val="479"/>
          <w:jc w:val="center"/>
        </w:trPr>
        <w:tc>
          <w:tcPr>
            <w:tcW w:w="425" w:type="dxa"/>
            <w:vMerge/>
            <w:vAlign w:val="center"/>
          </w:tcPr>
          <w:p w14:paraId="422576C2" w14:textId="77777777" w:rsidR="00BC3B67" w:rsidRPr="00B21461" w:rsidRDefault="00BC3B67" w:rsidP="00562F9D">
            <w:pPr>
              <w:spacing w:after="0" w:line="240" w:lineRule="auto"/>
              <w:jc w:val="both"/>
              <w:rPr>
                <w:rFonts w:ascii="Times New Roman" w:hAnsi="Times New Roman"/>
                <w:sz w:val="16"/>
                <w:szCs w:val="16"/>
                <w:lang w:val="bg-BG"/>
              </w:rPr>
            </w:pPr>
          </w:p>
        </w:tc>
        <w:tc>
          <w:tcPr>
            <w:tcW w:w="1522" w:type="dxa"/>
            <w:vMerge/>
            <w:vAlign w:val="center"/>
          </w:tcPr>
          <w:p w14:paraId="322E8205" w14:textId="595C39E2" w:rsidR="00BC3B67" w:rsidRPr="00B21461" w:rsidRDefault="00BC3B67" w:rsidP="00562F9D">
            <w:pPr>
              <w:spacing w:after="0" w:line="240" w:lineRule="auto"/>
              <w:jc w:val="both"/>
              <w:rPr>
                <w:rFonts w:ascii="Times New Roman" w:hAnsi="Times New Roman"/>
                <w:sz w:val="16"/>
                <w:szCs w:val="16"/>
                <w:lang w:val="bg-BG"/>
              </w:rPr>
            </w:pPr>
          </w:p>
        </w:tc>
        <w:tc>
          <w:tcPr>
            <w:tcW w:w="1980" w:type="dxa"/>
            <w:vMerge/>
            <w:shd w:val="clear" w:color="auto" w:fill="auto"/>
            <w:vAlign w:val="center"/>
          </w:tcPr>
          <w:p w14:paraId="3D3EC1D3" w14:textId="77777777" w:rsidR="00BC3B67" w:rsidRPr="00B21461" w:rsidRDefault="00BC3B67" w:rsidP="00562F9D">
            <w:pPr>
              <w:spacing w:after="0" w:line="240" w:lineRule="auto"/>
              <w:jc w:val="both"/>
              <w:rPr>
                <w:rFonts w:ascii="Times New Roman" w:hAnsi="Times New Roman"/>
                <w:sz w:val="16"/>
                <w:szCs w:val="16"/>
                <w:lang w:val="bg-BG"/>
              </w:rPr>
            </w:pPr>
          </w:p>
        </w:tc>
        <w:tc>
          <w:tcPr>
            <w:tcW w:w="4320" w:type="dxa"/>
            <w:shd w:val="clear" w:color="auto" w:fill="DEEAF6" w:themeFill="accent1" w:themeFillTint="33"/>
            <w:vAlign w:val="center"/>
          </w:tcPr>
          <w:p w14:paraId="2B9E847C" w14:textId="5CDD2EC8" w:rsidR="00BC3B67" w:rsidRPr="000F110C" w:rsidRDefault="00BC3B67" w:rsidP="00B46AEF">
            <w:pPr>
              <w:spacing w:after="0" w:line="240" w:lineRule="auto"/>
              <w:jc w:val="both"/>
              <w:rPr>
                <w:rFonts w:ascii="Times New Roman" w:hAnsi="Times New Roman"/>
                <w:sz w:val="16"/>
                <w:szCs w:val="16"/>
                <w:highlight w:val="yellow"/>
                <w:lang w:val="bg-BG"/>
              </w:rPr>
            </w:pPr>
            <w:r w:rsidRPr="004866B4">
              <w:rPr>
                <w:rFonts w:ascii="Times New Roman" w:hAnsi="Times New Roman"/>
                <w:sz w:val="16"/>
                <w:szCs w:val="16"/>
                <w:lang w:val="bg-BG"/>
              </w:rPr>
              <w:t xml:space="preserve">В случай че </w:t>
            </w:r>
            <w:r w:rsidR="00B46AEF" w:rsidRPr="000F110C">
              <w:rPr>
                <w:rFonts w:ascii="Times New Roman" w:hAnsi="Times New Roman"/>
                <w:sz w:val="16"/>
                <w:szCs w:val="16"/>
                <w:lang w:val="bg-BG"/>
              </w:rPr>
              <w:t>ГД</w:t>
            </w:r>
            <w:r w:rsidRPr="004866B4">
              <w:rPr>
                <w:rFonts w:ascii="Times New Roman" w:hAnsi="Times New Roman"/>
                <w:sz w:val="16"/>
                <w:szCs w:val="16"/>
                <w:lang w:val="bg-BG"/>
              </w:rPr>
              <w:t xml:space="preserve"> е одобрен</w:t>
            </w:r>
            <w:r w:rsidR="0095726B" w:rsidRPr="000F110C">
              <w:rPr>
                <w:rFonts w:ascii="Times New Roman" w:hAnsi="Times New Roman"/>
                <w:sz w:val="16"/>
                <w:szCs w:val="16"/>
                <w:lang w:val="bg-BG"/>
              </w:rPr>
              <w:t xml:space="preserve"> от КН на ОПДУ</w:t>
            </w:r>
            <w:r w:rsidRPr="004866B4">
              <w:rPr>
                <w:rFonts w:ascii="Times New Roman" w:hAnsi="Times New Roman"/>
                <w:sz w:val="16"/>
                <w:szCs w:val="16"/>
                <w:lang w:val="bg-BG"/>
              </w:rPr>
              <w:t>, се попълва КЛ.</w:t>
            </w:r>
            <w:r w:rsidRPr="000F110C">
              <w:rPr>
                <w:rFonts w:ascii="Times New Roman" w:hAnsi="Times New Roman"/>
                <w:sz w:val="16"/>
                <w:szCs w:val="16"/>
                <w:highlight w:val="yellow"/>
                <w:lang w:val="bg-BG"/>
              </w:rPr>
              <w:t xml:space="preserve"> </w:t>
            </w:r>
          </w:p>
        </w:tc>
        <w:tc>
          <w:tcPr>
            <w:tcW w:w="2370" w:type="dxa"/>
            <w:shd w:val="clear" w:color="auto" w:fill="DEEAF6" w:themeFill="accent1" w:themeFillTint="33"/>
            <w:vAlign w:val="center"/>
          </w:tcPr>
          <w:p w14:paraId="7B4D51CD" w14:textId="2C58A27F" w:rsidR="00BC3B67" w:rsidRPr="00BC3B67" w:rsidRDefault="00BC3B67" w:rsidP="00562F9D">
            <w:pPr>
              <w:spacing w:after="0" w:line="240" w:lineRule="auto"/>
              <w:jc w:val="both"/>
              <w:rPr>
                <w:rFonts w:ascii="Times New Roman" w:hAnsi="Times New Roman"/>
                <w:sz w:val="16"/>
                <w:szCs w:val="16"/>
                <w:lang w:val="bg-BG"/>
              </w:rPr>
            </w:pPr>
            <w:r>
              <w:rPr>
                <w:rFonts w:ascii="Times New Roman" w:hAnsi="Times New Roman"/>
                <w:sz w:val="16"/>
                <w:szCs w:val="16"/>
                <w:lang w:val="bg-BG"/>
              </w:rPr>
              <w:t>До 5 работни дни след заседанието</w:t>
            </w:r>
          </w:p>
        </w:tc>
      </w:tr>
      <w:tr w:rsidR="00BC3B67" w:rsidRPr="00B21461" w14:paraId="496FABEF" w14:textId="77777777" w:rsidTr="00D07A92">
        <w:trPr>
          <w:trHeight w:val="536"/>
          <w:jc w:val="center"/>
        </w:trPr>
        <w:tc>
          <w:tcPr>
            <w:tcW w:w="425" w:type="dxa"/>
            <w:vMerge/>
            <w:vAlign w:val="center"/>
          </w:tcPr>
          <w:p w14:paraId="517C32C6" w14:textId="77777777" w:rsidR="00BC3B67" w:rsidRPr="00B21461" w:rsidRDefault="00BC3B67" w:rsidP="00562F9D">
            <w:pPr>
              <w:spacing w:after="0" w:line="240" w:lineRule="auto"/>
              <w:jc w:val="both"/>
              <w:rPr>
                <w:rFonts w:ascii="Times New Roman" w:hAnsi="Times New Roman"/>
                <w:sz w:val="16"/>
                <w:szCs w:val="16"/>
                <w:lang w:val="bg-BG"/>
              </w:rPr>
            </w:pPr>
          </w:p>
        </w:tc>
        <w:tc>
          <w:tcPr>
            <w:tcW w:w="1522" w:type="dxa"/>
            <w:vMerge/>
            <w:vAlign w:val="center"/>
          </w:tcPr>
          <w:p w14:paraId="473F792F" w14:textId="3249BA48" w:rsidR="00BC3B67" w:rsidRPr="00B21461" w:rsidRDefault="00BC3B67" w:rsidP="00562F9D">
            <w:pPr>
              <w:spacing w:after="0" w:line="240" w:lineRule="auto"/>
              <w:jc w:val="both"/>
              <w:rPr>
                <w:rFonts w:ascii="Times New Roman" w:hAnsi="Times New Roman"/>
                <w:sz w:val="16"/>
                <w:szCs w:val="16"/>
                <w:lang w:val="bg-BG"/>
              </w:rPr>
            </w:pPr>
          </w:p>
        </w:tc>
        <w:tc>
          <w:tcPr>
            <w:tcW w:w="1980" w:type="dxa"/>
            <w:vAlign w:val="center"/>
          </w:tcPr>
          <w:p w14:paraId="6918D38B" w14:textId="65641A65"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Служители от дирекция ДУ (по компетентност)</w:t>
            </w:r>
          </w:p>
        </w:tc>
        <w:tc>
          <w:tcPr>
            <w:tcW w:w="4320" w:type="dxa"/>
            <w:shd w:val="clear" w:color="auto" w:fill="auto"/>
            <w:vAlign w:val="center"/>
          </w:tcPr>
          <w:p w14:paraId="787862AB" w14:textId="4BA8D471" w:rsidR="00BC3B67" w:rsidRPr="00B21461" w:rsidRDefault="00BC3B67" w:rsidP="0095726B">
            <w:pPr>
              <w:spacing w:after="0" w:line="240" w:lineRule="auto"/>
              <w:jc w:val="both"/>
              <w:rPr>
                <w:rFonts w:ascii="Times New Roman" w:hAnsi="Times New Roman"/>
                <w:sz w:val="16"/>
                <w:szCs w:val="16"/>
                <w:lang w:val="bg-BG"/>
              </w:rPr>
            </w:pPr>
            <w:r>
              <w:rPr>
                <w:rFonts w:ascii="Times New Roman" w:hAnsi="Times New Roman"/>
                <w:sz w:val="16"/>
                <w:szCs w:val="16"/>
                <w:lang w:val="bg-BG"/>
              </w:rPr>
              <w:t>В случай, че КН е дал препоръки за корекции – те се отразяват</w:t>
            </w:r>
            <w:r w:rsidR="0095726B">
              <w:rPr>
                <w:rFonts w:ascii="Times New Roman" w:hAnsi="Times New Roman"/>
                <w:sz w:val="16"/>
                <w:szCs w:val="16"/>
                <w:lang w:val="bg-BG"/>
              </w:rPr>
              <w:t>.</w:t>
            </w:r>
            <w:r>
              <w:rPr>
                <w:rFonts w:ascii="Times New Roman" w:hAnsi="Times New Roman"/>
                <w:sz w:val="16"/>
                <w:szCs w:val="16"/>
                <w:lang w:val="bg-BG"/>
              </w:rPr>
              <w:t xml:space="preserve"> </w:t>
            </w:r>
          </w:p>
        </w:tc>
        <w:tc>
          <w:tcPr>
            <w:tcW w:w="2370" w:type="dxa"/>
            <w:shd w:val="clear" w:color="auto" w:fill="auto"/>
            <w:vAlign w:val="center"/>
          </w:tcPr>
          <w:p w14:paraId="3D6E3EE5" w14:textId="1A9C1486"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До 5 работни дни след получаване на препоръките </w:t>
            </w:r>
          </w:p>
        </w:tc>
      </w:tr>
      <w:tr w:rsidR="00BC3B67" w:rsidRPr="00B21461" w14:paraId="000AF3DA" w14:textId="77777777" w:rsidTr="00D07A92">
        <w:trPr>
          <w:trHeight w:val="479"/>
          <w:jc w:val="center"/>
        </w:trPr>
        <w:tc>
          <w:tcPr>
            <w:tcW w:w="425" w:type="dxa"/>
            <w:vMerge/>
            <w:vAlign w:val="center"/>
          </w:tcPr>
          <w:p w14:paraId="42A56BCA" w14:textId="77777777" w:rsidR="00BC3B67" w:rsidRPr="00B21461" w:rsidRDefault="00BC3B67" w:rsidP="00562F9D">
            <w:pPr>
              <w:spacing w:after="0" w:line="240" w:lineRule="auto"/>
              <w:jc w:val="both"/>
              <w:rPr>
                <w:rFonts w:ascii="Times New Roman" w:hAnsi="Times New Roman"/>
                <w:sz w:val="16"/>
                <w:szCs w:val="16"/>
                <w:lang w:val="bg-BG"/>
              </w:rPr>
            </w:pPr>
          </w:p>
        </w:tc>
        <w:tc>
          <w:tcPr>
            <w:tcW w:w="1522" w:type="dxa"/>
            <w:vMerge/>
            <w:vAlign w:val="center"/>
          </w:tcPr>
          <w:p w14:paraId="5C23DA5F" w14:textId="24B4AEDF" w:rsidR="00BC3B67" w:rsidRPr="00B21461" w:rsidRDefault="00BC3B67" w:rsidP="00562F9D">
            <w:pPr>
              <w:spacing w:after="0" w:line="240" w:lineRule="auto"/>
              <w:jc w:val="both"/>
              <w:rPr>
                <w:rFonts w:ascii="Times New Roman" w:hAnsi="Times New Roman"/>
                <w:sz w:val="16"/>
                <w:szCs w:val="16"/>
                <w:lang w:val="bg-BG"/>
              </w:rPr>
            </w:pPr>
          </w:p>
        </w:tc>
        <w:tc>
          <w:tcPr>
            <w:tcW w:w="1980" w:type="dxa"/>
            <w:vAlign w:val="center"/>
          </w:tcPr>
          <w:p w14:paraId="667D5397" w14:textId="1C18FDF4" w:rsidR="00BC3B67" w:rsidRPr="00B21461" w:rsidRDefault="00BC3B67" w:rsidP="00EB48BB">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Началници на отдели</w:t>
            </w:r>
          </w:p>
        </w:tc>
        <w:tc>
          <w:tcPr>
            <w:tcW w:w="4320" w:type="dxa"/>
            <w:shd w:val="clear" w:color="auto" w:fill="auto"/>
            <w:vAlign w:val="center"/>
          </w:tcPr>
          <w:p w14:paraId="70FCA2F7" w14:textId="63F50C28" w:rsidR="00BC3B67" w:rsidRPr="00B21461" w:rsidRDefault="00BC3B67">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Съгласуват доклада във връзка с направените корекции по дадените препоръки от КН (ако е необходимо) и го изпращат на РУО</w:t>
            </w:r>
            <w:r w:rsidR="00B46AEF">
              <w:rPr>
                <w:rFonts w:ascii="Times New Roman" w:hAnsi="Times New Roman"/>
                <w:sz w:val="16"/>
                <w:szCs w:val="16"/>
                <w:lang w:val="bg-BG"/>
              </w:rPr>
              <w:t>.</w:t>
            </w:r>
          </w:p>
        </w:tc>
        <w:tc>
          <w:tcPr>
            <w:tcW w:w="2370" w:type="dxa"/>
            <w:shd w:val="clear" w:color="auto" w:fill="auto"/>
            <w:vAlign w:val="center"/>
          </w:tcPr>
          <w:p w14:paraId="2704D924" w14:textId="10A07D0B"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 работен ден от получаване на доклада</w:t>
            </w:r>
          </w:p>
        </w:tc>
      </w:tr>
      <w:tr w:rsidR="00BC3B67" w:rsidRPr="00B21461" w14:paraId="1A0F65B6" w14:textId="77777777" w:rsidTr="00D07A92">
        <w:trPr>
          <w:trHeight w:val="479"/>
          <w:jc w:val="center"/>
        </w:trPr>
        <w:tc>
          <w:tcPr>
            <w:tcW w:w="425" w:type="dxa"/>
            <w:vMerge/>
            <w:vAlign w:val="center"/>
          </w:tcPr>
          <w:p w14:paraId="2AD1D004" w14:textId="77777777" w:rsidR="00BC3B67" w:rsidRPr="00B21461" w:rsidRDefault="00BC3B67" w:rsidP="00562F9D">
            <w:pPr>
              <w:spacing w:after="0" w:line="240" w:lineRule="auto"/>
              <w:jc w:val="both"/>
              <w:rPr>
                <w:rFonts w:ascii="Times New Roman" w:hAnsi="Times New Roman"/>
                <w:sz w:val="16"/>
                <w:szCs w:val="16"/>
                <w:lang w:val="bg-BG"/>
              </w:rPr>
            </w:pPr>
          </w:p>
        </w:tc>
        <w:tc>
          <w:tcPr>
            <w:tcW w:w="1522" w:type="dxa"/>
            <w:vMerge/>
            <w:vAlign w:val="center"/>
          </w:tcPr>
          <w:p w14:paraId="3F39A765" w14:textId="5F2508DC" w:rsidR="00BC3B67" w:rsidRPr="00B21461" w:rsidRDefault="00BC3B67" w:rsidP="00562F9D">
            <w:pPr>
              <w:spacing w:after="0" w:line="240" w:lineRule="auto"/>
              <w:jc w:val="both"/>
              <w:rPr>
                <w:rFonts w:ascii="Times New Roman" w:hAnsi="Times New Roman"/>
                <w:sz w:val="16"/>
                <w:szCs w:val="16"/>
                <w:lang w:val="bg-BG"/>
              </w:rPr>
            </w:pPr>
          </w:p>
        </w:tc>
        <w:tc>
          <w:tcPr>
            <w:tcW w:w="1980" w:type="dxa"/>
            <w:vMerge w:val="restart"/>
            <w:vAlign w:val="center"/>
          </w:tcPr>
          <w:p w14:paraId="21D7A62F" w14:textId="295394E5"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Ръководител на УО</w:t>
            </w:r>
          </w:p>
        </w:tc>
        <w:tc>
          <w:tcPr>
            <w:tcW w:w="4320" w:type="dxa"/>
            <w:shd w:val="clear" w:color="auto" w:fill="auto"/>
            <w:vAlign w:val="center"/>
          </w:tcPr>
          <w:p w14:paraId="690F2E0A" w14:textId="0EA84C77" w:rsidR="00BC3B67" w:rsidRPr="00B21461" w:rsidRDefault="00BC3B67">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Връща доклада на съответния началник на отдел за корекции (ако е необходимо, процедурата по редакция на доклада се повтаря до окончателно одобрение от РУО на ОПДУ) </w:t>
            </w:r>
          </w:p>
        </w:tc>
        <w:tc>
          <w:tcPr>
            <w:tcW w:w="2370" w:type="dxa"/>
            <w:shd w:val="clear" w:color="auto" w:fill="auto"/>
            <w:vAlign w:val="center"/>
          </w:tcPr>
          <w:p w14:paraId="06663517" w14:textId="698A205C"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 работен ден от получаване на доклада</w:t>
            </w:r>
          </w:p>
        </w:tc>
      </w:tr>
      <w:tr w:rsidR="00BC3B67" w:rsidRPr="00B21461" w14:paraId="08EAA89A" w14:textId="77777777" w:rsidTr="00D07A92">
        <w:trPr>
          <w:trHeight w:val="479"/>
          <w:jc w:val="center"/>
        </w:trPr>
        <w:tc>
          <w:tcPr>
            <w:tcW w:w="425" w:type="dxa"/>
            <w:vMerge/>
            <w:vAlign w:val="center"/>
          </w:tcPr>
          <w:p w14:paraId="21D23782" w14:textId="77777777" w:rsidR="00BC3B67" w:rsidRPr="00B21461" w:rsidRDefault="00BC3B67" w:rsidP="00562F9D">
            <w:pPr>
              <w:spacing w:after="0" w:line="240" w:lineRule="auto"/>
              <w:jc w:val="both"/>
              <w:rPr>
                <w:rFonts w:ascii="Times New Roman" w:hAnsi="Times New Roman"/>
                <w:sz w:val="16"/>
                <w:szCs w:val="16"/>
                <w:lang w:val="bg-BG"/>
              </w:rPr>
            </w:pPr>
          </w:p>
        </w:tc>
        <w:tc>
          <w:tcPr>
            <w:tcW w:w="1522" w:type="dxa"/>
            <w:vMerge/>
            <w:vAlign w:val="center"/>
          </w:tcPr>
          <w:p w14:paraId="5BBDACFD" w14:textId="4E25F91A" w:rsidR="00BC3B67" w:rsidRPr="00B21461" w:rsidRDefault="00BC3B67" w:rsidP="00562F9D">
            <w:pPr>
              <w:spacing w:after="0" w:line="240" w:lineRule="auto"/>
              <w:jc w:val="both"/>
              <w:rPr>
                <w:rFonts w:ascii="Times New Roman" w:hAnsi="Times New Roman"/>
                <w:sz w:val="16"/>
                <w:szCs w:val="16"/>
                <w:lang w:val="bg-BG"/>
              </w:rPr>
            </w:pPr>
          </w:p>
        </w:tc>
        <w:tc>
          <w:tcPr>
            <w:tcW w:w="1980" w:type="dxa"/>
            <w:vMerge/>
            <w:vAlign w:val="center"/>
          </w:tcPr>
          <w:p w14:paraId="16A256C1" w14:textId="77777777" w:rsidR="00BC3B67" w:rsidRPr="00B21461" w:rsidRDefault="00BC3B67" w:rsidP="00562F9D">
            <w:pPr>
              <w:spacing w:after="0" w:line="240" w:lineRule="auto"/>
              <w:jc w:val="both"/>
              <w:rPr>
                <w:rFonts w:ascii="Times New Roman" w:hAnsi="Times New Roman"/>
                <w:sz w:val="16"/>
                <w:szCs w:val="16"/>
                <w:lang w:val="bg-BG"/>
              </w:rPr>
            </w:pPr>
          </w:p>
        </w:tc>
        <w:tc>
          <w:tcPr>
            <w:tcW w:w="4320" w:type="dxa"/>
            <w:shd w:val="clear" w:color="auto" w:fill="auto"/>
            <w:vAlign w:val="center"/>
          </w:tcPr>
          <w:p w14:paraId="6CE6F2B7" w14:textId="5DF716FC"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Одобрява доклада във връзка с направените корекции по дадените препоръки от КН (ако има такива)</w:t>
            </w:r>
          </w:p>
        </w:tc>
        <w:tc>
          <w:tcPr>
            <w:tcW w:w="2370" w:type="dxa"/>
            <w:shd w:val="clear" w:color="auto" w:fill="auto"/>
            <w:vAlign w:val="center"/>
          </w:tcPr>
          <w:p w14:paraId="72FA570E" w14:textId="73084CED"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 работен ден от получаване на доклада</w:t>
            </w:r>
          </w:p>
        </w:tc>
      </w:tr>
      <w:tr w:rsidR="00BC3B67" w:rsidRPr="00B21461" w14:paraId="37A7477A" w14:textId="77777777" w:rsidTr="000F110C">
        <w:trPr>
          <w:trHeight w:val="1140"/>
          <w:jc w:val="center"/>
        </w:trPr>
        <w:tc>
          <w:tcPr>
            <w:tcW w:w="425" w:type="dxa"/>
            <w:vMerge/>
            <w:vAlign w:val="center"/>
          </w:tcPr>
          <w:p w14:paraId="09C4487E" w14:textId="77777777" w:rsidR="00BC3B67" w:rsidRPr="00B21461" w:rsidRDefault="00BC3B67" w:rsidP="00562F9D">
            <w:pPr>
              <w:spacing w:after="0" w:line="240" w:lineRule="auto"/>
              <w:jc w:val="both"/>
              <w:rPr>
                <w:rFonts w:ascii="Times New Roman" w:hAnsi="Times New Roman"/>
                <w:sz w:val="16"/>
                <w:szCs w:val="16"/>
                <w:lang w:val="bg-BG"/>
              </w:rPr>
            </w:pPr>
          </w:p>
        </w:tc>
        <w:tc>
          <w:tcPr>
            <w:tcW w:w="1522" w:type="dxa"/>
            <w:vMerge/>
            <w:vAlign w:val="center"/>
          </w:tcPr>
          <w:p w14:paraId="2D52E0CE" w14:textId="18A840A2" w:rsidR="00BC3B67" w:rsidRPr="00B21461" w:rsidRDefault="00BC3B67" w:rsidP="00562F9D">
            <w:pPr>
              <w:spacing w:after="0" w:line="240" w:lineRule="auto"/>
              <w:jc w:val="both"/>
              <w:rPr>
                <w:rFonts w:ascii="Times New Roman" w:hAnsi="Times New Roman"/>
                <w:sz w:val="16"/>
                <w:szCs w:val="16"/>
                <w:lang w:val="bg-BG"/>
              </w:rPr>
            </w:pPr>
          </w:p>
        </w:tc>
        <w:tc>
          <w:tcPr>
            <w:tcW w:w="1980" w:type="dxa"/>
            <w:vAlign w:val="center"/>
          </w:tcPr>
          <w:p w14:paraId="68D4D6F4" w14:textId="77777777" w:rsidR="00BC3B67" w:rsidRPr="00B21461" w:rsidRDefault="00BC3B67" w:rsidP="00562F9D">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 от отдел ПД</w:t>
            </w:r>
          </w:p>
          <w:p w14:paraId="5F8715E7" w14:textId="4E2BC4E3" w:rsidR="00BC3B67" w:rsidRPr="00B21461" w:rsidRDefault="00BC3B67" w:rsidP="00EB48BB">
            <w:pPr>
              <w:spacing w:after="0" w:line="240" w:lineRule="auto"/>
              <w:jc w:val="both"/>
              <w:rPr>
                <w:rFonts w:ascii="Times New Roman" w:hAnsi="Times New Roman"/>
                <w:sz w:val="16"/>
                <w:szCs w:val="16"/>
                <w:lang w:val="bg-BG"/>
              </w:rPr>
            </w:pPr>
          </w:p>
        </w:tc>
        <w:tc>
          <w:tcPr>
            <w:tcW w:w="4320" w:type="dxa"/>
            <w:shd w:val="clear" w:color="auto" w:fill="auto"/>
            <w:vAlign w:val="center"/>
          </w:tcPr>
          <w:p w14:paraId="5C601B4E" w14:textId="01327E49" w:rsidR="00B46AEF" w:rsidRPr="00B21461" w:rsidRDefault="00BC3B67" w:rsidP="00B46AEF">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Публикува </w:t>
            </w:r>
            <w:r w:rsidR="00B46AEF">
              <w:rPr>
                <w:rFonts w:ascii="Times New Roman" w:hAnsi="Times New Roman"/>
                <w:sz w:val="16"/>
                <w:szCs w:val="16"/>
                <w:lang w:val="bg-BG"/>
              </w:rPr>
              <w:t xml:space="preserve">ГД </w:t>
            </w:r>
            <w:r w:rsidRPr="00B21461">
              <w:rPr>
                <w:rFonts w:ascii="Times New Roman" w:hAnsi="Times New Roman"/>
                <w:sz w:val="16"/>
                <w:szCs w:val="16"/>
                <w:lang w:val="bg-BG"/>
              </w:rPr>
              <w:t xml:space="preserve">на Единния информационен портал </w:t>
            </w:r>
            <w:r w:rsidR="0095726B" w:rsidRPr="00B21461">
              <w:rPr>
                <w:rFonts w:ascii="Times New Roman" w:hAnsi="Times New Roman"/>
                <w:sz w:val="16"/>
                <w:szCs w:val="16"/>
              </w:rPr>
              <w:t>www</w:t>
            </w:r>
            <w:r w:rsidR="0095726B" w:rsidRPr="00B21461">
              <w:rPr>
                <w:rFonts w:ascii="Times New Roman" w:hAnsi="Times New Roman"/>
                <w:sz w:val="16"/>
                <w:szCs w:val="16"/>
                <w:lang w:val="bg-BG"/>
              </w:rPr>
              <w:t>.</w:t>
            </w:r>
            <w:proofErr w:type="spellStart"/>
            <w:r w:rsidR="0095726B" w:rsidRPr="00B21461">
              <w:rPr>
                <w:rFonts w:ascii="Times New Roman" w:hAnsi="Times New Roman"/>
                <w:sz w:val="16"/>
                <w:szCs w:val="16"/>
              </w:rPr>
              <w:t>eufunds</w:t>
            </w:r>
            <w:proofErr w:type="spellEnd"/>
            <w:r w:rsidR="0095726B" w:rsidRPr="00B21461">
              <w:rPr>
                <w:rFonts w:ascii="Times New Roman" w:hAnsi="Times New Roman"/>
                <w:sz w:val="16"/>
                <w:szCs w:val="16"/>
                <w:lang w:val="bg-BG"/>
              </w:rPr>
              <w:t>.</w:t>
            </w:r>
            <w:proofErr w:type="spellStart"/>
            <w:r w:rsidR="0095726B" w:rsidRPr="00B21461">
              <w:rPr>
                <w:rFonts w:ascii="Times New Roman" w:hAnsi="Times New Roman"/>
                <w:sz w:val="16"/>
                <w:szCs w:val="16"/>
              </w:rPr>
              <w:t>bg</w:t>
            </w:r>
            <w:proofErr w:type="spellEnd"/>
            <w:r w:rsidR="0095726B" w:rsidRPr="00B21461" w:rsidDel="0095726B">
              <w:rPr>
                <w:rFonts w:ascii="Times New Roman" w:hAnsi="Times New Roman"/>
                <w:sz w:val="16"/>
                <w:szCs w:val="16"/>
                <w:lang w:val="bg-BG"/>
              </w:rPr>
              <w:t xml:space="preserve"> </w:t>
            </w:r>
            <w:r w:rsidRPr="00B21461">
              <w:rPr>
                <w:rFonts w:ascii="Times New Roman" w:hAnsi="Times New Roman"/>
                <w:sz w:val="16"/>
                <w:szCs w:val="16"/>
                <w:lang w:val="bg-BG"/>
              </w:rPr>
              <w:t xml:space="preserve">в </w:t>
            </w:r>
            <w:r w:rsidR="0095726B">
              <w:rPr>
                <w:rFonts w:ascii="Times New Roman" w:hAnsi="Times New Roman"/>
                <w:sz w:val="16"/>
                <w:szCs w:val="16"/>
                <w:lang w:val="bg-BG"/>
              </w:rPr>
              <w:t>секцията</w:t>
            </w:r>
            <w:r w:rsidR="00B46AEF">
              <w:rPr>
                <w:rFonts w:ascii="Times New Roman" w:hAnsi="Times New Roman"/>
                <w:sz w:val="16"/>
                <w:szCs w:val="16"/>
                <w:lang w:val="bg-BG"/>
              </w:rPr>
              <w:t xml:space="preserve"> на ОПДУ за „</w:t>
            </w:r>
            <w:hyperlink r:id="rId8" w:history="1">
              <w:r w:rsidR="0095726B" w:rsidRPr="00B46AEF">
                <w:rPr>
                  <w:rStyle w:val="Hyperlink"/>
                  <w:rFonts w:ascii="Times New Roman" w:hAnsi="Times New Roman"/>
                  <w:sz w:val="16"/>
                  <w:szCs w:val="16"/>
                  <w:lang w:val="bg-BG"/>
                </w:rPr>
                <w:t>Комитет за наблюдение</w:t>
              </w:r>
            </w:hyperlink>
            <w:r w:rsidR="00B46AEF">
              <w:rPr>
                <w:rFonts w:ascii="Times New Roman" w:hAnsi="Times New Roman"/>
                <w:sz w:val="16"/>
                <w:szCs w:val="16"/>
                <w:lang w:val="bg-BG"/>
              </w:rPr>
              <w:t>“</w:t>
            </w:r>
            <w:r w:rsidR="0095726B">
              <w:rPr>
                <w:rFonts w:ascii="Times New Roman" w:hAnsi="Times New Roman"/>
                <w:sz w:val="16"/>
                <w:szCs w:val="16"/>
                <w:lang w:val="bg-BG"/>
              </w:rPr>
              <w:t>.</w:t>
            </w:r>
          </w:p>
        </w:tc>
        <w:tc>
          <w:tcPr>
            <w:tcW w:w="2370" w:type="dxa"/>
            <w:shd w:val="clear" w:color="auto" w:fill="auto"/>
            <w:vAlign w:val="center"/>
          </w:tcPr>
          <w:p w14:paraId="6E0457C0" w14:textId="092376A9" w:rsidR="00BC3B67" w:rsidRPr="00B21461" w:rsidRDefault="00BC3B67" w:rsidP="00B46AEF">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една седмица от провеждането на заседанието на КН или след изпращане на доклада до ЕК чрез системата SFC</w:t>
            </w:r>
          </w:p>
        </w:tc>
      </w:tr>
      <w:tr w:rsidR="00BC3B67" w:rsidRPr="00B21461" w14:paraId="0D24CC93" w14:textId="77777777" w:rsidTr="001A4F15">
        <w:trPr>
          <w:trHeight w:val="858"/>
          <w:jc w:val="center"/>
        </w:trPr>
        <w:tc>
          <w:tcPr>
            <w:tcW w:w="425" w:type="dxa"/>
            <w:vMerge w:val="restart"/>
            <w:vAlign w:val="center"/>
          </w:tcPr>
          <w:p w14:paraId="729E8A29" w14:textId="2EDE088A" w:rsidR="00BC3B67" w:rsidRPr="00B21461" w:rsidRDefault="00BC3B67" w:rsidP="00CC3A9E">
            <w:pPr>
              <w:spacing w:after="0" w:line="240" w:lineRule="auto"/>
              <w:jc w:val="both"/>
              <w:rPr>
                <w:rFonts w:ascii="Times New Roman" w:hAnsi="Times New Roman"/>
                <w:sz w:val="16"/>
                <w:szCs w:val="16"/>
                <w:lang w:val="bg-BG"/>
              </w:rPr>
            </w:pPr>
            <w:r>
              <w:rPr>
                <w:rFonts w:ascii="Times New Roman" w:hAnsi="Times New Roman"/>
                <w:sz w:val="16"/>
                <w:szCs w:val="16"/>
                <w:lang w:val="bg-BG"/>
              </w:rPr>
              <w:t>4.</w:t>
            </w:r>
          </w:p>
        </w:tc>
        <w:tc>
          <w:tcPr>
            <w:tcW w:w="1522" w:type="dxa"/>
            <w:vMerge w:val="restart"/>
            <w:vAlign w:val="center"/>
          </w:tcPr>
          <w:p w14:paraId="272D5F49" w14:textId="4A1DC1BF"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Качване на доклада в </w:t>
            </w:r>
            <w:r w:rsidRPr="00B21461">
              <w:rPr>
                <w:rFonts w:ascii="Times New Roman" w:hAnsi="Times New Roman"/>
                <w:sz w:val="16"/>
                <w:szCs w:val="16"/>
              </w:rPr>
              <w:t>SFC</w:t>
            </w:r>
            <w:r w:rsidRPr="00B21461">
              <w:rPr>
                <w:rFonts w:ascii="Times New Roman" w:hAnsi="Times New Roman"/>
                <w:sz w:val="16"/>
                <w:szCs w:val="16"/>
                <w:lang w:val="bg-BG"/>
              </w:rPr>
              <w:t xml:space="preserve"> 2014</w:t>
            </w:r>
          </w:p>
        </w:tc>
        <w:tc>
          <w:tcPr>
            <w:tcW w:w="1980" w:type="dxa"/>
            <w:vAlign w:val="center"/>
          </w:tcPr>
          <w:p w14:paraId="12AD4CB0" w14:textId="7C55CF20"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Началници на отдели</w:t>
            </w:r>
          </w:p>
        </w:tc>
        <w:tc>
          <w:tcPr>
            <w:tcW w:w="4320" w:type="dxa"/>
            <w:shd w:val="clear" w:color="auto" w:fill="auto"/>
            <w:vAlign w:val="center"/>
          </w:tcPr>
          <w:p w14:paraId="1D63B543" w14:textId="308BF774" w:rsidR="00BC3B67" w:rsidRPr="00B21461" w:rsidRDefault="00BC3B67" w:rsidP="00285378">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Възлагат на служители от отделите с права за достъп до SFC 2014 да качат съответните части от доклада в системата</w:t>
            </w:r>
          </w:p>
        </w:tc>
        <w:tc>
          <w:tcPr>
            <w:tcW w:w="2370" w:type="dxa"/>
            <w:shd w:val="clear" w:color="auto" w:fill="auto"/>
            <w:vAlign w:val="center"/>
          </w:tcPr>
          <w:p w14:paraId="152D7D18" w14:textId="31A67051"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Минимум 5 работни дни преди крайния срок за изпращането му на ЕК</w:t>
            </w:r>
          </w:p>
        </w:tc>
      </w:tr>
      <w:tr w:rsidR="00BC3B67" w:rsidRPr="00B21461" w14:paraId="73650BC0" w14:textId="77777777" w:rsidTr="001A4F15">
        <w:trPr>
          <w:trHeight w:val="858"/>
          <w:jc w:val="center"/>
        </w:trPr>
        <w:tc>
          <w:tcPr>
            <w:tcW w:w="425" w:type="dxa"/>
            <w:vMerge/>
            <w:vAlign w:val="center"/>
          </w:tcPr>
          <w:p w14:paraId="463EBA17" w14:textId="77777777" w:rsidR="00BC3B67" w:rsidRPr="00B21461" w:rsidRDefault="00BC3B67" w:rsidP="00CC3A9E">
            <w:pPr>
              <w:spacing w:after="0" w:line="240" w:lineRule="auto"/>
              <w:jc w:val="both"/>
              <w:rPr>
                <w:rFonts w:ascii="Times New Roman" w:hAnsi="Times New Roman"/>
                <w:sz w:val="16"/>
                <w:szCs w:val="16"/>
                <w:lang w:val="bg-BG"/>
              </w:rPr>
            </w:pPr>
          </w:p>
        </w:tc>
        <w:tc>
          <w:tcPr>
            <w:tcW w:w="1522" w:type="dxa"/>
            <w:vMerge/>
            <w:vAlign w:val="center"/>
          </w:tcPr>
          <w:p w14:paraId="69D983B8" w14:textId="47273590" w:rsidR="00BC3B67" w:rsidRPr="00B21461" w:rsidRDefault="00BC3B67" w:rsidP="00CC3A9E">
            <w:pPr>
              <w:spacing w:after="0" w:line="240" w:lineRule="auto"/>
              <w:jc w:val="both"/>
              <w:rPr>
                <w:rFonts w:ascii="Times New Roman" w:hAnsi="Times New Roman"/>
                <w:sz w:val="16"/>
                <w:szCs w:val="16"/>
                <w:lang w:val="bg-BG"/>
              </w:rPr>
            </w:pPr>
          </w:p>
        </w:tc>
        <w:tc>
          <w:tcPr>
            <w:tcW w:w="1980" w:type="dxa"/>
            <w:vAlign w:val="center"/>
          </w:tcPr>
          <w:p w14:paraId="589F178A" w14:textId="1B9C6FDD"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Служители от отдели ПД, МВ и ФУ с права за достъп до SFC 2014 </w:t>
            </w:r>
          </w:p>
        </w:tc>
        <w:tc>
          <w:tcPr>
            <w:tcW w:w="4320" w:type="dxa"/>
            <w:shd w:val="clear" w:color="auto" w:fill="auto"/>
            <w:vAlign w:val="center"/>
          </w:tcPr>
          <w:p w14:paraId="6A56DFF9" w14:textId="28DA4DC8" w:rsidR="00BC3B67" w:rsidRPr="00B21461" w:rsidRDefault="00BC3B67">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Качват съответните части от доклада в системата, като служител от отдел ПД финално го валидира </w:t>
            </w:r>
          </w:p>
        </w:tc>
        <w:tc>
          <w:tcPr>
            <w:tcW w:w="2370" w:type="dxa"/>
            <w:shd w:val="clear" w:color="auto" w:fill="auto"/>
            <w:vAlign w:val="center"/>
          </w:tcPr>
          <w:p w14:paraId="21DB414E" w14:textId="5EACA013"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До 31 май, а за докладите, които се представят през 2017 г. и 2019 г. – до 30 юни </w:t>
            </w:r>
          </w:p>
        </w:tc>
      </w:tr>
      <w:tr w:rsidR="00BC3B67" w:rsidRPr="00B21461" w14:paraId="41402F05" w14:textId="77777777" w:rsidTr="000F110C">
        <w:trPr>
          <w:trHeight w:val="858"/>
          <w:jc w:val="center"/>
        </w:trPr>
        <w:tc>
          <w:tcPr>
            <w:tcW w:w="425" w:type="dxa"/>
            <w:vAlign w:val="center"/>
          </w:tcPr>
          <w:p w14:paraId="199D4189" w14:textId="47703CDD" w:rsidR="00BC3B67" w:rsidRPr="00B21461" w:rsidRDefault="00BC3B67" w:rsidP="00CC3A9E">
            <w:pPr>
              <w:spacing w:after="0" w:line="240" w:lineRule="auto"/>
              <w:jc w:val="both"/>
              <w:rPr>
                <w:rFonts w:ascii="Times New Roman" w:hAnsi="Times New Roman"/>
                <w:sz w:val="16"/>
                <w:szCs w:val="16"/>
                <w:lang w:val="bg-BG"/>
              </w:rPr>
            </w:pPr>
            <w:r>
              <w:rPr>
                <w:rFonts w:ascii="Times New Roman" w:hAnsi="Times New Roman"/>
                <w:sz w:val="16"/>
                <w:szCs w:val="16"/>
                <w:lang w:val="bg-BG"/>
              </w:rPr>
              <w:t>5.</w:t>
            </w:r>
          </w:p>
        </w:tc>
        <w:tc>
          <w:tcPr>
            <w:tcW w:w="1522" w:type="dxa"/>
            <w:vAlign w:val="center"/>
          </w:tcPr>
          <w:p w14:paraId="700543B0" w14:textId="6F75E9F5" w:rsidR="00BC3B67" w:rsidRPr="00B21461" w:rsidDel="00C83BA4"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Изпращане на доклада на ЕК чрез </w:t>
            </w:r>
            <w:r w:rsidRPr="00B21461">
              <w:rPr>
                <w:rFonts w:ascii="Times New Roman" w:hAnsi="Times New Roman"/>
                <w:sz w:val="16"/>
                <w:szCs w:val="16"/>
              </w:rPr>
              <w:t>SFC</w:t>
            </w:r>
          </w:p>
        </w:tc>
        <w:tc>
          <w:tcPr>
            <w:tcW w:w="1980" w:type="dxa"/>
            <w:vAlign w:val="center"/>
          </w:tcPr>
          <w:p w14:paraId="6D2F74B4" w14:textId="77777777"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Ръководител на УО</w:t>
            </w:r>
          </w:p>
          <w:p w14:paraId="1502A78F" w14:textId="0FBA1C18"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 от отдел ПД</w:t>
            </w:r>
          </w:p>
        </w:tc>
        <w:tc>
          <w:tcPr>
            <w:tcW w:w="4320" w:type="dxa"/>
            <w:shd w:val="clear" w:color="auto" w:fill="DEEAF6" w:themeFill="accent1" w:themeFillTint="33"/>
            <w:vAlign w:val="center"/>
          </w:tcPr>
          <w:p w14:paraId="0D65EA4B" w14:textId="5E52DEC5"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РУО изпраща доклада на ЕК.</w:t>
            </w:r>
          </w:p>
          <w:p w14:paraId="21E2CCBA" w14:textId="20A911E9" w:rsidR="00BC3B67" w:rsidRPr="00B21461" w:rsidDel="0036045F"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 от отдел ПД попълва КЛ</w:t>
            </w:r>
            <w:r w:rsidR="0095726B">
              <w:rPr>
                <w:rFonts w:ascii="Times New Roman" w:hAnsi="Times New Roman"/>
                <w:sz w:val="16"/>
                <w:szCs w:val="16"/>
                <w:lang w:val="bg-BG"/>
              </w:rPr>
              <w:t>.</w:t>
            </w:r>
          </w:p>
        </w:tc>
        <w:tc>
          <w:tcPr>
            <w:tcW w:w="2370" w:type="dxa"/>
            <w:shd w:val="clear" w:color="auto" w:fill="DEEAF6" w:themeFill="accent1" w:themeFillTint="33"/>
            <w:vAlign w:val="center"/>
          </w:tcPr>
          <w:p w14:paraId="14D4C2C1" w14:textId="3EA8118C" w:rsidR="00BC3B67" w:rsidRPr="00B21461" w:rsidDel="002859A2"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Най-късно на 31 май, а за докладите, които се представят през 2017 г. и 2019 г. – до 30 юни</w:t>
            </w:r>
          </w:p>
        </w:tc>
      </w:tr>
      <w:tr w:rsidR="00BC3B67" w:rsidRPr="00B21461" w14:paraId="06289DE9" w14:textId="77777777" w:rsidTr="00362057">
        <w:trPr>
          <w:trHeight w:val="858"/>
          <w:jc w:val="center"/>
        </w:trPr>
        <w:tc>
          <w:tcPr>
            <w:tcW w:w="425" w:type="dxa"/>
            <w:vMerge w:val="restart"/>
            <w:vAlign w:val="center"/>
          </w:tcPr>
          <w:p w14:paraId="1A17B249" w14:textId="71298889" w:rsidR="00BC3B67" w:rsidRPr="00B21461" w:rsidRDefault="00BC3B67" w:rsidP="00CC3A9E">
            <w:pPr>
              <w:spacing w:after="0" w:line="240" w:lineRule="auto"/>
              <w:jc w:val="both"/>
              <w:rPr>
                <w:rFonts w:ascii="Times New Roman" w:hAnsi="Times New Roman"/>
                <w:sz w:val="16"/>
                <w:szCs w:val="16"/>
                <w:lang w:val="bg-BG"/>
              </w:rPr>
            </w:pPr>
            <w:r>
              <w:rPr>
                <w:rFonts w:ascii="Times New Roman" w:hAnsi="Times New Roman"/>
                <w:sz w:val="16"/>
                <w:szCs w:val="16"/>
                <w:lang w:val="bg-BG"/>
              </w:rPr>
              <w:t>6.</w:t>
            </w:r>
          </w:p>
        </w:tc>
        <w:tc>
          <w:tcPr>
            <w:tcW w:w="1522" w:type="dxa"/>
            <w:vMerge w:val="restart"/>
            <w:vAlign w:val="center"/>
          </w:tcPr>
          <w:p w14:paraId="0680AA5B" w14:textId="40E7DD0A"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Коментари от ЕК (ако е приложимо) </w:t>
            </w:r>
          </w:p>
        </w:tc>
        <w:tc>
          <w:tcPr>
            <w:tcW w:w="1980" w:type="dxa"/>
            <w:vAlign w:val="center"/>
          </w:tcPr>
          <w:p w14:paraId="1114243A" w14:textId="77777777"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Началници на отдели </w:t>
            </w:r>
          </w:p>
        </w:tc>
        <w:tc>
          <w:tcPr>
            <w:tcW w:w="4320" w:type="dxa"/>
            <w:shd w:val="clear" w:color="auto" w:fill="auto"/>
            <w:vAlign w:val="center"/>
          </w:tcPr>
          <w:p w14:paraId="4CBE7D44" w14:textId="240407C6"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При отправени коментари от ЕК началниците на отделите възлагат на служители в съответния отдел да отразят получените коментари</w:t>
            </w:r>
          </w:p>
        </w:tc>
        <w:tc>
          <w:tcPr>
            <w:tcW w:w="2370" w:type="dxa"/>
            <w:shd w:val="clear" w:color="auto" w:fill="auto"/>
            <w:vAlign w:val="center"/>
          </w:tcPr>
          <w:p w14:paraId="42D87C62" w14:textId="77777777"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5 работни дни от получаване на коментарите</w:t>
            </w:r>
            <w:r w:rsidRPr="00B21461">
              <w:rPr>
                <w:rStyle w:val="FootnoteReference"/>
                <w:rFonts w:ascii="Times New Roman" w:hAnsi="Times New Roman"/>
                <w:sz w:val="16"/>
                <w:szCs w:val="16"/>
                <w:lang w:val="bg-BG"/>
              </w:rPr>
              <w:footnoteReference w:id="2"/>
            </w:r>
          </w:p>
        </w:tc>
      </w:tr>
      <w:tr w:rsidR="00BC3B67" w:rsidRPr="00B21461" w14:paraId="179ED30C" w14:textId="77777777" w:rsidTr="00362057">
        <w:trPr>
          <w:trHeight w:val="394"/>
          <w:jc w:val="center"/>
        </w:trPr>
        <w:tc>
          <w:tcPr>
            <w:tcW w:w="425" w:type="dxa"/>
            <w:vMerge/>
            <w:vAlign w:val="center"/>
          </w:tcPr>
          <w:p w14:paraId="3EA6B9CF" w14:textId="444BE207" w:rsidR="00BC3B67" w:rsidRPr="00B21461" w:rsidRDefault="00BC3B67" w:rsidP="00CC3A9E">
            <w:pPr>
              <w:spacing w:after="0" w:line="240" w:lineRule="auto"/>
              <w:jc w:val="both"/>
              <w:rPr>
                <w:rFonts w:ascii="Times New Roman" w:hAnsi="Times New Roman"/>
                <w:sz w:val="16"/>
                <w:szCs w:val="16"/>
                <w:lang w:val="bg-BG"/>
              </w:rPr>
            </w:pPr>
          </w:p>
        </w:tc>
        <w:tc>
          <w:tcPr>
            <w:tcW w:w="1522" w:type="dxa"/>
            <w:vMerge/>
            <w:vAlign w:val="center"/>
          </w:tcPr>
          <w:p w14:paraId="5F3EB31B" w14:textId="1A1F5258" w:rsidR="00BC3B67" w:rsidRPr="00B21461" w:rsidRDefault="00BC3B67" w:rsidP="00CC3A9E">
            <w:pPr>
              <w:spacing w:after="0" w:line="240" w:lineRule="auto"/>
              <w:jc w:val="both"/>
              <w:rPr>
                <w:rFonts w:ascii="Times New Roman" w:hAnsi="Times New Roman"/>
                <w:sz w:val="16"/>
                <w:szCs w:val="16"/>
                <w:lang w:val="bg-BG"/>
              </w:rPr>
            </w:pPr>
          </w:p>
        </w:tc>
        <w:tc>
          <w:tcPr>
            <w:tcW w:w="1980" w:type="dxa"/>
            <w:vAlign w:val="center"/>
          </w:tcPr>
          <w:p w14:paraId="036A0D3F" w14:textId="49AAEF6D"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Служители от дирекция ДУ </w:t>
            </w:r>
          </w:p>
        </w:tc>
        <w:tc>
          <w:tcPr>
            <w:tcW w:w="4320" w:type="dxa"/>
            <w:shd w:val="clear" w:color="auto" w:fill="auto"/>
            <w:vAlign w:val="center"/>
          </w:tcPr>
          <w:p w14:paraId="168AD5B9" w14:textId="77777777"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Отразяват получените коментари от ЕК </w:t>
            </w:r>
          </w:p>
        </w:tc>
        <w:tc>
          <w:tcPr>
            <w:tcW w:w="2370" w:type="dxa"/>
            <w:shd w:val="clear" w:color="auto" w:fill="auto"/>
            <w:vAlign w:val="center"/>
          </w:tcPr>
          <w:p w14:paraId="6735D7A5" w14:textId="2EC61CAA"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5 работни дни от възлагането</w:t>
            </w:r>
            <w:r w:rsidRPr="00B21461">
              <w:rPr>
                <w:rStyle w:val="FootnoteReference"/>
                <w:rFonts w:ascii="Times New Roman" w:hAnsi="Times New Roman"/>
                <w:sz w:val="16"/>
                <w:szCs w:val="16"/>
                <w:lang w:val="bg-BG"/>
              </w:rPr>
              <w:footnoteReference w:id="3"/>
            </w:r>
          </w:p>
        </w:tc>
      </w:tr>
      <w:tr w:rsidR="00BC3B67" w:rsidRPr="00B21461" w14:paraId="38E522F4" w14:textId="77777777" w:rsidTr="00362057">
        <w:trPr>
          <w:trHeight w:val="858"/>
          <w:jc w:val="center"/>
        </w:trPr>
        <w:tc>
          <w:tcPr>
            <w:tcW w:w="425" w:type="dxa"/>
            <w:vMerge/>
            <w:vAlign w:val="center"/>
          </w:tcPr>
          <w:p w14:paraId="4A302557" w14:textId="28B11588" w:rsidR="00BC3B67" w:rsidRPr="00B21461" w:rsidRDefault="00BC3B67" w:rsidP="00CC3A9E">
            <w:pPr>
              <w:spacing w:after="0" w:line="240" w:lineRule="auto"/>
              <w:jc w:val="both"/>
              <w:rPr>
                <w:rFonts w:ascii="Times New Roman" w:hAnsi="Times New Roman"/>
                <w:sz w:val="16"/>
                <w:szCs w:val="16"/>
                <w:lang w:val="bg-BG"/>
              </w:rPr>
            </w:pPr>
          </w:p>
        </w:tc>
        <w:tc>
          <w:tcPr>
            <w:tcW w:w="1522" w:type="dxa"/>
            <w:vMerge/>
            <w:vAlign w:val="center"/>
          </w:tcPr>
          <w:p w14:paraId="431341BC" w14:textId="1D330AC0" w:rsidR="00BC3B67" w:rsidRPr="00B21461" w:rsidRDefault="00BC3B67" w:rsidP="00CC3A9E">
            <w:pPr>
              <w:spacing w:after="0" w:line="240" w:lineRule="auto"/>
              <w:jc w:val="both"/>
              <w:rPr>
                <w:rFonts w:ascii="Times New Roman" w:hAnsi="Times New Roman"/>
                <w:sz w:val="16"/>
                <w:szCs w:val="16"/>
                <w:lang w:val="bg-BG"/>
              </w:rPr>
            </w:pPr>
          </w:p>
        </w:tc>
        <w:tc>
          <w:tcPr>
            <w:tcW w:w="1980" w:type="dxa"/>
            <w:vAlign w:val="center"/>
          </w:tcPr>
          <w:p w14:paraId="54CDA2FC" w14:textId="3DB000CA" w:rsidR="00BC3B67" w:rsidRPr="00B21461" w:rsidRDefault="00BC3B67">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Началници на отдели</w:t>
            </w:r>
          </w:p>
        </w:tc>
        <w:tc>
          <w:tcPr>
            <w:tcW w:w="4320" w:type="dxa"/>
            <w:shd w:val="clear" w:color="auto" w:fill="auto"/>
            <w:vAlign w:val="center"/>
          </w:tcPr>
          <w:p w14:paraId="6FF287A5" w14:textId="422EDA05"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Съгласуват с РУО цялата необходима информация във връзка с коментарите на ЕК и становището на УО относно преценката за целесъобразността от предприемане на мерки </w:t>
            </w:r>
          </w:p>
        </w:tc>
        <w:tc>
          <w:tcPr>
            <w:tcW w:w="2370" w:type="dxa"/>
            <w:shd w:val="clear" w:color="auto" w:fill="auto"/>
            <w:vAlign w:val="center"/>
          </w:tcPr>
          <w:p w14:paraId="464AA693" w14:textId="77777777"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5 работни дни от получаването на информацията от служителите</w:t>
            </w:r>
          </w:p>
        </w:tc>
      </w:tr>
      <w:tr w:rsidR="00BC3B67" w:rsidRPr="00B21461" w14:paraId="50DB5CBF" w14:textId="77777777" w:rsidTr="00B066F3">
        <w:trPr>
          <w:trHeight w:val="858"/>
          <w:jc w:val="center"/>
        </w:trPr>
        <w:tc>
          <w:tcPr>
            <w:tcW w:w="425" w:type="dxa"/>
            <w:vMerge/>
            <w:vAlign w:val="center"/>
          </w:tcPr>
          <w:p w14:paraId="331B96A7" w14:textId="775CFAD3" w:rsidR="00BC3B67" w:rsidRPr="00B21461" w:rsidRDefault="00BC3B67" w:rsidP="00CC3A9E">
            <w:pPr>
              <w:spacing w:after="0" w:line="240" w:lineRule="auto"/>
              <w:jc w:val="both"/>
              <w:rPr>
                <w:rFonts w:ascii="Times New Roman" w:hAnsi="Times New Roman"/>
                <w:sz w:val="16"/>
                <w:szCs w:val="16"/>
                <w:lang w:val="bg-BG"/>
              </w:rPr>
            </w:pPr>
          </w:p>
        </w:tc>
        <w:tc>
          <w:tcPr>
            <w:tcW w:w="1522" w:type="dxa"/>
            <w:vMerge/>
            <w:vAlign w:val="center"/>
          </w:tcPr>
          <w:p w14:paraId="497AC468" w14:textId="34156049" w:rsidR="00BC3B67" w:rsidRPr="00B21461" w:rsidRDefault="00BC3B67" w:rsidP="00CC3A9E">
            <w:pPr>
              <w:spacing w:after="0" w:line="240" w:lineRule="auto"/>
              <w:jc w:val="both"/>
              <w:rPr>
                <w:rFonts w:ascii="Times New Roman" w:hAnsi="Times New Roman"/>
                <w:sz w:val="16"/>
                <w:szCs w:val="16"/>
                <w:lang w:val="bg-BG"/>
              </w:rPr>
            </w:pPr>
          </w:p>
        </w:tc>
        <w:tc>
          <w:tcPr>
            <w:tcW w:w="1980" w:type="dxa"/>
            <w:vAlign w:val="center"/>
          </w:tcPr>
          <w:p w14:paraId="05CD947D" w14:textId="0ED8130A"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Началник на отдел ПД</w:t>
            </w:r>
          </w:p>
        </w:tc>
        <w:tc>
          <w:tcPr>
            <w:tcW w:w="4320" w:type="dxa"/>
            <w:shd w:val="clear" w:color="auto" w:fill="auto"/>
            <w:vAlign w:val="center"/>
          </w:tcPr>
          <w:p w14:paraId="3AC6368F" w14:textId="77777777"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Изпраща информацията във връзка с коментарите на ЕК на служителя от отдел ПД, който има права за достъп до SFC 2014</w:t>
            </w:r>
          </w:p>
        </w:tc>
        <w:tc>
          <w:tcPr>
            <w:tcW w:w="2370" w:type="dxa"/>
            <w:shd w:val="clear" w:color="auto" w:fill="auto"/>
            <w:vAlign w:val="center"/>
          </w:tcPr>
          <w:p w14:paraId="6127D9CC" w14:textId="77777777"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 работен ден</w:t>
            </w:r>
          </w:p>
        </w:tc>
      </w:tr>
      <w:tr w:rsidR="00BC3B67" w:rsidRPr="00B21461" w14:paraId="00668043" w14:textId="77777777" w:rsidTr="00B066F3">
        <w:trPr>
          <w:trHeight w:val="858"/>
          <w:jc w:val="center"/>
        </w:trPr>
        <w:tc>
          <w:tcPr>
            <w:tcW w:w="425" w:type="dxa"/>
            <w:vMerge/>
            <w:vAlign w:val="center"/>
          </w:tcPr>
          <w:p w14:paraId="7FA071DC" w14:textId="77777777" w:rsidR="00BC3B67" w:rsidRPr="00B21461" w:rsidRDefault="00BC3B67" w:rsidP="00CC3A9E">
            <w:pPr>
              <w:spacing w:after="0" w:line="240" w:lineRule="auto"/>
              <w:jc w:val="both"/>
              <w:rPr>
                <w:rFonts w:ascii="Times New Roman" w:hAnsi="Times New Roman"/>
                <w:sz w:val="16"/>
                <w:szCs w:val="16"/>
                <w:lang w:val="bg-BG"/>
              </w:rPr>
            </w:pPr>
          </w:p>
        </w:tc>
        <w:tc>
          <w:tcPr>
            <w:tcW w:w="1522" w:type="dxa"/>
            <w:vMerge/>
            <w:vAlign w:val="center"/>
          </w:tcPr>
          <w:p w14:paraId="0A81EBF9" w14:textId="446F5F1B" w:rsidR="00BC3B67" w:rsidRPr="00B21461" w:rsidRDefault="00BC3B67" w:rsidP="00CC3A9E">
            <w:pPr>
              <w:spacing w:after="0" w:line="240" w:lineRule="auto"/>
              <w:jc w:val="both"/>
              <w:rPr>
                <w:rFonts w:ascii="Times New Roman" w:hAnsi="Times New Roman"/>
                <w:sz w:val="16"/>
                <w:szCs w:val="16"/>
                <w:lang w:val="bg-BG"/>
              </w:rPr>
            </w:pPr>
          </w:p>
        </w:tc>
        <w:tc>
          <w:tcPr>
            <w:tcW w:w="1980" w:type="dxa"/>
            <w:vAlign w:val="center"/>
          </w:tcPr>
          <w:p w14:paraId="3546681B" w14:textId="2465C1C9"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Служителят от отдел ПД с права за достъп до SFC 2014 </w:t>
            </w:r>
          </w:p>
        </w:tc>
        <w:tc>
          <w:tcPr>
            <w:tcW w:w="4320" w:type="dxa"/>
            <w:shd w:val="clear" w:color="auto" w:fill="auto"/>
            <w:vAlign w:val="center"/>
          </w:tcPr>
          <w:p w14:paraId="69149392" w14:textId="6EC81448"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Изпраща на ЕК информацията и становището на УО чрез системата SFC 2014</w:t>
            </w:r>
          </w:p>
        </w:tc>
        <w:tc>
          <w:tcPr>
            <w:tcW w:w="2370" w:type="dxa"/>
            <w:shd w:val="clear" w:color="auto" w:fill="auto"/>
            <w:vAlign w:val="center"/>
          </w:tcPr>
          <w:p w14:paraId="556E37FB" w14:textId="77777777" w:rsidR="00BC3B67" w:rsidRPr="00B21461" w:rsidRDefault="00BC3B67" w:rsidP="00CC3A9E">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3 работни дни от получаването, но не по-късно от два месеца след получаване на коментарите от ЕК</w:t>
            </w:r>
          </w:p>
        </w:tc>
      </w:tr>
      <w:tr w:rsidR="000D1202" w:rsidRPr="00B21461" w14:paraId="1BD2D859" w14:textId="77777777" w:rsidTr="00B066F3">
        <w:trPr>
          <w:trHeight w:val="858"/>
          <w:jc w:val="center"/>
        </w:trPr>
        <w:tc>
          <w:tcPr>
            <w:tcW w:w="425" w:type="dxa"/>
            <w:vAlign w:val="center"/>
          </w:tcPr>
          <w:p w14:paraId="2EBD4B10" w14:textId="40EAB59E" w:rsidR="000D1202" w:rsidRPr="00B21461" w:rsidRDefault="000D1202" w:rsidP="000D1202">
            <w:pPr>
              <w:spacing w:after="0" w:line="240" w:lineRule="auto"/>
              <w:jc w:val="both"/>
              <w:rPr>
                <w:rFonts w:ascii="Times New Roman" w:hAnsi="Times New Roman"/>
                <w:sz w:val="16"/>
                <w:szCs w:val="16"/>
                <w:lang w:val="bg-BG"/>
              </w:rPr>
            </w:pPr>
            <w:r>
              <w:rPr>
                <w:rFonts w:ascii="Times New Roman" w:hAnsi="Times New Roman"/>
                <w:sz w:val="16"/>
                <w:szCs w:val="16"/>
                <w:lang w:val="bg-BG"/>
              </w:rPr>
              <w:t>8.</w:t>
            </w:r>
          </w:p>
        </w:tc>
        <w:tc>
          <w:tcPr>
            <w:tcW w:w="1522" w:type="dxa"/>
            <w:vAlign w:val="center"/>
          </w:tcPr>
          <w:p w14:paraId="2EF561E1" w14:textId="735142EF" w:rsidR="000D1202" w:rsidRPr="00B21461" w:rsidRDefault="000D1202" w:rsidP="000D1202">
            <w:pPr>
              <w:spacing w:after="0" w:line="240" w:lineRule="auto"/>
              <w:jc w:val="both"/>
              <w:rPr>
                <w:rFonts w:ascii="Times New Roman" w:hAnsi="Times New Roman"/>
                <w:sz w:val="16"/>
                <w:szCs w:val="16"/>
                <w:lang w:val="bg-BG"/>
              </w:rPr>
            </w:pPr>
            <w:r>
              <w:rPr>
                <w:rFonts w:ascii="Times New Roman" w:hAnsi="Times New Roman"/>
                <w:sz w:val="16"/>
                <w:szCs w:val="16"/>
                <w:lang w:val="bg-BG"/>
              </w:rPr>
              <w:t>Публикуване на одобрения доклад</w:t>
            </w:r>
          </w:p>
        </w:tc>
        <w:tc>
          <w:tcPr>
            <w:tcW w:w="1980" w:type="dxa"/>
            <w:vAlign w:val="center"/>
          </w:tcPr>
          <w:p w14:paraId="16B8D001" w14:textId="0746446B" w:rsidR="000D1202" w:rsidRPr="00B21461" w:rsidRDefault="000D1202" w:rsidP="000D1202">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 от отдел ПД</w:t>
            </w:r>
          </w:p>
        </w:tc>
        <w:tc>
          <w:tcPr>
            <w:tcW w:w="4320" w:type="dxa"/>
            <w:shd w:val="clear" w:color="auto" w:fill="auto"/>
            <w:vAlign w:val="center"/>
          </w:tcPr>
          <w:p w14:paraId="4B1072FB" w14:textId="4602D84C" w:rsidR="000D1202" w:rsidRPr="00B21461" w:rsidRDefault="00D210E1" w:rsidP="00D210E1">
            <w:pPr>
              <w:spacing w:after="0" w:line="240" w:lineRule="auto"/>
              <w:jc w:val="both"/>
              <w:rPr>
                <w:rFonts w:ascii="Times New Roman" w:hAnsi="Times New Roman"/>
                <w:sz w:val="16"/>
                <w:szCs w:val="16"/>
                <w:lang w:val="bg-BG"/>
              </w:rPr>
            </w:pPr>
            <w:r>
              <w:rPr>
                <w:rFonts w:ascii="Times New Roman" w:hAnsi="Times New Roman"/>
                <w:sz w:val="16"/>
                <w:szCs w:val="16"/>
                <w:lang w:val="bg-BG"/>
              </w:rPr>
              <w:t>П</w:t>
            </w:r>
            <w:r w:rsidR="000D1202" w:rsidRPr="00B21461">
              <w:rPr>
                <w:rFonts w:ascii="Times New Roman" w:hAnsi="Times New Roman"/>
                <w:sz w:val="16"/>
                <w:szCs w:val="16"/>
                <w:lang w:val="bg-BG"/>
              </w:rPr>
              <w:t xml:space="preserve">убликува </w:t>
            </w:r>
            <w:r w:rsidR="000D1202">
              <w:rPr>
                <w:rFonts w:ascii="Times New Roman" w:hAnsi="Times New Roman"/>
                <w:sz w:val="16"/>
                <w:szCs w:val="16"/>
                <w:lang w:val="bg-BG"/>
              </w:rPr>
              <w:t>Г</w:t>
            </w:r>
            <w:r w:rsidR="000D1202" w:rsidRPr="00B21461">
              <w:rPr>
                <w:rFonts w:ascii="Times New Roman" w:hAnsi="Times New Roman"/>
                <w:sz w:val="16"/>
                <w:szCs w:val="16"/>
                <w:lang w:val="bg-BG"/>
              </w:rPr>
              <w:t xml:space="preserve">Д на Единния информационен портал в </w:t>
            </w:r>
            <w:r w:rsidR="000D1202">
              <w:rPr>
                <w:rFonts w:ascii="Times New Roman" w:hAnsi="Times New Roman"/>
                <w:sz w:val="16"/>
                <w:szCs w:val="16"/>
                <w:lang w:val="bg-BG"/>
              </w:rPr>
              <w:t>секцията на ОПДУ за</w:t>
            </w:r>
            <w:r w:rsidR="000D1202" w:rsidRPr="00B21461">
              <w:rPr>
                <w:rFonts w:ascii="Times New Roman" w:hAnsi="Times New Roman"/>
                <w:sz w:val="16"/>
                <w:szCs w:val="16"/>
                <w:lang w:val="bg-BG"/>
              </w:rPr>
              <w:t xml:space="preserve"> </w:t>
            </w:r>
            <w:hyperlink r:id="rId9" w:history="1">
              <w:r w:rsidR="000D1202" w:rsidRPr="000D1202">
                <w:rPr>
                  <w:rStyle w:val="Hyperlink"/>
                  <w:rFonts w:ascii="Times New Roman" w:hAnsi="Times New Roman"/>
                  <w:sz w:val="16"/>
                  <w:szCs w:val="16"/>
                  <w:lang w:val="bg-BG"/>
                </w:rPr>
                <w:t>Годишни доклади.</w:t>
              </w:r>
            </w:hyperlink>
          </w:p>
        </w:tc>
        <w:tc>
          <w:tcPr>
            <w:tcW w:w="2370" w:type="dxa"/>
            <w:shd w:val="clear" w:color="auto" w:fill="auto"/>
            <w:vAlign w:val="center"/>
          </w:tcPr>
          <w:p w14:paraId="5117DF00" w14:textId="2D82C037" w:rsidR="000D1202" w:rsidRPr="00B21461" w:rsidRDefault="000D1202" w:rsidP="00B15812">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До </w:t>
            </w:r>
            <w:r w:rsidR="00B15812">
              <w:rPr>
                <w:rFonts w:ascii="Times New Roman" w:hAnsi="Times New Roman"/>
                <w:sz w:val="16"/>
                <w:szCs w:val="16"/>
                <w:lang w:val="bg-BG"/>
              </w:rPr>
              <w:t>3</w:t>
            </w:r>
            <w:r w:rsidRPr="00B21461">
              <w:rPr>
                <w:rFonts w:ascii="Times New Roman" w:hAnsi="Times New Roman"/>
                <w:sz w:val="16"/>
                <w:szCs w:val="16"/>
                <w:lang w:val="bg-BG"/>
              </w:rPr>
              <w:t xml:space="preserve"> работни дни от </w:t>
            </w:r>
            <w:r w:rsidR="00D210E1">
              <w:rPr>
                <w:rFonts w:ascii="Times New Roman" w:hAnsi="Times New Roman"/>
                <w:sz w:val="16"/>
                <w:szCs w:val="16"/>
                <w:lang w:val="bg-BG"/>
              </w:rPr>
              <w:t xml:space="preserve">одобрението </w:t>
            </w:r>
            <w:r w:rsidRPr="00B21461">
              <w:rPr>
                <w:rFonts w:ascii="Times New Roman" w:hAnsi="Times New Roman"/>
                <w:sz w:val="16"/>
                <w:szCs w:val="16"/>
                <w:lang w:val="bg-BG"/>
              </w:rPr>
              <w:t>на доклада от ЕК</w:t>
            </w:r>
            <w:r>
              <w:rPr>
                <w:rFonts w:ascii="Times New Roman" w:hAnsi="Times New Roman"/>
                <w:sz w:val="16"/>
                <w:szCs w:val="16"/>
                <w:lang w:val="bg-BG"/>
              </w:rPr>
              <w:t>.</w:t>
            </w:r>
          </w:p>
        </w:tc>
      </w:tr>
    </w:tbl>
    <w:p w14:paraId="77534947" w14:textId="77777777" w:rsidR="006D1068" w:rsidRPr="00B21461" w:rsidRDefault="006D1068" w:rsidP="006D1068">
      <w:pPr>
        <w:spacing w:after="0"/>
        <w:jc w:val="both"/>
        <w:rPr>
          <w:rFonts w:ascii="Times New Roman" w:hAnsi="Times New Roman"/>
          <w:sz w:val="16"/>
          <w:szCs w:val="16"/>
          <w:lang w:val="bg-BG"/>
        </w:rPr>
      </w:pPr>
    </w:p>
    <w:p w14:paraId="512F18D0" w14:textId="77777777" w:rsidR="006D1068" w:rsidRPr="00B21461" w:rsidRDefault="006D1068" w:rsidP="006D1068">
      <w:pPr>
        <w:spacing w:after="0"/>
        <w:jc w:val="both"/>
        <w:rPr>
          <w:rFonts w:ascii="Times New Roman" w:hAnsi="Times New Roman"/>
          <w:sz w:val="16"/>
          <w:szCs w:val="16"/>
          <w:lang w:val="bg-BG"/>
        </w:rPr>
      </w:pPr>
    </w:p>
    <w:p w14:paraId="090D63E4" w14:textId="77777777" w:rsidR="00384896" w:rsidRDefault="00384896">
      <w:pPr>
        <w:spacing w:after="0" w:line="240" w:lineRule="auto"/>
        <w:rPr>
          <w:rFonts w:ascii="Times New Roman" w:hAnsi="Times New Roman"/>
          <w:i/>
          <w:sz w:val="24"/>
          <w:szCs w:val="24"/>
          <w:lang w:val="bg-BG"/>
        </w:rPr>
      </w:pPr>
      <w:r>
        <w:rPr>
          <w:rFonts w:ascii="Times New Roman" w:hAnsi="Times New Roman"/>
          <w:i/>
          <w:sz w:val="24"/>
          <w:szCs w:val="24"/>
          <w:lang w:val="bg-BG"/>
        </w:rPr>
        <w:br w:type="page"/>
      </w:r>
    </w:p>
    <w:p w14:paraId="16D7BAB5" w14:textId="1F187A02" w:rsidR="0040525D" w:rsidRPr="00B21461" w:rsidRDefault="0040525D" w:rsidP="006D1068">
      <w:pPr>
        <w:spacing w:after="0"/>
        <w:jc w:val="both"/>
        <w:rPr>
          <w:rFonts w:ascii="Times New Roman" w:hAnsi="Times New Roman"/>
          <w:i/>
          <w:sz w:val="24"/>
          <w:szCs w:val="24"/>
          <w:lang w:val="bg-BG"/>
        </w:rPr>
      </w:pPr>
      <w:r w:rsidRPr="00B21461">
        <w:rPr>
          <w:rFonts w:ascii="Times New Roman" w:hAnsi="Times New Roman"/>
          <w:i/>
          <w:sz w:val="24"/>
          <w:szCs w:val="24"/>
          <w:lang w:val="bg-BG"/>
        </w:rPr>
        <w:lastRenderedPageBreak/>
        <w:t xml:space="preserve">Подготовка и изпращане на </w:t>
      </w:r>
      <w:r w:rsidR="00546C44" w:rsidRPr="00B21461">
        <w:rPr>
          <w:rFonts w:ascii="Times New Roman" w:hAnsi="Times New Roman"/>
          <w:i/>
          <w:sz w:val="24"/>
          <w:szCs w:val="24"/>
          <w:lang w:val="bg-BG"/>
        </w:rPr>
        <w:t xml:space="preserve">Окончателен </w:t>
      </w:r>
      <w:r w:rsidRPr="00B21461">
        <w:rPr>
          <w:rFonts w:ascii="Times New Roman" w:hAnsi="Times New Roman"/>
          <w:i/>
          <w:sz w:val="24"/>
          <w:szCs w:val="24"/>
          <w:lang w:val="bg-BG"/>
        </w:rPr>
        <w:t>доклад за изпълнение на ОПДУ</w:t>
      </w:r>
    </w:p>
    <w:p w14:paraId="6D226EBE" w14:textId="77777777" w:rsidR="00A40C6C" w:rsidRPr="00B21461" w:rsidRDefault="00A40C6C" w:rsidP="0040525D">
      <w:pPr>
        <w:spacing w:after="0"/>
        <w:ind w:firstLine="567"/>
        <w:jc w:val="both"/>
        <w:rPr>
          <w:rFonts w:ascii="Times New Roman" w:hAnsi="Times New Roman"/>
          <w:i/>
          <w:sz w:val="24"/>
          <w:szCs w:val="24"/>
          <w:lang w:val="bg-BG"/>
        </w:rPr>
      </w:pPr>
    </w:p>
    <w:tbl>
      <w:tblPr>
        <w:tblW w:w="10660"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454"/>
        <w:gridCol w:w="1389"/>
        <w:gridCol w:w="2155"/>
        <w:gridCol w:w="4253"/>
        <w:gridCol w:w="2409"/>
      </w:tblGrid>
      <w:tr w:rsidR="000D1202" w:rsidRPr="00B21461" w14:paraId="5FAC81F2" w14:textId="77777777" w:rsidTr="000F110C">
        <w:trPr>
          <w:tblHeader/>
          <w:jc w:val="center"/>
        </w:trPr>
        <w:tc>
          <w:tcPr>
            <w:tcW w:w="454" w:type="dxa"/>
            <w:vAlign w:val="center"/>
          </w:tcPr>
          <w:p w14:paraId="00907E3E" w14:textId="77777777" w:rsidR="000D1202" w:rsidRPr="00B21461" w:rsidRDefault="000D1202" w:rsidP="00C867B8">
            <w:pPr>
              <w:spacing w:after="0" w:line="240" w:lineRule="auto"/>
              <w:jc w:val="center"/>
              <w:rPr>
                <w:rFonts w:ascii="Times New Roman" w:hAnsi="Times New Roman"/>
                <w:b/>
                <w:sz w:val="20"/>
                <w:szCs w:val="20"/>
                <w:lang w:val="bg-BG"/>
              </w:rPr>
            </w:pPr>
          </w:p>
        </w:tc>
        <w:tc>
          <w:tcPr>
            <w:tcW w:w="1389" w:type="dxa"/>
            <w:vAlign w:val="center"/>
          </w:tcPr>
          <w:p w14:paraId="5CFF69AE" w14:textId="3DE7CC2C" w:rsidR="000D1202" w:rsidRPr="00B21461" w:rsidRDefault="000D1202" w:rsidP="00C867B8">
            <w:pPr>
              <w:spacing w:after="0" w:line="240" w:lineRule="auto"/>
              <w:jc w:val="center"/>
              <w:rPr>
                <w:rFonts w:ascii="Times New Roman" w:hAnsi="Times New Roman"/>
                <w:b/>
                <w:sz w:val="20"/>
                <w:szCs w:val="20"/>
                <w:lang w:val="bg-BG"/>
              </w:rPr>
            </w:pPr>
            <w:r w:rsidRPr="00B21461">
              <w:rPr>
                <w:rFonts w:ascii="Times New Roman" w:hAnsi="Times New Roman"/>
                <w:b/>
                <w:sz w:val="20"/>
                <w:szCs w:val="20"/>
                <w:lang w:val="bg-BG"/>
              </w:rPr>
              <w:t>Дейност</w:t>
            </w:r>
          </w:p>
        </w:tc>
        <w:tc>
          <w:tcPr>
            <w:tcW w:w="2155" w:type="dxa"/>
            <w:vAlign w:val="center"/>
          </w:tcPr>
          <w:p w14:paraId="4D861F63" w14:textId="77777777" w:rsidR="000D1202" w:rsidRPr="00B21461" w:rsidRDefault="000D1202" w:rsidP="00C867B8">
            <w:pPr>
              <w:spacing w:after="0" w:line="240" w:lineRule="auto"/>
              <w:jc w:val="center"/>
              <w:rPr>
                <w:rFonts w:ascii="Times New Roman" w:hAnsi="Times New Roman"/>
                <w:b/>
                <w:sz w:val="20"/>
                <w:szCs w:val="20"/>
                <w:lang w:val="bg-BG"/>
              </w:rPr>
            </w:pPr>
            <w:r w:rsidRPr="00B21461">
              <w:rPr>
                <w:rFonts w:ascii="Times New Roman" w:hAnsi="Times New Roman"/>
                <w:b/>
                <w:sz w:val="20"/>
                <w:szCs w:val="20"/>
                <w:lang w:val="bg-BG"/>
              </w:rPr>
              <w:t>Отговорник</w:t>
            </w:r>
          </w:p>
        </w:tc>
        <w:tc>
          <w:tcPr>
            <w:tcW w:w="4253" w:type="dxa"/>
            <w:vAlign w:val="center"/>
          </w:tcPr>
          <w:p w14:paraId="2D6EF760" w14:textId="77777777" w:rsidR="000D1202" w:rsidRPr="00B21461" w:rsidRDefault="000D1202" w:rsidP="00C867B8">
            <w:pPr>
              <w:spacing w:after="0" w:line="240" w:lineRule="auto"/>
              <w:jc w:val="center"/>
              <w:rPr>
                <w:rFonts w:ascii="Times New Roman" w:hAnsi="Times New Roman"/>
                <w:b/>
                <w:sz w:val="20"/>
                <w:szCs w:val="20"/>
                <w:lang w:val="bg-BG"/>
              </w:rPr>
            </w:pPr>
            <w:r w:rsidRPr="00B21461">
              <w:rPr>
                <w:rFonts w:ascii="Times New Roman" w:hAnsi="Times New Roman"/>
                <w:b/>
                <w:sz w:val="20"/>
                <w:szCs w:val="20"/>
                <w:lang w:val="bg-BG"/>
              </w:rPr>
              <w:t>Описание (как)</w:t>
            </w:r>
          </w:p>
        </w:tc>
        <w:tc>
          <w:tcPr>
            <w:tcW w:w="2409" w:type="dxa"/>
            <w:vAlign w:val="center"/>
          </w:tcPr>
          <w:p w14:paraId="1514F29F" w14:textId="77777777" w:rsidR="000D1202" w:rsidRPr="00B21461" w:rsidRDefault="000D1202" w:rsidP="00C867B8">
            <w:pPr>
              <w:spacing w:after="0" w:line="240" w:lineRule="auto"/>
              <w:jc w:val="center"/>
              <w:rPr>
                <w:rFonts w:ascii="Times New Roman" w:hAnsi="Times New Roman"/>
                <w:b/>
                <w:sz w:val="20"/>
                <w:szCs w:val="20"/>
                <w:lang w:val="bg-BG"/>
              </w:rPr>
            </w:pPr>
            <w:r w:rsidRPr="00B21461">
              <w:rPr>
                <w:rFonts w:ascii="Times New Roman" w:hAnsi="Times New Roman"/>
                <w:b/>
                <w:sz w:val="20"/>
                <w:szCs w:val="20"/>
                <w:lang w:val="bg-BG"/>
              </w:rPr>
              <w:t>Срок</w:t>
            </w:r>
          </w:p>
        </w:tc>
      </w:tr>
      <w:tr w:rsidR="004866B4" w:rsidRPr="00B21461" w14:paraId="4EA187D3" w14:textId="77777777" w:rsidTr="000D1202">
        <w:trPr>
          <w:trHeight w:val="1263"/>
          <w:jc w:val="center"/>
        </w:trPr>
        <w:tc>
          <w:tcPr>
            <w:tcW w:w="454" w:type="dxa"/>
            <w:vMerge w:val="restart"/>
            <w:vAlign w:val="center"/>
          </w:tcPr>
          <w:p w14:paraId="10550EA8" w14:textId="22E7B0AE" w:rsidR="004866B4" w:rsidRDefault="004866B4" w:rsidP="004866B4">
            <w:pPr>
              <w:spacing w:after="0" w:line="240" w:lineRule="auto"/>
              <w:jc w:val="both"/>
              <w:rPr>
                <w:rFonts w:ascii="Times New Roman" w:hAnsi="Times New Roman"/>
                <w:sz w:val="16"/>
                <w:szCs w:val="16"/>
                <w:lang w:val="bg-BG"/>
              </w:rPr>
            </w:pPr>
            <w:r>
              <w:rPr>
                <w:rFonts w:ascii="Times New Roman" w:hAnsi="Times New Roman"/>
                <w:sz w:val="16"/>
                <w:szCs w:val="16"/>
                <w:lang w:val="bg-BG"/>
              </w:rPr>
              <w:t>1.</w:t>
            </w:r>
          </w:p>
        </w:tc>
        <w:tc>
          <w:tcPr>
            <w:tcW w:w="1389" w:type="dxa"/>
            <w:vMerge w:val="restart"/>
            <w:vAlign w:val="center"/>
          </w:tcPr>
          <w:p w14:paraId="2A1FFCCD" w14:textId="3C39422A"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Подготовка на доклада</w:t>
            </w:r>
          </w:p>
        </w:tc>
        <w:tc>
          <w:tcPr>
            <w:tcW w:w="2155" w:type="dxa"/>
            <w:vAlign w:val="center"/>
          </w:tcPr>
          <w:p w14:paraId="28322009" w14:textId="0D1BD40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Началници на отдели  </w:t>
            </w:r>
          </w:p>
        </w:tc>
        <w:tc>
          <w:tcPr>
            <w:tcW w:w="4253" w:type="dxa"/>
            <w:shd w:val="clear" w:color="auto" w:fill="auto"/>
            <w:vAlign w:val="center"/>
          </w:tcPr>
          <w:p w14:paraId="2603D1C3" w14:textId="6EB98EB4"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Началниците на отдели възлагат на служители от отделите да изготвят частите на Окончателния доклад (ОД) за изпълнението на ОПДУ съобразно компетенциите си</w:t>
            </w:r>
          </w:p>
        </w:tc>
        <w:tc>
          <w:tcPr>
            <w:tcW w:w="2409" w:type="dxa"/>
            <w:shd w:val="clear" w:color="auto" w:fill="auto"/>
            <w:vAlign w:val="center"/>
          </w:tcPr>
          <w:p w14:paraId="7B92ED2B" w14:textId="045848E8"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01.09.2024 г.</w:t>
            </w:r>
          </w:p>
        </w:tc>
      </w:tr>
      <w:tr w:rsidR="004866B4" w:rsidRPr="00B21461" w14:paraId="260F1303" w14:textId="77777777" w:rsidTr="000D1202">
        <w:trPr>
          <w:trHeight w:val="1263"/>
          <w:jc w:val="center"/>
        </w:trPr>
        <w:tc>
          <w:tcPr>
            <w:tcW w:w="454" w:type="dxa"/>
            <w:vMerge/>
            <w:vAlign w:val="center"/>
          </w:tcPr>
          <w:p w14:paraId="380D698A" w14:textId="77777777" w:rsidR="004866B4"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7596ABC5" w14:textId="77777777" w:rsidR="004866B4" w:rsidRPr="00B21461" w:rsidRDefault="004866B4" w:rsidP="004866B4">
            <w:pPr>
              <w:spacing w:after="0" w:line="240" w:lineRule="auto"/>
              <w:jc w:val="both"/>
              <w:rPr>
                <w:rFonts w:ascii="Times New Roman" w:hAnsi="Times New Roman"/>
                <w:sz w:val="16"/>
                <w:szCs w:val="16"/>
                <w:lang w:val="bg-BG"/>
              </w:rPr>
            </w:pPr>
          </w:p>
        </w:tc>
        <w:tc>
          <w:tcPr>
            <w:tcW w:w="2155" w:type="dxa"/>
            <w:vAlign w:val="center"/>
          </w:tcPr>
          <w:p w14:paraId="3048A033" w14:textId="7FA1B92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Служители, отговорни за съответните части на ОД от всички отдели </w:t>
            </w:r>
          </w:p>
        </w:tc>
        <w:tc>
          <w:tcPr>
            <w:tcW w:w="4253" w:type="dxa"/>
            <w:shd w:val="clear" w:color="auto" w:fill="auto"/>
            <w:vAlign w:val="center"/>
          </w:tcPr>
          <w:p w14:paraId="6D369346" w14:textId="5FA48254"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Събират, обобщават и анализират необходимата информация за ОД за изпълнението на ОПДУ и въвеждат информацията в съответните раздели в създадения общ файл. Указания за агрегиране на данните относно напредъка по индикаторите, който се отчита в годишния/окончателния доклад за изпълнението на ОПДУ, са дадени в Приложение 1 към настоящата процедура.</w:t>
            </w:r>
          </w:p>
        </w:tc>
        <w:tc>
          <w:tcPr>
            <w:tcW w:w="2409" w:type="dxa"/>
            <w:shd w:val="clear" w:color="auto" w:fill="auto"/>
            <w:vAlign w:val="center"/>
          </w:tcPr>
          <w:p w14:paraId="61BCE0F5" w14:textId="49F1992A"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01.11.2024 г.</w:t>
            </w:r>
          </w:p>
        </w:tc>
      </w:tr>
      <w:tr w:rsidR="004866B4" w:rsidRPr="00B21461" w14:paraId="6882D381" w14:textId="77777777" w:rsidTr="000F110C">
        <w:trPr>
          <w:trHeight w:val="609"/>
          <w:jc w:val="center"/>
        </w:trPr>
        <w:tc>
          <w:tcPr>
            <w:tcW w:w="454" w:type="dxa"/>
            <w:vAlign w:val="center"/>
          </w:tcPr>
          <w:p w14:paraId="159C44F0" w14:textId="141A9FF8" w:rsidR="004866B4" w:rsidRPr="00B21461" w:rsidRDefault="004866B4" w:rsidP="004866B4">
            <w:pPr>
              <w:spacing w:after="0" w:line="240" w:lineRule="auto"/>
              <w:jc w:val="both"/>
              <w:rPr>
                <w:rFonts w:ascii="Times New Roman" w:hAnsi="Times New Roman"/>
                <w:sz w:val="16"/>
                <w:szCs w:val="16"/>
                <w:lang w:val="bg-BG"/>
              </w:rPr>
            </w:pPr>
            <w:r>
              <w:rPr>
                <w:rFonts w:ascii="Times New Roman" w:hAnsi="Times New Roman"/>
                <w:sz w:val="16"/>
                <w:szCs w:val="16"/>
                <w:lang w:val="bg-BG"/>
              </w:rPr>
              <w:t>3.</w:t>
            </w:r>
          </w:p>
        </w:tc>
        <w:tc>
          <w:tcPr>
            <w:tcW w:w="1389" w:type="dxa"/>
            <w:vAlign w:val="center"/>
          </w:tcPr>
          <w:p w14:paraId="28FC4D71" w14:textId="2F74242B"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Подготовка и попълване на контролен лист </w:t>
            </w:r>
          </w:p>
        </w:tc>
        <w:tc>
          <w:tcPr>
            <w:tcW w:w="2155" w:type="dxa"/>
            <w:vAlign w:val="center"/>
          </w:tcPr>
          <w:p w14:paraId="7233C15D" w14:textId="053FAD92"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Служители от отдели ПД, МВ и ФУ</w:t>
            </w:r>
          </w:p>
        </w:tc>
        <w:tc>
          <w:tcPr>
            <w:tcW w:w="4253" w:type="dxa"/>
            <w:shd w:val="clear" w:color="auto" w:fill="DEEAF6" w:themeFill="accent1" w:themeFillTint="33"/>
            <w:vAlign w:val="center"/>
          </w:tcPr>
          <w:p w14:paraId="76F2730E" w14:textId="62B10E8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 ПД създава контролния лист (КЛ) за ОД (Приложение VIII-K01).</w:t>
            </w:r>
          </w:p>
          <w:p w14:paraId="468DFA68" w14:textId="448B8D5D"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КЛ се попълва последователно от служители ПД, МВ и ФУ и се насочва към следващия служител, като последният го насочва към началник на отдел ПД</w:t>
            </w:r>
            <w:r>
              <w:rPr>
                <w:rFonts w:ascii="Times New Roman" w:hAnsi="Times New Roman"/>
                <w:sz w:val="16"/>
                <w:szCs w:val="16"/>
                <w:lang w:val="bg-BG"/>
              </w:rPr>
              <w:t>.</w:t>
            </w:r>
          </w:p>
        </w:tc>
        <w:tc>
          <w:tcPr>
            <w:tcW w:w="2409" w:type="dxa"/>
            <w:shd w:val="clear" w:color="auto" w:fill="DEEAF6" w:themeFill="accent1" w:themeFillTint="33"/>
            <w:vAlign w:val="center"/>
          </w:tcPr>
          <w:p w14:paraId="5EDD996C" w14:textId="04A0FC1E"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До последния работен ден от месец </w:t>
            </w:r>
            <w:r>
              <w:rPr>
                <w:rFonts w:ascii="Times New Roman" w:hAnsi="Times New Roman"/>
                <w:sz w:val="16"/>
                <w:szCs w:val="16"/>
                <w:lang w:val="bg-BG"/>
              </w:rPr>
              <w:t>ноември.</w:t>
            </w:r>
          </w:p>
          <w:p w14:paraId="4FCC37BB" w14:textId="77777777" w:rsidR="004866B4" w:rsidRPr="00B21461" w:rsidRDefault="004866B4" w:rsidP="004866B4">
            <w:pPr>
              <w:spacing w:after="0" w:line="240" w:lineRule="auto"/>
              <w:jc w:val="both"/>
              <w:rPr>
                <w:rFonts w:ascii="Times New Roman" w:hAnsi="Times New Roman"/>
                <w:sz w:val="16"/>
                <w:szCs w:val="16"/>
                <w:lang w:val="bg-BG"/>
              </w:rPr>
            </w:pPr>
          </w:p>
        </w:tc>
      </w:tr>
      <w:tr w:rsidR="004866B4" w:rsidRPr="00B21461" w14:paraId="3560C708" w14:textId="77777777" w:rsidTr="000925CD">
        <w:trPr>
          <w:trHeight w:val="1143"/>
          <w:jc w:val="center"/>
        </w:trPr>
        <w:tc>
          <w:tcPr>
            <w:tcW w:w="454" w:type="dxa"/>
            <w:vMerge w:val="restart"/>
            <w:vAlign w:val="center"/>
          </w:tcPr>
          <w:p w14:paraId="49C1313A" w14:textId="28239880" w:rsidR="004866B4" w:rsidRPr="00B21461" w:rsidRDefault="004866B4" w:rsidP="004866B4">
            <w:pPr>
              <w:spacing w:after="0" w:line="240" w:lineRule="auto"/>
              <w:jc w:val="both"/>
              <w:rPr>
                <w:rFonts w:ascii="Times New Roman" w:hAnsi="Times New Roman"/>
                <w:sz w:val="16"/>
                <w:szCs w:val="16"/>
                <w:lang w:val="bg-BG"/>
              </w:rPr>
            </w:pPr>
            <w:r>
              <w:rPr>
                <w:rFonts w:ascii="Times New Roman" w:hAnsi="Times New Roman"/>
                <w:sz w:val="16"/>
                <w:szCs w:val="16"/>
                <w:lang w:val="bg-BG"/>
              </w:rPr>
              <w:t>4.</w:t>
            </w:r>
          </w:p>
        </w:tc>
        <w:tc>
          <w:tcPr>
            <w:tcW w:w="1389" w:type="dxa"/>
            <w:vMerge w:val="restart"/>
            <w:vAlign w:val="center"/>
          </w:tcPr>
          <w:p w14:paraId="6011CBCE" w14:textId="270D7152"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Разглеждане и одобряване на доклада</w:t>
            </w:r>
          </w:p>
        </w:tc>
        <w:tc>
          <w:tcPr>
            <w:tcW w:w="2155" w:type="dxa"/>
            <w:vAlign w:val="center"/>
          </w:tcPr>
          <w:p w14:paraId="18C0198E" w14:textId="3E47881D"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Началници на  отдели </w:t>
            </w:r>
          </w:p>
          <w:p w14:paraId="25C49426" w14:textId="6C4F0FA3" w:rsidR="004866B4" w:rsidRPr="00B21461" w:rsidRDefault="004866B4" w:rsidP="004866B4">
            <w:pPr>
              <w:spacing w:after="0" w:line="240" w:lineRule="auto"/>
              <w:jc w:val="both"/>
              <w:rPr>
                <w:rFonts w:ascii="Times New Roman" w:hAnsi="Times New Roman"/>
                <w:sz w:val="16"/>
                <w:szCs w:val="16"/>
                <w:lang w:val="bg-BG"/>
              </w:rPr>
            </w:pPr>
          </w:p>
        </w:tc>
        <w:tc>
          <w:tcPr>
            <w:tcW w:w="4253" w:type="dxa"/>
            <w:shd w:val="clear" w:color="auto" w:fill="DEEAF6" w:themeFill="accent1" w:themeFillTint="33"/>
            <w:vAlign w:val="center"/>
          </w:tcPr>
          <w:p w14:paraId="01744861" w14:textId="7CAA1C75"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Съгласуват </w:t>
            </w:r>
            <w:r>
              <w:rPr>
                <w:rFonts w:ascii="Times New Roman" w:hAnsi="Times New Roman"/>
                <w:sz w:val="16"/>
                <w:szCs w:val="16"/>
                <w:lang w:val="bg-BG"/>
              </w:rPr>
              <w:t>ОД</w:t>
            </w:r>
            <w:r w:rsidRPr="00B21461">
              <w:rPr>
                <w:rFonts w:ascii="Times New Roman" w:hAnsi="Times New Roman"/>
                <w:sz w:val="16"/>
                <w:szCs w:val="16"/>
                <w:lang w:val="bg-BG"/>
              </w:rPr>
              <w:t>, като последователно попълват КЛ и го насочват към следващия началник на отдел, а началникът на отдел ФУ насочва КЛ към РУО</w:t>
            </w:r>
            <w:r>
              <w:rPr>
                <w:rFonts w:ascii="Times New Roman" w:hAnsi="Times New Roman"/>
                <w:sz w:val="16"/>
                <w:szCs w:val="16"/>
                <w:lang w:val="bg-BG"/>
              </w:rPr>
              <w:t>.</w:t>
            </w:r>
          </w:p>
        </w:tc>
        <w:tc>
          <w:tcPr>
            <w:tcW w:w="2409" w:type="dxa"/>
            <w:shd w:val="clear" w:color="auto" w:fill="DEEAF6" w:themeFill="accent1" w:themeFillTint="33"/>
            <w:vAlign w:val="center"/>
          </w:tcPr>
          <w:p w14:paraId="65096B28" w14:textId="56068F81"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Не по-късно от 15 работни дни преди датата за провеждане на заседанието на КН</w:t>
            </w:r>
            <w:r>
              <w:rPr>
                <w:rFonts w:ascii="Times New Roman" w:hAnsi="Times New Roman"/>
                <w:sz w:val="16"/>
                <w:szCs w:val="16"/>
                <w:lang w:val="bg-BG"/>
              </w:rPr>
              <w:t>.</w:t>
            </w:r>
          </w:p>
        </w:tc>
      </w:tr>
      <w:tr w:rsidR="004866B4" w:rsidRPr="00B21461" w14:paraId="480E8CD3" w14:textId="77777777" w:rsidTr="000925CD">
        <w:trPr>
          <w:trHeight w:val="504"/>
          <w:jc w:val="center"/>
        </w:trPr>
        <w:tc>
          <w:tcPr>
            <w:tcW w:w="454" w:type="dxa"/>
            <w:vMerge/>
            <w:vAlign w:val="center"/>
          </w:tcPr>
          <w:p w14:paraId="3EBCE769"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30ABFD7E" w14:textId="138A6121" w:rsidR="004866B4" w:rsidRPr="00B21461" w:rsidRDefault="004866B4" w:rsidP="004866B4">
            <w:pPr>
              <w:spacing w:after="0" w:line="240" w:lineRule="auto"/>
              <w:jc w:val="both"/>
              <w:rPr>
                <w:rFonts w:ascii="Times New Roman" w:hAnsi="Times New Roman"/>
                <w:sz w:val="16"/>
                <w:szCs w:val="16"/>
                <w:lang w:val="bg-BG"/>
              </w:rPr>
            </w:pPr>
          </w:p>
        </w:tc>
        <w:tc>
          <w:tcPr>
            <w:tcW w:w="2155" w:type="dxa"/>
            <w:vAlign w:val="center"/>
          </w:tcPr>
          <w:p w14:paraId="51288DC2"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РУО на ОПДУ</w:t>
            </w:r>
          </w:p>
        </w:tc>
        <w:tc>
          <w:tcPr>
            <w:tcW w:w="4253" w:type="dxa"/>
            <w:shd w:val="clear" w:color="auto" w:fill="DEEAF6" w:themeFill="accent1" w:themeFillTint="33"/>
            <w:vAlign w:val="center"/>
          </w:tcPr>
          <w:p w14:paraId="1BD33427" w14:textId="54BC2646"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Одобрява </w:t>
            </w:r>
            <w:r>
              <w:rPr>
                <w:rFonts w:ascii="Times New Roman" w:hAnsi="Times New Roman"/>
                <w:sz w:val="16"/>
                <w:szCs w:val="16"/>
                <w:lang w:val="bg-BG"/>
              </w:rPr>
              <w:t>ОД</w:t>
            </w:r>
            <w:r w:rsidRPr="00B21461">
              <w:rPr>
                <w:rFonts w:ascii="Times New Roman" w:hAnsi="Times New Roman"/>
                <w:sz w:val="16"/>
                <w:szCs w:val="16"/>
                <w:lang w:val="bg-BG"/>
              </w:rPr>
              <w:t xml:space="preserve"> и попълва КЛ</w:t>
            </w:r>
          </w:p>
        </w:tc>
        <w:tc>
          <w:tcPr>
            <w:tcW w:w="2409" w:type="dxa"/>
            <w:shd w:val="clear" w:color="auto" w:fill="DEEAF6" w:themeFill="accent1" w:themeFillTint="33"/>
            <w:vAlign w:val="center"/>
          </w:tcPr>
          <w:p w14:paraId="10848C7F" w14:textId="5115202C"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Не по-късно от 1</w:t>
            </w:r>
            <w:r>
              <w:rPr>
                <w:rFonts w:ascii="Times New Roman" w:hAnsi="Times New Roman"/>
                <w:sz w:val="16"/>
                <w:szCs w:val="16"/>
                <w:lang w:val="bg-BG"/>
              </w:rPr>
              <w:t>1</w:t>
            </w:r>
            <w:r w:rsidRPr="00B21461">
              <w:rPr>
                <w:rFonts w:ascii="Times New Roman" w:hAnsi="Times New Roman"/>
                <w:sz w:val="16"/>
                <w:szCs w:val="16"/>
                <w:lang w:val="bg-BG"/>
              </w:rPr>
              <w:t xml:space="preserve"> работни дни преди датата за провеждане на заседанието на КН</w:t>
            </w:r>
            <w:r>
              <w:rPr>
                <w:rFonts w:ascii="Times New Roman" w:hAnsi="Times New Roman"/>
                <w:sz w:val="16"/>
                <w:szCs w:val="16"/>
                <w:lang w:val="bg-BG"/>
              </w:rPr>
              <w:t>.</w:t>
            </w:r>
          </w:p>
        </w:tc>
      </w:tr>
      <w:tr w:rsidR="004866B4" w:rsidRPr="00B21461" w14:paraId="68AC64B7" w14:textId="77777777" w:rsidTr="000925CD">
        <w:trPr>
          <w:trHeight w:val="641"/>
          <w:jc w:val="center"/>
        </w:trPr>
        <w:tc>
          <w:tcPr>
            <w:tcW w:w="454" w:type="dxa"/>
            <w:vMerge/>
            <w:vAlign w:val="center"/>
          </w:tcPr>
          <w:p w14:paraId="43448417"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713D4654" w14:textId="7006785D" w:rsidR="004866B4" w:rsidRPr="00B21461" w:rsidRDefault="004866B4" w:rsidP="004866B4">
            <w:pPr>
              <w:spacing w:after="0" w:line="240" w:lineRule="auto"/>
              <w:jc w:val="both"/>
              <w:rPr>
                <w:rFonts w:ascii="Times New Roman" w:hAnsi="Times New Roman"/>
                <w:sz w:val="16"/>
                <w:szCs w:val="16"/>
                <w:lang w:val="bg-BG"/>
              </w:rPr>
            </w:pPr>
          </w:p>
        </w:tc>
        <w:tc>
          <w:tcPr>
            <w:tcW w:w="2155" w:type="dxa"/>
            <w:vMerge w:val="restart"/>
            <w:vAlign w:val="center"/>
          </w:tcPr>
          <w:p w14:paraId="56BFEFE3"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Секретариат на КН</w:t>
            </w:r>
          </w:p>
        </w:tc>
        <w:tc>
          <w:tcPr>
            <w:tcW w:w="4253" w:type="dxa"/>
            <w:shd w:val="clear" w:color="auto" w:fill="auto"/>
            <w:vAlign w:val="center"/>
          </w:tcPr>
          <w:p w14:paraId="1C62BC8C" w14:textId="32802289"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Изпраща </w:t>
            </w:r>
            <w:r>
              <w:rPr>
                <w:rFonts w:ascii="Times New Roman" w:hAnsi="Times New Roman"/>
                <w:sz w:val="16"/>
                <w:szCs w:val="16"/>
                <w:lang w:val="bg-BG"/>
              </w:rPr>
              <w:t>ОД</w:t>
            </w:r>
            <w:r w:rsidRPr="00B21461">
              <w:rPr>
                <w:rFonts w:ascii="Times New Roman" w:hAnsi="Times New Roman"/>
                <w:sz w:val="16"/>
                <w:szCs w:val="16"/>
                <w:lang w:val="bg-BG"/>
              </w:rPr>
              <w:t xml:space="preserve"> на членовете на КН</w:t>
            </w:r>
          </w:p>
        </w:tc>
        <w:tc>
          <w:tcPr>
            <w:tcW w:w="2409" w:type="dxa"/>
            <w:shd w:val="clear" w:color="auto" w:fill="auto"/>
            <w:vAlign w:val="center"/>
          </w:tcPr>
          <w:p w14:paraId="12E7FB9D"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10 работни дни преди датата за провеждане на заседанието на КН</w:t>
            </w:r>
          </w:p>
        </w:tc>
      </w:tr>
      <w:tr w:rsidR="004866B4" w:rsidRPr="00B21461" w14:paraId="42EF1D45" w14:textId="77777777" w:rsidTr="000925CD">
        <w:trPr>
          <w:trHeight w:val="479"/>
          <w:jc w:val="center"/>
        </w:trPr>
        <w:tc>
          <w:tcPr>
            <w:tcW w:w="454" w:type="dxa"/>
            <w:vMerge/>
            <w:vAlign w:val="center"/>
          </w:tcPr>
          <w:p w14:paraId="3F817913"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38A0A08A" w14:textId="368C4D62" w:rsidR="004866B4" w:rsidRPr="00B21461" w:rsidRDefault="004866B4" w:rsidP="004866B4">
            <w:pPr>
              <w:spacing w:after="0" w:line="240" w:lineRule="auto"/>
              <w:jc w:val="both"/>
              <w:rPr>
                <w:rFonts w:ascii="Times New Roman" w:hAnsi="Times New Roman"/>
                <w:sz w:val="16"/>
                <w:szCs w:val="16"/>
                <w:lang w:val="bg-BG"/>
              </w:rPr>
            </w:pPr>
          </w:p>
        </w:tc>
        <w:tc>
          <w:tcPr>
            <w:tcW w:w="2155" w:type="dxa"/>
            <w:vMerge/>
            <w:vAlign w:val="center"/>
          </w:tcPr>
          <w:p w14:paraId="053BA2BB" w14:textId="77777777" w:rsidR="004866B4" w:rsidRPr="00B21461" w:rsidRDefault="004866B4" w:rsidP="004866B4">
            <w:pPr>
              <w:spacing w:after="0" w:line="240" w:lineRule="auto"/>
              <w:jc w:val="both"/>
              <w:rPr>
                <w:rFonts w:ascii="Times New Roman" w:hAnsi="Times New Roman"/>
                <w:sz w:val="16"/>
                <w:szCs w:val="16"/>
                <w:lang w:val="bg-BG"/>
              </w:rPr>
            </w:pPr>
          </w:p>
        </w:tc>
        <w:tc>
          <w:tcPr>
            <w:tcW w:w="4253" w:type="dxa"/>
            <w:shd w:val="clear" w:color="auto" w:fill="DEEAF6" w:themeFill="accent1" w:themeFillTint="33"/>
            <w:vAlign w:val="center"/>
          </w:tcPr>
          <w:p w14:paraId="5BDE962E" w14:textId="78B9A07B" w:rsidR="004866B4" w:rsidRPr="00B21461" w:rsidRDefault="004866B4" w:rsidP="004866B4">
            <w:pPr>
              <w:spacing w:after="0" w:line="240" w:lineRule="auto"/>
              <w:jc w:val="both"/>
              <w:rPr>
                <w:rFonts w:ascii="Times New Roman" w:hAnsi="Times New Roman"/>
                <w:sz w:val="16"/>
                <w:szCs w:val="16"/>
                <w:lang w:val="bg-BG"/>
              </w:rPr>
            </w:pPr>
            <w:r w:rsidRPr="004866B4">
              <w:rPr>
                <w:rFonts w:ascii="Times New Roman" w:hAnsi="Times New Roman"/>
                <w:sz w:val="16"/>
                <w:szCs w:val="16"/>
                <w:lang w:val="bg-BG"/>
              </w:rPr>
              <w:t xml:space="preserve">В случай че </w:t>
            </w:r>
            <w:r w:rsidRPr="000E2195">
              <w:rPr>
                <w:rFonts w:ascii="Times New Roman" w:hAnsi="Times New Roman"/>
                <w:sz w:val="16"/>
                <w:szCs w:val="16"/>
                <w:lang w:val="bg-BG"/>
              </w:rPr>
              <w:t>ГД</w:t>
            </w:r>
            <w:r w:rsidRPr="004866B4">
              <w:rPr>
                <w:rFonts w:ascii="Times New Roman" w:hAnsi="Times New Roman"/>
                <w:sz w:val="16"/>
                <w:szCs w:val="16"/>
                <w:lang w:val="bg-BG"/>
              </w:rPr>
              <w:t xml:space="preserve"> е одобрен</w:t>
            </w:r>
            <w:r w:rsidRPr="000E2195">
              <w:rPr>
                <w:rFonts w:ascii="Times New Roman" w:hAnsi="Times New Roman"/>
                <w:sz w:val="16"/>
                <w:szCs w:val="16"/>
                <w:lang w:val="bg-BG"/>
              </w:rPr>
              <w:t xml:space="preserve"> от КН на ОПДУ</w:t>
            </w:r>
            <w:r w:rsidRPr="004866B4">
              <w:rPr>
                <w:rFonts w:ascii="Times New Roman" w:hAnsi="Times New Roman"/>
                <w:sz w:val="16"/>
                <w:szCs w:val="16"/>
                <w:lang w:val="bg-BG"/>
              </w:rPr>
              <w:t>, се попълва КЛ.</w:t>
            </w:r>
            <w:r w:rsidRPr="000E2195">
              <w:rPr>
                <w:rFonts w:ascii="Times New Roman" w:hAnsi="Times New Roman"/>
                <w:sz w:val="16"/>
                <w:szCs w:val="16"/>
                <w:highlight w:val="yellow"/>
                <w:lang w:val="bg-BG"/>
              </w:rPr>
              <w:t xml:space="preserve"> </w:t>
            </w:r>
          </w:p>
        </w:tc>
        <w:tc>
          <w:tcPr>
            <w:tcW w:w="2409" w:type="dxa"/>
            <w:shd w:val="clear" w:color="auto" w:fill="DEEAF6" w:themeFill="accent1" w:themeFillTint="33"/>
            <w:vAlign w:val="center"/>
          </w:tcPr>
          <w:p w14:paraId="05345009" w14:textId="54FD49F0" w:rsidR="004866B4" w:rsidRPr="00B21461" w:rsidRDefault="004866B4" w:rsidP="004866B4">
            <w:pPr>
              <w:spacing w:after="0" w:line="240" w:lineRule="auto"/>
              <w:jc w:val="both"/>
              <w:rPr>
                <w:rFonts w:ascii="Times New Roman" w:hAnsi="Times New Roman"/>
                <w:sz w:val="16"/>
                <w:szCs w:val="16"/>
                <w:lang w:val="bg-BG"/>
              </w:rPr>
            </w:pPr>
            <w:r>
              <w:rPr>
                <w:rFonts w:ascii="Times New Roman" w:hAnsi="Times New Roman"/>
                <w:sz w:val="16"/>
                <w:szCs w:val="16"/>
                <w:lang w:val="bg-BG"/>
              </w:rPr>
              <w:t>До 5 работни дни след заседанието</w:t>
            </w:r>
          </w:p>
        </w:tc>
      </w:tr>
      <w:tr w:rsidR="004866B4" w:rsidRPr="00B21461" w14:paraId="7173AA2C" w14:textId="77777777" w:rsidTr="000925CD">
        <w:trPr>
          <w:trHeight w:val="536"/>
          <w:jc w:val="center"/>
        </w:trPr>
        <w:tc>
          <w:tcPr>
            <w:tcW w:w="454" w:type="dxa"/>
            <w:vMerge/>
            <w:vAlign w:val="center"/>
          </w:tcPr>
          <w:p w14:paraId="7EBEB043"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6A42BC27" w14:textId="650EAAE3" w:rsidR="004866B4" w:rsidRPr="00B21461" w:rsidRDefault="004866B4" w:rsidP="004866B4">
            <w:pPr>
              <w:spacing w:after="0" w:line="240" w:lineRule="auto"/>
              <w:jc w:val="both"/>
              <w:rPr>
                <w:rFonts w:ascii="Times New Roman" w:hAnsi="Times New Roman"/>
                <w:sz w:val="16"/>
                <w:szCs w:val="16"/>
                <w:lang w:val="bg-BG"/>
              </w:rPr>
            </w:pPr>
          </w:p>
        </w:tc>
        <w:tc>
          <w:tcPr>
            <w:tcW w:w="2155" w:type="dxa"/>
            <w:vAlign w:val="center"/>
          </w:tcPr>
          <w:p w14:paraId="1D390713" w14:textId="73EFB3BE"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Служители от дирекция ДУ (по компетентност)</w:t>
            </w:r>
          </w:p>
        </w:tc>
        <w:tc>
          <w:tcPr>
            <w:tcW w:w="4253" w:type="dxa"/>
            <w:shd w:val="clear" w:color="auto" w:fill="auto"/>
            <w:vAlign w:val="center"/>
          </w:tcPr>
          <w:p w14:paraId="2FD134C0" w14:textId="140A5C40" w:rsidR="004866B4" w:rsidRPr="00B21461" w:rsidRDefault="004866B4" w:rsidP="004866B4">
            <w:pPr>
              <w:spacing w:after="0" w:line="240" w:lineRule="auto"/>
              <w:jc w:val="both"/>
              <w:rPr>
                <w:rFonts w:ascii="Times New Roman" w:hAnsi="Times New Roman"/>
                <w:sz w:val="16"/>
                <w:szCs w:val="16"/>
                <w:lang w:val="bg-BG"/>
              </w:rPr>
            </w:pPr>
            <w:r>
              <w:rPr>
                <w:rFonts w:ascii="Times New Roman" w:hAnsi="Times New Roman"/>
                <w:sz w:val="16"/>
                <w:szCs w:val="16"/>
                <w:lang w:val="bg-BG"/>
              </w:rPr>
              <w:t>В случай, че КН е дал препоръки за корекции – те се отразяват.</w:t>
            </w:r>
          </w:p>
        </w:tc>
        <w:tc>
          <w:tcPr>
            <w:tcW w:w="2409" w:type="dxa"/>
            <w:shd w:val="clear" w:color="auto" w:fill="auto"/>
            <w:vAlign w:val="center"/>
          </w:tcPr>
          <w:p w14:paraId="07E18338"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5 работни дни след получаване на препоръките</w:t>
            </w:r>
          </w:p>
        </w:tc>
      </w:tr>
      <w:tr w:rsidR="004866B4" w:rsidRPr="00B21461" w14:paraId="64153B1C" w14:textId="77777777" w:rsidTr="000925CD">
        <w:trPr>
          <w:trHeight w:val="479"/>
          <w:jc w:val="center"/>
        </w:trPr>
        <w:tc>
          <w:tcPr>
            <w:tcW w:w="454" w:type="dxa"/>
            <w:vMerge/>
            <w:vAlign w:val="center"/>
          </w:tcPr>
          <w:p w14:paraId="76A21AE6"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7D5447FA" w14:textId="747CE675" w:rsidR="004866B4" w:rsidRPr="00B21461" w:rsidRDefault="004866B4" w:rsidP="004866B4">
            <w:pPr>
              <w:spacing w:after="0" w:line="240" w:lineRule="auto"/>
              <w:jc w:val="both"/>
              <w:rPr>
                <w:rFonts w:ascii="Times New Roman" w:hAnsi="Times New Roman"/>
                <w:sz w:val="16"/>
                <w:szCs w:val="16"/>
                <w:lang w:val="bg-BG"/>
              </w:rPr>
            </w:pPr>
          </w:p>
        </w:tc>
        <w:tc>
          <w:tcPr>
            <w:tcW w:w="2155" w:type="dxa"/>
            <w:vAlign w:val="center"/>
          </w:tcPr>
          <w:p w14:paraId="255A348A" w14:textId="1748D500"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Началници на отдели</w:t>
            </w:r>
          </w:p>
        </w:tc>
        <w:tc>
          <w:tcPr>
            <w:tcW w:w="4253" w:type="dxa"/>
            <w:shd w:val="clear" w:color="auto" w:fill="auto"/>
            <w:vAlign w:val="center"/>
          </w:tcPr>
          <w:p w14:paraId="109E4935" w14:textId="60202DCD"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Съгласуват доклада във връзка с направените корекции по дадените препоръки от КН (ако е необходимо) и го изпращат на РУО</w:t>
            </w:r>
          </w:p>
        </w:tc>
        <w:tc>
          <w:tcPr>
            <w:tcW w:w="2409" w:type="dxa"/>
            <w:shd w:val="clear" w:color="auto" w:fill="auto"/>
            <w:vAlign w:val="center"/>
          </w:tcPr>
          <w:p w14:paraId="236B3D23"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5 работни дни след заседанието на КН, но не по - късно от 25.01.2025 г.</w:t>
            </w:r>
          </w:p>
        </w:tc>
      </w:tr>
      <w:tr w:rsidR="004866B4" w:rsidRPr="00B21461" w14:paraId="6B577396" w14:textId="77777777" w:rsidTr="000925CD">
        <w:trPr>
          <w:trHeight w:val="479"/>
          <w:jc w:val="center"/>
        </w:trPr>
        <w:tc>
          <w:tcPr>
            <w:tcW w:w="454" w:type="dxa"/>
            <w:vMerge/>
            <w:vAlign w:val="center"/>
          </w:tcPr>
          <w:p w14:paraId="3F510BCF"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1D898162" w14:textId="43EEE842" w:rsidR="004866B4" w:rsidRPr="00B21461" w:rsidRDefault="004866B4" w:rsidP="004866B4">
            <w:pPr>
              <w:spacing w:after="0" w:line="240" w:lineRule="auto"/>
              <w:jc w:val="both"/>
              <w:rPr>
                <w:rFonts w:ascii="Times New Roman" w:hAnsi="Times New Roman"/>
                <w:sz w:val="16"/>
                <w:szCs w:val="16"/>
                <w:lang w:val="bg-BG"/>
              </w:rPr>
            </w:pPr>
          </w:p>
        </w:tc>
        <w:tc>
          <w:tcPr>
            <w:tcW w:w="2155" w:type="dxa"/>
            <w:vMerge w:val="restart"/>
            <w:vAlign w:val="center"/>
          </w:tcPr>
          <w:p w14:paraId="3F3548C5"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Ръководител на УО</w:t>
            </w:r>
          </w:p>
        </w:tc>
        <w:tc>
          <w:tcPr>
            <w:tcW w:w="4253" w:type="dxa"/>
            <w:shd w:val="clear" w:color="auto" w:fill="auto"/>
            <w:vAlign w:val="center"/>
          </w:tcPr>
          <w:p w14:paraId="7A3581EF" w14:textId="7C5FDC5D"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Връща доклада на съответния началник на отдел за корекции (процедурата по редакция на доклада се повтаря до окончателно одобрение от РУО)</w:t>
            </w:r>
          </w:p>
        </w:tc>
        <w:tc>
          <w:tcPr>
            <w:tcW w:w="2409" w:type="dxa"/>
            <w:shd w:val="clear" w:color="auto" w:fill="auto"/>
            <w:vAlign w:val="center"/>
          </w:tcPr>
          <w:p w14:paraId="71C69BE4"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2 работни дни от одобрението, но не по - късно от 05.02.2025 г.</w:t>
            </w:r>
          </w:p>
        </w:tc>
      </w:tr>
      <w:tr w:rsidR="004866B4" w:rsidRPr="00B21461" w14:paraId="2BF87C08" w14:textId="77777777" w:rsidTr="000925CD">
        <w:trPr>
          <w:trHeight w:val="479"/>
          <w:jc w:val="center"/>
        </w:trPr>
        <w:tc>
          <w:tcPr>
            <w:tcW w:w="454" w:type="dxa"/>
            <w:vMerge/>
            <w:vAlign w:val="center"/>
          </w:tcPr>
          <w:p w14:paraId="3FAD823A"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14FA21C7" w14:textId="233EEA41" w:rsidR="004866B4" w:rsidRPr="00B21461" w:rsidRDefault="004866B4" w:rsidP="004866B4">
            <w:pPr>
              <w:spacing w:after="0" w:line="240" w:lineRule="auto"/>
              <w:jc w:val="both"/>
              <w:rPr>
                <w:rFonts w:ascii="Times New Roman" w:hAnsi="Times New Roman"/>
                <w:sz w:val="16"/>
                <w:szCs w:val="16"/>
                <w:lang w:val="bg-BG"/>
              </w:rPr>
            </w:pPr>
          </w:p>
        </w:tc>
        <w:tc>
          <w:tcPr>
            <w:tcW w:w="2155" w:type="dxa"/>
            <w:vMerge/>
            <w:vAlign w:val="center"/>
          </w:tcPr>
          <w:p w14:paraId="5AEE9281" w14:textId="77777777" w:rsidR="004866B4" w:rsidRPr="00B21461" w:rsidRDefault="004866B4" w:rsidP="004866B4">
            <w:pPr>
              <w:spacing w:after="0" w:line="240" w:lineRule="auto"/>
              <w:jc w:val="both"/>
              <w:rPr>
                <w:rFonts w:ascii="Times New Roman" w:hAnsi="Times New Roman"/>
                <w:sz w:val="16"/>
                <w:szCs w:val="16"/>
                <w:lang w:val="bg-BG"/>
              </w:rPr>
            </w:pPr>
          </w:p>
        </w:tc>
        <w:tc>
          <w:tcPr>
            <w:tcW w:w="4253" w:type="dxa"/>
            <w:shd w:val="clear" w:color="auto" w:fill="auto"/>
            <w:vAlign w:val="center"/>
          </w:tcPr>
          <w:p w14:paraId="0D773615" w14:textId="62CA2C40"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Одобрява доклада във връзка с направените корекции по дадените препоръки от КН (ако е необходимо).</w:t>
            </w:r>
          </w:p>
        </w:tc>
        <w:tc>
          <w:tcPr>
            <w:tcW w:w="2409" w:type="dxa"/>
            <w:shd w:val="clear" w:color="auto" w:fill="auto"/>
            <w:vAlign w:val="center"/>
          </w:tcPr>
          <w:p w14:paraId="31628797" w14:textId="0495D16D"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 работен ден от получаване на доклада</w:t>
            </w:r>
          </w:p>
        </w:tc>
      </w:tr>
      <w:tr w:rsidR="004866B4" w:rsidRPr="00B21461" w14:paraId="2A159BBC" w14:textId="77777777" w:rsidTr="000925CD">
        <w:trPr>
          <w:trHeight w:val="1498"/>
          <w:jc w:val="center"/>
        </w:trPr>
        <w:tc>
          <w:tcPr>
            <w:tcW w:w="454" w:type="dxa"/>
            <w:vMerge/>
            <w:vAlign w:val="center"/>
          </w:tcPr>
          <w:p w14:paraId="37B472D9"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76BB0004" w14:textId="7E69B0E6" w:rsidR="004866B4" w:rsidRPr="00B21461" w:rsidRDefault="004866B4" w:rsidP="004866B4">
            <w:pPr>
              <w:spacing w:after="0" w:line="240" w:lineRule="auto"/>
              <w:jc w:val="both"/>
              <w:rPr>
                <w:rFonts w:ascii="Times New Roman" w:hAnsi="Times New Roman"/>
                <w:sz w:val="16"/>
                <w:szCs w:val="16"/>
                <w:lang w:val="bg-BG"/>
              </w:rPr>
            </w:pPr>
          </w:p>
        </w:tc>
        <w:tc>
          <w:tcPr>
            <w:tcW w:w="2155" w:type="dxa"/>
            <w:vAlign w:val="center"/>
          </w:tcPr>
          <w:p w14:paraId="1CB1E340"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 от отдел ПД</w:t>
            </w:r>
          </w:p>
          <w:p w14:paraId="7EFC93BC" w14:textId="0FA9BC90" w:rsidR="004866B4" w:rsidRPr="00B21461" w:rsidRDefault="004866B4" w:rsidP="004866B4">
            <w:pPr>
              <w:spacing w:after="0" w:line="240" w:lineRule="auto"/>
              <w:jc w:val="both"/>
              <w:rPr>
                <w:rFonts w:ascii="Times New Roman" w:hAnsi="Times New Roman"/>
                <w:sz w:val="16"/>
                <w:szCs w:val="16"/>
                <w:lang w:val="bg-BG"/>
              </w:rPr>
            </w:pPr>
          </w:p>
        </w:tc>
        <w:tc>
          <w:tcPr>
            <w:tcW w:w="4253" w:type="dxa"/>
            <w:shd w:val="clear" w:color="auto" w:fill="auto"/>
            <w:vAlign w:val="center"/>
          </w:tcPr>
          <w:p w14:paraId="3ABC7DEC" w14:textId="27EA7599" w:rsidR="004866B4" w:rsidRPr="00B21461" w:rsidRDefault="001C00C9"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Публикува </w:t>
            </w:r>
            <w:r>
              <w:rPr>
                <w:rFonts w:ascii="Times New Roman" w:hAnsi="Times New Roman"/>
                <w:sz w:val="16"/>
                <w:szCs w:val="16"/>
                <w:lang w:val="bg-BG"/>
              </w:rPr>
              <w:t xml:space="preserve">ГД </w:t>
            </w:r>
            <w:r w:rsidRPr="00B21461">
              <w:rPr>
                <w:rFonts w:ascii="Times New Roman" w:hAnsi="Times New Roman"/>
                <w:sz w:val="16"/>
                <w:szCs w:val="16"/>
                <w:lang w:val="bg-BG"/>
              </w:rPr>
              <w:t xml:space="preserve">на Единния информационен портал </w:t>
            </w:r>
            <w:r w:rsidRPr="00B21461">
              <w:rPr>
                <w:rFonts w:ascii="Times New Roman" w:hAnsi="Times New Roman"/>
                <w:sz w:val="16"/>
                <w:szCs w:val="16"/>
              </w:rPr>
              <w:t>www</w:t>
            </w:r>
            <w:r w:rsidRPr="00B21461">
              <w:rPr>
                <w:rFonts w:ascii="Times New Roman" w:hAnsi="Times New Roman"/>
                <w:sz w:val="16"/>
                <w:szCs w:val="16"/>
                <w:lang w:val="bg-BG"/>
              </w:rPr>
              <w:t>.</w:t>
            </w:r>
            <w:proofErr w:type="spellStart"/>
            <w:r w:rsidRPr="00B21461">
              <w:rPr>
                <w:rFonts w:ascii="Times New Roman" w:hAnsi="Times New Roman"/>
                <w:sz w:val="16"/>
                <w:szCs w:val="16"/>
              </w:rPr>
              <w:t>eufunds</w:t>
            </w:r>
            <w:proofErr w:type="spellEnd"/>
            <w:r w:rsidRPr="00B21461">
              <w:rPr>
                <w:rFonts w:ascii="Times New Roman" w:hAnsi="Times New Roman"/>
                <w:sz w:val="16"/>
                <w:szCs w:val="16"/>
                <w:lang w:val="bg-BG"/>
              </w:rPr>
              <w:t>.</w:t>
            </w:r>
            <w:proofErr w:type="spellStart"/>
            <w:r w:rsidRPr="00B21461">
              <w:rPr>
                <w:rFonts w:ascii="Times New Roman" w:hAnsi="Times New Roman"/>
                <w:sz w:val="16"/>
                <w:szCs w:val="16"/>
              </w:rPr>
              <w:t>bg</w:t>
            </w:r>
            <w:proofErr w:type="spellEnd"/>
            <w:r w:rsidRPr="00B21461" w:rsidDel="0095726B">
              <w:rPr>
                <w:rFonts w:ascii="Times New Roman" w:hAnsi="Times New Roman"/>
                <w:sz w:val="16"/>
                <w:szCs w:val="16"/>
                <w:lang w:val="bg-BG"/>
              </w:rPr>
              <w:t xml:space="preserve"> </w:t>
            </w:r>
            <w:r w:rsidRPr="00B21461">
              <w:rPr>
                <w:rFonts w:ascii="Times New Roman" w:hAnsi="Times New Roman"/>
                <w:sz w:val="16"/>
                <w:szCs w:val="16"/>
                <w:lang w:val="bg-BG"/>
              </w:rPr>
              <w:t xml:space="preserve">в </w:t>
            </w:r>
            <w:r>
              <w:rPr>
                <w:rFonts w:ascii="Times New Roman" w:hAnsi="Times New Roman"/>
                <w:sz w:val="16"/>
                <w:szCs w:val="16"/>
                <w:lang w:val="bg-BG"/>
              </w:rPr>
              <w:t>секцията на ОПДУ за „</w:t>
            </w:r>
            <w:hyperlink r:id="rId10" w:history="1">
              <w:r w:rsidRPr="00B46AEF">
                <w:rPr>
                  <w:rStyle w:val="Hyperlink"/>
                  <w:rFonts w:ascii="Times New Roman" w:hAnsi="Times New Roman"/>
                  <w:sz w:val="16"/>
                  <w:szCs w:val="16"/>
                  <w:lang w:val="bg-BG"/>
                </w:rPr>
                <w:t>Комитет за наблюдение</w:t>
              </w:r>
            </w:hyperlink>
            <w:r>
              <w:rPr>
                <w:rFonts w:ascii="Times New Roman" w:hAnsi="Times New Roman"/>
                <w:sz w:val="16"/>
                <w:szCs w:val="16"/>
                <w:lang w:val="bg-BG"/>
              </w:rPr>
              <w:t>“.</w:t>
            </w:r>
          </w:p>
        </w:tc>
        <w:tc>
          <w:tcPr>
            <w:tcW w:w="2409" w:type="dxa"/>
            <w:shd w:val="clear" w:color="auto" w:fill="auto"/>
            <w:vAlign w:val="center"/>
          </w:tcPr>
          <w:p w14:paraId="1CF6F46D" w14:textId="2E4EBDF3"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една седмица след провеждането на заседанието на КН или след изпращане доклада до ЕК чрез системата SFC 2014</w:t>
            </w:r>
          </w:p>
          <w:p w14:paraId="6C378C7E" w14:textId="1DD9E0FB" w:rsidR="004866B4" w:rsidRPr="00B21461" w:rsidRDefault="004866B4" w:rsidP="004866B4">
            <w:pPr>
              <w:spacing w:after="0" w:line="240" w:lineRule="auto"/>
              <w:jc w:val="both"/>
              <w:rPr>
                <w:rFonts w:ascii="Times New Roman" w:hAnsi="Times New Roman"/>
                <w:sz w:val="16"/>
                <w:szCs w:val="16"/>
                <w:lang w:val="bg-BG"/>
              </w:rPr>
            </w:pPr>
          </w:p>
        </w:tc>
      </w:tr>
      <w:tr w:rsidR="004866B4" w:rsidRPr="00B21461" w14:paraId="648979B2" w14:textId="77777777" w:rsidTr="008A0A11">
        <w:trPr>
          <w:trHeight w:val="858"/>
          <w:jc w:val="center"/>
        </w:trPr>
        <w:tc>
          <w:tcPr>
            <w:tcW w:w="454" w:type="dxa"/>
            <w:vMerge w:val="restart"/>
            <w:vAlign w:val="center"/>
          </w:tcPr>
          <w:p w14:paraId="378A55E2" w14:textId="302B279B" w:rsidR="004866B4" w:rsidRPr="00B21461" w:rsidRDefault="004866B4" w:rsidP="004866B4">
            <w:pPr>
              <w:spacing w:after="0" w:line="240" w:lineRule="auto"/>
              <w:rPr>
                <w:rFonts w:ascii="Times New Roman" w:hAnsi="Times New Roman"/>
                <w:sz w:val="16"/>
                <w:szCs w:val="16"/>
                <w:lang w:val="bg-BG"/>
              </w:rPr>
            </w:pPr>
            <w:r>
              <w:rPr>
                <w:rFonts w:ascii="Times New Roman" w:hAnsi="Times New Roman"/>
                <w:sz w:val="16"/>
                <w:szCs w:val="16"/>
                <w:lang w:val="bg-BG"/>
              </w:rPr>
              <w:t>5.</w:t>
            </w:r>
          </w:p>
        </w:tc>
        <w:tc>
          <w:tcPr>
            <w:tcW w:w="1389" w:type="dxa"/>
            <w:vMerge w:val="restart"/>
            <w:vAlign w:val="center"/>
          </w:tcPr>
          <w:p w14:paraId="0A65198B" w14:textId="20A6BC16" w:rsidR="004866B4" w:rsidRPr="00B21461" w:rsidRDefault="004866B4" w:rsidP="004866B4">
            <w:pPr>
              <w:spacing w:after="0" w:line="240" w:lineRule="auto"/>
              <w:rPr>
                <w:rFonts w:ascii="Times New Roman" w:hAnsi="Times New Roman"/>
                <w:sz w:val="16"/>
                <w:szCs w:val="16"/>
                <w:lang w:val="bg-BG"/>
              </w:rPr>
            </w:pPr>
            <w:r w:rsidRPr="00B21461">
              <w:rPr>
                <w:rFonts w:ascii="Times New Roman" w:hAnsi="Times New Roman"/>
                <w:sz w:val="16"/>
                <w:szCs w:val="16"/>
                <w:lang w:val="bg-BG"/>
              </w:rPr>
              <w:t xml:space="preserve">Качване на ОД в </w:t>
            </w:r>
            <w:r w:rsidRPr="00B21461">
              <w:rPr>
                <w:rFonts w:ascii="Times New Roman" w:hAnsi="Times New Roman"/>
                <w:sz w:val="16"/>
                <w:szCs w:val="16"/>
              </w:rPr>
              <w:t>SFC</w:t>
            </w:r>
          </w:p>
        </w:tc>
        <w:tc>
          <w:tcPr>
            <w:tcW w:w="2155" w:type="dxa"/>
            <w:vAlign w:val="center"/>
          </w:tcPr>
          <w:p w14:paraId="63919314" w14:textId="03E61A3C"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Началници на отдели</w:t>
            </w:r>
          </w:p>
        </w:tc>
        <w:tc>
          <w:tcPr>
            <w:tcW w:w="4253" w:type="dxa"/>
            <w:shd w:val="clear" w:color="auto" w:fill="auto"/>
            <w:vAlign w:val="center"/>
          </w:tcPr>
          <w:p w14:paraId="62C45F33" w14:textId="2D890F91"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Възлагат на служител от отделите с права за достъп до SFC 2014 да качат съответните части на ОД и валидира ОД в системата SFC 2014</w:t>
            </w:r>
          </w:p>
        </w:tc>
        <w:tc>
          <w:tcPr>
            <w:tcW w:w="2409" w:type="dxa"/>
            <w:shd w:val="clear" w:color="auto" w:fill="auto"/>
            <w:vAlign w:val="center"/>
          </w:tcPr>
          <w:p w14:paraId="228507D0" w14:textId="68AE480B" w:rsidR="004866B4" w:rsidRPr="00B21461" w:rsidRDefault="001C00C9" w:rsidP="001C00C9">
            <w:pPr>
              <w:spacing w:after="0" w:line="240" w:lineRule="auto"/>
              <w:jc w:val="both"/>
              <w:rPr>
                <w:rFonts w:ascii="Times New Roman" w:hAnsi="Times New Roman"/>
                <w:sz w:val="16"/>
                <w:szCs w:val="16"/>
                <w:lang w:val="bg-BG"/>
              </w:rPr>
            </w:pPr>
            <w:r>
              <w:rPr>
                <w:rFonts w:ascii="Times New Roman" w:hAnsi="Times New Roman"/>
                <w:sz w:val="16"/>
                <w:szCs w:val="16"/>
                <w:lang w:val="bg-BG"/>
              </w:rPr>
              <w:t>М</w:t>
            </w:r>
            <w:r w:rsidR="004866B4" w:rsidRPr="00B21461">
              <w:rPr>
                <w:rFonts w:ascii="Times New Roman" w:hAnsi="Times New Roman"/>
                <w:sz w:val="16"/>
                <w:szCs w:val="16"/>
                <w:lang w:val="bg-BG"/>
              </w:rPr>
              <w:t xml:space="preserve">инимум 5 работни дни преди крайния срок за изпращане на ОД на ЕК </w:t>
            </w:r>
          </w:p>
        </w:tc>
      </w:tr>
      <w:tr w:rsidR="004866B4" w:rsidRPr="00B21461" w14:paraId="12604506" w14:textId="77777777" w:rsidTr="008A0A11">
        <w:trPr>
          <w:trHeight w:val="858"/>
          <w:jc w:val="center"/>
        </w:trPr>
        <w:tc>
          <w:tcPr>
            <w:tcW w:w="454" w:type="dxa"/>
            <w:vMerge/>
            <w:vAlign w:val="center"/>
          </w:tcPr>
          <w:p w14:paraId="11E4E4E6" w14:textId="77777777" w:rsidR="004866B4" w:rsidRPr="00B21461" w:rsidRDefault="004866B4" w:rsidP="004866B4">
            <w:pPr>
              <w:spacing w:after="0" w:line="240" w:lineRule="auto"/>
              <w:rPr>
                <w:rFonts w:ascii="Times New Roman" w:hAnsi="Times New Roman"/>
                <w:sz w:val="16"/>
                <w:szCs w:val="16"/>
                <w:lang w:val="bg-BG"/>
              </w:rPr>
            </w:pPr>
          </w:p>
        </w:tc>
        <w:tc>
          <w:tcPr>
            <w:tcW w:w="1389" w:type="dxa"/>
            <w:vMerge/>
            <w:vAlign w:val="center"/>
          </w:tcPr>
          <w:p w14:paraId="35F134E3" w14:textId="510D9A4A" w:rsidR="004866B4" w:rsidRPr="00B21461" w:rsidRDefault="004866B4" w:rsidP="004866B4">
            <w:pPr>
              <w:spacing w:after="0" w:line="240" w:lineRule="auto"/>
              <w:rPr>
                <w:rFonts w:ascii="Times New Roman" w:hAnsi="Times New Roman"/>
                <w:sz w:val="16"/>
                <w:szCs w:val="16"/>
                <w:lang w:val="bg-BG"/>
              </w:rPr>
            </w:pPr>
          </w:p>
        </w:tc>
        <w:tc>
          <w:tcPr>
            <w:tcW w:w="2155" w:type="dxa"/>
            <w:vAlign w:val="center"/>
          </w:tcPr>
          <w:p w14:paraId="0186B75E" w14:textId="0F13761E"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Служители от отдели ПД, МВ и ФУ с права за достъп до SFC 2014</w:t>
            </w:r>
          </w:p>
        </w:tc>
        <w:tc>
          <w:tcPr>
            <w:tcW w:w="4253" w:type="dxa"/>
            <w:shd w:val="clear" w:color="auto" w:fill="auto"/>
            <w:vAlign w:val="center"/>
          </w:tcPr>
          <w:p w14:paraId="28354EE4" w14:textId="5C3AD719"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Качват съответните части на ОД в системата, като служител от отдел ПД финално го валидира </w:t>
            </w:r>
          </w:p>
        </w:tc>
        <w:tc>
          <w:tcPr>
            <w:tcW w:w="2409" w:type="dxa"/>
            <w:shd w:val="clear" w:color="auto" w:fill="auto"/>
            <w:vAlign w:val="center"/>
          </w:tcPr>
          <w:p w14:paraId="20204E15"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15.02.2025 г.</w:t>
            </w:r>
          </w:p>
        </w:tc>
      </w:tr>
      <w:tr w:rsidR="004866B4" w:rsidRPr="00B21461" w14:paraId="73C9ECFB" w14:textId="77777777" w:rsidTr="000F110C">
        <w:trPr>
          <w:trHeight w:val="858"/>
          <w:jc w:val="center"/>
        </w:trPr>
        <w:tc>
          <w:tcPr>
            <w:tcW w:w="454" w:type="dxa"/>
            <w:vAlign w:val="center"/>
          </w:tcPr>
          <w:p w14:paraId="20EE23F6" w14:textId="118FB590" w:rsidR="004866B4" w:rsidRPr="00B21461" w:rsidRDefault="004866B4" w:rsidP="004866B4">
            <w:pPr>
              <w:spacing w:after="0" w:line="240" w:lineRule="auto"/>
              <w:rPr>
                <w:rFonts w:ascii="Times New Roman" w:hAnsi="Times New Roman"/>
                <w:sz w:val="16"/>
                <w:szCs w:val="16"/>
                <w:lang w:val="bg-BG"/>
              </w:rPr>
            </w:pPr>
            <w:r>
              <w:rPr>
                <w:rFonts w:ascii="Times New Roman" w:hAnsi="Times New Roman"/>
                <w:sz w:val="16"/>
                <w:szCs w:val="16"/>
                <w:lang w:val="bg-BG"/>
              </w:rPr>
              <w:t>6.</w:t>
            </w:r>
          </w:p>
        </w:tc>
        <w:tc>
          <w:tcPr>
            <w:tcW w:w="1389" w:type="dxa"/>
            <w:vAlign w:val="center"/>
          </w:tcPr>
          <w:p w14:paraId="602B9D12" w14:textId="152E0122" w:rsidR="004866B4" w:rsidRPr="00B21461" w:rsidDel="00A74A5E" w:rsidRDefault="004866B4" w:rsidP="004866B4">
            <w:pPr>
              <w:spacing w:after="0" w:line="240" w:lineRule="auto"/>
              <w:rPr>
                <w:rFonts w:ascii="Times New Roman" w:hAnsi="Times New Roman"/>
                <w:sz w:val="16"/>
                <w:szCs w:val="16"/>
                <w:lang w:val="bg-BG"/>
              </w:rPr>
            </w:pPr>
            <w:r w:rsidRPr="00B21461">
              <w:rPr>
                <w:rFonts w:ascii="Times New Roman" w:hAnsi="Times New Roman"/>
                <w:sz w:val="16"/>
                <w:szCs w:val="16"/>
                <w:lang w:val="bg-BG"/>
              </w:rPr>
              <w:t xml:space="preserve">Изпращане на Окончателния доклад на ЕК чрез </w:t>
            </w:r>
            <w:r w:rsidRPr="00B21461">
              <w:rPr>
                <w:rFonts w:ascii="Times New Roman" w:hAnsi="Times New Roman"/>
                <w:sz w:val="16"/>
                <w:szCs w:val="16"/>
              </w:rPr>
              <w:t>SFC</w:t>
            </w:r>
          </w:p>
        </w:tc>
        <w:tc>
          <w:tcPr>
            <w:tcW w:w="2155" w:type="dxa"/>
            <w:vAlign w:val="center"/>
          </w:tcPr>
          <w:p w14:paraId="5659AA7E"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Ръководител на УО</w:t>
            </w:r>
          </w:p>
          <w:p w14:paraId="0435B84C" w14:textId="517F955B"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 от отдел ПД</w:t>
            </w:r>
          </w:p>
        </w:tc>
        <w:tc>
          <w:tcPr>
            <w:tcW w:w="4253" w:type="dxa"/>
            <w:shd w:val="clear" w:color="auto" w:fill="DEEAF6" w:themeFill="accent1" w:themeFillTint="33"/>
            <w:vAlign w:val="center"/>
          </w:tcPr>
          <w:p w14:paraId="687E24A0" w14:textId="2C619A24"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РУО изпраща доклада на ЕК.</w:t>
            </w:r>
          </w:p>
          <w:p w14:paraId="1BEBFFA6" w14:textId="345E9C2A" w:rsidR="004866B4" w:rsidRPr="00B21461" w:rsidDel="007F2BDF"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 от отдел ПД попълва КЛ</w:t>
            </w:r>
          </w:p>
        </w:tc>
        <w:tc>
          <w:tcPr>
            <w:tcW w:w="2409" w:type="dxa"/>
            <w:shd w:val="clear" w:color="auto" w:fill="DEEAF6" w:themeFill="accent1" w:themeFillTint="33"/>
            <w:vAlign w:val="center"/>
          </w:tcPr>
          <w:p w14:paraId="47BB3415" w14:textId="56B0E2D1" w:rsidR="004866B4" w:rsidRPr="00B21461" w:rsidRDefault="004866B4" w:rsidP="004866B4">
            <w:pPr>
              <w:spacing w:after="0" w:line="240" w:lineRule="auto"/>
              <w:jc w:val="both"/>
              <w:rPr>
                <w:rFonts w:ascii="Times New Roman" w:hAnsi="Times New Roman"/>
                <w:sz w:val="16"/>
                <w:szCs w:val="16"/>
              </w:rPr>
            </w:pPr>
            <w:r w:rsidRPr="00B21461">
              <w:rPr>
                <w:rFonts w:ascii="Times New Roman" w:hAnsi="Times New Roman"/>
                <w:sz w:val="16"/>
                <w:szCs w:val="16"/>
                <w:lang w:val="bg-BG"/>
              </w:rPr>
              <w:t>Най-късно на 15.02.2025 г.</w:t>
            </w:r>
          </w:p>
        </w:tc>
      </w:tr>
      <w:tr w:rsidR="004866B4" w:rsidRPr="00B21461" w14:paraId="1B352705" w14:textId="77777777" w:rsidTr="00CF1A8C">
        <w:trPr>
          <w:trHeight w:val="858"/>
          <w:jc w:val="center"/>
        </w:trPr>
        <w:tc>
          <w:tcPr>
            <w:tcW w:w="454" w:type="dxa"/>
            <w:vMerge w:val="restart"/>
            <w:vAlign w:val="center"/>
          </w:tcPr>
          <w:p w14:paraId="1F423C70" w14:textId="5D5766E6" w:rsidR="004866B4" w:rsidRPr="00B21461" w:rsidRDefault="004866B4" w:rsidP="004866B4">
            <w:pPr>
              <w:spacing w:after="0" w:line="240" w:lineRule="auto"/>
              <w:jc w:val="both"/>
              <w:rPr>
                <w:rFonts w:ascii="Times New Roman" w:hAnsi="Times New Roman"/>
                <w:sz w:val="16"/>
                <w:szCs w:val="16"/>
                <w:lang w:val="bg-BG"/>
              </w:rPr>
            </w:pPr>
            <w:r>
              <w:rPr>
                <w:rFonts w:ascii="Times New Roman" w:hAnsi="Times New Roman"/>
                <w:sz w:val="16"/>
                <w:szCs w:val="16"/>
                <w:lang w:val="bg-BG"/>
              </w:rPr>
              <w:lastRenderedPageBreak/>
              <w:t>7.</w:t>
            </w:r>
          </w:p>
        </w:tc>
        <w:tc>
          <w:tcPr>
            <w:tcW w:w="1389" w:type="dxa"/>
            <w:vMerge w:val="restart"/>
            <w:vAlign w:val="center"/>
          </w:tcPr>
          <w:p w14:paraId="1244BAA8" w14:textId="6AE6471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Коментари от ЕК (ако е приложимо)</w:t>
            </w:r>
          </w:p>
        </w:tc>
        <w:tc>
          <w:tcPr>
            <w:tcW w:w="2155" w:type="dxa"/>
            <w:vAlign w:val="center"/>
          </w:tcPr>
          <w:p w14:paraId="71B97517" w14:textId="3763272D"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Началници на отдели </w:t>
            </w:r>
          </w:p>
        </w:tc>
        <w:tc>
          <w:tcPr>
            <w:tcW w:w="4253" w:type="dxa"/>
            <w:shd w:val="clear" w:color="auto" w:fill="auto"/>
            <w:vAlign w:val="center"/>
          </w:tcPr>
          <w:p w14:paraId="72CDE26F" w14:textId="71E2C9DA"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При отправени коментари от ЕК началниците на отдели възлагат на служителите в съответния отдел да отразят получените коментари</w:t>
            </w:r>
          </w:p>
        </w:tc>
        <w:tc>
          <w:tcPr>
            <w:tcW w:w="2409" w:type="dxa"/>
            <w:shd w:val="clear" w:color="auto" w:fill="auto"/>
            <w:vAlign w:val="center"/>
          </w:tcPr>
          <w:p w14:paraId="5F74B448"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5 работни дни от получаване на коментарите</w:t>
            </w:r>
            <w:r w:rsidRPr="00B21461">
              <w:rPr>
                <w:rStyle w:val="FootnoteReference"/>
                <w:rFonts w:ascii="Times New Roman" w:hAnsi="Times New Roman"/>
                <w:sz w:val="16"/>
                <w:szCs w:val="16"/>
                <w:lang w:val="bg-BG"/>
              </w:rPr>
              <w:footnoteReference w:id="4"/>
            </w:r>
          </w:p>
        </w:tc>
      </w:tr>
      <w:tr w:rsidR="004866B4" w:rsidRPr="00B21461" w14:paraId="4305D358" w14:textId="77777777" w:rsidTr="00CF1A8C">
        <w:trPr>
          <w:trHeight w:val="858"/>
          <w:jc w:val="center"/>
        </w:trPr>
        <w:tc>
          <w:tcPr>
            <w:tcW w:w="454" w:type="dxa"/>
            <w:vMerge/>
            <w:vAlign w:val="center"/>
          </w:tcPr>
          <w:p w14:paraId="0ADA40CB"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61269DC4" w14:textId="4B154A90" w:rsidR="004866B4" w:rsidRPr="00B21461" w:rsidRDefault="004866B4" w:rsidP="004866B4">
            <w:pPr>
              <w:spacing w:after="0" w:line="240" w:lineRule="auto"/>
              <w:jc w:val="both"/>
              <w:rPr>
                <w:rFonts w:ascii="Times New Roman" w:hAnsi="Times New Roman"/>
                <w:sz w:val="16"/>
                <w:szCs w:val="16"/>
                <w:lang w:val="bg-BG"/>
              </w:rPr>
            </w:pPr>
          </w:p>
        </w:tc>
        <w:tc>
          <w:tcPr>
            <w:tcW w:w="2155" w:type="dxa"/>
            <w:vAlign w:val="center"/>
          </w:tcPr>
          <w:p w14:paraId="217F55D3" w14:textId="12450DE9"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Служители от дирекция ДУ </w:t>
            </w:r>
          </w:p>
        </w:tc>
        <w:tc>
          <w:tcPr>
            <w:tcW w:w="4253" w:type="dxa"/>
            <w:shd w:val="clear" w:color="auto" w:fill="auto"/>
            <w:vAlign w:val="center"/>
          </w:tcPr>
          <w:p w14:paraId="2D0C4F87" w14:textId="7E334D73"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Отразяват получените коментари от ЕК</w:t>
            </w:r>
          </w:p>
        </w:tc>
        <w:tc>
          <w:tcPr>
            <w:tcW w:w="2409" w:type="dxa"/>
            <w:shd w:val="clear" w:color="auto" w:fill="auto"/>
            <w:vAlign w:val="center"/>
          </w:tcPr>
          <w:p w14:paraId="4C53B9A5"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15 работни дни от възлагането</w:t>
            </w:r>
            <w:r w:rsidRPr="00B21461">
              <w:rPr>
                <w:rStyle w:val="FootnoteReference"/>
                <w:rFonts w:ascii="Times New Roman" w:hAnsi="Times New Roman"/>
                <w:sz w:val="16"/>
                <w:szCs w:val="16"/>
                <w:lang w:val="bg-BG"/>
              </w:rPr>
              <w:footnoteReference w:id="5"/>
            </w:r>
          </w:p>
        </w:tc>
      </w:tr>
      <w:tr w:rsidR="004866B4" w:rsidRPr="00B21461" w14:paraId="64DBF98E" w14:textId="77777777" w:rsidTr="00CF1A8C">
        <w:trPr>
          <w:trHeight w:val="858"/>
          <w:jc w:val="center"/>
        </w:trPr>
        <w:tc>
          <w:tcPr>
            <w:tcW w:w="454" w:type="dxa"/>
            <w:vMerge/>
            <w:vAlign w:val="center"/>
          </w:tcPr>
          <w:p w14:paraId="4A207AE9"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5189C018" w14:textId="71F47459" w:rsidR="004866B4" w:rsidRPr="00B21461" w:rsidRDefault="004866B4" w:rsidP="004866B4">
            <w:pPr>
              <w:spacing w:after="0" w:line="240" w:lineRule="auto"/>
              <w:jc w:val="both"/>
              <w:rPr>
                <w:rFonts w:ascii="Times New Roman" w:hAnsi="Times New Roman"/>
                <w:sz w:val="16"/>
                <w:szCs w:val="16"/>
                <w:lang w:val="bg-BG"/>
              </w:rPr>
            </w:pPr>
          </w:p>
        </w:tc>
        <w:tc>
          <w:tcPr>
            <w:tcW w:w="2155" w:type="dxa"/>
            <w:vAlign w:val="center"/>
          </w:tcPr>
          <w:p w14:paraId="2C9B2C7D"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Началниците на отдели</w:t>
            </w:r>
          </w:p>
        </w:tc>
        <w:tc>
          <w:tcPr>
            <w:tcW w:w="4253" w:type="dxa"/>
            <w:shd w:val="clear" w:color="auto" w:fill="auto"/>
            <w:vAlign w:val="center"/>
          </w:tcPr>
          <w:p w14:paraId="58069418" w14:textId="5D1B7B64"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Съгласуват с РУО цялата необходима информация във връзка с коментарите на ЕК и становището на УО относно преценката за целесъобразността от предприемане на мерки </w:t>
            </w:r>
          </w:p>
        </w:tc>
        <w:tc>
          <w:tcPr>
            <w:tcW w:w="2409" w:type="dxa"/>
            <w:shd w:val="clear" w:color="auto" w:fill="auto"/>
            <w:vAlign w:val="center"/>
          </w:tcPr>
          <w:p w14:paraId="0F6C5103"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5 работни дни от получаването на информацията от служителя</w:t>
            </w:r>
          </w:p>
          <w:p w14:paraId="496C8FF8" w14:textId="77777777" w:rsidR="004866B4" w:rsidRPr="00B21461" w:rsidRDefault="004866B4" w:rsidP="004866B4">
            <w:pPr>
              <w:spacing w:after="0" w:line="240" w:lineRule="auto"/>
              <w:jc w:val="both"/>
              <w:rPr>
                <w:rFonts w:ascii="Times New Roman" w:hAnsi="Times New Roman"/>
                <w:sz w:val="16"/>
                <w:szCs w:val="16"/>
                <w:lang w:val="bg-BG"/>
              </w:rPr>
            </w:pPr>
          </w:p>
        </w:tc>
      </w:tr>
      <w:tr w:rsidR="004866B4" w:rsidRPr="00B21461" w14:paraId="31C439FE" w14:textId="77777777" w:rsidTr="00CF1A8C">
        <w:trPr>
          <w:trHeight w:val="858"/>
          <w:jc w:val="center"/>
        </w:trPr>
        <w:tc>
          <w:tcPr>
            <w:tcW w:w="454" w:type="dxa"/>
            <w:vMerge/>
            <w:vAlign w:val="center"/>
          </w:tcPr>
          <w:p w14:paraId="4462F8E5"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66019BF8" w14:textId="5B180ACB" w:rsidR="004866B4" w:rsidRPr="00B21461" w:rsidRDefault="004866B4" w:rsidP="004866B4">
            <w:pPr>
              <w:spacing w:after="0" w:line="240" w:lineRule="auto"/>
              <w:jc w:val="both"/>
              <w:rPr>
                <w:rFonts w:ascii="Times New Roman" w:hAnsi="Times New Roman"/>
                <w:sz w:val="16"/>
                <w:szCs w:val="16"/>
                <w:lang w:val="bg-BG"/>
              </w:rPr>
            </w:pPr>
          </w:p>
        </w:tc>
        <w:tc>
          <w:tcPr>
            <w:tcW w:w="2155" w:type="dxa"/>
            <w:vAlign w:val="center"/>
          </w:tcPr>
          <w:p w14:paraId="66C95BB3" w14:textId="4DD95290"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Началник на отдел ПД</w:t>
            </w:r>
          </w:p>
        </w:tc>
        <w:tc>
          <w:tcPr>
            <w:tcW w:w="4253" w:type="dxa"/>
            <w:shd w:val="clear" w:color="auto" w:fill="auto"/>
            <w:vAlign w:val="center"/>
          </w:tcPr>
          <w:p w14:paraId="55CFBD5D" w14:textId="02599CEC"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Изпраща информацията във връзка с коментарите на ЕК на служителя от отдел ПД, който има права за достъп до SFC 2014</w:t>
            </w:r>
          </w:p>
        </w:tc>
        <w:tc>
          <w:tcPr>
            <w:tcW w:w="2409" w:type="dxa"/>
            <w:shd w:val="clear" w:color="auto" w:fill="auto"/>
            <w:vAlign w:val="center"/>
          </w:tcPr>
          <w:p w14:paraId="1DA082BC"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1 работен ден</w:t>
            </w:r>
          </w:p>
        </w:tc>
      </w:tr>
      <w:tr w:rsidR="004866B4" w:rsidRPr="00B21461" w14:paraId="592DB215" w14:textId="77777777" w:rsidTr="00CF1A8C">
        <w:trPr>
          <w:trHeight w:val="858"/>
          <w:jc w:val="center"/>
        </w:trPr>
        <w:tc>
          <w:tcPr>
            <w:tcW w:w="454" w:type="dxa"/>
            <w:vMerge/>
            <w:vAlign w:val="center"/>
          </w:tcPr>
          <w:p w14:paraId="44E9AC64" w14:textId="77777777" w:rsidR="004866B4" w:rsidRPr="00B21461" w:rsidRDefault="004866B4" w:rsidP="004866B4">
            <w:pPr>
              <w:spacing w:after="0" w:line="240" w:lineRule="auto"/>
              <w:jc w:val="both"/>
              <w:rPr>
                <w:rFonts w:ascii="Times New Roman" w:hAnsi="Times New Roman"/>
                <w:sz w:val="16"/>
                <w:szCs w:val="16"/>
                <w:lang w:val="bg-BG"/>
              </w:rPr>
            </w:pPr>
          </w:p>
        </w:tc>
        <w:tc>
          <w:tcPr>
            <w:tcW w:w="1389" w:type="dxa"/>
            <w:vMerge/>
            <w:vAlign w:val="center"/>
          </w:tcPr>
          <w:p w14:paraId="4FF19AFE" w14:textId="23F3394B" w:rsidR="004866B4" w:rsidRPr="00B21461" w:rsidRDefault="004866B4" w:rsidP="004866B4">
            <w:pPr>
              <w:spacing w:after="0" w:line="240" w:lineRule="auto"/>
              <w:jc w:val="both"/>
              <w:rPr>
                <w:rFonts w:ascii="Times New Roman" w:hAnsi="Times New Roman"/>
                <w:sz w:val="16"/>
                <w:szCs w:val="16"/>
                <w:lang w:val="bg-BG"/>
              </w:rPr>
            </w:pPr>
          </w:p>
        </w:tc>
        <w:tc>
          <w:tcPr>
            <w:tcW w:w="2155" w:type="dxa"/>
            <w:vAlign w:val="center"/>
          </w:tcPr>
          <w:p w14:paraId="02D3D453" w14:textId="04B4F9FB"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 xml:space="preserve">Служител от отдел ПД с права за достъп до SFC 2014 </w:t>
            </w:r>
          </w:p>
        </w:tc>
        <w:tc>
          <w:tcPr>
            <w:tcW w:w="4253" w:type="dxa"/>
            <w:shd w:val="clear" w:color="auto" w:fill="auto"/>
            <w:vAlign w:val="center"/>
          </w:tcPr>
          <w:p w14:paraId="138523A9" w14:textId="2DE6D4B9"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Изпраща на ЕК информацията и становището на УО чрез системата SFC 2014</w:t>
            </w:r>
          </w:p>
        </w:tc>
        <w:tc>
          <w:tcPr>
            <w:tcW w:w="2409" w:type="dxa"/>
            <w:shd w:val="clear" w:color="auto" w:fill="auto"/>
            <w:vAlign w:val="center"/>
          </w:tcPr>
          <w:p w14:paraId="75B5C404"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3 работни дни от получаването, но не по-късно от два месеца след получаване на коментарите от ЕК</w:t>
            </w:r>
          </w:p>
        </w:tc>
      </w:tr>
      <w:tr w:rsidR="004866B4" w:rsidRPr="00B21461" w14:paraId="739B6355" w14:textId="77777777" w:rsidTr="000F110C">
        <w:trPr>
          <w:trHeight w:val="858"/>
          <w:jc w:val="center"/>
        </w:trPr>
        <w:tc>
          <w:tcPr>
            <w:tcW w:w="454" w:type="dxa"/>
            <w:vAlign w:val="center"/>
          </w:tcPr>
          <w:p w14:paraId="09231067" w14:textId="1024C1F1" w:rsidR="004866B4" w:rsidRPr="00B21461" w:rsidRDefault="004866B4" w:rsidP="004866B4">
            <w:pPr>
              <w:spacing w:after="0" w:line="240" w:lineRule="auto"/>
              <w:jc w:val="both"/>
              <w:rPr>
                <w:rFonts w:ascii="Times New Roman" w:hAnsi="Times New Roman"/>
                <w:sz w:val="16"/>
                <w:szCs w:val="16"/>
                <w:lang w:val="bg-BG"/>
              </w:rPr>
            </w:pPr>
            <w:r>
              <w:rPr>
                <w:rFonts w:ascii="Times New Roman" w:hAnsi="Times New Roman"/>
                <w:sz w:val="16"/>
                <w:szCs w:val="16"/>
                <w:lang w:val="bg-BG"/>
              </w:rPr>
              <w:t>8.</w:t>
            </w:r>
          </w:p>
        </w:tc>
        <w:tc>
          <w:tcPr>
            <w:tcW w:w="1389" w:type="dxa"/>
            <w:vAlign w:val="center"/>
          </w:tcPr>
          <w:p w14:paraId="4915A75F" w14:textId="2CFA719B" w:rsidR="004866B4" w:rsidRPr="00B21461" w:rsidRDefault="001C00C9" w:rsidP="004866B4">
            <w:pPr>
              <w:spacing w:after="0" w:line="240" w:lineRule="auto"/>
              <w:jc w:val="both"/>
              <w:rPr>
                <w:rFonts w:ascii="Times New Roman" w:hAnsi="Times New Roman"/>
                <w:sz w:val="16"/>
                <w:szCs w:val="16"/>
                <w:lang w:val="bg-BG"/>
              </w:rPr>
            </w:pPr>
            <w:r>
              <w:rPr>
                <w:rFonts w:ascii="Times New Roman" w:hAnsi="Times New Roman"/>
                <w:sz w:val="16"/>
                <w:szCs w:val="16"/>
                <w:lang w:val="bg-BG"/>
              </w:rPr>
              <w:t>Публикуване на одобрения доклад</w:t>
            </w:r>
          </w:p>
        </w:tc>
        <w:tc>
          <w:tcPr>
            <w:tcW w:w="2155" w:type="dxa"/>
            <w:vAlign w:val="center"/>
          </w:tcPr>
          <w:p w14:paraId="5EC2B5E3" w14:textId="77777777"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Служител от отдел ПД</w:t>
            </w:r>
          </w:p>
        </w:tc>
        <w:tc>
          <w:tcPr>
            <w:tcW w:w="4253" w:type="dxa"/>
            <w:shd w:val="clear" w:color="auto" w:fill="auto"/>
            <w:vAlign w:val="center"/>
          </w:tcPr>
          <w:p w14:paraId="6EC89F27" w14:textId="010EC98F" w:rsidR="004866B4" w:rsidRPr="00B21461" w:rsidRDefault="001C00C9" w:rsidP="004866B4">
            <w:pPr>
              <w:spacing w:after="0" w:line="240" w:lineRule="auto"/>
              <w:jc w:val="both"/>
              <w:rPr>
                <w:rFonts w:ascii="Times New Roman" w:hAnsi="Times New Roman"/>
                <w:sz w:val="16"/>
                <w:szCs w:val="16"/>
                <w:lang w:val="bg-BG"/>
              </w:rPr>
            </w:pPr>
            <w:r>
              <w:rPr>
                <w:rFonts w:ascii="Times New Roman" w:hAnsi="Times New Roman"/>
                <w:sz w:val="16"/>
                <w:szCs w:val="16"/>
                <w:lang w:val="bg-BG"/>
              </w:rPr>
              <w:t>П</w:t>
            </w:r>
            <w:r w:rsidRPr="00B21461">
              <w:rPr>
                <w:rFonts w:ascii="Times New Roman" w:hAnsi="Times New Roman"/>
                <w:sz w:val="16"/>
                <w:szCs w:val="16"/>
                <w:lang w:val="bg-BG"/>
              </w:rPr>
              <w:t xml:space="preserve">убликува </w:t>
            </w:r>
            <w:r>
              <w:rPr>
                <w:rFonts w:ascii="Times New Roman" w:hAnsi="Times New Roman"/>
                <w:sz w:val="16"/>
                <w:szCs w:val="16"/>
                <w:lang w:val="bg-BG"/>
              </w:rPr>
              <w:t>О</w:t>
            </w:r>
            <w:r w:rsidRPr="00B21461">
              <w:rPr>
                <w:rFonts w:ascii="Times New Roman" w:hAnsi="Times New Roman"/>
                <w:sz w:val="16"/>
                <w:szCs w:val="16"/>
                <w:lang w:val="bg-BG"/>
              </w:rPr>
              <w:t xml:space="preserve">Д на Единния информационен портал в </w:t>
            </w:r>
            <w:r>
              <w:rPr>
                <w:rFonts w:ascii="Times New Roman" w:hAnsi="Times New Roman"/>
                <w:sz w:val="16"/>
                <w:szCs w:val="16"/>
                <w:lang w:val="bg-BG"/>
              </w:rPr>
              <w:t>секцията на ОПДУ за</w:t>
            </w:r>
            <w:r w:rsidRPr="00B21461">
              <w:rPr>
                <w:rFonts w:ascii="Times New Roman" w:hAnsi="Times New Roman"/>
                <w:sz w:val="16"/>
                <w:szCs w:val="16"/>
                <w:lang w:val="bg-BG"/>
              </w:rPr>
              <w:t xml:space="preserve"> </w:t>
            </w:r>
            <w:hyperlink r:id="rId11" w:history="1">
              <w:r w:rsidRPr="000D1202">
                <w:rPr>
                  <w:rStyle w:val="Hyperlink"/>
                  <w:rFonts w:ascii="Times New Roman" w:hAnsi="Times New Roman"/>
                  <w:sz w:val="16"/>
                  <w:szCs w:val="16"/>
                  <w:lang w:val="bg-BG"/>
                </w:rPr>
                <w:t>Годишни доклади.</w:t>
              </w:r>
            </w:hyperlink>
          </w:p>
        </w:tc>
        <w:tc>
          <w:tcPr>
            <w:tcW w:w="2409" w:type="dxa"/>
            <w:shd w:val="clear" w:color="auto" w:fill="auto"/>
            <w:vAlign w:val="center"/>
          </w:tcPr>
          <w:p w14:paraId="218E8545" w14:textId="5F344F64" w:rsidR="004866B4" w:rsidRPr="00B21461" w:rsidRDefault="004866B4" w:rsidP="004866B4">
            <w:pPr>
              <w:spacing w:after="0" w:line="240" w:lineRule="auto"/>
              <w:jc w:val="both"/>
              <w:rPr>
                <w:rFonts w:ascii="Times New Roman" w:hAnsi="Times New Roman"/>
                <w:sz w:val="16"/>
                <w:szCs w:val="16"/>
                <w:lang w:val="bg-BG"/>
              </w:rPr>
            </w:pPr>
            <w:r w:rsidRPr="00B21461">
              <w:rPr>
                <w:rFonts w:ascii="Times New Roman" w:hAnsi="Times New Roman"/>
                <w:sz w:val="16"/>
                <w:szCs w:val="16"/>
                <w:lang w:val="bg-BG"/>
              </w:rPr>
              <w:t>До 3 работни дни от приемането на доклада от ЕК, съгласно сроковете и процедурата по чл. 50 от Регламент (ЕС) № 1303/2013</w:t>
            </w:r>
          </w:p>
        </w:tc>
      </w:tr>
    </w:tbl>
    <w:p w14:paraId="0BCFF140" w14:textId="77777777" w:rsidR="004A58A1" w:rsidRPr="00B21461" w:rsidRDefault="004A58A1" w:rsidP="00063DC0">
      <w:pPr>
        <w:tabs>
          <w:tab w:val="left" w:pos="6991"/>
        </w:tabs>
        <w:spacing w:after="0"/>
        <w:jc w:val="right"/>
        <w:rPr>
          <w:rFonts w:ascii="Times New Roman" w:hAnsi="Times New Roman"/>
          <w:i/>
          <w:sz w:val="24"/>
          <w:szCs w:val="24"/>
          <w:lang w:val="bg-BG"/>
        </w:rPr>
      </w:pPr>
    </w:p>
    <w:p w14:paraId="3284EF3E" w14:textId="77777777" w:rsidR="004A58A1" w:rsidRPr="00B21461" w:rsidRDefault="004A58A1" w:rsidP="00063DC0">
      <w:pPr>
        <w:tabs>
          <w:tab w:val="left" w:pos="6991"/>
        </w:tabs>
        <w:spacing w:after="0"/>
        <w:jc w:val="right"/>
        <w:rPr>
          <w:rFonts w:ascii="Times New Roman" w:hAnsi="Times New Roman"/>
          <w:i/>
          <w:sz w:val="24"/>
          <w:szCs w:val="24"/>
          <w:lang w:val="bg-BG"/>
        </w:rPr>
      </w:pPr>
    </w:p>
    <w:p w14:paraId="2B3EA7B8" w14:textId="078C7584" w:rsidR="00BA4CE1" w:rsidRPr="00B21461" w:rsidRDefault="00063DC0" w:rsidP="00063DC0">
      <w:pPr>
        <w:tabs>
          <w:tab w:val="left" w:pos="6991"/>
        </w:tabs>
        <w:spacing w:after="0"/>
        <w:jc w:val="right"/>
        <w:rPr>
          <w:rFonts w:ascii="Times New Roman" w:hAnsi="Times New Roman"/>
          <w:i/>
          <w:sz w:val="24"/>
          <w:szCs w:val="24"/>
          <w:lang w:val="bg-BG"/>
        </w:rPr>
      </w:pPr>
      <w:r w:rsidRPr="00B21461">
        <w:rPr>
          <w:rFonts w:ascii="Times New Roman" w:hAnsi="Times New Roman"/>
          <w:i/>
          <w:sz w:val="24"/>
          <w:szCs w:val="24"/>
          <w:lang w:val="bg-BG"/>
        </w:rPr>
        <w:t>Приложение 1</w:t>
      </w:r>
    </w:p>
    <w:p w14:paraId="4D99D376" w14:textId="77913CED" w:rsidR="00063DC0" w:rsidRPr="00B21461" w:rsidRDefault="00063DC0" w:rsidP="00063DC0">
      <w:pPr>
        <w:tabs>
          <w:tab w:val="left" w:pos="6991"/>
        </w:tabs>
        <w:spacing w:after="0"/>
        <w:jc w:val="right"/>
        <w:rPr>
          <w:rFonts w:ascii="Times New Roman" w:hAnsi="Times New Roman"/>
          <w:i/>
          <w:sz w:val="24"/>
          <w:szCs w:val="24"/>
          <w:lang w:val="bg-BG"/>
        </w:rPr>
      </w:pPr>
    </w:p>
    <w:p w14:paraId="5D6469AD" w14:textId="281A1CC5" w:rsidR="00063DC0" w:rsidRPr="00B21461" w:rsidRDefault="00063DC0" w:rsidP="00974E59">
      <w:pPr>
        <w:jc w:val="center"/>
        <w:rPr>
          <w:rFonts w:ascii="Times New Roman" w:hAnsi="Times New Roman"/>
          <w:b/>
          <w:sz w:val="24"/>
          <w:szCs w:val="24"/>
          <w:lang w:val="bg-BG"/>
        </w:rPr>
      </w:pPr>
      <w:r w:rsidRPr="00B21461">
        <w:rPr>
          <w:rFonts w:ascii="Times New Roman" w:hAnsi="Times New Roman"/>
          <w:b/>
          <w:sz w:val="24"/>
          <w:szCs w:val="24"/>
          <w:lang w:val="bg-BG"/>
        </w:rPr>
        <w:t>Указания за агрегиране на данните относно напредъка по индикаторите, който се отчита в годишния/окончателния доклад за изпълнението на ОПДУ</w:t>
      </w:r>
    </w:p>
    <w:p w14:paraId="7036F7D3" w14:textId="546206F2" w:rsidR="00063DC0" w:rsidRPr="00B21461" w:rsidRDefault="00063DC0" w:rsidP="00063DC0">
      <w:pPr>
        <w:pStyle w:val="ListParagraph"/>
        <w:numPr>
          <w:ilvl w:val="0"/>
          <w:numId w:val="2"/>
        </w:numPr>
        <w:jc w:val="both"/>
        <w:rPr>
          <w:rFonts w:cs="Times New Roman"/>
          <w:b/>
          <w:sz w:val="22"/>
        </w:rPr>
      </w:pPr>
      <w:r w:rsidRPr="00B21461">
        <w:rPr>
          <w:rFonts w:cs="Times New Roman"/>
          <w:b/>
          <w:sz w:val="22"/>
        </w:rPr>
        <w:t>Агрегиране на данните относно специфичните индикатори по програмата за нуждите на годишния доклад за изпълнението (ГДИ) и окончателния доклад</w:t>
      </w:r>
      <w:r w:rsidR="00330258" w:rsidRPr="00B21461">
        <w:rPr>
          <w:rFonts w:cs="Times New Roman"/>
          <w:b/>
          <w:sz w:val="22"/>
        </w:rPr>
        <w:t xml:space="preserve"> (ОД)</w:t>
      </w:r>
    </w:p>
    <w:p w14:paraId="07CE3BAA" w14:textId="0B7B7C13" w:rsidR="00063DC0" w:rsidRPr="00B21461" w:rsidRDefault="00063DC0" w:rsidP="00063DC0">
      <w:pPr>
        <w:jc w:val="both"/>
        <w:rPr>
          <w:rFonts w:ascii="Times New Roman" w:hAnsi="Times New Roman"/>
          <w:lang w:val="bg-BG"/>
        </w:rPr>
      </w:pPr>
      <w:r w:rsidRPr="00B21461">
        <w:rPr>
          <w:rFonts w:ascii="Times New Roman" w:hAnsi="Times New Roman"/>
          <w:lang w:val="bg-BG"/>
        </w:rPr>
        <w:t xml:space="preserve">Във всички ГДИ се отчитат специфичните индикатори по програмата, които са верифицирани от УО в рамките на внесени от бенефициентите пакети отчетни документи, състоящи се от искане за плащане, финансов отчет, технически отчет и </w:t>
      </w:r>
      <w:proofErr w:type="spellStart"/>
      <w:r w:rsidRPr="00B21461">
        <w:rPr>
          <w:rFonts w:ascii="Times New Roman" w:hAnsi="Times New Roman"/>
          <w:lang w:val="bg-BG"/>
        </w:rPr>
        <w:t>микроданни</w:t>
      </w:r>
      <w:proofErr w:type="spellEnd"/>
      <w:r w:rsidRPr="00B21461">
        <w:rPr>
          <w:rFonts w:ascii="Times New Roman" w:hAnsi="Times New Roman"/>
          <w:lang w:val="bg-BG"/>
        </w:rPr>
        <w:t xml:space="preserve"> (където е приложимо</w:t>
      </w:r>
      <w:r w:rsidR="007036A2" w:rsidRPr="00B21461">
        <w:rPr>
          <w:rFonts w:ascii="Times New Roman" w:hAnsi="Times New Roman"/>
          <w:lang w:val="bg-BG"/>
        </w:rPr>
        <w:t xml:space="preserve"> по ПО2 и ПО3</w:t>
      </w:r>
      <w:r w:rsidRPr="00B21461">
        <w:rPr>
          <w:rFonts w:ascii="Times New Roman" w:hAnsi="Times New Roman"/>
          <w:lang w:val="bg-BG"/>
        </w:rPr>
        <w:t xml:space="preserve">) и в пакети отчетни документи, състоящи се само от технически отчет.  Общото правило е </w:t>
      </w:r>
      <w:r w:rsidR="00AF452D" w:rsidRPr="00B21461">
        <w:rPr>
          <w:rFonts w:ascii="Times New Roman" w:hAnsi="Times New Roman"/>
          <w:lang w:val="bg-BG"/>
        </w:rPr>
        <w:t xml:space="preserve">да се отчита напредъкът, отчетен от бенефициентите до </w:t>
      </w:r>
      <w:r w:rsidRPr="00B21461">
        <w:rPr>
          <w:rFonts w:ascii="Times New Roman" w:hAnsi="Times New Roman"/>
          <w:lang w:val="bg-BG"/>
        </w:rPr>
        <w:t>края на календарната година, за която се отнася съответният доклад</w:t>
      </w:r>
      <w:r w:rsidR="005B5B73" w:rsidRPr="00B21461">
        <w:rPr>
          <w:rFonts w:ascii="Times New Roman" w:hAnsi="Times New Roman"/>
          <w:lang w:val="bg-BG"/>
        </w:rPr>
        <w:t>.</w:t>
      </w:r>
      <w:r w:rsidR="00AF452D" w:rsidRPr="00B21461">
        <w:rPr>
          <w:rFonts w:ascii="Times New Roman" w:hAnsi="Times New Roman"/>
          <w:lang w:val="bg-BG"/>
        </w:rPr>
        <w:t xml:space="preserve"> </w:t>
      </w:r>
      <w:r w:rsidR="005B5B73" w:rsidRPr="00B21461">
        <w:rPr>
          <w:rFonts w:ascii="Times New Roman" w:hAnsi="Times New Roman"/>
          <w:lang w:val="bg-BG"/>
        </w:rPr>
        <w:t xml:space="preserve">Напредъкът по индикаторите следва да е </w:t>
      </w:r>
      <w:r w:rsidR="00AF452D" w:rsidRPr="00B21461">
        <w:rPr>
          <w:rFonts w:ascii="Times New Roman" w:hAnsi="Times New Roman"/>
          <w:lang w:val="bg-BG"/>
        </w:rPr>
        <w:t>верифициран от УО</w:t>
      </w:r>
      <w:r w:rsidR="005B5B73" w:rsidRPr="00B21461">
        <w:rPr>
          <w:rFonts w:ascii="Times New Roman" w:hAnsi="Times New Roman"/>
          <w:lang w:val="bg-BG"/>
        </w:rPr>
        <w:t xml:space="preserve"> преди агрегирането на данните за доклада</w:t>
      </w:r>
      <w:r w:rsidRPr="00B21461">
        <w:rPr>
          <w:rFonts w:ascii="Times New Roman" w:hAnsi="Times New Roman"/>
          <w:lang w:val="bg-BG"/>
        </w:rPr>
        <w:t xml:space="preserve">. </w:t>
      </w:r>
      <w:r w:rsidR="00A022A3" w:rsidRPr="00B21461">
        <w:rPr>
          <w:rFonts w:ascii="Times New Roman" w:hAnsi="Times New Roman"/>
          <w:lang w:val="bg-BG"/>
        </w:rPr>
        <w:t>За целта от ИСУН от модул „Наблюдение“, меню „Справка индикатори“ се генерира в табличен вид (Excel) справка за верифицираните стойности на индикаторите.</w:t>
      </w:r>
      <w:r w:rsidR="00AF452D" w:rsidRPr="00B21461">
        <w:rPr>
          <w:rFonts w:ascii="Times New Roman" w:hAnsi="Times New Roman"/>
          <w:lang w:val="bg-BG"/>
        </w:rPr>
        <w:t xml:space="preserve"> </w:t>
      </w:r>
    </w:p>
    <w:p w14:paraId="39239093" w14:textId="280D84CC" w:rsidR="00424922" w:rsidRPr="00B21461" w:rsidRDefault="00AF452D" w:rsidP="00063DC0">
      <w:pPr>
        <w:jc w:val="both"/>
        <w:rPr>
          <w:rFonts w:ascii="Times New Roman" w:hAnsi="Times New Roman"/>
          <w:lang w:val="bg-BG"/>
        </w:rPr>
      </w:pPr>
      <w:r w:rsidRPr="00B21461">
        <w:rPr>
          <w:rFonts w:ascii="Times New Roman" w:hAnsi="Times New Roman"/>
          <w:lang w:val="bg-BG"/>
        </w:rPr>
        <w:t>Тъй като до</w:t>
      </w:r>
      <w:r w:rsidR="00F62885" w:rsidRPr="00B21461">
        <w:rPr>
          <w:rFonts w:ascii="Times New Roman" w:hAnsi="Times New Roman"/>
          <w:lang w:val="bg-BG"/>
        </w:rPr>
        <w:t xml:space="preserve"> 2022 г.</w:t>
      </w:r>
      <w:r w:rsidRPr="00B21461">
        <w:rPr>
          <w:rFonts w:ascii="Times New Roman" w:hAnsi="Times New Roman"/>
          <w:lang w:val="bg-BG"/>
        </w:rPr>
        <w:t xml:space="preserve"> в „Справка индикатори“ при избор на отчетен период се визуализират верифицираните в </w:t>
      </w:r>
      <w:r w:rsidR="00F62885" w:rsidRPr="00B21461">
        <w:rPr>
          <w:rFonts w:ascii="Times New Roman" w:hAnsi="Times New Roman"/>
          <w:lang w:val="bg-BG"/>
        </w:rPr>
        <w:t>този период</w:t>
      </w:r>
      <w:r w:rsidRPr="00B21461">
        <w:rPr>
          <w:rFonts w:ascii="Times New Roman" w:hAnsi="Times New Roman"/>
          <w:lang w:val="bg-BG"/>
        </w:rPr>
        <w:t xml:space="preserve"> индикатори, н</w:t>
      </w:r>
      <w:r w:rsidR="00063DC0" w:rsidRPr="00B21461">
        <w:rPr>
          <w:rFonts w:ascii="Times New Roman" w:hAnsi="Times New Roman"/>
          <w:lang w:val="bg-BG"/>
        </w:rPr>
        <w:t>апредъкът по индикаторите от рамката</w:t>
      </w:r>
      <w:r w:rsidRPr="00B21461">
        <w:rPr>
          <w:rFonts w:ascii="Times New Roman" w:hAnsi="Times New Roman"/>
          <w:lang w:val="bg-BG"/>
        </w:rPr>
        <w:t xml:space="preserve"> за изпълнение</w:t>
      </w:r>
      <w:r w:rsidR="00063DC0" w:rsidRPr="00B21461">
        <w:rPr>
          <w:rFonts w:ascii="Times New Roman" w:hAnsi="Times New Roman"/>
          <w:lang w:val="bg-BG"/>
        </w:rPr>
        <w:t xml:space="preserve"> </w:t>
      </w:r>
      <w:r w:rsidRPr="00B21461">
        <w:rPr>
          <w:rFonts w:ascii="Times New Roman" w:hAnsi="Times New Roman"/>
          <w:lang w:val="bg-BG"/>
        </w:rPr>
        <w:t xml:space="preserve">в </w:t>
      </w:r>
      <w:r w:rsidRPr="00B21461">
        <w:rPr>
          <w:rFonts w:ascii="Times New Roman" w:hAnsi="Times New Roman"/>
          <w:u w:val="single"/>
          <w:lang w:val="bg-BG"/>
        </w:rPr>
        <w:t>ГДИ за 2018 г.</w:t>
      </w:r>
      <w:r w:rsidRPr="00B21461">
        <w:rPr>
          <w:rFonts w:ascii="Times New Roman" w:hAnsi="Times New Roman"/>
          <w:lang w:val="bg-BG"/>
        </w:rPr>
        <w:t xml:space="preserve"> </w:t>
      </w:r>
      <w:r w:rsidR="00063DC0" w:rsidRPr="00B21461">
        <w:rPr>
          <w:rFonts w:ascii="Times New Roman" w:hAnsi="Times New Roman"/>
          <w:lang w:val="bg-BG"/>
        </w:rPr>
        <w:t>(</w:t>
      </w:r>
      <w:r w:rsidR="00A40BF7" w:rsidRPr="00B21461">
        <w:rPr>
          <w:rFonts w:ascii="Times New Roman" w:hAnsi="Times New Roman"/>
          <w:b/>
          <w:lang w:val="bg-BG"/>
        </w:rPr>
        <w:t>О1-3, О1-4, О1-7</w:t>
      </w:r>
      <w:r w:rsidR="003452CB" w:rsidRPr="00B21461">
        <w:rPr>
          <w:rFonts w:ascii="Times New Roman" w:hAnsi="Times New Roman"/>
          <w:b/>
          <w:lang w:val="bg-BG"/>
        </w:rPr>
        <w:t xml:space="preserve">, </w:t>
      </w:r>
      <w:r w:rsidR="00A40BF7" w:rsidRPr="00B21461">
        <w:rPr>
          <w:rFonts w:ascii="Times New Roman" w:hAnsi="Times New Roman"/>
          <w:b/>
          <w:lang w:val="bg-BG"/>
        </w:rPr>
        <w:t>О1-8,</w:t>
      </w:r>
      <w:r w:rsidR="003452CB" w:rsidRPr="00B21461">
        <w:rPr>
          <w:rFonts w:ascii="Times New Roman" w:hAnsi="Times New Roman"/>
          <w:b/>
          <w:lang w:val="bg-BG"/>
        </w:rPr>
        <w:t xml:space="preserve"> </w:t>
      </w:r>
      <w:r w:rsidR="00063DC0" w:rsidRPr="00B21461">
        <w:rPr>
          <w:rFonts w:ascii="Times New Roman" w:hAnsi="Times New Roman"/>
          <w:b/>
          <w:lang w:val="bg-BG"/>
        </w:rPr>
        <w:t>СО20, О2-1, О2-5, О2-6, R2-2</w:t>
      </w:r>
      <w:r w:rsidR="007424D9" w:rsidRPr="00B21461">
        <w:rPr>
          <w:rFonts w:ascii="Times New Roman" w:hAnsi="Times New Roman"/>
          <w:b/>
          <w:lang w:val="bg-BG"/>
        </w:rPr>
        <w:t xml:space="preserve"> и O3-1</w:t>
      </w:r>
      <w:r w:rsidR="00063DC0" w:rsidRPr="00B21461">
        <w:rPr>
          <w:rFonts w:ascii="Times New Roman" w:hAnsi="Times New Roman"/>
          <w:lang w:val="bg-BG"/>
        </w:rPr>
        <w:t xml:space="preserve">) се отчита на база верифицирани не само до края на 2018 г., но също и </w:t>
      </w:r>
      <w:r w:rsidR="00EC2FC7" w:rsidRPr="00B21461">
        <w:rPr>
          <w:rFonts w:ascii="Times New Roman" w:hAnsi="Times New Roman"/>
          <w:lang w:val="bg-BG"/>
        </w:rPr>
        <w:t xml:space="preserve">верифицираните </w:t>
      </w:r>
      <w:r w:rsidR="00063DC0" w:rsidRPr="00B21461">
        <w:rPr>
          <w:rFonts w:ascii="Times New Roman" w:hAnsi="Times New Roman"/>
          <w:lang w:val="bg-BG"/>
        </w:rPr>
        <w:t>през 2019 г.</w:t>
      </w:r>
      <w:r w:rsidR="00EC2FC7" w:rsidRPr="00B21461">
        <w:rPr>
          <w:rFonts w:ascii="Times New Roman" w:hAnsi="Times New Roman"/>
          <w:lang w:val="bg-BG"/>
        </w:rPr>
        <w:t xml:space="preserve"> (преди агрегирането на данните за доклада)</w:t>
      </w:r>
      <w:r w:rsidR="00063DC0" w:rsidRPr="00B21461">
        <w:rPr>
          <w:rFonts w:ascii="Times New Roman" w:hAnsi="Times New Roman"/>
          <w:lang w:val="bg-BG"/>
        </w:rPr>
        <w:t xml:space="preserve">, при условие, че напредъкът е постигнат до края на 2018 г., за което е налице одитна следа. </w:t>
      </w:r>
      <w:r w:rsidR="00424922" w:rsidRPr="00B21461">
        <w:rPr>
          <w:rFonts w:ascii="Times New Roman" w:hAnsi="Times New Roman"/>
          <w:lang w:val="bg-BG"/>
        </w:rPr>
        <w:t xml:space="preserve">Този принцип не се прилага за индикаторите от рамката за изпълнение за 2018 г. </w:t>
      </w:r>
      <w:r w:rsidR="000B0CDE" w:rsidRPr="00B21461">
        <w:rPr>
          <w:rFonts w:ascii="Times New Roman" w:hAnsi="Times New Roman"/>
          <w:b/>
          <w:lang w:val="bg-BG"/>
        </w:rPr>
        <w:t>O3-6 и</w:t>
      </w:r>
      <w:r w:rsidR="00424922" w:rsidRPr="00B21461">
        <w:rPr>
          <w:rFonts w:ascii="Times New Roman" w:hAnsi="Times New Roman"/>
          <w:b/>
          <w:lang w:val="bg-BG"/>
        </w:rPr>
        <w:t xml:space="preserve"> O3-8</w:t>
      </w:r>
      <w:r w:rsidR="000B0CDE" w:rsidRPr="00B21461">
        <w:rPr>
          <w:rFonts w:ascii="Times New Roman" w:hAnsi="Times New Roman"/>
          <w:lang w:val="bg-BG"/>
        </w:rPr>
        <w:t xml:space="preserve"> по ПО3</w:t>
      </w:r>
      <w:r w:rsidR="00424922" w:rsidRPr="00B21461">
        <w:rPr>
          <w:rFonts w:ascii="Times New Roman" w:hAnsi="Times New Roman"/>
          <w:lang w:val="bg-BG"/>
        </w:rPr>
        <w:t>, за които напредъкът се отчита на база на верифицираните в ИСУН стойности към края на 2018 г.</w:t>
      </w:r>
      <w:r w:rsidR="00166BB1" w:rsidRPr="00B21461">
        <w:rPr>
          <w:rFonts w:ascii="Times New Roman" w:hAnsi="Times New Roman"/>
          <w:lang w:val="bg-BG"/>
        </w:rPr>
        <w:t>, аналогично на индикаторите извън рамката за изпълнение за 2018 г.</w:t>
      </w:r>
      <w:r w:rsidR="00424922" w:rsidRPr="00B21461">
        <w:rPr>
          <w:rFonts w:ascii="Times New Roman" w:hAnsi="Times New Roman"/>
          <w:lang w:val="bg-BG"/>
        </w:rPr>
        <w:t xml:space="preserve"> </w:t>
      </w:r>
      <w:r w:rsidR="00063DC0" w:rsidRPr="00B21461">
        <w:rPr>
          <w:rFonts w:ascii="Times New Roman" w:hAnsi="Times New Roman"/>
          <w:lang w:val="bg-BG"/>
        </w:rPr>
        <w:t xml:space="preserve">Финансовите </w:t>
      </w:r>
      <w:r w:rsidR="00063DC0" w:rsidRPr="00B21461">
        <w:rPr>
          <w:rFonts w:ascii="Times New Roman" w:hAnsi="Times New Roman"/>
          <w:lang w:val="bg-BG"/>
        </w:rPr>
        <w:lastRenderedPageBreak/>
        <w:t xml:space="preserve">индикатори по </w:t>
      </w:r>
      <w:r w:rsidR="00F10199" w:rsidRPr="00B21461">
        <w:rPr>
          <w:rFonts w:ascii="Times New Roman" w:hAnsi="Times New Roman"/>
          <w:lang w:val="bg-BG"/>
        </w:rPr>
        <w:t xml:space="preserve"> ПО2 и ПО3</w:t>
      </w:r>
      <w:r w:rsidR="00063DC0" w:rsidRPr="00B21461">
        <w:rPr>
          <w:rFonts w:ascii="Times New Roman" w:hAnsi="Times New Roman"/>
          <w:lang w:val="bg-BG"/>
        </w:rPr>
        <w:t xml:space="preserve"> в рамката</w:t>
      </w:r>
      <w:r w:rsidR="00CE4BFA" w:rsidRPr="00B21461">
        <w:rPr>
          <w:rFonts w:ascii="Times New Roman" w:hAnsi="Times New Roman"/>
          <w:lang w:val="bg-BG"/>
        </w:rPr>
        <w:t xml:space="preserve"> </w:t>
      </w:r>
      <w:r w:rsidR="00CE4BFA" w:rsidRPr="00B21461">
        <w:rPr>
          <w:rFonts w:ascii="Times New Roman" w:hAnsi="Times New Roman"/>
          <w:b/>
          <w:lang w:val="bg-BG"/>
        </w:rPr>
        <w:t>(F-2, F-3)</w:t>
      </w:r>
      <w:r w:rsidR="00063DC0" w:rsidRPr="00B21461">
        <w:rPr>
          <w:rFonts w:ascii="Times New Roman" w:hAnsi="Times New Roman"/>
          <w:lang w:val="bg-BG"/>
        </w:rPr>
        <w:t xml:space="preserve"> се отчитат на база на верифицирани и сертифицирани разходи както до края на 2018 г., така и такива, извършени и платени от бенефициентите до 31.12.2018 г., но верифицирани и  сертифицирани през 2019 г.</w:t>
      </w:r>
      <w:r w:rsidR="00522C23" w:rsidRPr="00B21461">
        <w:rPr>
          <w:rFonts w:ascii="Times New Roman" w:hAnsi="Times New Roman"/>
          <w:lang w:val="bg-BG"/>
        </w:rPr>
        <w:t>, за което е налице одитна следа.</w:t>
      </w:r>
      <w:r w:rsidR="00F10199" w:rsidRPr="00B21461">
        <w:rPr>
          <w:rFonts w:ascii="Times New Roman" w:hAnsi="Times New Roman"/>
          <w:lang w:val="bg-BG"/>
        </w:rPr>
        <w:t xml:space="preserve"> Финансовия</w:t>
      </w:r>
      <w:r w:rsidR="008D505A" w:rsidRPr="00B21461">
        <w:rPr>
          <w:rFonts w:ascii="Times New Roman" w:hAnsi="Times New Roman"/>
          <w:lang w:val="bg-BG"/>
        </w:rPr>
        <w:t>т</w:t>
      </w:r>
      <w:r w:rsidR="00F10199" w:rsidRPr="00B21461">
        <w:rPr>
          <w:rFonts w:ascii="Times New Roman" w:hAnsi="Times New Roman"/>
          <w:lang w:val="bg-BG"/>
        </w:rPr>
        <w:t xml:space="preserve"> индикатор </w:t>
      </w:r>
      <w:r w:rsidR="00F10199" w:rsidRPr="00B21461">
        <w:rPr>
          <w:rFonts w:ascii="Times New Roman" w:hAnsi="Times New Roman"/>
          <w:b/>
        </w:rPr>
        <w:t>F</w:t>
      </w:r>
      <w:r w:rsidR="00F10199" w:rsidRPr="00B21461">
        <w:rPr>
          <w:rFonts w:ascii="Times New Roman" w:hAnsi="Times New Roman"/>
          <w:b/>
          <w:lang w:val="bg-BG"/>
        </w:rPr>
        <w:t>-1</w:t>
      </w:r>
      <w:r w:rsidR="00F10199" w:rsidRPr="00B21461">
        <w:rPr>
          <w:rFonts w:ascii="Times New Roman" w:hAnsi="Times New Roman"/>
          <w:lang w:val="bg-BG"/>
        </w:rPr>
        <w:t xml:space="preserve"> от рамката се отчитат на база на верифицирани и сертифицирани разходи до края на 2018 г.</w:t>
      </w:r>
    </w:p>
    <w:p w14:paraId="0DD38C5A" w14:textId="65596DEC" w:rsidR="00063DC0" w:rsidRPr="00B21461" w:rsidRDefault="00063DC0" w:rsidP="00D46D45">
      <w:pPr>
        <w:jc w:val="both"/>
        <w:rPr>
          <w:rFonts w:ascii="Times New Roman" w:hAnsi="Times New Roman"/>
          <w:lang w:val="bg-BG"/>
        </w:rPr>
      </w:pPr>
      <w:r w:rsidRPr="00B21461">
        <w:rPr>
          <w:rFonts w:ascii="Times New Roman" w:hAnsi="Times New Roman"/>
          <w:lang w:val="bg-BG"/>
        </w:rPr>
        <w:t>Що се отнася до индикаторите извън рамката за изпълнение (</w:t>
      </w:r>
      <w:r w:rsidR="00A40BF7" w:rsidRPr="00B21461">
        <w:rPr>
          <w:rFonts w:ascii="Times New Roman" w:hAnsi="Times New Roman"/>
          <w:lang w:val="bg-BG"/>
        </w:rPr>
        <w:t>О1-1,</w:t>
      </w:r>
      <w:r w:rsidR="00330258" w:rsidRPr="00B21461">
        <w:rPr>
          <w:rFonts w:ascii="Times New Roman" w:hAnsi="Times New Roman"/>
          <w:lang w:val="bg-BG"/>
        </w:rPr>
        <w:t xml:space="preserve"> </w:t>
      </w:r>
      <w:r w:rsidR="00A40BF7" w:rsidRPr="00B21461">
        <w:rPr>
          <w:rFonts w:ascii="Times New Roman" w:hAnsi="Times New Roman"/>
          <w:lang w:val="bg-BG"/>
        </w:rPr>
        <w:t>О1-2,</w:t>
      </w:r>
      <w:r w:rsidR="00330258" w:rsidRPr="00B21461">
        <w:rPr>
          <w:rFonts w:ascii="Times New Roman" w:hAnsi="Times New Roman"/>
          <w:lang w:val="bg-BG"/>
        </w:rPr>
        <w:t xml:space="preserve"> </w:t>
      </w:r>
      <w:r w:rsidR="00A40BF7" w:rsidRPr="00B21461">
        <w:rPr>
          <w:rFonts w:ascii="Times New Roman" w:hAnsi="Times New Roman"/>
          <w:lang w:val="bg-BG"/>
        </w:rPr>
        <w:t>О1-5,</w:t>
      </w:r>
      <w:r w:rsidR="00330258" w:rsidRPr="00B21461">
        <w:rPr>
          <w:rFonts w:ascii="Times New Roman" w:hAnsi="Times New Roman"/>
          <w:lang w:val="bg-BG"/>
        </w:rPr>
        <w:t xml:space="preserve"> </w:t>
      </w:r>
      <w:r w:rsidR="00A40BF7" w:rsidRPr="00B21461">
        <w:rPr>
          <w:rFonts w:ascii="Times New Roman" w:hAnsi="Times New Roman"/>
          <w:lang w:val="bg-BG"/>
        </w:rPr>
        <w:t>О1-6,</w:t>
      </w:r>
      <w:r w:rsidR="00330258" w:rsidRPr="00B21461">
        <w:rPr>
          <w:rFonts w:ascii="Times New Roman" w:hAnsi="Times New Roman"/>
          <w:lang w:val="bg-BG"/>
        </w:rPr>
        <w:t xml:space="preserve"> </w:t>
      </w:r>
      <w:r w:rsidR="00A40BF7" w:rsidRPr="00B21461">
        <w:rPr>
          <w:rFonts w:ascii="Times New Roman" w:hAnsi="Times New Roman"/>
          <w:lang w:val="bg-BG"/>
        </w:rPr>
        <w:t>О1-7,</w:t>
      </w:r>
      <w:r w:rsidR="00330258" w:rsidRPr="00B21461">
        <w:rPr>
          <w:rFonts w:ascii="Times New Roman" w:hAnsi="Times New Roman"/>
          <w:lang w:val="bg-BG"/>
        </w:rPr>
        <w:t xml:space="preserve"> </w:t>
      </w:r>
      <w:r w:rsidR="00A40BF7" w:rsidRPr="00B21461">
        <w:rPr>
          <w:rFonts w:ascii="Times New Roman" w:hAnsi="Times New Roman"/>
          <w:lang w:val="bg-BG"/>
        </w:rPr>
        <w:t>О1-9,</w:t>
      </w:r>
      <w:r w:rsidR="00330258" w:rsidRPr="00B21461">
        <w:rPr>
          <w:rFonts w:ascii="Times New Roman" w:hAnsi="Times New Roman"/>
          <w:lang w:val="bg-BG"/>
        </w:rPr>
        <w:t xml:space="preserve"> </w:t>
      </w:r>
      <w:r w:rsidR="00A40BF7" w:rsidRPr="00B21461">
        <w:rPr>
          <w:rFonts w:ascii="Times New Roman" w:hAnsi="Times New Roman"/>
        </w:rPr>
        <w:t>R</w:t>
      </w:r>
      <w:r w:rsidR="00A40BF7" w:rsidRPr="00B21461">
        <w:rPr>
          <w:rFonts w:ascii="Times New Roman" w:hAnsi="Times New Roman"/>
          <w:lang w:val="bg-BG"/>
        </w:rPr>
        <w:t>1-1,</w:t>
      </w:r>
      <w:r w:rsidR="00330258" w:rsidRPr="00B21461">
        <w:rPr>
          <w:rFonts w:ascii="Times New Roman" w:hAnsi="Times New Roman"/>
          <w:lang w:val="bg-BG"/>
        </w:rPr>
        <w:t xml:space="preserve"> </w:t>
      </w:r>
      <w:r w:rsidR="00A40BF7" w:rsidRPr="00B21461">
        <w:rPr>
          <w:rFonts w:ascii="Times New Roman" w:hAnsi="Times New Roman"/>
        </w:rPr>
        <w:t>R</w:t>
      </w:r>
      <w:r w:rsidR="00A40BF7" w:rsidRPr="00B21461">
        <w:rPr>
          <w:rFonts w:ascii="Times New Roman" w:hAnsi="Times New Roman"/>
          <w:lang w:val="bg-BG"/>
        </w:rPr>
        <w:t>1-2,</w:t>
      </w:r>
      <w:r w:rsidR="00330258" w:rsidRPr="00B21461">
        <w:rPr>
          <w:rFonts w:ascii="Times New Roman" w:hAnsi="Times New Roman"/>
          <w:lang w:val="bg-BG"/>
        </w:rPr>
        <w:t xml:space="preserve"> </w:t>
      </w:r>
      <w:r w:rsidR="00A40BF7" w:rsidRPr="00B21461">
        <w:rPr>
          <w:rFonts w:ascii="Times New Roman" w:hAnsi="Times New Roman"/>
        </w:rPr>
        <w:t>R</w:t>
      </w:r>
      <w:r w:rsidR="00A40BF7" w:rsidRPr="00B21461">
        <w:rPr>
          <w:rFonts w:ascii="Times New Roman" w:hAnsi="Times New Roman"/>
          <w:lang w:val="bg-BG"/>
        </w:rPr>
        <w:t>1-3,</w:t>
      </w:r>
      <w:r w:rsidR="00330258" w:rsidRPr="00B21461">
        <w:rPr>
          <w:rFonts w:ascii="Times New Roman" w:hAnsi="Times New Roman"/>
          <w:lang w:val="bg-BG"/>
        </w:rPr>
        <w:t xml:space="preserve"> </w:t>
      </w:r>
      <w:r w:rsidR="00A40BF7" w:rsidRPr="00B21461">
        <w:rPr>
          <w:rFonts w:ascii="Times New Roman" w:hAnsi="Times New Roman"/>
        </w:rPr>
        <w:t>R</w:t>
      </w:r>
      <w:r w:rsidR="00A40BF7" w:rsidRPr="00B21461">
        <w:rPr>
          <w:rFonts w:ascii="Times New Roman" w:hAnsi="Times New Roman"/>
          <w:lang w:val="bg-BG"/>
        </w:rPr>
        <w:t>1-4,</w:t>
      </w:r>
      <w:r w:rsidR="00330258" w:rsidRPr="00B21461">
        <w:rPr>
          <w:rFonts w:ascii="Times New Roman" w:hAnsi="Times New Roman"/>
          <w:lang w:val="bg-BG"/>
        </w:rPr>
        <w:t xml:space="preserve"> </w:t>
      </w:r>
      <w:r w:rsidR="00A40BF7" w:rsidRPr="00B21461">
        <w:rPr>
          <w:rFonts w:ascii="Times New Roman" w:hAnsi="Times New Roman"/>
        </w:rPr>
        <w:t>R</w:t>
      </w:r>
      <w:r w:rsidR="00A40BF7" w:rsidRPr="00B21461">
        <w:rPr>
          <w:rFonts w:ascii="Times New Roman" w:hAnsi="Times New Roman"/>
          <w:lang w:val="bg-BG"/>
        </w:rPr>
        <w:t>1-5,</w:t>
      </w:r>
      <w:r w:rsidR="00330258" w:rsidRPr="00B21461">
        <w:rPr>
          <w:rFonts w:ascii="Times New Roman" w:hAnsi="Times New Roman"/>
          <w:lang w:val="bg-BG"/>
        </w:rPr>
        <w:t xml:space="preserve"> </w:t>
      </w:r>
      <w:r w:rsidRPr="00B21461">
        <w:rPr>
          <w:rFonts w:ascii="Times New Roman" w:hAnsi="Times New Roman"/>
          <w:lang w:val="bg-BG"/>
        </w:rPr>
        <w:t>О2-2, О2-3, О2-4, R2-1, R2-3, R2-4</w:t>
      </w:r>
      <w:r w:rsidR="005D1A86" w:rsidRPr="00B21461">
        <w:rPr>
          <w:rFonts w:ascii="Times New Roman" w:hAnsi="Times New Roman"/>
          <w:lang w:val="bg-BG"/>
        </w:rPr>
        <w:t xml:space="preserve">, O3-2, O3-3, O3-4, O3-5, O3-7, R3-1, </w:t>
      </w:r>
      <w:r w:rsidR="000D76EF" w:rsidRPr="00B21461">
        <w:rPr>
          <w:rFonts w:ascii="Times New Roman" w:hAnsi="Times New Roman"/>
        </w:rPr>
        <w:t>R</w:t>
      </w:r>
      <w:r w:rsidR="000D76EF" w:rsidRPr="00B21461">
        <w:rPr>
          <w:rFonts w:ascii="Times New Roman" w:hAnsi="Times New Roman"/>
          <w:lang w:val="bg-BG"/>
        </w:rPr>
        <w:t xml:space="preserve">3-2, </w:t>
      </w:r>
      <w:r w:rsidR="005D1A86" w:rsidRPr="00B21461">
        <w:rPr>
          <w:rFonts w:ascii="Times New Roman" w:hAnsi="Times New Roman"/>
          <w:lang w:val="bg-BG"/>
        </w:rPr>
        <w:t>R3-3, СО2</w:t>
      </w:r>
      <w:r w:rsidR="00475DFE" w:rsidRPr="00B21461">
        <w:rPr>
          <w:rFonts w:ascii="Times New Roman" w:hAnsi="Times New Roman"/>
          <w:lang w:val="bg-BG"/>
        </w:rPr>
        <w:t xml:space="preserve">0, </w:t>
      </w:r>
      <w:r w:rsidR="00475DFE" w:rsidRPr="00B21461">
        <w:rPr>
          <w:rFonts w:ascii="Times New Roman" w:hAnsi="Times New Roman"/>
        </w:rPr>
        <w:t>R</w:t>
      </w:r>
      <w:r w:rsidR="00475DFE" w:rsidRPr="00B21461">
        <w:rPr>
          <w:rFonts w:ascii="Times New Roman" w:hAnsi="Times New Roman"/>
          <w:lang w:val="bg-BG"/>
        </w:rPr>
        <w:t xml:space="preserve">4-4, </w:t>
      </w:r>
      <w:r w:rsidR="00475DFE" w:rsidRPr="00B21461">
        <w:rPr>
          <w:rFonts w:ascii="Times New Roman" w:hAnsi="Times New Roman"/>
        </w:rPr>
        <w:t>O</w:t>
      </w:r>
      <w:r w:rsidR="00475DFE" w:rsidRPr="00B21461">
        <w:rPr>
          <w:rFonts w:ascii="Times New Roman" w:hAnsi="Times New Roman"/>
          <w:lang w:val="bg-BG"/>
        </w:rPr>
        <w:t xml:space="preserve">4-1, </w:t>
      </w:r>
      <w:r w:rsidR="00475DFE" w:rsidRPr="00B21461">
        <w:rPr>
          <w:rFonts w:ascii="Times New Roman" w:hAnsi="Times New Roman"/>
        </w:rPr>
        <w:t>O</w:t>
      </w:r>
      <w:r w:rsidR="00475DFE" w:rsidRPr="00B21461">
        <w:rPr>
          <w:rFonts w:ascii="Times New Roman" w:hAnsi="Times New Roman"/>
          <w:lang w:val="bg-BG"/>
        </w:rPr>
        <w:t>4-2,</w:t>
      </w:r>
      <w:r w:rsidR="0054004C" w:rsidRPr="00B21461">
        <w:rPr>
          <w:rFonts w:ascii="Times New Roman" w:hAnsi="Times New Roman"/>
          <w:lang w:val="bg-BG"/>
        </w:rPr>
        <w:t xml:space="preserve"> </w:t>
      </w:r>
      <w:r w:rsidR="0054004C" w:rsidRPr="00B21461">
        <w:rPr>
          <w:rFonts w:ascii="Times New Roman" w:hAnsi="Times New Roman"/>
        </w:rPr>
        <w:t>O</w:t>
      </w:r>
      <w:r w:rsidR="0054004C" w:rsidRPr="00B21461">
        <w:rPr>
          <w:rFonts w:ascii="Times New Roman" w:hAnsi="Times New Roman"/>
          <w:lang w:val="bg-BG"/>
        </w:rPr>
        <w:t>4-3</w:t>
      </w:r>
      <w:r w:rsidR="00475DFE" w:rsidRPr="00B21461">
        <w:rPr>
          <w:rFonts w:ascii="Times New Roman" w:hAnsi="Times New Roman"/>
          <w:lang w:val="bg-BG"/>
        </w:rPr>
        <w:t xml:space="preserve">, </w:t>
      </w:r>
      <w:r w:rsidR="00475DFE" w:rsidRPr="00B21461">
        <w:rPr>
          <w:rFonts w:ascii="Times New Roman" w:hAnsi="Times New Roman"/>
        </w:rPr>
        <w:t>O</w:t>
      </w:r>
      <w:r w:rsidR="00475DFE" w:rsidRPr="00B21461">
        <w:rPr>
          <w:rFonts w:ascii="Times New Roman" w:hAnsi="Times New Roman"/>
          <w:lang w:val="bg-BG"/>
        </w:rPr>
        <w:t xml:space="preserve">4-5, </w:t>
      </w:r>
      <w:r w:rsidR="00475DFE" w:rsidRPr="00B21461">
        <w:rPr>
          <w:rFonts w:ascii="Times New Roman" w:hAnsi="Times New Roman"/>
        </w:rPr>
        <w:t>O</w:t>
      </w:r>
      <w:r w:rsidR="00475DFE" w:rsidRPr="00B21461">
        <w:rPr>
          <w:rFonts w:ascii="Times New Roman" w:hAnsi="Times New Roman"/>
          <w:lang w:val="bg-BG"/>
        </w:rPr>
        <w:t xml:space="preserve">5-1, </w:t>
      </w:r>
      <w:r w:rsidR="00475DFE" w:rsidRPr="00B21461">
        <w:rPr>
          <w:rFonts w:ascii="Times New Roman" w:hAnsi="Times New Roman"/>
        </w:rPr>
        <w:t>O</w:t>
      </w:r>
      <w:r w:rsidR="00475DFE" w:rsidRPr="00B21461">
        <w:rPr>
          <w:rFonts w:ascii="Times New Roman" w:hAnsi="Times New Roman"/>
          <w:lang w:val="bg-BG"/>
        </w:rPr>
        <w:t xml:space="preserve">5-2, </w:t>
      </w:r>
      <w:r w:rsidR="00475DFE" w:rsidRPr="00B21461">
        <w:rPr>
          <w:rFonts w:ascii="Times New Roman" w:hAnsi="Times New Roman"/>
        </w:rPr>
        <w:t>O</w:t>
      </w:r>
      <w:r w:rsidR="00475DFE" w:rsidRPr="00B21461">
        <w:rPr>
          <w:rFonts w:ascii="Times New Roman" w:hAnsi="Times New Roman"/>
          <w:lang w:val="bg-BG"/>
        </w:rPr>
        <w:t xml:space="preserve">5-3, </w:t>
      </w:r>
      <w:r w:rsidR="00475DFE" w:rsidRPr="00B21461">
        <w:rPr>
          <w:rFonts w:ascii="Times New Roman" w:hAnsi="Times New Roman"/>
        </w:rPr>
        <w:t>O</w:t>
      </w:r>
      <w:r w:rsidR="00475DFE" w:rsidRPr="00B21461">
        <w:rPr>
          <w:rFonts w:ascii="Times New Roman" w:hAnsi="Times New Roman"/>
          <w:lang w:val="bg-BG"/>
        </w:rPr>
        <w:t xml:space="preserve">5-4, </w:t>
      </w:r>
      <w:r w:rsidR="00475DFE" w:rsidRPr="00B21461">
        <w:rPr>
          <w:rFonts w:ascii="Times New Roman" w:hAnsi="Times New Roman"/>
        </w:rPr>
        <w:t>O</w:t>
      </w:r>
      <w:r w:rsidR="00475DFE" w:rsidRPr="00B21461">
        <w:rPr>
          <w:rFonts w:ascii="Times New Roman" w:hAnsi="Times New Roman"/>
          <w:lang w:val="bg-BG"/>
        </w:rPr>
        <w:t xml:space="preserve">5-5, </w:t>
      </w:r>
      <w:r w:rsidR="00475DFE" w:rsidRPr="00B21461">
        <w:rPr>
          <w:rFonts w:ascii="Times New Roman" w:hAnsi="Times New Roman"/>
        </w:rPr>
        <w:t>O</w:t>
      </w:r>
      <w:r w:rsidR="00475DFE" w:rsidRPr="00B21461">
        <w:rPr>
          <w:rFonts w:ascii="Times New Roman" w:hAnsi="Times New Roman"/>
          <w:lang w:val="bg-BG"/>
        </w:rPr>
        <w:t>5-6)</w:t>
      </w:r>
      <w:r w:rsidR="00475DFE" w:rsidRPr="00B21461">
        <w:rPr>
          <w:rFonts w:ascii="Times New Roman" w:hAnsi="Times New Roman"/>
          <w:b/>
          <w:lang w:val="bg-BG"/>
        </w:rPr>
        <w:t xml:space="preserve"> </w:t>
      </w:r>
      <w:r w:rsidRPr="00B21461">
        <w:rPr>
          <w:rFonts w:ascii="Times New Roman" w:hAnsi="Times New Roman"/>
          <w:lang w:val="bg-BG"/>
        </w:rPr>
        <w:t xml:space="preserve">напредъкът по тях </w:t>
      </w:r>
      <w:r w:rsidR="00AA6838" w:rsidRPr="00B21461">
        <w:rPr>
          <w:rFonts w:ascii="Times New Roman" w:hAnsi="Times New Roman"/>
          <w:lang w:val="bg-BG"/>
        </w:rPr>
        <w:t xml:space="preserve">в ГДИ за 2018 г. </w:t>
      </w:r>
      <w:r w:rsidRPr="00B21461">
        <w:rPr>
          <w:rFonts w:ascii="Times New Roman" w:hAnsi="Times New Roman"/>
          <w:lang w:val="bg-BG"/>
        </w:rPr>
        <w:t>се отчита на база на верифицираните в ИСУН стойности към края на 2018 г., като от общо верифицираните се вадят отчетените стойности в ГДИ за 2016 и 2017.</w:t>
      </w:r>
      <w:r w:rsidR="00D46D45" w:rsidRPr="00B21461">
        <w:rPr>
          <w:rFonts w:ascii="Times New Roman" w:hAnsi="Times New Roman"/>
          <w:lang w:val="bg-BG"/>
        </w:rPr>
        <w:t xml:space="preserve"> </w:t>
      </w:r>
    </w:p>
    <w:p w14:paraId="07BC16E4" w14:textId="12E1274A" w:rsidR="00063DC0" w:rsidRPr="00B21461" w:rsidRDefault="00063DC0" w:rsidP="00063DC0">
      <w:pPr>
        <w:jc w:val="both"/>
        <w:rPr>
          <w:rFonts w:ascii="Times New Roman" w:hAnsi="Times New Roman"/>
          <w:lang w:val="bg-BG"/>
        </w:rPr>
      </w:pPr>
      <w:r w:rsidRPr="00B21461">
        <w:rPr>
          <w:rFonts w:ascii="Times New Roman" w:hAnsi="Times New Roman"/>
          <w:lang w:val="bg-BG"/>
        </w:rPr>
        <w:t xml:space="preserve">За агрегирането на данните за </w:t>
      </w:r>
      <w:r w:rsidRPr="00B21461">
        <w:rPr>
          <w:rFonts w:ascii="Times New Roman" w:hAnsi="Times New Roman"/>
          <w:u w:val="single"/>
          <w:lang w:val="bg-BG"/>
        </w:rPr>
        <w:t>ГДИ за 2019</w:t>
      </w:r>
      <w:r w:rsidR="005156F7" w:rsidRPr="00B21461">
        <w:rPr>
          <w:rFonts w:ascii="Times New Roman" w:hAnsi="Times New Roman"/>
          <w:u w:val="single"/>
          <w:lang w:val="bg-BG"/>
        </w:rPr>
        <w:t xml:space="preserve"> и</w:t>
      </w:r>
      <w:r w:rsidRPr="00B21461">
        <w:rPr>
          <w:rFonts w:ascii="Times New Roman" w:hAnsi="Times New Roman"/>
          <w:u w:val="single"/>
          <w:lang w:val="bg-BG"/>
        </w:rPr>
        <w:t xml:space="preserve"> 2020</w:t>
      </w:r>
      <w:r w:rsidR="005B5B73" w:rsidRPr="00B21461">
        <w:rPr>
          <w:rFonts w:ascii="Times New Roman" w:hAnsi="Times New Roman"/>
          <w:u w:val="single"/>
          <w:lang w:val="bg-BG"/>
        </w:rPr>
        <w:t xml:space="preserve"> г.</w:t>
      </w:r>
      <w:r w:rsidRPr="00B21461">
        <w:rPr>
          <w:rFonts w:ascii="Times New Roman" w:hAnsi="Times New Roman"/>
          <w:u w:val="single"/>
          <w:lang w:val="bg-BG"/>
        </w:rPr>
        <w:t xml:space="preserve"> </w:t>
      </w:r>
      <w:r w:rsidRPr="00B21461">
        <w:rPr>
          <w:rFonts w:ascii="Times New Roman" w:hAnsi="Times New Roman"/>
          <w:lang w:val="bg-BG"/>
        </w:rPr>
        <w:t xml:space="preserve">се следва подходът на отчитане на база на верифицираните в ИСУН стойности </w:t>
      </w:r>
      <w:r w:rsidR="00AA6838" w:rsidRPr="00B21461">
        <w:rPr>
          <w:rFonts w:ascii="Times New Roman" w:hAnsi="Times New Roman"/>
          <w:lang w:val="bg-BG"/>
        </w:rPr>
        <w:t>до края на</w:t>
      </w:r>
      <w:r w:rsidRPr="00B21461">
        <w:rPr>
          <w:rFonts w:ascii="Times New Roman" w:hAnsi="Times New Roman"/>
          <w:lang w:val="bg-BG"/>
        </w:rPr>
        <w:t xml:space="preserve"> съответната отчетна година за всички индикатори, изброени по-горе</w:t>
      </w:r>
      <w:r w:rsidR="005B5B73" w:rsidRPr="00B21461">
        <w:rPr>
          <w:rStyle w:val="FootnoteReference"/>
          <w:rFonts w:ascii="Times New Roman" w:hAnsi="Times New Roman"/>
          <w:lang w:val="bg-BG"/>
        </w:rPr>
        <w:footnoteReference w:id="6"/>
      </w:r>
      <w:r w:rsidRPr="00B21461">
        <w:rPr>
          <w:rFonts w:ascii="Times New Roman" w:hAnsi="Times New Roman"/>
          <w:lang w:val="bg-BG"/>
        </w:rPr>
        <w:t xml:space="preserve">. </w:t>
      </w:r>
      <w:r w:rsidR="0091720C" w:rsidRPr="00B21461">
        <w:rPr>
          <w:rFonts w:ascii="Times New Roman" w:hAnsi="Times New Roman"/>
          <w:lang w:val="bg-BG"/>
        </w:rPr>
        <w:t xml:space="preserve">За </w:t>
      </w:r>
      <w:r w:rsidR="00761140" w:rsidRPr="00B21461">
        <w:rPr>
          <w:rFonts w:ascii="Times New Roman" w:hAnsi="Times New Roman"/>
          <w:lang w:val="bg-BG"/>
        </w:rPr>
        <w:t xml:space="preserve">агрегирането на данните за </w:t>
      </w:r>
      <w:r w:rsidR="0091720C" w:rsidRPr="00B21461">
        <w:rPr>
          <w:rFonts w:ascii="Times New Roman" w:hAnsi="Times New Roman"/>
          <w:lang w:val="bg-BG"/>
        </w:rPr>
        <w:t>ГДИ 2019 г.</w:t>
      </w:r>
      <w:r w:rsidR="00F84CF1" w:rsidRPr="00B21461">
        <w:rPr>
          <w:rFonts w:ascii="Times New Roman" w:hAnsi="Times New Roman"/>
          <w:lang w:val="bg-BG"/>
        </w:rPr>
        <w:t>,</w:t>
      </w:r>
      <w:r w:rsidR="0091720C" w:rsidRPr="00B21461">
        <w:rPr>
          <w:rFonts w:ascii="Times New Roman" w:hAnsi="Times New Roman"/>
          <w:lang w:val="bg-BG"/>
        </w:rPr>
        <w:t xml:space="preserve"> н</w:t>
      </w:r>
      <w:r w:rsidRPr="00B21461">
        <w:rPr>
          <w:rFonts w:ascii="Times New Roman" w:hAnsi="Times New Roman"/>
          <w:lang w:val="bg-BG"/>
        </w:rPr>
        <w:t>апредъкът по индикаторите от рамката (</w:t>
      </w:r>
      <w:r w:rsidR="003452CB" w:rsidRPr="00B21461">
        <w:rPr>
          <w:rFonts w:ascii="Times New Roman" w:hAnsi="Times New Roman"/>
          <w:b/>
          <w:lang w:val="bg-BG"/>
        </w:rPr>
        <w:t>О1-3, О1-4, О1-7, О1-8, СО20, О2-1, О2-5, О2-6, R2-2 и O3-1</w:t>
      </w:r>
      <w:r w:rsidRPr="00B21461">
        <w:rPr>
          <w:rFonts w:ascii="Times New Roman" w:hAnsi="Times New Roman"/>
          <w:lang w:val="bg-BG"/>
        </w:rPr>
        <w:t xml:space="preserve">), постигнат през 2018 г., но верифициран през 2019 г. и отчетен в ГДИ за 2018 г. следва да се извади от общо верифицираната през 2019 г. стойност на тези индикатори, за да не се допусне дублиране в отчитането през 2018 и 2019 г. </w:t>
      </w:r>
    </w:p>
    <w:p w14:paraId="7E211397" w14:textId="5E5CB188" w:rsidR="005156F7" w:rsidRPr="00B21461" w:rsidRDefault="00063DC0" w:rsidP="00063DC0">
      <w:pPr>
        <w:jc w:val="both"/>
        <w:rPr>
          <w:rFonts w:ascii="Times New Roman" w:hAnsi="Times New Roman"/>
          <w:lang w:val="bg-BG"/>
        </w:rPr>
      </w:pPr>
      <w:r w:rsidRPr="00B21461">
        <w:rPr>
          <w:rFonts w:ascii="Times New Roman" w:hAnsi="Times New Roman"/>
          <w:lang w:val="bg-BG"/>
        </w:rPr>
        <w:t xml:space="preserve">Агрегирането на данните за </w:t>
      </w:r>
      <w:r w:rsidR="005156F7" w:rsidRPr="00B21461">
        <w:rPr>
          <w:rFonts w:ascii="Times New Roman" w:hAnsi="Times New Roman"/>
          <w:u w:val="single"/>
          <w:lang w:val="bg-BG"/>
        </w:rPr>
        <w:t xml:space="preserve">ГДИ за 2021 </w:t>
      </w:r>
      <w:r w:rsidR="008D4729" w:rsidRPr="00B21461">
        <w:rPr>
          <w:rFonts w:ascii="Times New Roman" w:hAnsi="Times New Roman"/>
          <w:u w:val="single"/>
          <w:lang w:val="bg-BG"/>
        </w:rPr>
        <w:t xml:space="preserve">г. </w:t>
      </w:r>
      <w:r w:rsidR="005156F7" w:rsidRPr="00B21461">
        <w:rPr>
          <w:rFonts w:ascii="Times New Roman" w:hAnsi="Times New Roman"/>
          <w:u w:val="single"/>
          <w:lang w:val="bg-BG"/>
        </w:rPr>
        <w:t>и 2022 г.</w:t>
      </w:r>
      <w:r w:rsidR="005156F7" w:rsidRPr="00B21461">
        <w:rPr>
          <w:rFonts w:ascii="Times New Roman" w:hAnsi="Times New Roman"/>
          <w:lang w:val="bg-BG"/>
        </w:rPr>
        <w:t xml:space="preserve"> </w:t>
      </w:r>
      <w:r w:rsidR="005B5B73" w:rsidRPr="00B21461">
        <w:rPr>
          <w:rFonts w:ascii="Times New Roman" w:hAnsi="Times New Roman"/>
          <w:lang w:val="bg-BG"/>
        </w:rPr>
        <w:t>се извършва въз основа на напредъка, отчетен от бенефициентите към края на отчетната календарна година, верифициран от УО</w:t>
      </w:r>
      <w:r w:rsidR="00E52260" w:rsidRPr="00B21461">
        <w:rPr>
          <w:rFonts w:ascii="Times New Roman" w:hAnsi="Times New Roman"/>
          <w:lang w:val="bg-BG"/>
        </w:rPr>
        <w:t xml:space="preserve"> през същата или следващата година до агрегирането на данните за доклада</w:t>
      </w:r>
      <w:r w:rsidR="00E52260" w:rsidRPr="00B21461">
        <w:rPr>
          <w:rStyle w:val="FootnoteReference"/>
          <w:rFonts w:ascii="Times New Roman" w:hAnsi="Times New Roman"/>
          <w:lang w:val="bg-BG"/>
        </w:rPr>
        <w:footnoteReference w:id="7"/>
      </w:r>
      <w:r w:rsidR="005B5B73" w:rsidRPr="00B21461">
        <w:rPr>
          <w:rFonts w:ascii="Times New Roman" w:hAnsi="Times New Roman"/>
          <w:lang w:val="bg-BG"/>
        </w:rPr>
        <w:t>.</w:t>
      </w:r>
    </w:p>
    <w:p w14:paraId="55C6D329" w14:textId="0D3AB740" w:rsidR="00063DC0" w:rsidRPr="00B21461" w:rsidRDefault="005B5B73" w:rsidP="00063DC0">
      <w:pPr>
        <w:jc w:val="both"/>
        <w:rPr>
          <w:rFonts w:ascii="Times New Roman" w:hAnsi="Times New Roman"/>
          <w:lang w:val="bg-BG"/>
        </w:rPr>
      </w:pPr>
      <w:r w:rsidRPr="00B21461">
        <w:rPr>
          <w:rFonts w:ascii="Times New Roman" w:hAnsi="Times New Roman"/>
          <w:lang w:val="bg-BG"/>
        </w:rPr>
        <w:t xml:space="preserve">Агрегирането на данните за </w:t>
      </w:r>
      <w:r w:rsidR="00AA6838" w:rsidRPr="00B21461">
        <w:rPr>
          <w:rFonts w:ascii="Times New Roman" w:hAnsi="Times New Roman"/>
          <w:u w:val="single"/>
          <w:lang w:val="bg-BG"/>
        </w:rPr>
        <w:t>ОД</w:t>
      </w:r>
      <w:r w:rsidR="00063DC0" w:rsidRPr="00B21461">
        <w:rPr>
          <w:rFonts w:ascii="Times New Roman" w:hAnsi="Times New Roman"/>
          <w:lang w:val="bg-BG"/>
        </w:rPr>
        <w:t xml:space="preserve"> се извършва </w:t>
      </w:r>
      <w:r w:rsidR="0077138D" w:rsidRPr="00B21461">
        <w:rPr>
          <w:rFonts w:ascii="Times New Roman" w:hAnsi="Times New Roman"/>
          <w:lang w:val="bg-BG"/>
        </w:rPr>
        <w:t>въз основа на напредъка</w:t>
      </w:r>
      <w:r w:rsidR="009B513A" w:rsidRPr="00B21461">
        <w:rPr>
          <w:rFonts w:ascii="Times New Roman" w:hAnsi="Times New Roman"/>
          <w:lang w:val="bg-BG"/>
        </w:rPr>
        <w:t>, постигнат до края на 20</w:t>
      </w:r>
      <w:r w:rsidR="009B513A" w:rsidRPr="00B21461">
        <w:rPr>
          <w:rFonts w:ascii="Times New Roman" w:hAnsi="Times New Roman"/>
        </w:rPr>
        <w:t>23</w:t>
      </w:r>
      <w:r w:rsidR="009B513A" w:rsidRPr="00B21461">
        <w:rPr>
          <w:rFonts w:ascii="Times New Roman" w:hAnsi="Times New Roman"/>
          <w:lang w:val="bg-BG"/>
        </w:rPr>
        <w:t xml:space="preserve"> г. и</w:t>
      </w:r>
      <w:r w:rsidR="0077138D" w:rsidRPr="00B21461">
        <w:rPr>
          <w:rFonts w:ascii="Times New Roman" w:hAnsi="Times New Roman"/>
          <w:lang w:val="bg-BG"/>
        </w:rPr>
        <w:t xml:space="preserve"> отчетен от бенефициентите към края на 2023 г. и през 2024 г., верифициран от УО</w:t>
      </w:r>
      <w:r w:rsidR="00063DC0" w:rsidRPr="00B21461">
        <w:rPr>
          <w:rFonts w:ascii="Times New Roman" w:hAnsi="Times New Roman"/>
          <w:lang w:val="bg-BG"/>
        </w:rPr>
        <w:t>.</w:t>
      </w:r>
    </w:p>
    <w:p w14:paraId="6C3D806C" w14:textId="77777777" w:rsidR="00AA6838" w:rsidRPr="00B21461" w:rsidRDefault="00AA6838" w:rsidP="00063DC0">
      <w:pPr>
        <w:jc w:val="both"/>
        <w:rPr>
          <w:rFonts w:ascii="Times New Roman" w:hAnsi="Times New Roman"/>
          <w:lang w:val="bg-BG"/>
        </w:rPr>
      </w:pPr>
    </w:p>
    <w:p w14:paraId="479FBDC9" w14:textId="43A92AB1" w:rsidR="00063DC0" w:rsidRPr="00B21461" w:rsidRDefault="00063DC0" w:rsidP="00063DC0">
      <w:pPr>
        <w:jc w:val="both"/>
        <w:rPr>
          <w:rFonts w:ascii="Times New Roman" w:hAnsi="Times New Roman"/>
          <w:b/>
          <w:lang w:val="bg-BG"/>
        </w:rPr>
      </w:pPr>
      <w:r w:rsidRPr="00B21461">
        <w:rPr>
          <w:rFonts w:ascii="Times New Roman" w:hAnsi="Times New Roman"/>
          <w:b/>
          <w:lang w:val="bg-BG"/>
        </w:rPr>
        <w:t>Особености</w:t>
      </w:r>
      <w:r w:rsidR="00420557" w:rsidRPr="00B21461">
        <w:rPr>
          <w:rFonts w:ascii="Times New Roman" w:hAnsi="Times New Roman"/>
          <w:b/>
          <w:lang w:val="bg-BG"/>
        </w:rPr>
        <w:t xml:space="preserve"> в отчитането на определени индикатори:</w:t>
      </w:r>
      <w:r w:rsidRPr="00B21461">
        <w:rPr>
          <w:rFonts w:ascii="Times New Roman" w:hAnsi="Times New Roman"/>
          <w:b/>
          <w:lang w:val="bg-BG"/>
        </w:rPr>
        <w:t xml:space="preserve"> </w:t>
      </w:r>
    </w:p>
    <w:p w14:paraId="18FA83E8" w14:textId="4C473213" w:rsidR="00420557" w:rsidRPr="00B21461" w:rsidRDefault="00420557" w:rsidP="00420557">
      <w:pPr>
        <w:jc w:val="both"/>
        <w:rPr>
          <w:rFonts w:ascii="Times New Roman" w:eastAsia="Times New Roman" w:hAnsi="Times New Roman"/>
          <w:bCs/>
          <w:snapToGrid w:val="0"/>
          <w:u w:val="single"/>
          <w:lang w:val="bg-BG"/>
        </w:rPr>
      </w:pPr>
      <w:r w:rsidRPr="00B21461">
        <w:rPr>
          <w:rFonts w:ascii="Times New Roman" w:eastAsia="Times New Roman" w:hAnsi="Times New Roman"/>
          <w:b/>
          <w:bCs/>
          <w:snapToGrid w:val="0"/>
          <w:u w:val="single"/>
          <w:lang w:val="bg-BG"/>
        </w:rPr>
        <w:t>R2-1</w:t>
      </w:r>
      <w:r w:rsidRPr="00B21461">
        <w:rPr>
          <w:rFonts w:ascii="Times New Roman" w:eastAsia="Times New Roman" w:hAnsi="Times New Roman"/>
          <w:bCs/>
          <w:snapToGrid w:val="0"/>
          <w:u w:val="single"/>
          <w:lang w:val="bg-BG"/>
        </w:rPr>
        <w:t xml:space="preserve"> „Брой подкрепени администрации, прилагащи механизми за организационно развитие и управление, ориентирано към резултатите“</w:t>
      </w:r>
    </w:p>
    <w:p w14:paraId="5DA32ADB" w14:textId="77777777" w:rsidR="00420557" w:rsidRPr="00B21461" w:rsidRDefault="00420557" w:rsidP="00420557">
      <w:pPr>
        <w:jc w:val="both"/>
        <w:rPr>
          <w:rFonts w:ascii="Times New Roman" w:hAnsi="Times New Roman"/>
          <w:lang w:val="bg-BG"/>
        </w:rPr>
      </w:pPr>
      <w:r w:rsidRPr="00B21461">
        <w:rPr>
          <w:rFonts w:ascii="Times New Roman" w:hAnsi="Times New Roman"/>
          <w:lang w:val="bg-BG"/>
        </w:rPr>
        <w:t xml:space="preserve">В проектите, в които е заложено отчитането на напредък по индикатора да се извършва и след приключването на проекта, напредък се отчита в съответния ГДИ/окончателен доклад въз основа на отчетената от бенефициента информация и представени доказателства. </w:t>
      </w:r>
    </w:p>
    <w:p w14:paraId="5640A574" w14:textId="4B02CAD7" w:rsidR="00063DC0" w:rsidRPr="00B21461" w:rsidRDefault="00063DC0" w:rsidP="00063DC0">
      <w:pPr>
        <w:jc w:val="both"/>
        <w:rPr>
          <w:rFonts w:ascii="Times New Roman" w:hAnsi="Times New Roman"/>
          <w:lang w:val="bg-BG"/>
        </w:rPr>
      </w:pPr>
      <w:r w:rsidRPr="00B21461">
        <w:rPr>
          <w:rFonts w:ascii="Times New Roman" w:hAnsi="Times New Roman"/>
          <w:b/>
          <w:u w:val="single"/>
          <w:lang w:val="bg-BG"/>
        </w:rPr>
        <w:t xml:space="preserve">R2-2 </w:t>
      </w:r>
      <w:r w:rsidRPr="00B21461">
        <w:rPr>
          <w:rFonts w:ascii="Times New Roman" w:hAnsi="Times New Roman"/>
          <w:u w:val="single"/>
          <w:lang w:val="bg-BG"/>
        </w:rPr>
        <w:t>„Служители от администрацията, успешно преминали обучения с получаване на сертификат“</w:t>
      </w:r>
      <w:r w:rsidRPr="00B21461">
        <w:rPr>
          <w:rFonts w:ascii="Times New Roman" w:hAnsi="Times New Roman"/>
          <w:lang w:val="bg-BG"/>
        </w:rPr>
        <w:t xml:space="preserve">: </w:t>
      </w:r>
    </w:p>
    <w:p w14:paraId="09184064" w14:textId="77777777" w:rsidR="00063DC0" w:rsidRPr="00B21461" w:rsidRDefault="00063DC0" w:rsidP="00063DC0">
      <w:pPr>
        <w:jc w:val="both"/>
        <w:rPr>
          <w:rFonts w:ascii="Times New Roman" w:hAnsi="Times New Roman"/>
          <w:lang w:val="bg-BG"/>
        </w:rPr>
      </w:pPr>
      <w:r w:rsidRPr="00B21461">
        <w:rPr>
          <w:rFonts w:ascii="Times New Roman" w:hAnsi="Times New Roman"/>
          <w:lang w:val="bg-BG"/>
        </w:rPr>
        <w:t xml:space="preserve">Съгласно метода на изчисление на индикатора, заложен в Наръчника на индикаторите по ОПДУ, като физически напредък по него бенефициентите отчитат броя служители, завършили обучение с получаване на сертификат. Едновременно с това те следва да отчетат и броя на обучените служители (индикатор О2-6). За целите на годишното отчитане УО изчислява </w:t>
      </w:r>
      <w:proofErr w:type="spellStart"/>
      <w:r w:rsidRPr="00B21461">
        <w:rPr>
          <w:rFonts w:ascii="Times New Roman" w:hAnsi="Times New Roman"/>
          <w:lang w:val="bg-BG"/>
        </w:rPr>
        <w:t>делa</w:t>
      </w:r>
      <w:proofErr w:type="spellEnd"/>
      <w:r w:rsidRPr="00B21461">
        <w:rPr>
          <w:rFonts w:ascii="Times New Roman" w:hAnsi="Times New Roman"/>
          <w:lang w:val="bg-BG"/>
        </w:rPr>
        <w:t xml:space="preserve"> на успешно преминалите </w:t>
      </w:r>
      <w:r w:rsidRPr="00B21461">
        <w:rPr>
          <w:rFonts w:ascii="Times New Roman" w:hAnsi="Times New Roman"/>
          <w:lang w:val="bg-BG"/>
        </w:rPr>
        <w:lastRenderedPageBreak/>
        <w:t xml:space="preserve">обучение с получаване на сертификат като процентно съотношение между броя на получените сертификати и общия брой обучени служители. </w:t>
      </w:r>
    </w:p>
    <w:p w14:paraId="026AE95D" w14:textId="77777777" w:rsidR="00063DC0" w:rsidRPr="00B21461" w:rsidRDefault="00063DC0" w:rsidP="00063DC0">
      <w:pPr>
        <w:jc w:val="both"/>
        <w:rPr>
          <w:rFonts w:ascii="Times New Roman" w:hAnsi="Times New Roman"/>
          <w:lang w:val="bg-BG"/>
        </w:rPr>
      </w:pPr>
      <w:r w:rsidRPr="00B21461">
        <w:rPr>
          <w:rFonts w:ascii="Times New Roman" w:hAnsi="Times New Roman"/>
          <w:lang w:val="bg-BG"/>
        </w:rPr>
        <w:t xml:space="preserve">По отношение на този индикатор и начина му на отчитане съществува следната специфика: в ИСУН специфичният за програмата индикатор за резултат R2-2, мерната единица на който е „процент“, не е асоцииран към процедурите, по които е предвиден този индикатор, тъй като бенефициентите следва да се отчитат в „брой“ а не в „процент“. Това е направено, за да се избегнат грешки при калкулирането на процента с напредване на отчитането. При отчитането на индикатора в хода на изпълнението на проектите бенефициентът отчита напредъка по него в брой, а УО служебно (за целите на годишното отчитане), въз основа на отчетеното от бенефициентите, изчислява процентът за цялата приоритетна ос. </w:t>
      </w:r>
    </w:p>
    <w:p w14:paraId="5A874EA1" w14:textId="77777777" w:rsidR="00063DC0" w:rsidRPr="00B21461" w:rsidRDefault="00063DC0" w:rsidP="00063DC0">
      <w:pPr>
        <w:jc w:val="both"/>
        <w:rPr>
          <w:rFonts w:ascii="Times New Roman" w:hAnsi="Times New Roman"/>
          <w:lang w:val="bg-BG"/>
        </w:rPr>
      </w:pPr>
      <w:r w:rsidRPr="00B21461">
        <w:rPr>
          <w:rFonts w:ascii="Times New Roman" w:hAnsi="Times New Roman"/>
          <w:lang w:val="bg-BG"/>
        </w:rPr>
        <w:t xml:space="preserve">Тъй като мерната единица на индикатор R2-2 е „процент“, за целите на отчитането в ИСУН е въведен индикатор с аналогично наименование „Служители от администрацията, успешно преминали обученията с получаване на сертификат“, който обаче е от вид „Индивидуален за процедура“ и е с мерна единица „брой“. Този тип индикатор е асоцииран в ИСУН към процедурите, по които е предвидено да се отчита броят на служителите от администрацията, успешно преминали обучения с получаване на сертификат. </w:t>
      </w:r>
    </w:p>
    <w:p w14:paraId="1A481672" w14:textId="77777777" w:rsidR="00063DC0" w:rsidRPr="00B21461" w:rsidRDefault="00063DC0" w:rsidP="00063DC0">
      <w:pPr>
        <w:jc w:val="both"/>
        <w:rPr>
          <w:rFonts w:ascii="Times New Roman" w:hAnsi="Times New Roman"/>
          <w:u w:val="single"/>
          <w:lang w:val="bg-BG"/>
        </w:rPr>
      </w:pPr>
      <w:r w:rsidRPr="00B21461">
        <w:rPr>
          <w:rFonts w:ascii="Times New Roman" w:hAnsi="Times New Roman"/>
          <w:b/>
          <w:u w:val="single"/>
          <w:lang w:val="bg-BG"/>
        </w:rPr>
        <w:t xml:space="preserve">R2-4 </w:t>
      </w:r>
      <w:r w:rsidRPr="00B21461">
        <w:rPr>
          <w:rFonts w:ascii="Times New Roman" w:hAnsi="Times New Roman"/>
          <w:u w:val="single"/>
          <w:lang w:val="bg-BG"/>
        </w:rPr>
        <w:t>„Отправени препоръки от НПО и мрежи от НПО към процеса на формиране, осъществяване и мониторинг на политики“</w:t>
      </w:r>
    </w:p>
    <w:p w14:paraId="5A91C132" w14:textId="2A11B6FA" w:rsidR="00063DC0" w:rsidRPr="00B21461" w:rsidRDefault="00063DC0" w:rsidP="00063DC0">
      <w:pPr>
        <w:jc w:val="both"/>
        <w:rPr>
          <w:rFonts w:ascii="Times New Roman" w:hAnsi="Times New Roman"/>
          <w:lang w:val="bg-BG"/>
        </w:rPr>
      </w:pPr>
      <w:r w:rsidRPr="00B21461">
        <w:rPr>
          <w:rFonts w:ascii="Times New Roman" w:hAnsi="Times New Roman"/>
          <w:lang w:val="bg-BG"/>
        </w:rPr>
        <w:t xml:space="preserve">В проектите, в които е заложено отчитането на напредък по индикатора да се извършва и след приключването на проекта, напредък се отчита в съответния ГДИ/окончателен доклад въз основа на отчетената от бенефициента информация и представени доказателства. </w:t>
      </w:r>
    </w:p>
    <w:p w14:paraId="04A55616" w14:textId="1084BBC7" w:rsidR="00FD3276" w:rsidRPr="00B21461" w:rsidRDefault="00FD3276" w:rsidP="00063DC0">
      <w:pPr>
        <w:jc w:val="both"/>
        <w:rPr>
          <w:rFonts w:ascii="Times New Roman" w:hAnsi="Times New Roman"/>
          <w:u w:val="single"/>
          <w:lang w:val="bg-BG"/>
        </w:rPr>
      </w:pPr>
      <w:r w:rsidRPr="00B21461">
        <w:rPr>
          <w:rFonts w:ascii="Times New Roman" w:hAnsi="Times New Roman"/>
          <w:b/>
          <w:u w:val="single"/>
        </w:rPr>
        <w:t>R</w:t>
      </w:r>
      <w:r w:rsidRPr="00B21461">
        <w:rPr>
          <w:rFonts w:ascii="Times New Roman" w:hAnsi="Times New Roman"/>
          <w:b/>
          <w:u w:val="single"/>
          <w:lang w:val="bg-BG"/>
        </w:rPr>
        <w:t xml:space="preserve">4-1 </w:t>
      </w:r>
      <w:r w:rsidRPr="00B21461">
        <w:rPr>
          <w:rFonts w:ascii="Times New Roman" w:hAnsi="Times New Roman"/>
          <w:u w:val="single"/>
          <w:lang w:val="bg-BG"/>
        </w:rPr>
        <w:t>„Текучество на персонала на бенефициентите за година“</w:t>
      </w:r>
    </w:p>
    <w:p w14:paraId="39C7993B" w14:textId="165691F8" w:rsidR="002F7D87" w:rsidRPr="00B21461" w:rsidRDefault="00FD3276" w:rsidP="003042EE">
      <w:pPr>
        <w:jc w:val="both"/>
        <w:rPr>
          <w:rFonts w:ascii="Times New Roman" w:hAnsi="Times New Roman"/>
          <w:lang w:val="bg-BG"/>
        </w:rPr>
      </w:pPr>
      <w:r w:rsidRPr="00B21461">
        <w:rPr>
          <w:rFonts w:ascii="Times New Roman" w:hAnsi="Times New Roman"/>
          <w:lang w:val="bg-BG"/>
        </w:rPr>
        <w:t xml:space="preserve">Съгласно Наръчника на индикаторите по ОПДУ </w:t>
      </w:r>
      <w:r w:rsidR="00E027ED" w:rsidRPr="00B21461">
        <w:rPr>
          <w:rFonts w:ascii="Times New Roman" w:hAnsi="Times New Roman"/>
          <w:lang w:val="bg-BG"/>
        </w:rPr>
        <w:t>индикаторът на ниво проект се изчислява веднъж годишно към 31 декември. За изчисляването на програмни</w:t>
      </w:r>
      <w:r w:rsidR="003042EE" w:rsidRPr="00B21461">
        <w:rPr>
          <w:rFonts w:ascii="Times New Roman" w:hAnsi="Times New Roman"/>
          <w:lang w:val="bg-BG"/>
        </w:rPr>
        <w:t>я индикатор се ползва формулата, заложена в Наръчника на индикаторите по ОПДУ. В</w:t>
      </w:r>
      <w:r w:rsidR="00E027ED" w:rsidRPr="00B21461">
        <w:rPr>
          <w:rFonts w:ascii="Times New Roman" w:hAnsi="Times New Roman"/>
          <w:lang w:val="bg-BG"/>
        </w:rPr>
        <w:t xml:space="preserve"> тази връзка напредъкът по него се отчита</w:t>
      </w:r>
      <w:r w:rsidR="00AA6838" w:rsidRPr="00B21461">
        <w:rPr>
          <w:rFonts w:ascii="Times New Roman" w:hAnsi="Times New Roman"/>
          <w:lang w:val="bg-BG"/>
        </w:rPr>
        <w:t>,</w:t>
      </w:r>
      <w:r w:rsidR="00E027ED" w:rsidRPr="00B21461">
        <w:rPr>
          <w:rFonts w:ascii="Times New Roman" w:hAnsi="Times New Roman"/>
          <w:lang w:val="bg-BG"/>
        </w:rPr>
        <w:t xml:space="preserve"> </w:t>
      </w:r>
      <w:r w:rsidR="00233931" w:rsidRPr="00B21461">
        <w:rPr>
          <w:rFonts w:ascii="Times New Roman" w:hAnsi="Times New Roman"/>
          <w:lang w:val="bg-BG"/>
        </w:rPr>
        <w:t xml:space="preserve">като информацията за съответните елементи се взима </w:t>
      </w:r>
      <w:r w:rsidR="00E027ED" w:rsidRPr="00B21461">
        <w:rPr>
          <w:rFonts w:ascii="Times New Roman" w:hAnsi="Times New Roman"/>
          <w:lang w:val="bg-BG"/>
        </w:rPr>
        <w:t>на база на верифицираните в ИСУН стойности, отчетени от бенефициентите в съответното искане за плащане след 31 декември</w:t>
      </w:r>
      <w:r w:rsidR="00233931" w:rsidRPr="00B21461">
        <w:rPr>
          <w:rFonts w:ascii="Times New Roman" w:hAnsi="Times New Roman"/>
          <w:lang w:val="bg-BG"/>
        </w:rPr>
        <w:t>, където е отчетен напредък</w:t>
      </w:r>
      <w:r w:rsidR="00AA6838" w:rsidRPr="00B21461">
        <w:rPr>
          <w:rFonts w:ascii="Times New Roman" w:hAnsi="Times New Roman"/>
          <w:lang w:val="bg-BG"/>
        </w:rPr>
        <w:t>ът</w:t>
      </w:r>
      <w:r w:rsidR="00233931" w:rsidRPr="00B21461">
        <w:rPr>
          <w:rFonts w:ascii="Times New Roman" w:hAnsi="Times New Roman"/>
          <w:lang w:val="bg-BG"/>
        </w:rPr>
        <w:t xml:space="preserve"> по индикатора</w:t>
      </w:r>
      <w:r w:rsidR="006074C4" w:rsidRPr="00B21461">
        <w:rPr>
          <w:rFonts w:ascii="Times New Roman" w:hAnsi="Times New Roman"/>
          <w:lang w:val="bg-BG"/>
        </w:rPr>
        <w:t xml:space="preserve"> за съответната година</w:t>
      </w:r>
      <w:r w:rsidR="00233931" w:rsidRPr="00B21461">
        <w:rPr>
          <w:rFonts w:ascii="Times New Roman" w:hAnsi="Times New Roman"/>
          <w:lang w:val="bg-BG"/>
        </w:rPr>
        <w:t>.</w:t>
      </w:r>
      <w:r w:rsidR="002F7D87" w:rsidRPr="00B21461">
        <w:rPr>
          <w:rFonts w:ascii="Times New Roman" w:hAnsi="Times New Roman"/>
          <w:lang w:val="bg-BG"/>
        </w:rPr>
        <w:t xml:space="preserve"> Целевата стойност се отнася единствено за текучество на персонала на бенефициентите през 2023 г.</w:t>
      </w:r>
    </w:p>
    <w:p w14:paraId="1A93ABBF" w14:textId="327C46FC" w:rsidR="00233931" w:rsidRPr="00B21461" w:rsidRDefault="00233931" w:rsidP="00E027ED">
      <w:pPr>
        <w:jc w:val="both"/>
        <w:rPr>
          <w:rFonts w:ascii="Times New Roman" w:hAnsi="Times New Roman"/>
          <w:u w:val="single"/>
          <w:lang w:val="bg-BG"/>
        </w:rPr>
      </w:pPr>
      <w:r w:rsidRPr="00B21461">
        <w:rPr>
          <w:rFonts w:ascii="Times New Roman" w:hAnsi="Times New Roman"/>
          <w:b/>
          <w:u w:val="single"/>
        </w:rPr>
        <w:t>R</w:t>
      </w:r>
      <w:r w:rsidRPr="00B21461">
        <w:rPr>
          <w:rFonts w:ascii="Times New Roman" w:hAnsi="Times New Roman"/>
          <w:b/>
          <w:u w:val="single"/>
          <w:lang w:val="bg-BG"/>
        </w:rPr>
        <w:t xml:space="preserve">4-2 </w:t>
      </w:r>
      <w:r w:rsidRPr="00B21461">
        <w:rPr>
          <w:rFonts w:ascii="Times New Roman" w:hAnsi="Times New Roman"/>
          <w:u w:val="single"/>
          <w:lang w:val="bg-BG"/>
        </w:rPr>
        <w:t>„Удовлетвореност на участниците от проведеното обучение“</w:t>
      </w:r>
    </w:p>
    <w:p w14:paraId="43A868B8" w14:textId="122A9AE8" w:rsidR="00774CD0" w:rsidRPr="00B21461" w:rsidRDefault="00A23739" w:rsidP="00774CD0">
      <w:pPr>
        <w:jc w:val="both"/>
        <w:rPr>
          <w:rFonts w:ascii="Times New Roman" w:hAnsi="Times New Roman"/>
          <w:lang w:val="bg-BG"/>
        </w:rPr>
      </w:pPr>
      <w:r w:rsidRPr="00B21461">
        <w:rPr>
          <w:rFonts w:ascii="Times New Roman" w:hAnsi="Times New Roman"/>
          <w:lang w:val="bg-BG"/>
        </w:rPr>
        <w:t xml:space="preserve">Съгласно Наръчника на индикаторите по ОПДУ индикаторът се отчита от бенефициента при подаване на всяко искане за плащане с натрупване. Средната удовлетвореност се изчислява като сбора на индивидуалната удовлетвореност от всяка анкетна карта, попълнена от началото на проекта се раздели на броя на попълнените анкетни карти. УО изчислява индикаторът веднъж годишно – към 31 декември на съответната година, като за целта </w:t>
      </w:r>
      <w:r w:rsidR="00F32A73" w:rsidRPr="00B21461">
        <w:rPr>
          <w:rFonts w:ascii="Times New Roman" w:hAnsi="Times New Roman"/>
          <w:lang w:val="bg-BG"/>
        </w:rPr>
        <w:t xml:space="preserve">се </w:t>
      </w:r>
      <w:r w:rsidR="00774CD0" w:rsidRPr="00B21461">
        <w:rPr>
          <w:rFonts w:ascii="Times New Roman" w:hAnsi="Times New Roman"/>
          <w:lang w:val="bg-BG"/>
        </w:rPr>
        <w:t>взима информацията на база на верифицираните в ИСУН стойности, отчетени от бенефициентите в съответното искане за плащане към 31 декември, където е отчетен напредък</w:t>
      </w:r>
      <w:r w:rsidR="00AA6838" w:rsidRPr="00B21461">
        <w:rPr>
          <w:rFonts w:ascii="Times New Roman" w:hAnsi="Times New Roman"/>
          <w:lang w:val="bg-BG"/>
        </w:rPr>
        <w:t>ът</w:t>
      </w:r>
      <w:r w:rsidR="00774CD0" w:rsidRPr="00B21461">
        <w:rPr>
          <w:rFonts w:ascii="Times New Roman" w:hAnsi="Times New Roman"/>
          <w:lang w:val="bg-BG"/>
        </w:rPr>
        <w:t xml:space="preserve"> по индикатора.</w:t>
      </w:r>
      <w:r w:rsidR="00970E23" w:rsidRPr="00B21461">
        <w:rPr>
          <w:rFonts w:ascii="Times New Roman" w:hAnsi="Times New Roman"/>
          <w:lang w:val="bg-BG"/>
        </w:rPr>
        <w:t xml:space="preserve"> Кумулативната стойност на индикатора за текущия период (периода на настоящата БЛ) и предходния период (периода на приключена БЛ) се изчислява по формулата, заложена в Наръчника на индикаторите по ОПДУ.</w:t>
      </w:r>
    </w:p>
    <w:p w14:paraId="57327693" w14:textId="46BE00C4" w:rsidR="00F32A73" w:rsidRPr="00B21461" w:rsidRDefault="00F32A73" w:rsidP="00F32A73">
      <w:pPr>
        <w:jc w:val="both"/>
        <w:rPr>
          <w:rFonts w:ascii="Times New Roman" w:hAnsi="Times New Roman"/>
          <w:b/>
          <w:lang w:val="bg-BG"/>
        </w:rPr>
      </w:pPr>
      <w:r w:rsidRPr="00B21461">
        <w:rPr>
          <w:rFonts w:ascii="Times New Roman" w:hAnsi="Times New Roman"/>
          <w:b/>
          <w:u w:val="single"/>
        </w:rPr>
        <w:t>R</w:t>
      </w:r>
      <w:r w:rsidRPr="00B21461">
        <w:rPr>
          <w:rFonts w:ascii="Times New Roman" w:hAnsi="Times New Roman"/>
          <w:b/>
          <w:u w:val="single"/>
          <w:lang w:val="bg-BG"/>
        </w:rPr>
        <w:t xml:space="preserve">4-3 </w:t>
      </w:r>
      <w:r w:rsidRPr="00B21461">
        <w:rPr>
          <w:rFonts w:ascii="Times New Roman" w:hAnsi="Times New Roman"/>
          <w:u w:val="single"/>
          <w:lang w:val="bg-BG"/>
        </w:rPr>
        <w:t>„Удовлетвореност на потребителите на ИСУН</w:t>
      </w:r>
      <w:proofErr w:type="gramStart"/>
      <w:r w:rsidRPr="00B21461">
        <w:rPr>
          <w:rFonts w:ascii="Times New Roman" w:hAnsi="Times New Roman"/>
          <w:u w:val="single"/>
          <w:lang w:val="bg-BG"/>
        </w:rPr>
        <w:t>“</w:t>
      </w:r>
      <w:r w:rsidRPr="00B21461">
        <w:rPr>
          <w:rFonts w:ascii="Times New Roman" w:hAnsi="Times New Roman"/>
          <w:lang w:val="bg-BG"/>
        </w:rPr>
        <w:t xml:space="preserve"> –</w:t>
      </w:r>
      <w:proofErr w:type="gramEnd"/>
      <w:r w:rsidRPr="00B21461">
        <w:rPr>
          <w:rFonts w:ascii="Times New Roman" w:hAnsi="Times New Roman"/>
          <w:lang w:val="bg-BG"/>
        </w:rPr>
        <w:t xml:space="preserve"> аналогично на </w:t>
      </w:r>
      <w:r w:rsidRPr="00B21461">
        <w:rPr>
          <w:rFonts w:ascii="Times New Roman" w:hAnsi="Times New Roman"/>
          <w:b/>
        </w:rPr>
        <w:t>R</w:t>
      </w:r>
      <w:r w:rsidRPr="00B21461">
        <w:rPr>
          <w:rFonts w:ascii="Times New Roman" w:hAnsi="Times New Roman"/>
          <w:b/>
          <w:lang w:val="bg-BG"/>
        </w:rPr>
        <w:t>4-2</w:t>
      </w:r>
    </w:p>
    <w:p w14:paraId="1C6706CF" w14:textId="49BA8C22" w:rsidR="006D2E05" w:rsidRPr="00B21461" w:rsidRDefault="006D2E05" w:rsidP="00F32A73">
      <w:pPr>
        <w:jc w:val="both"/>
        <w:rPr>
          <w:rFonts w:ascii="Times New Roman" w:hAnsi="Times New Roman"/>
          <w:u w:val="single"/>
          <w:lang w:val="bg-BG"/>
        </w:rPr>
      </w:pPr>
      <w:r w:rsidRPr="00B21461">
        <w:rPr>
          <w:rFonts w:ascii="Times New Roman" w:hAnsi="Times New Roman"/>
          <w:b/>
          <w:u w:val="single"/>
          <w:lang w:val="bg-BG"/>
        </w:rPr>
        <w:t xml:space="preserve">О4-4 и О5-7 </w:t>
      </w:r>
      <w:r w:rsidR="0054004C" w:rsidRPr="00B21461">
        <w:rPr>
          <w:rFonts w:ascii="Times New Roman" w:hAnsi="Times New Roman"/>
          <w:u w:val="single"/>
          <w:lang w:val="bg-BG"/>
        </w:rPr>
        <w:t>„</w:t>
      </w:r>
      <w:r w:rsidRPr="00B21461">
        <w:rPr>
          <w:rFonts w:ascii="Times New Roman" w:hAnsi="Times New Roman"/>
          <w:u w:val="single"/>
          <w:lang w:val="bg-BG"/>
        </w:rPr>
        <w:t xml:space="preserve">Брой служители, чиито заплати се </w:t>
      </w:r>
      <w:proofErr w:type="spellStart"/>
      <w:r w:rsidRPr="00B21461">
        <w:rPr>
          <w:rFonts w:ascii="Times New Roman" w:hAnsi="Times New Roman"/>
          <w:u w:val="single"/>
          <w:lang w:val="bg-BG"/>
        </w:rPr>
        <w:t>съфинансират</w:t>
      </w:r>
      <w:proofErr w:type="spellEnd"/>
      <w:r w:rsidRPr="00B21461">
        <w:rPr>
          <w:rFonts w:ascii="Times New Roman" w:hAnsi="Times New Roman"/>
          <w:u w:val="single"/>
          <w:lang w:val="bg-BG"/>
        </w:rPr>
        <w:t xml:space="preserve"> от техническа помощ</w:t>
      </w:r>
      <w:r w:rsidR="0054004C" w:rsidRPr="00B21461">
        <w:rPr>
          <w:rFonts w:ascii="Times New Roman" w:hAnsi="Times New Roman"/>
          <w:u w:val="single"/>
          <w:lang w:val="bg-BG"/>
        </w:rPr>
        <w:t>“</w:t>
      </w:r>
    </w:p>
    <w:p w14:paraId="45B60B67" w14:textId="07857886" w:rsidR="00970E23" w:rsidRPr="00B21461" w:rsidRDefault="00DD5CDA" w:rsidP="00970E23">
      <w:pPr>
        <w:spacing w:line="240" w:lineRule="auto"/>
        <w:jc w:val="both"/>
        <w:rPr>
          <w:rFonts w:ascii="Times New Roman" w:hAnsi="Times New Roman"/>
          <w:lang w:val="bg-BG"/>
        </w:rPr>
      </w:pPr>
      <w:r w:rsidRPr="00B21461">
        <w:rPr>
          <w:rFonts w:ascii="Times New Roman" w:hAnsi="Times New Roman"/>
          <w:lang w:val="bg-BG"/>
        </w:rPr>
        <w:lastRenderedPageBreak/>
        <w:t>Съгласно Наръчника на индикаторите по ОПДУ</w:t>
      </w:r>
      <w:r w:rsidRPr="00B21461">
        <w:rPr>
          <w:rFonts w:ascii="Times New Roman" w:hAnsi="Times New Roman"/>
          <w:sz w:val="20"/>
          <w:szCs w:val="20"/>
          <w:lang w:val="bg-BG"/>
        </w:rPr>
        <w:t xml:space="preserve"> индикаторът се изчислява  от бенефициента на годишна база.</w:t>
      </w:r>
      <w:r w:rsidRPr="00B21461">
        <w:rPr>
          <w:rFonts w:ascii="Times New Roman" w:hAnsi="Times New Roman"/>
          <w:lang w:val="bg-BG"/>
        </w:rPr>
        <w:t xml:space="preserve"> В тази връзка УО отчита напредъка по него, като информацията се взима на база на верифицираните в ИСУН стойности, отчетени от бенефициентите в съответното искане за плащане след 31 декември, където е отчетен напредък</w:t>
      </w:r>
      <w:r w:rsidR="00AA6838" w:rsidRPr="00B21461">
        <w:rPr>
          <w:rFonts w:ascii="Times New Roman" w:hAnsi="Times New Roman"/>
          <w:lang w:val="bg-BG"/>
        </w:rPr>
        <w:t>ът</w:t>
      </w:r>
      <w:r w:rsidRPr="00B21461">
        <w:rPr>
          <w:rFonts w:ascii="Times New Roman" w:hAnsi="Times New Roman"/>
          <w:lang w:val="bg-BG"/>
        </w:rPr>
        <w:t xml:space="preserve"> по индикатора</w:t>
      </w:r>
      <w:r w:rsidR="00BA7914" w:rsidRPr="00B21461">
        <w:rPr>
          <w:rFonts w:ascii="Times New Roman" w:hAnsi="Times New Roman"/>
          <w:lang w:val="bg-BG"/>
        </w:rPr>
        <w:t xml:space="preserve"> за съответната година</w:t>
      </w:r>
      <w:r w:rsidRPr="00B21461">
        <w:rPr>
          <w:rFonts w:ascii="Times New Roman" w:hAnsi="Times New Roman"/>
          <w:lang w:val="bg-BG"/>
        </w:rPr>
        <w:t>.</w:t>
      </w:r>
      <w:r w:rsidR="00BE008B" w:rsidRPr="00B21461">
        <w:rPr>
          <w:lang w:val="bg-BG"/>
        </w:rPr>
        <w:t xml:space="preserve"> </w:t>
      </w:r>
      <w:r w:rsidR="00970E23" w:rsidRPr="00B21461">
        <w:rPr>
          <w:rFonts w:ascii="Times New Roman" w:hAnsi="Times New Roman"/>
          <w:lang w:val="bg-BG"/>
        </w:rPr>
        <w:t xml:space="preserve">Целевата стойност се отнася единствено за броя на служителите, чиито възнаграждения се финансират от техническа помощ през </w:t>
      </w:r>
      <w:r w:rsidR="002F7D87" w:rsidRPr="00B21461">
        <w:rPr>
          <w:rFonts w:ascii="Times New Roman" w:hAnsi="Times New Roman"/>
          <w:lang w:val="bg-BG"/>
        </w:rPr>
        <w:t>съответната 2023 г.</w:t>
      </w:r>
    </w:p>
    <w:p w14:paraId="21AC6EA5" w14:textId="77777777" w:rsidR="00063DC0" w:rsidRPr="00B21461" w:rsidRDefault="00063DC0" w:rsidP="00063DC0">
      <w:pPr>
        <w:pStyle w:val="ListParagraph"/>
        <w:numPr>
          <w:ilvl w:val="0"/>
          <w:numId w:val="2"/>
        </w:numPr>
        <w:jc w:val="both"/>
        <w:rPr>
          <w:b/>
          <w:sz w:val="22"/>
        </w:rPr>
      </w:pPr>
      <w:r w:rsidRPr="00B21461">
        <w:rPr>
          <w:b/>
          <w:sz w:val="22"/>
        </w:rPr>
        <w:t>Агрегиране на данните относно общите индикатори за изпълнение и резултат по Приложение I към Регламент (ЕС) № 1304/2013 на Европейския парламент и на Съвета от 17 декември 2013 г. относно Европейския социален фонд и за отмяна на Регламент (ЕО) № 1081/2006 на Съвета</w:t>
      </w:r>
    </w:p>
    <w:p w14:paraId="6F1D7ACB" w14:textId="77777777" w:rsidR="00063DC0" w:rsidRPr="00B21461" w:rsidRDefault="00063DC0" w:rsidP="00063DC0">
      <w:pPr>
        <w:pStyle w:val="ListParagraph"/>
        <w:jc w:val="both"/>
        <w:rPr>
          <w:b/>
        </w:rPr>
      </w:pPr>
    </w:p>
    <w:p w14:paraId="58FCA931" w14:textId="77777777" w:rsidR="00063DC0" w:rsidRPr="00B21461" w:rsidRDefault="00063DC0" w:rsidP="00AA6838">
      <w:pPr>
        <w:pStyle w:val="ListParagraph"/>
        <w:numPr>
          <w:ilvl w:val="1"/>
          <w:numId w:val="2"/>
        </w:numPr>
        <w:tabs>
          <w:tab w:val="left" w:pos="851"/>
        </w:tabs>
        <w:ind w:left="851" w:hanging="425"/>
        <w:jc w:val="both"/>
        <w:rPr>
          <w:b/>
          <w:sz w:val="22"/>
        </w:rPr>
      </w:pPr>
      <w:r w:rsidRPr="00B21461">
        <w:rPr>
          <w:b/>
          <w:sz w:val="22"/>
        </w:rPr>
        <w:t>Агрегиране на данните относно общите индикатори за изпълнение и краткосрочен резултат</w:t>
      </w:r>
    </w:p>
    <w:p w14:paraId="6FF3A8EB" w14:textId="77777777" w:rsidR="00063DC0" w:rsidRPr="00B21461" w:rsidRDefault="00063DC0" w:rsidP="00063DC0">
      <w:pPr>
        <w:jc w:val="both"/>
        <w:rPr>
          <w:rFonts w:ascii="Times New Roman" w:hAnsi="Times New Roman"/>
          <w:lang w:val="bg-BG"/>
        </w:rPr>
      </w:pPr>
      <w:r w:rsidRPr="00B21461">
        <w:rPr>
          <w:rFonts w:ascii="Times New Roman" w:hAnsi="Times New Roman"/>
          <w:lang w:val="bg-BG"/>
        </w:rPr>
        <w:t xml:space="preserve">Данните за </w:t>
      </w:r>
      <w:r w:rsidRPr="00B21461">
        <w:rPr>
          <w:rFonts w:ascii="Times New Roman" w:hAnsi="Times New Roman"/>
          <w:u w:val="single"/>
          <w:lang w:val="bg-BG"/>
        </w:rPr>
        <w:t xml:space="preserve">ГДИ за 2018 г. </w:t>
      </w:r>
      <w:r w:rsidRPr="00B21461">
        <w:rPr>
          <w:rFonts w:ascii="Times New Roman" w:hAnsi="Times New Roman"/>
          <w:lang w:val="bg-BG"/>
        </w:rPr>
        <w:t xml:space="preserve">се </w:t>
      </w:r>
      <w:proofErr w:type="spellStart"/>
      <w:r w:rsidRPr="00B21461">
        <w:rPr>
          <w:rFonts w:ascii="Times New Roman" w:hAnsi="Times New Roman"/>
          <w:lang w:val="bg-BG"/>
        </w:rPr>
        <w:t>агрегират</w:t>
      </w:r>
      <w:proofErr w:type="spellEnd"/>
      <w:r w:rsidRPr="00B21461">
        <w:rPr>
          <w:rFonts w:ascii="Times New Roman" w:hAnsi="Times New Roman"/>
          <w:lang w:val="bg-BG"/>
        </w:rPr>
        <w:t xml:space="preserve"> въз основа на последната представена от бенефициента по съответен проект в ИСУН таблица с </w:t>
      </w:r>
      <w:proofErr w:type="spellStart"/>
      <w:r w:rsidRPr="00B21461">
        <w:rPr>
          <w:rFonts w:ascii="Times New Roman" w:hAnsi="Times New Roman"/>
          <w:lang w:val="bg-BG"/>
        </w:rPr>
        <w:t>микроданни</w:t>
      </w:r>
      <w:proofErr w:type="spellEnd"/>
      <w:r w:rsidRPr="00B21461">
        <w:rPr>
          <w:rFonts w:ascii="Times New Roman" w:hAnsi="Times New Roman"/>
          <w:lang w:val="bg-BG"/>
        </w:rPr>
        <w:t xml:space="preserve"> към верифицирано искане за плащане (пакет отчетни документи, състоящ се от искане за плащане, финансов отчет, технически отчет и </w:t>
      </w:r>
      <w:proofErr w:type="spellStart"/>
      <w:r w:rsidRPr="00B21461">
        <w:rPr>
          <w:rFonts w:ascii="Times New Roman" w:hAnsi="Times New Roman"/>
          <w:lang w:val="bg-BG"/>
        </w:rPr>
        <w:t>микроданни</w:t>
      </w:r>
      <w:proofErr w:type="spellEnd"/>
      <w:r w:rsidRPr="00B21461">
        <w:rPr>
          <w:rFonts w:ascii="Times New Roman" w:hAnsi="Times New Roman"/>
          <w:lang w:val="bg-BG"/>
        </w:rPr>
        <w:t xml:space="preserve">) през 2018 или 2019 г. </w:t>
      </w:r>
      <w:proofErr w:type="spellStart"/>
      <w:r w:rsidRPr="00B21461">
        <w:rPr>
          <w:rFonts w:ascii="Times New Roman" w:hAnsi="Times New Roman"/>
          <w:lang w:val="bg-BG"/>
        </w:rPr>
        <w:t>Микроданните</w:t>
      </w:r>
      <w:proofErr w:type="spellEnd"/>
      <w:r w:rsidRPr="00B21461">
        <w:rPr>
          <w:rFonts w:ascii="Times New Roman" w:hAnsi="Times New Roman"/>
          <w:lang w:val="bg-BG"/>
        </w:rPr>
        <w:t xml:space="preserve"> от верифицирани през 2019 г. искания за плащане се вземат предвид, само когато в тях е отчетен напредък по специфичните индикатори по програмата от рамката за изпълнение, реализиран през 2018 г.  </w:t>
      </w:r>
    </w:p>
    <w:p w14:paraId="7C83D74D" w14:textId="3CEB398F" w:rsidR="002F2D3D" w:rsidRPr="00B21461" w:rsidRDefault="00AA6838" w:rsidP="00063DC0">
      <w:pPr>
        <w:jc w:val="both"/>
        <w:rPr>
          <w:rFonts w:ascii="Times New Roman" w:hAnsi="Times New Roman"/>
          <w:lang w:val="bg-BG"/>
        </w:rPr>
      </w:pPr>
      <w:r w:rsidRPr="00B21461">
        <w:rPr>
          <w:rFonts w:ascii="Times New Roman" w:hAnsi="Times New Roman"/>
          <w:lang w:val="bg-BG"/>
        </w:rPr>
        <w:t>А</w:t>
      </w:r>
      <w:r w:rsidR="00063DC0" w:rsidRPr="00B21461">
        <w:rPr>
          <w:rFonts w:ascii="Times New Roman" w:hAnsi="Times New Roman"/>
          <w:lang w:val="bg-BG"/>
        </w:rPr>
        <w:t xml:space="preserve">грегирането на данните за </w:t>
      </w:r>
      <w:r w:rsidR="00063DC0" w:rsidRPr="00B21461">
        <w:rPr>
          <w:rFonts w:ascii="Times New Roman" w:hAnsi="Times New Roman"/>
          <w:u w:val="single"/>
          <w:lang w:val="bg-BG"/>
        </w:rPr>
        <w:t>ГДИ за 2019, 2020, 2021, 2022 г.</w:t>
      </w:r>
      <w:r w:rsidR="00063DC0" w:rsidRPr="00B21461">
        <w:rPr>
          <w:rFonts w:ascii="Times New Roman" w:hAnsi="Times New Roman"/>
          <w:lang w:val="bg-BG"/>
        </w:rPr>
        <w:t xml:space="preserve"> се извършва въз основа</w:t>
      </w:r>
      <w:r w:rsidR="00063DC0" w:rsidRPr="00B21461">
        <w:rPr>
          <w:rFonts w:ascii="Times New Roman" w:hAnsi="Times New Roman"/>
          <w:u w:val="single"/>
          <w:lang w:val="bg-BG"/>
        </w:rPr>
        <w:t xml:space="preserve"> </w:t>
      </w:r>
      <w:r w:rsidR="00063DC0" w:rsidRPr="00B21461">
        <w:rPr>
          <w:rFonts w:ascii="Times New Roman" w:hAnsi="Times New Roman"/>
          <w:lang w:val="bg-BG"/>
        </w:rPr>
        <w:t xml:space="preserve">на последната представена от бенефициента по съответен проект в ИСУН таблица с </w:t>
      </w:r>
      <w:proofErr w:type="spellStart"/>
      <w:r w:rsidR="00063DC0" w:rsidRPr="00B21461">
        <w:rPr>
          <w:rFonts w:ascii="Times New Roman" w:hAnsi="Times New Roman"/>
          <w:lang w:val="bg-BG"/>
        </w:rPr>
        <w:t>микроданни</w:t>
      </w:r>
      <w:proofErr w:type="spellEnd"/>
      <w:r w:rsidR="00063DC0" w:rsidRPr="00B21461">
        <w:rPr>
          <w:rFonts w:ascii="Times New Roman" w:hAnsi="Times New Roman"/>
          <w:lang w:val="bg-BG"/>
        </w:rPr>
        <w:t xml:space="preserve"> към верифицирано искане за плащане (пакет отчетни документи, състоящ се от искане за плащане, финансов отчет, технически отчет и </w:t>
      </w:r>
      <w:proofErr w:type="spellStart"/>
      <w:r w:rsidR="00063DC0" w:rsidRPr="00B21461">
        <w:rPr>
          <w:rFonts w:ascii="Times New Roman" w:hAnsi="Times New Roman"/>
          <w:lang w:val="bg-BG"/>
        </w:rPr>
        <w:t>микроданни</w:t>
      </w:r>
      <w:proofErr w:type="spellEnd"/>
      <w:r w:rsidR="00063DC0" w:rsidRPr="00B21461">
        <w:rPr>
          <w:rFonts w:ascii="Times New Roman" w:hAnsi="Times New Roman"/>
          <w:lang w:val="bg-BG"/>
        </w:rPr>
        <w:t>)</w:t>
      </w:r>
      <w:r w:rsidR="00375D66" w:rsidRPr="00B21461">
        <w:rPr>
          <w:rFonts w:ascii="Times New Roman" w:hAnsi="Times New Roman"/>
          <w:lang w:val="bg-BG"/>
        </w:rPr>
        <w:t>, отчетено</w:t>
      </w:r>
      <w:r w:rsidR="00063DC0" w:rsidRPr="00B21461">
        <w:rPr>
          <w:rFonts w:ascii="Times New Roman" w:hAnsi="Times New Roman"/>
          <w:lang w:val="bg-BG"/>
        </w:rPr>
        <w:t xml:space="preserve"> през съответната отчетна година. Не следва да се допуска дублиране в отчитането през отделните години</w:t>
      </w:r>
      <w:r w:rsidR="00FC4F01" w:rsidRPr="00B21461">
        <w:rPr>
          <w:rFonts w:ascii="Times New Roman" w:hAnsi="Times New Roman"/>
          <w:lang w:val="bg-BG"/>
        </w:rPr>
        <w:t xml:space="preserve">, поради което от крайната стойност следва да се изваждат </w:t>
      </w:r>
      <w:r w:rsidR="00A60471" w:rsidRPr="00B21461">
        <w:rPr>
          <w:rFonts w:ascii="Times New Roman" w:hAnsi="Times New Roman"/>
          <w:lang w:val="bg-BG"/>
        </w:rPr>
        <w:t>отчетените в предходните години стойности</w:t>
      </w:r>
      <w:r w:rsidR="002F2D3D" w:rsidRPr="00B21461">
        <w:rPr>
          <w:rFonts w:ascii="Times New Roman" w:hAnsi="Times New Roman"/>
          <w:lang w:val="bg-BG"/>
        </w:rPr>
        <w:t>.</w:t>
      </w:r>
    </w:p>
    <w:p w14:paraId="45C5D51C" w14:textId="2094C547" w:rsidR="00063DC0" w:rsidRPr="00B21461" w:rsidRDefault="00063DC0" w:rsidP="00063DC0">
      <w:pPr>
        <w:jc w:val="both"/>
        <w:rPr>
          <w:rFonts w:ascii="Times New Roman" w:hAnsi="Times New Roman"/>
          <w:lang w:val="bg-BG"/>
        </w:rPr>
      </w:pPr>
      <w:r w:rsidRPr="00B21461">
        <w:rPr>
          <w:rFonts w:ascii="Times New Roman" w:hAnsi="Times New Roman"/>
          <w:lang w:val="bg-BG"/>
        </w:rPr>
        <w:t xml:space="preserve">Агрегирането на данните за </w:t>
      </w:r>
      <w:r w:rsidR="00DE718A" w:rsidRPr="00B21461">
        <w:rPr>
          <w:rFonts w:ascii="Times New Roman" w:hAnsi="Times New Roman"/>
          <w:u w:val="single"/>
          <w:lang w:val="bg-BG"/>
        </w:rPr>
        <w:t>ОД</w:t>
      </w:r>
      <w:r w:rsidRPr="00B21461">
        <w:rPr>
          <w:rFonts w:ascii="Times New Roman" w:hAnsi="Times New Roman"/>
          <w:lang w:val="bg-BG"/>
        </w:rPr>
        <w:t xml:space="preserve"> се извършва въз основа на последната представена от бенефициента по съответен проект в ИСУН таблица с </w:t>
      </w:r>
      <w:proofErr w:type="spellStart"/>
      <w:r w:rsidRPr="00B21461">
        <w:rPr>
          <w:rFonts w:ascii="Times New Roman" w:hAnsi="Times New Roman"/>
          <w:lang w:val="bg-BG"/>
        </w:rPr>
        <w:t>микроданни</w:t>
      </w:r>
      <w:proofErr w:type="spellEnd"/>
      <w:r w:rsidRPr="00B21461">
        <w:rPr>
          <w:rFonts w:ascii="Times New Roman" w:hAnsi="Times New Roman"/>
          <w:lang w:val="bg-BG"/>
        </w:rPr>
        <w:t xml:space="preserve"> към верифицирано искане за плащане (пакет отчетни документи, състоящ се от искане за плащане, финансов отчет, технически отчет и </w:t>
      </w:r>
      <w:proofErr w:type="spellStart"/>
      <w:r w:rsidRPr="00B21461">
        <w:rPr>
          <w:rFonts w:ascii="Times New Roman" w:hAnsi="Times New Roman"/>
          <w:lang w:val="bg-BG"/>
        </w:rPr>
        <w:t>микроданни</w:t>
      </w:r>
      <w:proofErr w:type="spellEnd"/>
      <w:r w:rsidRPr="00B21461">
        <w:rPr>
          <w:rFonts w:ascii="Times New Roman" w:hAnsi="Times New Roman"/>
          <w:lang w:val="bg-BG"/>
        </w:rPr>
        <w:t>)</w:t>
      </w:r>
      <w:r w:rsidR="000B572A" w:rsidRPr="00B21461">
        <w:rPr>
          <w:rFonts w:ascii="Times New Roman" w:hAnsi="Times New Roman"/>
          <w:lang w:val="bg-BG"/>
        </w:rPr>
        <w:t>, отчетено</w:t>
      </w:r>
      <w:r w:rsidRPr="00B21461">
        <w:rPr>
          <w:rFonts w:ascii="Times New Roman" w:hAnsi="Times New Roman"/>
          <w:lang w:val="bg-BG"/>
        </w:rPr>
        <w:t xml:space="preserve"> през 2023 или 2024 г. </w:t>
      </w:r>
    </w:p>
    <w:p w14:paraId="7CD5AE70" w14:textId="555B9B30" w:rsidR="00574F29" w:rsidRPr="00B21461" w:rsidRDefault="00574F29" w:rsidP="00063DC0">
      <w:pPr>
        <w:jc w:val="both"/>
        <w:rPr>
          <w:rFonts w:ascii="Times New Roman" w:hAnsi="Times New Roman"/>
          <w:lang w:val="bg-BG"/>
        </w:rPr>
      </w:pPr>
      <w:r w:rsidRPr="00B21461">
        <w:rPr>
          <w:rFonts w:ascii="Times New Roman" w:hAnsi="Times New Roman"/>
          <w:lang w:val="bg-BG"/>
        </w:rPr>
        <w:t xml:space="preserve">Общите показатели за изпълнение, които се отчитат са: </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41"/>
        <w:gridCol w:w="8756"/>
      </w:tblGrid>
      <w:tr w:rsidR="00A4242F" w:rsidRPr="00B21461" w14:paraId="46EAE688" w14:textId="77777777" w:rsidTr="00A4242F">
        <w:tc>
          <w:tcPr>
            <w:tcW w:w="341" w:type="pct"/>
            <w:shd w:val="clear" w:color="auto" w:fill="auto"/>
          </w:tcPr>
          <w:p w14:paraId="09F218B3"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CO05</w:t>
            </w:r>
          </w:p>
        </w:tc>
        <w:tc>
          <w:tcPr>
            <w:tcW w:w="4659" w:type="pct"/>
            <w:shd w:val="clear" w:color="auto" w:fill="auto"/>
          </w:tcPr>
          <w:p w14:paraId="27AA2F72" w14:textId="5AE41CDA" w:rsidR="00A4242F" w:rsidRPr="00B21461" w:rsidRDefault="00A4242F" w:rsidP="00375D66">
            <w:pPr>
              <w:spacing w:after="0"/>
              <w:rPr>
                <w:rFonts w:ascii="Times New Roman" w:hAnsi="Times New Roman"/>
                <w:lang w:val="bg-BG"/>
              </w:rPr>
            </w:pPr>
            <w:r w:rsidRPr="00B21461">
              <w:rPr>
                <w:rFonts w:ascii="Times New Roman" w:hAnsi="Times New Roman"/>
                <w:lang w:val="bg-BG"/>
              </w:rPr>
              <w:t>заети, включително самостоятелно заети</w:t>
            </w:r>
          </w:p>
        </w:tc>
      </w:tr>
      <w:tr w:rsidR="00A4242F" w:rsidRPr="00B21461" w14:paraId="75CE23D8" w14:textId="77777777" w:rsidTr="00A4242F">
        <w:tc>
          <w:tcPr>
            <w:tcW w:w="341" w:type="pct"/>
            <w:shd w:val="clear" w:color="auto" w:fill="auto"/>
          </w:tcPr>
          <w:p w14:paraId="3C9AB923"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CO06</w:t>
            </w:r>
          </w:p>
        </w:tc>
        <w:tc>
          <w:tcPr>
            <w:tcW w:w="4659" w:type="pct"/>
            <w:shd w:val="clear" w:color="auto" w:fill="auto"/>
          </w:tcPr>
          <w:p w14:paraId="16BD435E" w14:textId="6A4E8792" w:rsidR="00A4242F" w:rsidRPr="00B21461" w:rsidRDefault="00A4242F" w:rsidP="00375D66">
            <w:pPr>
              <w:spacing w:after="0"/>
              <w:rPr>
                <w:rFonts w:ascii="Times New Roman" w:hAnsi="Times New Roman"/>
                <w:lang w:val="bg-BG"/>
              </w:rPr>
            </w:pPr>
            <w:r w:rsidRPr="00B21461">
              <w:rPr>
                <w:rFonts w:ascii="Times New Roman" w:hAnsi="Times New Roman"/>
                <w:lang w:val="bg-BG"/>
              </w:rPr>
              <w:t>на възраст под 25 години</w:t>
            </w:r>
          </w:p>
        </w:tc>
      </w:tr>
      <w:tr w:rsidR="00A4242F" w:rsidRPr="00B21461" w14:paraId="1E653752" w14:textId="77777777" w:rsidTr="00A4242F">
        <w:tc>
          <w:tcPr>
            <w:tcW w:w="341" w:type="pct"/>
            <w:shd w:val="clear" w:color="auto" w:fill="auto"/>
          </w:tcPr>
          <w:p w14:paraId="0042063D"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CO07</w:t>
            </w:r>
          </w:p>
        </w:tc>
        <w:tc>
          <w:tcPr>
            <w:tcW w:w="4659" w:type="pct"/>
            <w:shd w:val="clear" w:color="auto" w:fill="auto"/>
          </w:tcPr>
          <w:p w14:paraId="7FF613DE" w14:textId="4D66E49C" w:rsidR="00A4242F" w:rsidRPr="00B21461" w:rsidRDefault="00A4242F" w:rsidP="00375D66">
            <w:pPr>
              <w:spacing w:after="0"/>
              <w:rPr>
                <w:rFonts w:ascii="Times New Roman" w:hAnsi="Times New Roman"/>
                <w:lang w:val="bg-BG"/>
              </w:rPr>
            </w:pPr>
            <w:r w:rsidRPr="00B21461">
              <w:rPr>
                <w:rFonts w:ascii="Times New Roman" w:hAnsi="Times New Roman"/>
                <w:lang w:val="bg-BG"/>
              </w:rPr>
              <w:t>на възраст над 54 години</w:t>
            </w:r>
          </w:p>
        </w:tc>
      </w:tr>
      <w:tr w:rsidR="00A4242F" w:rsidRPr="00B21461" w14:paraId="33B08D35" w14:textId="77777777" w:rsidTr="00A4242F">
        <w:tc>
          <w:tcPr>
            <w:tcW w:w="341" w:type="pct"/>
            <w:shd w:val="clear" w:color="auto" w:fill="auto"/>
          </w:tcPr>
          <w:p w14:paraId="6D2EB00F"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CO09</w:t>
            </w:r>
          </w:p>
        </w:tc>
        <w:tc>
          <w:tcPr>
            <w:tcW w:w="4659" w:type="pct"/>
            <w:shd w:val="clear" w:color="auto" w:fill="auto"/>
          </w:tcPr>
          <w:p w14:paraId="3325295C" w14:textId="1C361B63" w:rsidR="00A4242F" w:rsidRPr="00B21461" w:rsidRDefault="00A4242F" w:rsidP="00375D66">
            <w:pPr>
              <w:spacing w:after="0"/>
              <w:rPr>
                <w:rFonts w:ascii="Times New Roman" w:hAnsi="Times New Roman"/>
                <w:lang w:val="bg-BG"/>
              </w:rPr>
            </w:pPr>
            <w:r w:rsidRPr="00B21461">
              <w:rPr>
                <w:rFonts w:ascii="Times New Roman" w:hAnsi="Times New Roman"/>
                <w:lang w:val="bg-BG"/>
              </w:rPr>
              <w:t>с основно образование (ISCED 1) или прогимназиален етап на основното образование (ISCED 2)</w:t>
            </w:r>
          </w:p>
        </w:tc>
      </w:tr>
      <w:tr w:rsidR="00A4242F" w:rsidRPr="00B21461" w14:paraId="0FF9EA4B" w14:textId="77777777" w:rsidTr="00A4242F">
        <w:tc>
          <w:tcPr>
            <w:tcW w:w="341" w:type="pct"/>
            <w:shd w:val="clear" w:color="auto" w:fill="auto"/>
          </w:tcPr>
          <w:p w14:paraId="1725FB7B"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CO10</w:t>
            </w:r>
          </w:p>
        </w:tc>
        <w:tc>
          <w:tcPr>
            <w:tcW w:w="4659" w:type="pct"/>
            <w:shd w:val="clear" w:color="auto" w:fill="auto"/>
          </w:tcPr>
          <w:p w14:paraId="272D4D44" w14:textId="4AB8D7E0" w:rsidR="00A4242F" w:rsidRPr="00B21461" w:rsidRDefault="00A4242F" w:rsidP="00375D66">
            <w:pPr>
              <w:spacing w:after="0"/>
              <w:rPr>
                <w:rFonts w:ascii="Times New Roman" w:hAnsi="Times New Roman"/>
                <w:lang w:val="bg-BG"/>
              </w:rPr>
            </w:pPr>
            <w:r w:rsidRPr="00B21461">
              <w:rPr>
                <w:rFonts w:ascii="Times New Roman" w:hAnsi="Times New Roman"/>
                <w:lang w:val="bg-BG"/>
              </w:rPr>
              <w:t>със средно образование (ISCED 3) или образование след средното образование (ISCED 4)</w:t>
            </w:r>
          </w:p>
        </w:tc>
      </w:tr>
      <w:tr w:rsidR="00A4242F" w:rsidRPr="00B21461" w14:paraId="10EF50FD" w14:textId="77777777" w:rsidTr="00A4242F">
        <w:tc>
          <w:tcPr>
            <w:tcW w:w="341" w:type="pct"/>
            <w:shd w:val="clear" w:color="auto" w:fill="auto"/>
          </w:tcPr>
          <w:p w14:paraId="019E08C1"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CO11</w:t>
            </w:r>
          </w:p>
        </w:tc>
        <w:tc>
          <w:tcPr>
            <w:tcW w:w="4659" w:type="pct"/>
            <w:shd w:val="clear" w:color="auto" w:fill="auto"/>
          </w:tcPr>
          <w:p w14:paraId="26C28EDC" w14:textId="67FAD14F" w:rsidR="00A4242F" w:rsidRPr="00B21461" w:rsidRDefault="00A4242F" w:rsidP="00375D66">
            <w:pPr>
              <w:spacing w:after="0"/>
              <w:rPr>
                <w:rFonts w:ascii="Times New Roman" w:hAnsi="Times New Roman"/>
                <w:lang w:val="bg-BG"/>
              </w:rPr>
            </w:pPr>
            <w:r w:rsidRPr="00B21461">
              <w:rPr>
                <w:rFonts w:ascii="Times New Roman" w:hAnsi="Times New Roman"/>
                <w:lang w:val="bg-BG"/>
              </w:rPr>
              <w:t>с висше образование (ISCED 5 до 8)</w:t>
            </w:r>
          </w:p>
        </w:tc>
      </w:tr>
      <w:tr w:rsidR="00A4242F" w:rsidRPr="00B21461" w14:paraId="2624B193" w14:textId="77777777" w:rsidTr="00A4242F">
        <w:tc>
          <w:tcPr>
            <w:tcW w:w="341" w:type="pct"/>
            <w:shd w:val="clear" w:color="auto" w:fill="auto"/>
          </w:tcPr>
          <w:p w14:paraId="43AB40C8"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CO16</w:t>
            </w:r>
          </w:p>
        </w:tc>
        <w:tc>
          <w:tcPr>
            <w:tcW w:w="4659" w:type="pct"/>
            <w:shd w:val="clear" w:color="auto" w:fill="auto"/>
          </w:tcPr>
          <w:p w14:paraId="1BE11D10" w14:textId="2578E025" w:rsidR="00A4242F" w:rsidRPr="00B21461" w:rsidRDefault="00A4242F" w:rsidP="00375D66">
            <w:pPr>
              <w:spacing w:after="0"/>
              <w:rPr>
                <w:rFonts w:ascii="Times New Roman" w:hAnsi="Times New Roman"/>
                <w:lang w:val="bg-BG"/>
              </w:rPr>
            </w:pPr>
            <w:r w:rsidRPr="00B21461">
              <w:rPr>
                <w:rFonts w:ascii="Times New Roman" w:hAnsi="Times New Roman"/>
                <w:lang w:val="bg-BG"/>
              </w:rPr>
              <w:t>участници с увреждания</w:t>
            </w:r>
          </w:p>
        </w:tc>
      </w:tr>
      <w:tr w:rsidR="00A4242F" w:rsidRPr="00B21461" w14:paraId="4C3273CB" w14:textId="77777777" w:rsidTr="00A4242F">
        <w:tc>
          <w:tcPr>
            <w:tcW w:w="341" w:type="pct"/>
            <w:shd w:val="clear" w:color="auto" w:fill="auto"/>
          </w:tcPr>
          <w:p w14:paraId="18841FCB"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CO19</w:t>
            </w:r>
          </w:p>
        </w:tc>
        <w:tc>
          <w:tcPr>
            <w:tcW w:w="4659" w:type="pct"/>
            <w:shd w:val="clear" w:color="auto" w:fill="auto"/>
          </w:tcPr>
          <w:p w14:paraId="1FC463B9" w14:textId="3B0CFFF7" w:rsidR="00A4242F" w:rsidRPr="00B21461" w:rsidRDefault="00A4242F" w:rsidP="00375D66">
            <w:pPr>
              <w:spacing w:after="0"/>
              <w:rPr>
                <w:rFonts w:ascii="Times New Roman" w:hAnsi="Times New Roman"/>
                <w:lang w:val="bg-BG"/>
              </w:rPr>
            </w:pPr>
            <w:r w:rsidRPr="00B21461">
              <w:rPr>
                <w:rFonts w:ascii="Times New Roman" w:hAnsi="Times New Roman"/>
                <w:lang w:val="bg-BG"/>
              </w:rPr>
              <w:t>от селски райони</w:t>
            </w:r>
          </w:p>
        </w:tc>
      </w:tr>
      <w:tr w:rsidR="00A4242F" w:rsidRPr="00B21461" w14:paraId="535E419D" w14:textId="77777777" w:rsidTr="00A4242F">
        <w:tc>
          <w:tcPr>
            <w:tcW w:w="341" w:type="pct"/>
            <w:shd w:val="clear" w:color="auto" w:fill="auto"/>
          </w:tcPr>
          <w:p w14:paraId="46910671"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CO20</w:t>
            </w:r>
          </w:p>
        </w:tc>
        <w:tc>
          <w:tcPr>
            <w:tcW w:w="4659" w:type="pct"/>
            <w:shd w:val="clear" w:color="auto" w:fill="auto"/>
          </w:tcPr>
          <w:p w14:paraId="44B0F2C5" w14:textId="1AE10311" w:rsidR="00A4242F" w:rsidRPr="00B21461" w:rsidRDefault="00A4242F" w:rsidP="00375D66">
            <w:pPr>
              <w:spacing w:after="0"/>
              <w:rPr>
                <w:rFonts w:ascii="Times New Roman" w:hAnsi="Times New Roman"/>
                <w:lang w:val="bg-BG"/>
              </w:rPr>
            </w:pPr>
            <w:r w:rsidRPr="00B21461">
              <w:rPr>
                <w:rFonts w:ascii="Times New Roman" w:hAnsi="Times New Roman"/>
                <w:lang w:val="bg-BG"/>
              </w:rPr>
              <w:t>брой проекти, изцяло или частично изпълнени от социални партньори или неправителствени организации</w:t>
            </w:r>
          </w:p>
        </w:tc>
      </w:tr>
      <w:tr w:rsidR="00A4242F" w:rsidRPr="00B21461" w14:paraId="6E46A356" w14:textId="77777777" w:rsidTr="00A4242F">
        <w:tc>
          <w:tcPr>
            <w:tcW w:w="341" w:type="pct"/>
            <w:shd w:val="clear" w:color="auto" w:fill="auto"/>
          </w:tcPr>
          <w:p w14:paraId="0F7F963B" w14:textId="77777777" w:rsidR="00A4242F" w:rsidRPr="00B21461" w:rsidRDefault="00A4242F" w:rsidP="00375D66">
            <w:pPr>
              <w:spacing w:after="0"/>
              <w:rPr>
                <w:rFonts w:ascii="Times New Roman" w:hAnsi="Times New Roman"/>
                <w:lang w:val="bg-BG"/>
              </w:rPr>
            </w:pPr>
            <w:r w:rsidRPr="00B21461">
              <w:rPr>
                <w:rFonts w:ascii="Times New Roman" w:hAnsi="Times New Roman"/>
                <w:lang w:val="bg-BG"/>
              </w:rPr>
              <w:t>CO22</w:t>
            </w:r>
          </w:p>
        </w:tc>
        <w:tc>
          <w:tcPr>
            <w:tcW w:w="4659" w:type="pct"/>
            <w:shd w:val="clear" w:color="auto" w:fill="auto"/>
          </w:tcPr>
          <w:p w14:paraId="2CB31C04" w14:textId="5E90240D" w:rsidR="00A4242F" w:rsidRPr="00B21461" w:rsidRDefault="00A4242F" w:rsidP="00375D66">
            <w:pPr>
              <w:spacing w:after="0"/>
              <w:rPr>
                <w:rFonts w:ascii="Times New Roman" w:hAnsi="Times New Roman"/>
                <w:lang w:val="bg-BG"/>
              </w:rPr>
            </w:pPr>
            <w:r w:rsidRPr="00B21461">
              <w:rPr>
                <w:rFonts w:ascii="Times New Roman" w:hAnsi="Times New Roman"/>
                <w:lang w:val="bg-BG"/>
              </w:rPr>
              <w:t>брой проекти, насочени към публичните администрации и публичните услуги на национално, регионално или местно равнище</w:t>
            </w:r>
          </w:p>
        </w:tc>
      </w:tr>
    </w:tbl>
    <w:p w14:paraId="6BF9FEB4" w14:textId="38434D15" w:rsidR="004820EE" w:rsidRPr="00B21461" w:rsidRDefault="002F2D3D" w:rsidP="00063DC0">
      <w:pPr>
        <w:jc w:val="both"/>
        <w:rPr>
          <w:rFonts w:ascii="Times New Roman" w:hAnsi="Times New Roman"/>
          <w:lang w:val="bg-BG"/>
        </w:rPr>
      </w:pPr>
      <w:r w:rsidRPr="00B21461">
        <w:rPr>
          <w:rFonts w:ascii="Times New Roman" w:hAnsi="Times New Roman"/>
          <w:lang w:val="bg-BG"/>
        </w:rPr>
        <w:t>Общи</w:t>
      </w:r>
      <w:r w:rsidR="00810726" w:rsidRPr="00B21461">
        <w:rPr>
          <w:rFonts w:ascii="Times New Roman" w:hAnsi="Times New Roman"/>
          <w:lang w:val="bg-BG"/>
        </w:rPr>
        <w:t>ят</w:t>
      </w:r>
      <w:r w:rsidRPr="00B21461">
        <w:rPr>
          <w:rFonts w:ascii="Times New Roman" w:hAnsi="Times New Roman"/>
          <w:lang w:val="bg-BG"/>
        </w:rPr>
        <w:t xml:space="preserve"> показател за непосредствен резултат</w:t>
      </w:r>
      <w:r w:rsidR="009B7749" w:rsidRPr="00B21461">
        <w:rPr>
          <w:rFonts w:ascii="Times New Roman" w:hAnsi="Times New Roman"/>
          <w:lang w:val="bg-BG"/>
        </w:rPr>
        <w:t>,</w:t>
      </w:r>
      <w:r w:rsidR="009B7749" w:rsidRPr="00B21461">
        <w:rPr>
          <w:lang w:val="bg-BG"/>
        </w:rPr>
        <w:t xml:space="preserve"> </w:t>
      </w:r>
      <w:r w:rsidR="00810726" w:rsidRPr="00B21461">
        <w:rPr>
          <w:rFonts w:ascii="Times New Roman" w:hAnsi="Times New Roman"/>
          <w:lang w:val="bg-BG"/>
        </w:rPr>
        <w:t>кой</w:t>
      </w:r>
      <w:r w:rsidR="009B7749" w:rsidRPr="00B21461">
        <w:rPr>
          <w:rFonts w:ascii="Times New Roman" w:hAnsi="Times New Roman"/>
          <w:lang w:val="bg-BG"/>
        </w:rPr>
        <w:t xml:space="preserve">то се отчита </w:t>
      </w:r>
      <w:r w:rsidR="00810726" w:rsidRPr="00B21461">
        <w:rPr>
          <w:rFonts w:ascii="Times New Roman" w:hAnsi="Times New Roman"/>
          <w:lang w:val="bg-BG"/>
        </w:rPr>
        <w:t>е</w:t>
      </w:r>
      <w:r w:rsidRPr="00B21461">
        <w:rPr>
          <w:rFonts w:ascii="Times New Roman" w:hAnsi="Times New Roman"/>
          <w:lang w:val="bg-BG"/>
        </w:rPr>
        <w:t>:</w:t>
      </w:r>
    </w:p>
    <w:tbl>
      <w:tblPr>
        <w:tblW w:w="50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0"/>
        <w:gridCol w:w="8789"/>
      </w:tblGrid>
      <w:tr w:rsidR="002F2D3D" w:rsidRPr="00B21461" w14:paraId="4FFF9D0B" w14:textId="77777777" w:rsidTr="009B6276">
        <w:tc>
          <w:tcPr>
            <w:tcW w:w="436" w:type="pct"/>
            <w:shd w:val="clear" w:color="auto" w:fill="auto"/>
          </w:tcPr>
          <w:p w14:paraId="6ABC8AF5" w14:textId="77777777" w:rsidR="002F2D3D" w:rsidRPr="00B21461" w:rsidRDefault="002F2D3D" w:rsidP="00375D66">
            <w:pPr>
              <w:spacing w:after="0" w:line="240" w:lineRule="auto"/>
              <w:jc w:val="both"/>
              <w:rPr>
                <w:rFonts w:ascii="Times New Roman" w:hAnsi="Times New Roman"/>
                <w:lang w:val="bg-BG"/>
              </w:rPr>
            </w:pPr>
            <w:r w:rsidRPr="00B21461">
              <w:rPr>
                <w:rFonts w:ascii="Times New Roman" w:hAnsi="Times New Roman"/>
                <w:lang w:val="bg-BG"/>
              </w:rPr>
              <w:lastRenderedPageBreak/>
              <w:t>CR03</w:t>
            </w:r>
          </w:p>
        </w:tc>
        <w:tc>
          <w:tcPr>
            <w:tcW w:w="0" w:type="auto"/>
            <w:shd w:val="clear" w:color="auto" w:fill="auto"/>
          </w:tcPr>
          <w:p w14:paraId="5E2BC3B3" w14:textId="77777777" w:rsidR="002F2D3D" w:rsidRPr="00B21461" w:rsidRDefault="002F2D3D" w:rsidP="00375D66">
            <w:pPr>
              <w:spacing w:after="0" w:line="240" w:lineRule="auto"/>
              <w:jc w:val="both"/>
              <w:rPr>
                <w:rFonts w:ascii="Times New Roman" w:hAnsi="Times New Roman"/>
                <w:lang w:val="bg-BG"/>
              </w:rPr>
            </w:pPr>
            <w:r w:rsidRPr="00B21461">
              <w:rPr>
                <w:rFonts w:ascii="Times New Roman" w:hAnsi="Times New Roman"/>
                <w:lang w:val="bg-BG"/>
              </w:rPr>
              <w:t>участници, които при напускане на операцията получават квалификация</w:t>
            </w:r>
          </w:p>
        </w:tc>
      </w:tr>
    </w:tbl>
    <w:p w14:paraId="61B6EE95" w14:textId="77777777" w:rsidR="002F2D3D" w:rsidRPr="00B21461" w:rsidRDefault="002F2D3D" w:rsidP="00063DC0">
      <w:pPr>
        <w:jc w:val="both"/>
        <w:rPr>
          <w:rFonts w:ascii="Times New Roman" w:hAnsi="Times New Roman"/>
          <w:lang w:val="bg-BG"/>
        </w:rPr>
      </w:pPr>
    </w:p>
    <w:p w14:paraId="518D7E18" w14:textId="77777777" w:rsidR="00063DC0" w:rsidRPr="00B21461" w:rsidRDefault="00063DC0" w:rsidP="00063DC0">
      <w:pPr>
        <w:pStyle w:val="ListParagraph"/>
        <w:numPr>
          <w:ilvl w:val="1"/>
          <w:numId w:val="2"/>
        </w:numPr>
        <w:jc w:val="both"/>
        <w:rPr>
          <w:rFonts w:cs="Times New Roman"/>
          <w:b/>
          <w:sz w:val="22"/>
        </w:rPr>
      </w:pPr>
      <w:r w:rsidRPr="00B21461">
        <w:rPr>
          <w:rFonts w:cs="Times New Roman"/>
          <w:b/>
          <w:sz w:val="22"/>
        </w:rPr>
        <w:t>Агрегиране на данните относно общия индикатор за дългосрочен резултат</w:t>
      </w:r>
    </w:p>
    <w:p w14:paraId="3C2B4047" w14:textId="15103662" w:rsidR="00063DC0" w:rsidRPr="00B21461" w:rsidRDefault="00063DC0" w:rsidP="00063DC0">
      <w:pPr>
        <w:jc w:val="both"/>
        <w:rPr>
          <w:rFonts w:ascii="Times New Roman" w:hAnsi="Times New Roman"/>
          <w:lang w:val="bg-BG"/>
        </w:rPr>
      </w:pPr>
      <w:r w:rsidRPr="00B21461">
        <w:rPr>
          <w:rFonts w:ascii="Times New Roman" w:hAnsi="Times New Roman"/>
          <w:lang w:val="bg-BG"/>
        </w:rPr>
        <w:t xml:space="preserve">Данните относно общия индикатор за дългосрочен резултат се отчитат в ГДИ за 2018 г., както и в </w:t>
      </w:r>
      <w:r w:rsidR="00DE718A" w:rsidRPr="00B21461">
        <w:rPr>
          <w:rFonts w:ascii="Times New Roman" w:hAnsi="Times New Roman"/>
          <w:lang w:val="bg-BG"/>
        </w:rPr>
        <w:t>ОД</w:t>
      </w:r>
      <w:r w:rsidRPr="00B21461">
        <w:rPr>
          <w:rFonts w:ascii="Times New Roman" w:hAnsi="Times New Roman"/>
          <w:lang w:val="bg-BG"/>
        </w:rPr>
        <w:t>. Отчитането се извършва въз основа на данни от извършено</w:t>
      </w:r>
      <w:r w:rsidR="006E25B1" w:rsidRPr="00B21461">
        <w:rPr>
          <w:rFonts w:ascii="Times New Roman" w:hAnsi="Times New Roman"/>
          <w:lang w:val="bg-BG"/>
        </w:rPr>
        <w:t>/и</w:t>
      </w:r>
      <w:r w:rsidRPr="00B21461">
        <w:rPr>
          <w:rFonts w:ascii="Times New Roman" w:hAnsi="Times New Roman"/>
          <w:lang w:val="bg-BG"/>
        </w:rPr>
        <w:t xml:space="preserve"> проучване</w:t>
      </w:r>
      <w:r w:rsidR="006E25B1" w:rsidRPr="00B21461">
        <w:rPr>
          <w:rFonts w:ascii="Times New Roman" w:hAnsi="Times New Roman"/>
          <w:lang w:val="bg-BG"/>
        </w:rPr>
        <w:t>/</w:t>
      </w:r>
      <w:proofErr w:type="spellStart"/>
      <w:r w:rsidR="006E25B1" w:rsidRPr="00B21461">
        <w:rPr>
          <w:rFonts w:ascii="Times New Roman" w:hAnsi="Times New Roman"/>
          <w:lang w:val="bg-BG"/>
        </w:rPr>
        <w:t>ия</w:t>
      </w:r>
      <w:proofErr w:type="spellEnd"/>
      <w:r w:rsidRPr="00B21461">
        <w:rPr>
          <w:rFonts w:ascii="Times New Roman" w:hAnsi="Times New Roman"/>
          <w:lang w:val="bg-BG"/>
        </w:rPr>
        <w:t>.</w:t>
      </w:r>
    </w:p>
    <w:p w14:paraId="4345846D" w14:textId="2816D22E" w:rsidR="00E923EB" w:rsidRPr="00B21461" w:rsidRDefault="00F65A45" w:rsidP="00063DC0">
      <w:pPr>
        <w:jc w:val="both"/>
        <w:rPr>
          <w:rFonts w:ascii="Times New Roman" w:hAnsi="Times New Roman"/>
          <w:lang w:val="bg-BG"/>
        </w:rPr>
      </w:pPr>
      <w:r w:rsidRPr="00B21461">
        <w:rPr>
          <w:rFonts w:ascii="Times New Roman" w:hAnsi="Times New Roman"/>
          <w:lang w:val="bg-BG"/>
        </w:rPr>
        <w:t>Общият показател за дългосрочен резултат,</w:t>
      </w:r>
      <w:r w:rsidRPr="00B21461">
        <w:rPr>
          <w:lang w:val="bg-BG"/>
        </w:rPr>
        <w:t xml:space="preserve"> </w:t>
      </w:r>
      <w:r w:rsidRPr="00B21461">
        <w:rPr>
          <w:rFonts w:ascii="Times New Roman" w:hAnsi="Times New Roman"/>
          <w:lang w:val="bg-BG"/>
        </w:rPr>
        <w:t>който се отчита е:</w:t>
      </w:r>
    </w:p>
    <w:tbl>
      <w:tblPr>
        <w:tblW w:w="50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84"/>
        <w:gridCol w:w="8945"/>
      </w:tblGrid>
      <w:tr w:rsidR="00B839F2" w:rsidRPr="00E94F20" w14:paraId="534D1E29" w14:textId="77777777" w:rsidTr="009B6276">
        <w:tc>
          <w:tcPr>
            <w:tcW w:w="355" w:type="pct"/>
            <w:shd w:val="clear" w:color="auto" w:fill="auto"/>
          </w:tcPr>
          <w:p w14:paraId="1546D225" w14:textId="77777777" w:rsidR="00B839F2" w:rsidRPr="00B21461" w:rsidRDefault="00B839F2" w:rsidP="00B839F2">
            <w:pPr>
              <w:spacing w:after="0" w:line="240" w:lineRule="auto"/>
              <w:jc w:val="both"/>
              <w:rPr>
                <w:rFonts w:ascii="Times New Roman" w:hAnsi="Times New Roman"/>
                <w:lang w:val="bg-BG"/>
              </w:rPr>
            </w:pPr>
            <w:r w:rsidRPr="00B21461">
              <w:rPr>
                <w:rFonts w:ascii="Times New Roman" w:hAnsi="Times New Roman"/>
                <w:lang w:val="bg-BG"/>
              </w:rPr>
              <w:t>CR07</w:t>
            </w:r>
          </w:p>
        </w:tc>
        <w:tc>
          <w:tcPr>
            <w:tcW w:w="0" w:type="auto"/>
            <w:shd w:val="clear" w:color="auto" w:fill="auto"/>
          </w:tcPr>
          <w:p w14:paraId="58F893DB" w14:textId="77777777" w:rsidR="00B839F2" w:rsidRPr="00FD7F5B" w:rsidRDefault="00B839F2" w:rsidP="00B839F2">
            <w:pPr>
              <w:spacing w:after="0" w:line="240" w:lineRule="auto"/>
              <w:jc w:val="both"/>
              <w:rPr>
                <w:rFonts w:ascii="Times New Roman" w:hAnsi="Times New Roman"/>
                <w:lang w:val="bg-BG"/>
              </w:rPr>
            </w:pPr>
            <w:r w:rsidRPr="00B21461">
              <w:rPr>
                <w:rFonts w:ascii="Times New Roman" w:hAnsi="Times New Roman"/>
                <w:lang w:val="bg-BG"/>
              </w:rPr>
              <w:t>участници, чието положение на пазара на труда в рамките на шест месеца след напускане на операцията е по-добро</w:t>
            </w:r>
          </w:p>
        </w:tc>
      </w:tr>
    </w:tbl>
    <w:p w14:paraId="19DB3913" w14:textId="77777777" w:rsidR="00063DC0" w:rsidRPr="0089607A" w:rsidRDefault="00063DC0" w:rsidP="00063DC0">
      <w:pPr>
        <w:tabs>
          <w:tab w:val="left" w:pos="6991"/>
        </w:tabs>
        <w:spacing w:after="0"/>
        <w:jc w:val="right"/>
        <w:rPr>
          <w:rFonts w:ascii="Times New Roman" w:hAnsi="Times New Roman"/>
          <w:i/>
          <w:sz w:val="24"/>
          <w:szCs w:val="24"/>
          <w:lang w:val="bg-BG"/>
        </w:rPr>
      </w:pPr>
    </w:p>
    <w:sectPr w:rsidR="00063DC0" w:rsidRPr="0089607A" w:rsidSect="000F110C">
      <w:footerReference w:type="default" r:id="rId12"/>
      <w:headerReference w:type="first" r:id="rId13"/>
      <w:pgSz w:w="11909" w:h="16834" w:code="9"/>
      <w:pgMar w:top="1519" w:right="1191" w:bottom="1135" w:left="1191"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AFCCC" w14:textId="77777777" w:rsidR="00EB48BB" w:rsidRDefault="00EB48BB" w:rsidP="0040525D">
      <w:pPr>
        <w:spacing w:after="0" w:line="240" w:lineRule="auto"/>
      </w:pPr>
      <w:r>
        <w:separator/>
      </w:r>
    </w:p>
  </w:endnote>
  <w:endnote w:type="continuationSeparator" w:id="0">
    <w:p w14:paraId="7D560C8F" w14:textId="77777777" w:rsidR="00EB48BB" w:rsidRDefault="00EB48BB" w:rsidP="00405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HG Mincho Light J">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42982" w14:textId="3F4100B3" w:rsidR="00EB48BB" w:rsidRPr="0089607A" w:rsidRDefault="00EB48BB">
    <w:pPr>
      <w:pStyle w:val="Footer"/>
      <w:jc w:val="right"/>
      <w:rPr>
        <w:rFonts w:ascii="Times New Roman" w:hAnsi="Times New Roman"/>
      </w:rPr>
    </w:pPr>
    <w:r w:rsidRPr="0089607A">
      <w:rPr>
        <w:rFonts w:ascii="Times New Roman" w:hAnsi="Times New Roman"/>
      </w:rPr>
      <w:fldChar w:fldCharType="begin"/>
    </w:r>
    <w:r w:rsidRPr="0089607A">
      <w:rPr>
        <w:rFonts w:ascii="Times New Roman" w:hAnsi="Times New Roman"/>
      </w:rPr>
      <w:instrText xml:space="preserve"> PAGE   \* MERGEFORMAT </w:instrText>
    </w:r>
    <w:r w:rsidRPr="0089607A">
      <w:rPr>
        <w:rFonts w:ascii="Times New Roman" w:hAnsi="Times New Roman"/>
      </w:rPr>
      <w:fldChar w:fldCharType="separate"/>
    </w:r>
    <w:r w:rsidR="000F110C">
      <w:rPr>
        <w:rFonts w:ascii="Times New Roman" w:hAnsi="Times New Roman"/>
        <w:noProof/>
      </w:rPr>
      <w:t>2</w:t>
    </w:r>
    <w:r w:rsidRPr="0089607A">
      <w:rPr>
        <w:rFonts w:ascii="Times New Roman" w:hAnsi="Times New Roman"/>
        <w:noProof/>
      </w:rPr>
      <w:fldChar w:fldCharType="end"/>
    </w:r>
  </w:p>
  <w:p w14:paraId="01D9229E" w14:textId="77777777" w:rsidR="00EB48BB" w:rsidRDefault="00EB48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6A4A5" w14:textId="77777777" w:rsidR="00EB48BB" w:rsidRDefault="00EB48BB" w:rsidP="0040525D">
      <w:pPr>
        <w:spacing w:after="0" w:line="240" w:lineRule="auto"/>
      </w:pPr>
      <w:r>
        <w:separator/>
      </w:r>
    </w:p>
  </w:footnote>
  <w:footnote w:type="continuationSeparator" w:id="0">
    <w:p w14:paraId="63F74D61" w14:textId="77777777" w:rsidR="00EB48BB" w:rsidRDefault="00EB48BB" w:rsidP="0040525D">
      <w:pPr>
        <w:spacing w:after="0" w:line="240" w:lineRule="auto"/>
      </w:pPr>
      <w:r>
        <w:continuationSeparator/>
      </w:r>
    </w:p>
  </w:footnote>
  <w:footnote w:id="1">
    <w:p w14:paraId="40E44D4D" w14:textId="77777777" w:rsidR="00EB48BB" w:rsidRPr="00A85110" w:rsidRDefault="00EB48BB" w:rsidP="0040525D">
      <w:pPr>
        <w:pStyle w:val="FootnoteText"/>
        <w:rPr>
          <w:rFonts w:ascii="Times New Roman" w:hAnsi="Times New Roman"/>
          <w:sz w:val="16"/>
          <w:szCs w:val="16"/>
          <w:lang w:val="bg-BG"/>
        </w:rPr>
      </w:pPr>
      <w:r w:rsidRPr="00765AEF">
        <w:rPr>
          <w:rStyle w:val="FootnoteReference"/>
          <w:rFonts w:ascii="Times New Roman" w:hAnsi="Times New Roman"/>
          <w:sz w:val="16"/>
          <w:szCs w:val="16"/>
        </w:rPr>
        <w:footnoteRef/>
      </w:r>
      <w:r w:rsidRPr="00A85110">
        <w:rPr>
          <w:rFonts w:ascii="Times New Roman" w:hAnsi="Times New Roman"/>
          <w:sz w:val="16"/>
          <w:szCs w:val="16"/>
          <w:lang w:val="bg-BG"/>
        </w:rPr>
        <w:t xml:space="preserve"> съгласно чл.141 от Регламент (ЕС) № 1303/2013</w:t>
      </w:r>
    </w:p>
  </w:footnote>
  <w:footnote w:id="2">
    <w:p w14:paraId="11765E04" w14:textId="4564BE8E" w:rsidR="00BC3B67" w:rsidRPr="00376B87" w:rsidRDefault="00BC3B67" w:rsidP="0040525D">
      <w:pPr>
        <w:pStyle w:val="FootnoteText"/>
        <w:jc w:val="both"/>
        <w:rPr>
          <w:rFonts w:ascii="Times New Roman" w:hAnsi="Times New Roman"/>
          <w:sz w:val="16"/>
          <w:szCs w:val="16"/>
          <w:lang w:val="bg-BG"/>
        </w:rPr>
      </w:pPr>
      <w:r w:rsidRPr="00376B87">
        <w:rPr>
          <w:rStyle w:val="FootnoteReference"/>
          <w:sz w:val="16"/>
          <w:szCs w:val="16"/>
        </w:rPr>
        <w:footnoteRef/>
      </w:r>
      <w:r w:rsidRPr="00A85110">
        <w:rPr>
          <w:sz w:val="16"/>
          <w:szCs w:val="16"/>
          <w:lang w:val="bg-BG"/>
        </w:rPr>
        <w:t xml:space="preserve"> </w:t>
      </w:r>
      <w:r w:rsidRPr="00376B87">
        <w:rPr>
          <w:rFonts w:ascii="Times New Roman" w:hAnsi="Times New Roman"/>
          <w:sz w:val="16"/>
          <w:szCs w:val="16"/>
          <w:lang w:val="bg-BG"/>
        </w:rPr>
        <w:t>Срокът може да бъде променен с оглед коментарите на Комисията и срок</w:t>
      </w:r>
      <w:r>
        <w:rPr>
          <w:rFonts w:ascii="Times New Roman" w:hAnsi="Times New Roman"/>
          <w:sz w:val="16"/>
          <w:szCs w:val="16"/>
          <w:lang w:val="bg-BG"/>
        </w:rPr>
        <w:t>а</w:t>
      </w:r>
      <w:r w:rsidRPr="00376B87">
        <w:rPr>
          <w:rFonts w:ascii="Times New Roman" w:hAnsi="Times New Roman"/>
          <w:sz w:val="16"/>
          <w:szCs w:val="16"/>
          <w:lang w:val="bg-BG"/>
        </w:rPr>
        <w:t>, в който информацията следва да бъде предоставена.</w:t>
      </w:r>
    </w:p>
  </w:footnote>
  <w:footnote w:id="3">
    <w:p w14:paraId="0501672B" w14:textId="44EF2421" w:rsidR="00BC3B67" w:rsidRPr="00376B87" w:rsidRDefault="00BC3B67" w:rsidP="0040525D">
      <w:pPr>
        <w:pStyle w:val="FootnoteText"/>
        <w:jc w:val="both"/>
        <w:rPr>
          <w:rFonts w:ascii="Times New Roman" w:hAnsi="Times New Roman"/>
          <w:sz w:val="16"/>
          <w:szCs w:val="16"/>
          <w:lang w:val="bg-BG"/>
        </w:rPr>
      </w:pPr>
      <w:r w:rsidRPr="00376B87">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376B87">
        <w:rPr>
          <w:rFonts w:ascii="Times New Roman" w:hAnsi="Times New Roman"/>
          <w:sz w:val="16"/>
          <w:szCs w:val="16"/>
          <w:lang w:val="bg-BG"/>
        </w:rPr>
        <w:t>Срокът може да бъде променен с оглед коментарите на Комисията и срок</w:t>
      </w:r>
      <w:r>
        <w:rPr>
          <w:rFonts w:ascii="Times New Roman" w:hAnsi="Times New Roman"/>
          <w:sz w:val="16"/>
          <w:szCs w:val="16"/>
          <w:lang w:val="bg-BG"/>
        </w:rPr>
        <w:t>а</w:t>
      </w:r>
      <w:r w:rsidRPr="00376B87">
        <w:rPr>
          <w:rFonts w:ascii="Times New Roman" w:hAnsi="Times New Roman"/>
          <w:sz w:val="16"/>
          <w:szCs w:val="16"/>
          <w:lang w:val="bg-BG"/>
        </w:rPr>
        <w:t xml:space="preserve"> в който следва да бъдат предоставени.</w:t>
      </w:r>
    </w:p>
  </w:footnote>
  <w:footnote w:id="4">
    <w:p w14:paraId="21DF9A70" w14:textId="77777777" w:rsidR="004866B4" w:rsidRPr="00273EDE" w:rsidRDefault="004866B4" w:rsidP="0040525D">
      <w:pPr>
        <w:pStyle w:val="FootnoteText"/>
        <w:jc w:val="both"/>
        <w:rPr>
          <w:rFonts w:ascii="Times New Roman" w:hAnsi="Times New Roman"/>
          <w:sz w:val="16"/>
          <w:szCs w:val="16"/>
          <w:lang w:val="bg-BG"/>
        </w:rPr>
      </w:pPr>
      <w:r w:rsidRPr="00273EDE">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273EDE">
        <w:rPr>
          <w:rFonts w:ascii="Times New Roman" w:hAnsi="Times New Roman"/>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5">
    <w:p w14:paraId="1A348EE9" w14:textId="77777777" w:rsidR="004866B4" w:rsidRPr="00397EA1" w:rsidRDefault="004866B4" w:rsidP="0040525D">
      <w:pPr>
        <w:pStyle w:val="FootnoteText"/>
        <w:jc w:val="both"/>
        <w:rPr>
          <w:lang w:val="bg-BG"/>
        </w:rPr>
      </w:pPr>
      <w:r w:rsidRPr="00273EDE">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273EDE">
        <w:rPr>
          <w:rFonts w:ascii="Times New Roman" w:hAnsi="Times New Roman"/>
          <w:sz w:val="16"/>
          <w:szCs w:val="16"/>
          <w:lang w:val="bg-BG"/>
        </w:rPr>
        <w:t>Срокът може да бъде променен с оглед коментарите на Комисията и срокът в който следва да бъдат предоставени</w:t>
      </w:r>
      <w:r w:rsidRPr="00177B72">
        <w:rPr>
          <w:sz w:val="16"/>
          <w:szCs w:val="16"/>
          <w:lang w:val="bg-BG"/>
        </w:rPr>
        <w:t>.</w:t>
      </w:r>
    </w:p>
  </w:footnote>
  <w:footnote w:id="6">
    <w:p w14:paraId="33AFFCBF" w14:textId="15573BBC" w:rsidR="00EB48BB" w:rsidRPr="00B21461" w:rsidRDefault="00EB48BB" w:rsidP="00B21461">
      <w:pPr>
        <w:pStyle w:val="FootnoteText"/>
        <w:jc w:val="both"/>
        <w:rPr>
          <w:rFonts w:ascii="Times New Roman" w:hAnsi="Times New Roman"/>
          <w:lang w:val="bg-BG"/>
        </w:rPr>
      </w:pPr>
      <w:r>
        <w:rPr>
          <w:rStyle w:val="FootnoteReference"/>
        </w:rPr>
        <w:footnoteRef/>
      </w:r>
      <w:r>
        <w:t xml:space="preserve"> </w:t>
      </w:r>
      <w:r w:rsidRPr="00B21461">
        <w:rPr>
          <w:rFonts w:ascii="Times New Roman" w:hAnsi="Times New Roman"/>
          <w:lang w:val="bg-BG"/>
        </w:rPr>
        <w:t>През 2020 и 2021 г.</w:t>
      </w:r>
      <w:r w:rsidRPr="00375D66">
        <w:rPr>
          <w:rFonts w:ascii="Times New Roman" w:hAnsi="Times New Roman"/>
          <w:lang w:val="bg-BG"/>
        </w:rPr>
        <w:t xml:space="preserve"> п</w:t>
      </w:r>
      <w:r w:rsidRPr="0040733B">
        <w:rPr>
          <w:rFonts w:ascii="Times New Roman" w:hAnsi="Times New Roman"/>
          <w:lang w:val="bg-BG"/>
        </w:rPr>
        <w:t xml:space="preserve">ри селектиране на отчетен период в </w:t>
      </w:r>
      <w:r w:rsidRPr="00B21461">
        <w:rPr>
          <w:rFonts w:ascii="Times New Roman" w:hAnsi="Times New Roman"/>
          <w:lang w:val="bg-BG"/>
        </w:rPr>
        <w:t xml:space="preserve">„Справка индикатори“, се </w:t>
      </w:r>
      <w:r w:rsidRPr="00375D66">
        <w:rPr>
          <w:rFonts w:ascii="Times New Roman" w:hAnsi="Times New Roman"/>
          <w:lang w:val="bg-BG"/>
        </w:rPr>
        <w:t>визуализират</w:t>
      </w:r>
      <w:r w:rsidRPr="0040733B">
        <w:rPr>
          <w:rFonts w:ascii="Times New Roman" w:hAnsi="Times New Roman"/>
          <w:lang w:val="bg-BG"/>
        </w:rPr>
        <w:t xml:space="preserve"> верифицираните в този период индикатори</w:t>
      </w:r>
      <w:r>
        <w:rPr>
          <w:rFonts w:ascii="Times New Roman" w:hAnsi="Times New Roman"/>
          <w:lang w:val="bg-BG"/>
        </w:rPr>
        <w:t>.</w:t>
      </w:r>
    </w:p>
  </w:footnote>
  <w:footnote w:id="7">
    <w:p w14:paraId="46924D22" w14:textId="5FA379DD" w:rsidR="00EB48BB" w:rsidRPr="00B55EA0" w:rsidRDefault="00EB48BB" w:rsidP="00E52260">
      <w:pPr>
        <w:pStyle w:val="FootnoteText"/>
        <w:jc w:val="both"/>
        <w:rPr>
          <w:rFonts w:ascii="Times New Roman" w:hAnsi="Times New Roman"/>
          <w:lang w:val="bg-BG"/>
        </w:rPr>
      </w:pPr>
      <w:r>
        <w:rPr>
          <w:rStyle w:val="FootnoteReference"/>
        </w:rPr>
        <w:footnoteRef/>
      </w:r>
      <w:r>
        <w:t xml:space="preserve"> </w:t>
      </w:r>
      <w:r>
        <w:rPr>
          <w:rFonts w:ascii="Times New Roman" w:hAnsi="Times New Roman"/>
          <w:lang w:val="bg-BG"/>
        </w:rPr>
        <w:t>От 2022 г.</w:t>
      </w:r>
      <w:r w:rsidRPr="00B55EA0">
        <w:rPr>
          <w:rFonts w:ascii="Times New Roman" w:hAnsi="Times New Roman"/>
          <w:lang w:val="bg-BG"/>
        </w:rPr>
        <w:t xml:space="preserve"> при селектиране на отчетен период в „Справка индикатори“, се визуализират </w:t>
      </w:r>
      <w:r>
        <w:rPr>
          <w:rFonts w:ascii="Times New Roman" w:hAnsi="Times New Roman"/>
          <w:lang w:val="bg-BG"/>
        </w:rPr>
        <w:t>отчетените</w:t>
      </w:r>
      <w:r w:rsidRPr="00B55EA0">
        <w:rPr>
          <w:rFonts w:ascii="Times New Roman" w:hAnsi="Times New Roman"/>
          <w:lang w:val="bg-BG"/>
        </w:rPr>
        <w:t xml:space="preserve"> в този период индикатори</w:t>
      </w:r>
      <w:r>
        <w:rPr>
          <w:rFonts w:ascii="Times New Roman" w:hAnsi="Times New Roman"/>
          <w:lang w:val="bg-BG"/>
        </w:rPr>
        <w:t>, верифицирани до момента на отваряне на справката (верифицирането може да е в следващ отчетен период).</w:t>
      </w:r>
    </w:p>
    <w:p w14:paraId="7CEFCDCC" w14:textId="063CD932" w:rsidR="00EB48BB" w:rsidRPr="00B21461" w:rsidRDefault="00EB48BB">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93971" w14:textId="77777777" w:rsidR="00EB48BB" w:rsidRDefault="00EB48BB">
    <w:pPr>
      <w:pStyle w:val="Header"/>
    </w:pPr>
    <w:r>
      <w:rPr>
        <w:rFonts w:ascii="Trebuchet MS" w:hAnsi="Trebuchet MS"/>
        <w:noProof/>
        <w:color w:val="32598C"/>
        <w:sz w:val="19"/>
        <w:szCs w:val="19"/>
      </w:rPr>
      <w:t xml:space="preserve">   </w:t>
    </w:r>
    <w:r>
      <w:rPr>
        <w:rFonts w:ascii="Trebuchet MS" w:hAnsi="Trebuchet MS"/>
        <w:noProof/>
        <w:color w:val="32598C"/>
        <w:sz w:val="19"/>
        <w:szCs w:val="19"/>
        <w:lang w:val="bg-BG"/>
      </w:rPr>
      <w:tab/>
    </w:r>
    <w:r>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15754D10" wp14:editId="501A08D9">
          <wp:extent cx="704850" cy="542925"/>
          <wp:effectExtent l="0" t="0" r="0" b="0"/>
          <wp:docPr id="43" name="Picture 6"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11D242DA" wp14:editId="4A5B6CC0">
          <wp:extent cx="3600450" cy="419100"/>
          <wp:effectExtent l="0" t="0" r="0" b="0"/>
          <wp:docPr id="44" name="Picture 44"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3067ED80" wp14:editId="1E0F029F">
          <wp:extent cx="619125" cy="561975"/>
          <wp:effectExtent l="0" t="0" r="0" b="0"/>
          <wp:docPr id="45" name="Picture 4"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C72D2"/>
    <w:multiLevelType w:val="multilevel"/>
    <w:tmpl w:val="D6ECD69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24F0513"/>
    <w:multiLevelType w:val="hybridMultilevel"/>
    <w:tmpl w:val="8EB8BD78"/>
    <w:lvl w:ilvl="0" w:tplc="04090001">
      <w:start w:val="1"/>
      <w:numFmt w:val="bullet"/>
      <w:lvlText w:val=""/>
      <w:lvlJc w:val="left"/>
      <w:pPr>
        <w:tabs>
          <w:tab w:val="num" w:pos="786"/>
        </w:tabs>
        <w:ind w:left="786"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25D"/>
    <w:rsid w:val="000011B4"/>
    <w:rsid w:val="00023037"/>
    <w:rsid w:val="00040E6C"/>
    <w:rsid w:val="0005194A"/>
    <w:rsid w:val="0006074C"/>
    <w:rsid w:val="00063DC0"/>
    <w:rsid w:val="0006599D"/>
    <w:rsid w:val="00075B57"/>
    <w:rsid w:val="0008744A"/>
    <w:rsid w:val="000A1D02"/>
    <w:rsid w:val="000B0CDE"/>
    <w:rsid w:val="000B2C34"/>
    <w:rsid w:val="000B47E0"/>
    <w:rsid w:val="000B572A"/>
    <w:rsid w:val="000D1202"/>
    <w:rsid w:val="000D748C"/>
    <w:rsid w:val="000D76EF"/>
    <w:rsid w:val="000F110C"/>
    <w:rsid w:val="000F2D48"/>
    <w:rsid w:val="001005D2"/>
    <w:rsid w:val="00101892"/>
    <w:rsid w:val="00104529"/>
    <w:rsid w:val="00107E33"/>
    <w:rsid w:val="0011531E"/>
    <w:rsid w:val="00121623"/>
    <w:rsid w:val="00124751"/>
    <w:rsid w:val="001247BC"/>
    <w:rsid w:val="00132381"/>
    <w:rsid w:val="001402A6"/>
    <w:rsid w:val="0015441A"/>
    <w:rsid w:val="00157B13"/>
    <w:rsid w:val="00162751"/>
    <w:rsid w:val="00162B94"/>
    <w:rsid w:val="00166BB1"/>
    <w:rsid w:val="00180456"/>
    <w:rsid w:val="00187C96"/>
    <w:rsid w:val="00187D51"/>
    <w:rsid w:val="00193E02"/>
    <w:rsid w:val="00195816"/>
    <w:rsid w:val="00197981"/>
    <w:rsid w:val="001A293D"/>
    <w:rsid w:val="001A6C5A"/>
    <w:rsid w:val="001B00C8"/>
    <w:rsid w:val="001B26D8"/>
    <w:rsid w:val="001B310F"/>
    <w:rsid w:val="001B5262"/>
    <w:rsid w:val="001B7620"/>
    <w:rsid w:val="001C00C9"/>
    <w:rsid w:val="001C1103"/>
    <w:rsid w:val="001D07AA"/>
    <w:rsid w:val="001F2C8E"/>
    <w:rsid w:val="00214B64"/>
    <w:rsid w:val="0022190C"/>
    <w:rsid w:val="002230E3"/>
    <w:rsid w:val="00233931"/>
    <w:rsid w:val="002502C8"/>
    <w:rsid w:val="002505A9"/>
    <w:rsid w:val="00251A3E"/>
    <w:rsid w:val="00260A24"/>
    <w:rsid w:val="002611A8"/>
    <w:rsid w:val="002612F8"/>
    <w:rsid w:val="00261E17"/>
    <w:rsid w:val="0026209C"/>
    <w:rsid w:val="00285378"/>
    <w:rsid w:val="002859A2"/>
    <w:rsid w:val="002909A6"/>
    <w:rsid w:val="0029780C"/>
    <w:rsid w:val="002A23E9"/>
    <w:rsid w:val="002A38F0"/>
    <w:rsid w:val="002A4F4D"/>
    <w:rsid w:val="002A5E48"/>
    <w:rsid w:val="002B1555"/>
    <w:rsid w:val="002B722D"/>
    <w:rsid w:val="002C7CFA"/>
    <w:rsid w:val="002E6444"/>
    <w:rsid w:val="002F2D3D"/>
    <w:rsid w:val="002F5DE3"/>
    <w:rsid w:val="002F7D87"/>
    <w:rsid w:val="003042EE"/>
    <w:rsid w:val="00313A01"/>
    <w:rsid w:val="003159ED"/>
    <w:rsid w:val="00330258"/>
    <w:rsid w:val="00330AEB"/>
    <w:rsid w:val="00334D2C"/>
    <w:rsid w:val="003452CB"/>
    <w:rsid w:val="003530A6"/>
    <w:rsid w:val="0036045F"/>
    <w:rsid w:val="003745FB"/>
    <w:rsid w:val="00375D66"/>
    <w:rsid w:val="00376D64"/>
    <w:rsid w:val="00383754"/>
    <w:rsid w:val="00384896"/>
    <w:rsid w:val="00386092"/>
    <w:rsid w:val="003860F1"/>
    <w:rsid w:val="00391B5D"/>
    <w:rsid w:val="0039353D"/>
    <w:rsid w:val="003A15CC"/>
    <w:rsid w:val="003B312F"/>
    <w:rsid w:val="003B7887"/>
    <w:rsid w:val="003C231D"/>
    <w:rsid w:val="003F6C04"/>
    <w:rsid w:val="00400F0F"/>
    <w:rsid w:val="00401C34"/>
    <w:rsid w:val="0040525D"/>
    <w:rsid w:val="0040733B"/>
    <w:rsid w:val="00420557"/>
    <w:rsid w:val="00423EFD"/>
    <w:rsid w:val="00424922"/>
    <w:rsid w:val="00432C19"/>
    <w:rsid w:val="004513A4"/>
    <w:rsid w:val="004548D9"/>
    <w:rsid w:val="00462D59"/>
    <w:rsid w:val="00472791"/>
    <w:rsid w:val="00475DFE"/>
    <w:rsid w:val="004820EE"/>
    <w:rsid w:val="00483718"/>
    <w:rsid w:val="004850AF"/>
    <w:rsid w:val="004866B4"/>
    <w:rsid w:val="004A2C3F"/>
    <w:rsid w:val="004A415C"/>
    <w:rsid w:val="004A5693"/>
    <w:rsid w:val="004A58A1"/>
    <w:rsid w:val="004A7984"/>
    <w:rsid w:val="004B276A"/>
    <w:rsid w:val="004B3E24"/>
    <w:rsid w:val="004C02D1"/>
    <w:rsid w:val="004C1C29"/>
    <w:rsid w:val="004D068B"/>
    <w:rsid w:val="004D49C8"/>
    <w:rsid w:val="004F59EB"/>
    <w:rsid w:val="00505DA1"/>
    <w:rsid w:val="00510396"/>
    <w:rsid w:val="005156F7"/>
    <w:rsid w:val="00522C23"/>
    <w:rsid w:val="00524875"/>
    <w:rsid w:val="00527750"/>
    <w:rsid w:val="00533AA5"/>
    <w:rsid w:val="0054004C"/>
    <w:rsid w:val="00540EED"/>
    <w:rsid w:val="00546C44"/>
    <w:rsid w:val="00546CB3"/>
    <w:rsid w:val="00562F9D"/>
    <w:rsid w:val="00564392"/>
    <w:rsid w:val="00572169"/>
    <w:rsid w:val="00574F29"/>
    <w:rsid w:val="0058316A"/>
    <w:rsid w:val="005846F5"/>
    <w:rsid w:val="005A132D"/>
    <w:rsid w:val="005A23C4"/>
    <w:rsid w:val="005B53F7"/>
    <w:rsid w:val="005B5B73"/>
    <w:rsid w:val="005C72D4"/>
    <w:rsid w:val="005C7324"/>
    <w:rsid w:val="005C791D"/>
    <w:rsid w:val="005D189A"/>
    <w:rsid w:val="005D1A86"/>
    <w:rsid w:val="005D337D"/>
    <w:rsid w:val="005F0C4C"/>
    <w:rsid w:val="00605A55"/>
    <w:rsid w:val="006074C4"/>
    <w:rsid w:val="00620868"/>
    <w:rsid w:val="0064304D"/>
    <w:rsid w:val="00652A0E"/>
    <w:rsid w:val="00655C90"/>
    <w:rsid w:val="00657AE5"/>
    <w:rsid w:val="0066558C"/>
    <w:rsid w:val="00665A4A"/>
    <w:rsid w:val="00671187"/>
    <w:rsid w:val="006819DF"/>
    <w:rsid w:val="00685BBC"/>
    <w:rsid w:val="00690186"/>
    <w:rsid w:val="0069766F"/>
    <w:rsid w:val="006A2583"/>
    <w:rsid w:val="006B5A42"/>
    <w:rsid w:val="006D0641"/>
    <w:rsid w:val="006D0EF0"/>
    <w:rsid w:val="006D1068"/>
    <w:rsid w:val="006D25E8"/>
    <w:rsid w:val="006D2E05"/>
    <w:rsid w:val="006E22AB"/>
    <w:rsid w:val="006E25B1"/>
    <w:rsid w:val="006E2895"/>
    <w:rsid w:val="006E4D88"/>
    <w:rsid w:val="006F1DF4"/>
    <w:rsid w:val="006F2C4C"/>
    <w:rsid w:val="007036A2"/>
    <w:rsid w:val="007038DA"/>
    <w:rsid w:val="00711D82"/>
    <w:rsid w:val="007145D8"/>
    <w:rsid w:val="00722A13"/>
    <w:rsid w:val="00723992"/>
    <w:rsid w:val="00731C1C"/>
    <w:rsid w:val="007363C6"/>
    <w:rsid w:val="00740116"/>
    <w:rsid w:val="007424D9"/>
    <w:rsid w:val="00753787"/>
    <w:rsid w:val="00754D11"/>
    <w:rsid w:val="0075502D"/>
    <w:rsid w:val="00755706"/>
    <w:rsid w:val="00761140"/>
    <w:rsid w:val="007618D9"/>
    <w:rsid w:val="0077138D"/>
    <w:rsid w:val="00774093"/>
    <w:rsid w:val="00774CD0"/>
    <w:rsid w:val="0077550A"/>
    <w:rsid w:val="007912FA"/>
    <w:rsid w:val="007A4FCD"/>
    <w:rsid w:val="007D30F6"/>
    <w:rsid w:val="007D510A"/>
    <w:rsid w:val="007E3178"/>
    <w:rsid w:val="007F2BDF"/>
    <w:rsid w:val="00801A0A"/>
    <w:rsid w:val="00806B52"/>
    <w:rsid w:val="00810726"/>
    <w:rsid w:val="008323EB"/>
    <w:rsid w:val="00832863"/>
    <w:rsid w:val="00837BE9"/>
    <w:rsid w:val="00853890"/>
    <w:rsid w:val="0085563E"/>
    <w:rsid w:val="0086407A"/>
    <w:rsid w:val="00871F74"/>
    <w:rsid w:val="00871FCB"/>
    <w:rsid w:val="00895BDC"/>
    <w:rsid w:val="0089607A"/>
    <w:rsid w:val="008B72FC"/>
    <w:rsid w:val="008C1017"/>
    <w:rsid w:val="008C2B73"/>
    <w:rsid w:val="008C4CFB"/>
    <w:rsid w:val="008D4729"/>
    <w:rsid w:val="008D505A"/>
    <w:rsid w:val="008E1519"/>
    <w:rsid w:val="008F2A36"/>
    <w:rsid w:val="008F59F6"/>
    <w:rsid w:val="009102FC"/>
    <w:rsid w:val="00910CB2"/>
    <w:rsid w:val="0091720C"/>
    <w:rsid w:val="00950ED4"/>
    <w:rsid w:val="009523FE"/>
    <w:rsid w:val="00954D0D"/>
    <w:rsid w:val="00954D3B"/>
    <w:rsid w:val="0095726B"/>
    <w:rsid w:val="00965C47"/>
    <w:rsid w:val="00970E23"/>
    <w:rsid w:val="00974E59"/>
    <w:rsid w:val="009831AA"/>
    <w:rsid w:val="00985F31"/>
    <w:rsid w:val="009B1579"/>
    <w:rsid w:val="009B3DB2"/>
    <w:rsid w:val="009B513A"/>
    <w:rsid w:val="009B6276"/>
    <w:rsid w:val="009B735A"/>
    <w:rsid w:val="009B7749"/>
    <w:rsid w:val="009C1BA9"/>
    <w:rsid w:val="009C7AF2"/>
    <w:rsid w:val="009E60F9"/>
    <w:rsid w:val="009F5B74"/>
    <w:rsid w:val="00A022A3"/>
    <w:rsid w:val="00A05BC2"/>
    <w:rsid w:val="00A161B3"/>
    <w:rsid w:val="00A20051"/>
    <w:rsid w:val="00A23739"/>
    <w:rsid w:val="00A25682"/>
    <w:rsid w:val="00A328FF"/>
    <w:rsid w:val="00A40BF7"/>
    <w:rsid w:val="00A40C6C"/>
    <w:rsid w:val="00A4242F"/>
    <w:rsid w:val="00A52BC5"/>
    <w:rsid w:val="00A5466C"/>
    <w:rsid w:val="00A554F4"/>
    <w:rsid w:val="00A60471"/>
    <w:rsid w:val="00A64AD6"/>
    <w:rsid w:val="00A64DF8"/>
    <w:rsid w:val="00A73D75"/>
    <w:rsid w:val="00A74A5E"/>
    <w:rsid w:val="00A807BB"/>
    <w:rsid w:val="00A82257"/>
    <w:rsid w:val="00A83A87"/>
    <w:rsid w:val="00AA2442"/>
    <w:rsid w:val="00AA4032"/>
    <w:rsid w:val="00AA6838"/>
    <w:rsid w:val="00AA6FAA"/>
    <w:rsid w:val="00AB4EB0"/>
    <w:rsid w:val="00AC3F49"/>
    <w:rsid w:val="00AD1A35"/>
    <w:rsid w:val="00AD2462"/>
    <w:rsid w:val="00AD39F6"/>
    <w:rsid w:val="00AF452D"/>
    <w:rsid w:val="00AF7C5E"/>
    <w:rsid w:val="00AF7DA5"/>
    <w:rsid w:val="00B06849"/>
    <w:rsid w:val="00B10A94"/>
    <w:rsid w:val="00B15812"/>
    <w:rsid w:val="00B1629B"/>
    <w:rsid w:val="00B21461"/>
    <w:rsid w:val="00B4097D"/>
    <w:rsid w:val="00B4231A"/>
    <w:rsid w:val="00B45A60"/>
    <w:rsid w:val="00B46AEF"/>
    <w:rsid w:val="00B47955"/>
    <w:rsid w:val="00B75E88"/>
    <w:rsid w:val="00B77348"/>
    <w:rsid w:val="00B801E2"/>
    <w:rsid w:val="00B83475"/>
    <w:rsid w:val="00B839F2"/>
    <w:rsid w:val="00B8485D"/>
    <w:rsid w:val="00BA20B1"/>
    <w:rsid w:val="00BA4CE1"/>
    <w:rsid w:val="00BA5101"/>
    <w:rsid w:val="00BA7914"/>
    <w:rsid w:val="00BB19F4"/>
    <w:rsid w:val="00BC24BF"/>
    <w:rsid w:val="00BC3B67"/>
    <w:rsid w:val="00BE008B"/>
    <w:rsid w:val="00BF2D1C"/>
    <w:rsid w:val="00BF4675"/>
    <w:rsid w:val="00BF54A4"/>
    <w:rsid w:val="00C06E64"/>
    <w:rsid w:val="00C10EC8"/>
    <w:rsid w:val="00C155F2"/>
    <w:rsid w:val="00C376A3"/>
    <w:rsid w:val="00C401F9"/>
    <w:rsid w:val="00C455A9"/>
    <w:rsid w:val="00C512FA"/>
    <w:rsid w:val="00C80357"/>
    <w:rsid w:val="00C83BA4"/>
    <w:rsid w:val="00C867B8"/>
    <w:rsid w:val="00C87914"/>
    <w:rsid w:val="00C93E1D"/>
    <w:rsid w:val="00C962C8"/>
    <w:rsid w:val="00CA346B"/>
    <w:rsid w:val="00CA3CB5"/>
    <w:rsid w:val="00CA4F08"/>
    <w:rsid w:val="00CB1E41"/>
    <w:rsid w:val="00CC3A9E"/>
    <w:rsid w:val="00CD28B6"/>
    <w:rsid w:val="00CE0AB9"/>
    <w:rsid w:val="00CE4BFA"/>
    <w:rsid w:val="00CE711C"/>
    <w:rsid w:val="00CF5E30"/>
    <w:rsid w:val="00D0402D"/>
    <w:rsid w:val="00D12386"/>
    <w:rsid w:val="00D20BB8"/>
    <w:rsid w:val="00D210E1"/>
    <w:rsid w:val="00D223E6"/>
    <w:rsid w:val="00D24BDC"/>
    <w:rsid w:val="00D46D45"/>
    <w:rsid w:val="00D648DB"/>
    <w:rsid w:val="00D76327"/>
    <w:rsid w:val="00D81127"/>
    <w:rsid w:val="00D9165C"/>
    <w:rsid w:val="00D95EE3"/>
    <w:rsid w:val="00D978B2"/>
    <w:rsid w:val="00DA0A52"/>
    <w:rsid w:val="00DA1A4F"/>
    <w:rsid w:val="00DA29EF"/>
    <w:rsid w:val="00DA38FF"/>
    <w:rsid w:val="00DA42B2"/>
    <w:rsid w:val="00DA6BF1"/>
    <w:rsid w:val="00DB293F"/>
    <w:rsid w:val="00DB54BC"/>
    <w:rsid w:val="00DB78A8"/>
    <w:rsid w:val="00DC7E25"/>
    <w:rsid w:val="00DD34A5"/>
    <w:rsid w:val="00DD5CDA"/>
    <w:rsid w:val="00DE5479"/>
    <w:rsid w:val="00DE718A"/>
    <w:rsid w:val="00E027ED"/>
    <w:rsid w:val="00E07A8F"/>
    <w:rsid w:val="00E10926"/>
    <w:rsid w:val="00E16748"/>
    <w:rsid w:val="00E20C75"/>
    <w:rsid w:val="00E2483D"/>
    <w:rsid w:val="00E363C4"/>
    <w:rsid w:val="00E36F1F"/>
    <w:rsid w:val="00E44024"/>
    <w:rsid w:val="00E446C9"/>
    <w:rsid w:val="00E52260"/>
    <w:rsid w:val="00E60A4C"/>
    <w:rsid w:val="00E6549A"/>
    <w:rsid w:val="00E83B1C"/>
    <w:rsid w:val="00E923EB"/>
    <w:rsid w:val="00E94F20"/>
    <w:rsid w:val="00EA218A"/>
    <w:rsid w:val="00EA3682"/>
    <w:rsid w:val="00EB48BB"/>
    <w:rsid w:val="00EB7EA3"/>
    <w:rsid w:val="00EC263E"/>
    <w:rsid w:val="00EC2FC7"/>
    <w:rsid w:val="00ED5D2B"/>
    <w:rsid w:val="00ED611B"/>
    <w:rsid w:val="00EE67C7"/>
    <w:rsid w:val="00EF2711"/>
    <w:rsid w:val="00F10199"/>
    <w:rsid w:val="00F1182F"/>
    <w:rsid w:val="00F13173"/>
    <w:rsid w:val="00F176E4"/>
    <w:rsid w:val="00F21423"/>
    <w:rsid w:val="00F32A73"/>
    <w:rsid w:val="00F33EA7"/>
    <w:rsid w:val="00F35A7D"/>
    <w:rsid w:val="00F365D5"/>
    <w:rsid w:val="00F504D1"/>
    <w:rsid w:val="00F51F9D"/>
    <w:rsid w:val="00F62885"/>
    <w:rsid w:val="00F64C1A"/>
    <w:rsid w:val="00F65A45"/>
    <w:rsid w:val="00F70DC5"/>
    <w:rsid w:val="00F71393"/>
    <w:rsid w:val="00F728F2"/>
    <w:rsid w:val="00F84CF1"/>
    <w:rsid w:val="00FC05DF"/>
    <w:rsid w:val="00FC397D"/>
    <w:rsid w:val="00FC4250"/>
    <w:rsid w:val="00FC4F01"/>
    <w:rsid w:val="00FD3276"/>
    <w:rsid w:val="00FD7F5B"/>
    <w:rsid w:val="00FE23B2"/>
    <w:rsid w:val="00FE7543"/>
    <w:rsid w:val="00FF1508"/>
    <w:rsid w:val="00FF42C2"/>
    <w:rsid w:val="00FF4E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71B2E"/>
  <w15:docId w15:val="{5F1EC78F-3D3B-4ECD-BD87-EB942819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25D"/>
    <w:pPr>
      <w:spacing w:after="200" w:line="276" w:lineRule="auto"/>
    </w:pPr>
    <w:rPr>
      <w:rFonts w:ascii="Calibri" w:eastAsia="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Podrozdzia"/>
    <w:basedOn w:val="Normal"/>
    <w:link w:val="FootnoteTextChar"/>
    <w:unhideWhenUsed/>
    <w:rsid w:val="0040525D"/>
    <w:pPr>
      <w:spacing w:after="0" w:line="240" w:lineRule="auto"/>
    </w:pPr>
    <w:rPr>
      <w:sz w:val="20"/>
      <w:szCs w:val="20"/>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rsid w:val="0040525D"/>
    <w:rPr>
      <w:rFonts w:ascii="Calibri" w:eastAsia="Calibri" w:hAnsi="Calibri" w:cs="Times New Roman"/>
      <w:lang w:val="en-US" w:eastAsia="en-US"/>
    </w:rPr>
  </w:style>
  <w:style w:type="character" w:styleId="FootnoteReference">
    <w:name w:val="footnote reference"/>
    <w:aliases w:val="Footnote,Footnote symbol"/>
    <w:unhideWhenUsed/>
    <w:rsid w:val="0040525D"/>
    <w:rPr>
      <w:vertAlign w:val="superscript"/>
    </w:rPr>
  </w:style>
  <w:style w:type="paragraph" w:customStyle="1" w:styleId="Style">
    <w:name w:val="Style"/>
    <w:rsid w:val="0040525D"/>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2505A9"/>
    <w:pPr>
      <w:widowControl w:val="0"/>
      <w:suppressLineNumbers/>
      <w:suppressAutoHyphens/>
      <w:spacing w:beforeAutospacing="1" w:afterAutospacing="1" w:line="240" w:lineRule="auto"/>
    </w:pPr>
    <w:rPr>
      <w:rFonts w:ascii="Times New Roman" w:eastAsia="HG Mincho Light J" w:hAnsi="Times New Roman"/>
      <w:color w:val="000000"/>
      <w:sz w:val="24"/>
      <w:szCs w:val="24"/>
      <w:lang w:eastAsia="bg-BG"/>
    </w:rPr>
  </w:style>
  <w:style w:type="character" w:styleId="Hyperlink">
    <w:name w:val="Hyperlink"/>
    <w:rsid w:val="002505A9"/>
    <w:rPr>
      <w:color w:val="0000FF"/>
      <w:u w:val="single"/>
    </w:rPr>
  </w:style>
  <w:style w:type="paragraph" w:customStyle="1" w:styleId="Index">
    <w:name w:val="Index"/>
    <w:basedOn w:val="Normal"/>
    <w:rsid w:val="002505A9"/>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eastAsia="bg-BG"/>
    </w:rPr>
  </w:style>
  <w:style w:type="paragraph" w:styleId="BodyText">
    <w:name w:val="Body Text"/>
    <w:basedOn w:val="Normal"/>
    <w:link w:val="BodyTextChar"/>
    <w:rsid w:val="002505A9"/>
    <w:pPr>
      <w:spacing w:after="120"/>
    </w:pPr>
  </w:style>
  <w:style w:type="character" w:customStyle="1" w:styleId="BodyTextChar">
    <w:name w:val="Body Text Char"/>
    <w:link w:val="BodyText"/>
    <w:rsid w:val="002505A9"/>
    <w:rPr>
      <w:rFonts w:ascii="Calibri" w:eastAsia="Calibri" w:hAnsi="Calibri" w:cs="Times New Roman"/>
      <w:sz w:val="22"/>
      <w:szCs w:val="22"/>
      <w:lang w:val="en-US" w:eastAsia="en-US"/>
    </w:rPr>
  </w:style>
  <w:style w:type="paragraph" w:styleId="Header">
    <w:name w:val="header"/>
    <w:basedOn w:val="Normal"/>
    <w:link w:val="HeaderChar"/>
    <w:rsid w:val="001B7620"/>
    <w:pPr>
      <w:tabs>
        <w:tab w:val="center" w:pos="4536"/>
        <w:tab w:val="right" w:pos="9072"/>
      </w:tabs>
      <w:spacing w:after="0" w:line="240" w:lineRule="auto"/>
    </w:pPr>
  </w:style>
  <w:style w:type="character" w:customStyle="1" w:styleId="HeaderChar">
    <w:name w:val="Header Char"/>
    <w:link w:val="Header"/>
    <w:rsid w:val="001B7620"/>
    <w:rPr>
      <w:rFonts w:ascii="Calibri" w:eastAsia="Calibri" w:hAnsi="Calibri" w:cs="Times New Roman"/>
      <w:sz w:val="22"/>
      <w:szCs w:val="22"/>
      <w:lang w:val="en-US" w:eastAsia="en-US"/>
    </w:rPr>
  </w:style>
  <w:style w:type="paragraph" w:styleId="Footer">
    <w:name w:val="footer"/>
    <w:basedOn w:val="Normal"/>
    <w:link w:val="FooterChar"/>
    <w:uiPriority w:val="99"/>
    <w:rsid w:val="001B7620"/>
    <w:pPr>
      <w:tabs>
        <w:tab w:val="center" w:pos="4536"/>
        <w:tab w:val="right" w:pos="9072"/>
      </w:tabs>
      <w:spacing w:after="0" w:line="240" w:lineRule="auto"/>
    </w:pPr>
  </w:style>
  <w:style w:type="character" w:customStyle="1" w:styleId="FooterChar">
    <w:name w:val="Footer Char"/>
    <w:link w:val="Footer"/>
    <w:uiPriority w:val="99"/>
    <w:rsid w:val="001B7620"/>
    <w:rPr>
      <w:rFonts w:ascii="Calibri" w:eastAsia="Calibri" w:hAnsi="Calibri" w:cs="Times New Roman"/>
      <w:sz w:val="22"/>
      <w:szCs w:val="22"/>
      <w:lang w:val="en-US" w:eastAsia="en-US"/>
    </w:rPr>
  </w:style>
  <w:style w:type="paragraph" w:styleId="BalloonText">
    <w:name w:val="Balloon Text"/>
    <w:basedOn w:val="Normal"/>
    <w:link w:val="BalloonTextChar"/>
    <w:rsid w:val="001B7620"/>
    <w:pPr>
      <w:spacing w:after="0" w:line="240" w:lineRule="auto"/>
    </w:pPr>
    <w:rPr>
      <w:rFonts w:ascii="Tahoma" w:hAnsi="Tahoma" w:cs="Tahoma"/>
      <w:sz w:val="16"/>
      <w:szCs w:val="16"/>
    </w:rPr>
  </w:style>
  <w:style w:type="character" w:customStyle="1" w:styleId="BalloonTextChar">
    <w:name w:val="Balloon Text Char"/>
    <w:link w:val="BalloonText"/>
    <w:rsid w:val="001B7620"/>
    <w:rPr>
      <w:rFonts w:ascii="Tahoma" w:eastAsia="Calibri" w:hAnsi="Tahoma" w:cs="Tahoma"/>
      <w:sz w:val="16"/>
      <w:szCs w:val="16"/>
      <w:lang w:val="en-US" w:eastAsia="en-US"/>
    </w:rPr>
  </w:style>
  <w:style w:type="character" w:styleId="CommentReference">
    <w:name w:val="annotation reference"/>
    <w:uiPriority w:val="99"/>
    <w:semiHidden/>
    <w:unhideWhenUsed/>
    <w:rsid w:val="002C7CFA"/>
    <w:rPr>
      <w:sz w:val="16"/>
      <w:szCs w:val="16"/>
    </w:rPr>
  </w:style>
  <w:style w:type="paragraph" w:styleId="CommentText">
    <w:name w:val="annotation text"/>
    <w:basedOn w:val="Normal"/>
    <w:link w:val="CommentTextChar"/>
    <w:uiPriority w:val="99"/>
    <w:semiHidden/>
    <w:unhideWhenUsed/>
    <w:rsid w:val="002C7CFA"/>
    <w:rPr>
      <w:sz w:val="20"/>
      <w:szCs w:val="20"/>
    </w:rPr>
  </w:style>
  <w:style w:type="character" w:customStyle="1" w:styleId="CommentTextChar">
    <w:name w:val="Comment Text Char"/>
    <w:link w:val="CommentText"/>
    <w:uiPriority w:val="99"/>
    <w:semiHidden/>
    <w:rsid w:val="002C7CFA"/>
    <w:rPr>
      <w:rFonts w:ascii="Calibri" w:eastAsia="Calibri" w:hAnsi="Calibri"/>
      <w:lang w:val="en-US" w:eastAsia="en-US"/>
    </w:rPr>
  </w:style>
  <w:style w:type="paragraph" w:styleId="CommentSubject">
    <w:name w:val="annotation subject"/>
    <w:basedOn w:val="CommentText"/>
    <w:next w:val="CommentText"/>
    <w:link w:val="CommentSubjectChar"/>
    <w:semiHidden/>
    <w:unhideWhenUsed/>
    <w:rsid w:val="002C7CFA"/>
    <w:rPr>
      <w:b/>
      <w:bCs/>
    </w:rPr>
  </w:style>
  <w:style w:type="character" w:customStyle="1" w:styleId="CommentSubjectChar">
    <w:name w:val="Comment Subject Char"/>
    <w:link w:val="CommentSubject"/>
    <w:semiHidden/>
    <w:rsid w:val="002C7CFA"/>
    <w:rPr>
      <w:rFonts w:ascii="Calibri" w:eastAsia="Calibri" w:hAnsi="Calibri"/>
      <w:b/>
      <w:bCs/>
      <w:lang w:val="en-US" w:eastAsia="en-US"/>
    </w:rPr>
  </w:style>
  <w:style w:type="paragraph" w:styleId="Revision">
    <w:name w:val="Revision"/>
    <w:hidden/>
    <w:uiPriority w:val="99"/>
    <w:semiHidden/>
    <w:rsid w:val="00197981"/>
    <w:rPr>
      <w:rFonts w:ascii="Calibri" w:eastAsia="Calibri" w:hAnsi="Calibri"/>
      <w:sz w:val="22"/>
      <w:szCs w:val="22"/>
      <w:lang w:val="en-US" w:eastAsia="en-US"/>
    </w:rPr>
  </w:style>
  <w:style w:type="paragraph" w:styleId="ListParagraph">
    <w:name w:val="List Paragraph"/>
    <w:basedOn w:val="Normal"/>
    <w:uiPriority w:val="34"/>
    <w:qFormat/>
    <w:rsid w:val="00063DC0"/>
    <w:pPr>
      <w:spacing w:after="160" w:line="259" w:lineRule="auto"/>
      <w:ind w:left="720"/>
      <w:contextualSpacing/>
    </w:pPr>
    <w:rPr>
      <w:rFonts w:ascii="Times New Roman" w:eastAsiaTheme="minorHAnsi" w:hAnsi="Times New Roman" w:cstheme="minorBidi"/>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0271">
      <w:bodyDiv w:val="1"/>
      <w:marLeft w:val="0"/>
      <w:marRight w:val="0"/>
      <w:marTop w:val="0"/>
      <w:marBottom w:val="0"/>
      <w:divBdr>
        <w:top w:val="none" w:sz="0" w:space="0" w:color="auto"/>
        <w:left w:val="none" w:sz="0" w:space="0" w:color="auto"/>
        <w:bottom w:val="none" w:sz="0" w:space="0" w:color="auto"/>
        <w:right w:val="none" w:sz="0" w:space="0" w:color="auto"/>
      </w:divBdr>
    </w:div>
    <w:div w:id="1051804605">
      <w:bodyDiv w:val="1"/>
      <w:marLeft w:val="0"/>
      <w:marRight w:val="0"/>
      <w:marTop w:val="0"/>
      <w:marBottom w:val="0"/>
      <w:divBdr>
        <w:top w:val="none" w:sz="0" w:space="0" w:color="auto"/>
        <w:left w:val="none" w:sz="0" w:space="0" w:color="auto"/>
        <w:bottom w:val="none" w:sz="0" w:space="0" w:color="auto"/>
        <w:right w:val="none" w:sz="0" w:space="0" w:color="auto"/>
      </w:divBdr>
    </w:div>
    <w:div w:id="152112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opgg/term/17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opgg/term/36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ufunds.bg/bg/opgg/term/176" TargetMode="External"/><Relationship Id="rId4" Type="http://schemas.openxmlformats.org/officeDocument/2006/relationships/settings" Target="settings.xml"/><Relationship Id="rId9" Type="http://schemas.openxmlformats.org/officeDocument/2006/relationships/hyperlink" Target="https://www.eufunds.bg/bg/opgg/term/366"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E91FA-3280-4812-BA4C-4128267D6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2239</TotalTime>
  <Pages>8</Pages>
  <Words>3489</Words>
  <Characters>18670</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
    </vt:vector>
  </TitlesOfParts>
  <Company>minfin</Company>
  <LinksUpToDate>false</LinksUpToDate>
  <CharactersWithSpaces>22115</CharactersWithSpaces>
  <SharedDoc>false</SharedDoc>
  <HLinks>
    <vt:vector size="36" baseType="variant">
      <vt:variant>
        <vt:i4>3342442</vt:i4>
      </vt:variant>
      <vt:variant>
        <vt:i4>9</vt:i4>
      </vt:variant>
      <vt:variant>
        <vt:i4>0</vt:i4>
      </vt:variant>
      <vt:variant>
        <vt:i4>5</vt:i4>
      </vt:variant>
      <vt:variant>
        <vt:lpwstr>http://www.opac.government.bg/</vt:lpwstr>
      </vt:variant>
      <vt:variant>
        <vt:lpwstr/>
      </vt:variant>
      <vt:variant>
        <vt:i4>3342442</vt:i4>
      </vt:variant>
      <vt:variant>
        <vt:i4>6</vt:i4>
      </vt:variant>
      <vt:variant>
        <vt:i4>0</vt:i4>
      </vt:variant>
      <vt:variant>
        <vt:i4>5</vt:i4>
      </vt:variant>
      <vt:variant>
        <vt:lpwstr>http://www.opac.government.bg/</vt:lpwstr>
      </vt:variant>
      <vt:variant>
        <vt:lpwstr/>
      </vt:variant>
      <vt:variant>
        <vt:i4>3342442</vt:i4>
      </vt:variant>
      <vt:variant>
        <vt:i4>3</vt:i4>
      </vt:variant>
      <vt:variant>
        <vt:i4>0</vt:i4>
      </vt:variant>
      <vt:variant>
        <vt:i4>5</vt:i4>
      </vt:variant>
      <vt:variant>
        <vt:lpwstr>http://www.opac.government.bg/</vt:lpwstr>
      </vt:variant>
      <vt:variant>
        <vt:lpwstr/>
      </vt:variant>
      <vt:variant>
        <vt:i4>3342442</vt:i4>
      </vt:variant>
      <vt:variant>
        <vt:i4>56544</vt:i4>
      </vt:variant>
      <vt:variant>
        <vt:i4>1025</vt:i4>
      </vt:variant>
      <vt:variant>
        <vt:i4>4</vt:i4>
      </vt:variant>
      <vt:variant>
        <vt:lpwstr>http://www.opac.government.bg/</vt:lpwstr>
      </vt:variant>
      <vt:variant>
        <vt:lpwstr/>
      </vt:variant>
      <vt:variant>
        <vt:i4>3342442</vt:i4>
      </vt:variant>
      <vt:variant>
        <vt:i4>56680</vt:i4>
      </vt:variant>
      <vt:variant>
        <vt:i4>1026</vt:i4>
      </vt:variant>
      <vt:variant>
        <vt:i4>4</vt:i4>
      </vt:variant>
      <vt:variant>
        <vt:lpwstr>http://www.opac.government.bg/</vt:lpwstr>
      </vt:variant>
      <vt:variant>
        <vt:lpwstr/>
      </vt:variant>
      <vt:variant>
        <vt:i4>3342442</vt:i4>
      </vt:variant>
      <vt:variant>
        <vt:i4>56818</vt:i4>
      </vt:variant>
      <vt:variant>
        <vt:i4>1027</vt:i4>
      </vt:variant>
      <vt:variant>
        <vt:i4>4</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 Крумов</dc:creator>
  <cp:keywords/>
  <dc:description/>
  <cp:lastModifiedBy>Хилми Кушев</cp:lastModifiedBy>
  <cp:revision>456</cp:revision>
  <cp:lastPrinted>2022-05-19T13:02:00Z</cp:lastPrinted>
  <dcterms:created xsi:type="dcterms:W3CDTF">2017-10-03T11:09:00Z</dcterms:created>
  <dcterms:modified xsi:type="dcterms:W3CDTF">2022-07-29T12:52:00Z</dcterms:modified>
</cp:coreProperties>
</file>