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6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19"/>
        <w:gridCol w:w="7229"/>
        <w:gridCol w:w="3260"/>
      </w:tblGrid>
      <w:tr w:rsidR="00F57F5F" w14:paraId="6D26B33F" w14:textId="77777777" w:rsidTr="00B75FFD">
        <w:trPr>
          <w:trHeight w:val="743"/>
          <w:tblHeader/>
        </w:trPr>
        <w:tc>
          <w:tcPr>
            <w:tcW w:w="3119" w:type="dxa"/>
            <w:shd w:val="clear" w:color="auto" w:fill="auto"/>
            <w:vAlign w:val="center"/>
          </w:tcPr>
          <w:p w14:paraId="35954B19" w14:textId="77777777" w:rsidR="00F57F5F" w:rsidRPr="00D86986" w:rsidRDefault="00265C32" w:rsidP="00B75FFD">
            <w:pPr>
              <w:pStyle w:val="Index"/>
              <w:ind w:hanging="142"/>
              <w:jc w:val="center"/>
              <w:rPr>
                <w:i/>
                <w:iCs/>
                <w:sz w:val="22"/>
                <w:szCs w:val="22"/>
                <w:lang w:val="bg-BG"/>
              </w:rPr>
            </w:pPr>
            <w:r>
              <w:rPr>
                <w:b/>
                <w:i/>
                <w:iCs/>
                <w:sz w:val="22"/>
                <w:szCs w:val="22"/>
                <w:lang w:val="bg-BG"/>
              </w:rPr>
              <w:t>Администрация на Министерския съвет</w:t>
            </w:r>
            <w:r w:rsidR="00F57F5F" w:rsidRPr="00D86986">
              <w:rPr>
                <w:b/>
                <w:i/>
                <w:iCs/>
                <w:sz w:val="22"/>
                <w:szCs w:val="22"/>
                <w:lang w:val="bg-BG"/>
              </w:rPr>
              <w:t xml:space="preserve"> </w:t>
            </w:r>
          </w:p>
        </w:tc>
        <w:tc>
          <w:tcPr>
            <w:tcW w:w="7229" w:type="dxa"/>
            <w:tcBorders>
              <w:bottom w:val="single" w:sz="4" w:space="0" w:color="auto"/>
            </w:tcBorders>
            <w:vAlign w:val="center"/>
          </w:tcPr>
          <w:p w14:paraId="3B6EDC91" w14:textId="77777777" w:rsidR="00F57F5F" w:rsidRPr="001B391E" w:rsidRDefault="00F57F5F" w:rsidP="00BC0A8B">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27108264" w14:textId="77777777" w:rsidR="00F57F5F" w:rsidRPr="001B391E" w:rsidRDefault="00F57F5F" w:rsidP="00BC0A8B">
            <w:pPr>
              <w:pStyle w:val="Index"/>
              <w:spacing w:before="0" w:beforeAutospacing="0" w:after="0" w:afterAutospacing="0"/>
              <w:jc w:val="center"/>
              <w:rPr>
                <w:b/>
                <w:sz w:val="22"/>
                <w:szCs w:val="22"/>
                <w:lang w:val="bg-BG"/>
              </w:rPr>
            </w:pPr>
            <w:r w:rsidRPr="001B391E">
              <w:rPr>
                <w:b/>
                <w:sz w:val="22"/>
                <w:szCs w:val="22"/>
                <w:lang w:val="bg-BG"/>
              </w:rPr>
              <w:t xml:space="preserve"> Оперативна програма</w:t>
            </w:r>
          </w:p>
          <w:p w14:paraId="3F66F664" w14:textId="77777777" w:rsidR="00F57F5F" w:rsidRPr="00D86986" w:rsidRDefault="00F57F5F" w:rsidP="00B77C93">
            <w:pPr>
              <w:pStyle w:val="Index"/>
              <w:spacing w:before="0" w:beforeAutospacing="0" w:after="0" w:afterAutospacing="0"/>
              <w:jc w:val="center"/>
              <w:rPr>
                <w:b/>
                <w:i/>
                <w:iCs/>
                <w:sz w:val="22"/>
                <w:szCs w:val="22"/>
                <w:lang w:val="bg-BG"/>
              </w:rPr>
            </w:pPr>
            <w:r w:rsidRPr="001B391E">
              <w:rPr>
                <w:b/>
                <w:sz w:val="22"/>
                <w:szCs w:val="22"/>
                <w:lang w:val="bg-BG"/>
              </w:rPr>
              <w:t xml:space="preserve"> </w:t>
            </w:r>
            <w:r>
              <w:rPr>
                <w:b/>
                <w:sz w:val="22"/>
                <w:szCs w:val="22"/>
                <w:lang w:val="bg-BG"/>
              </w:rPr>
              <w:t>„</w:t>
            </w:r>
            <w:r w:rsidR="00B77C93">
              <w:rPr>
                <w:b/>
                <w:sz w:val="22"/>
                <w:szCs w:val="22"/>
                <w:lang w:val="bg-BG"/>
              </w:rPr>
              <w:t>Добро управление</w:t>
            </w:r>
            <w:r w:rsidRPr="001B391E">
              <w:rPr>
                <w:b/>
                <w:sz w:val="22"/>
                <w:szCs w:val="22"/>
                <w:lang w:val="bg-BG"/>
              </w:rPr>
              <w:t xml:space="preserve">” </w:t>
            </w:r>
            <w:r w:rsidR="00B77C93">
              <w:rPr>
                <w:b/>
                <w:sz w:val="22"/>
                <w:szCs w:val="22"/>
                <w:lang w:val="bg-BG"/>
              </w:rPr>
              <w:t>2014-2020</w:t>
            </w:r>
          </w:p>
        </w:tc>
        <w:tc>
          <w:tcPr>
            <w:tcW w:w="3260" w:type="dxa"/>
            <w:tcBorders>
              <w:bottom w:val="single" w:sz="4" w:space="0" w:color="auto"/>
            </w:tcBorders>
            <w:vAlign w:val="center"/>
          </w:tcPr>
          <w:p w14:paraId="6C073FC7" w14:textId="77777777" w:rsidR="00F57F5F" w:rsidRPr="00786D79" w:rsidRDefault="00F57F5F" w:rsidP="00DC3F7D">
            <w:pPr>
              <w:pStyle w:val="Index"/>
              <w:spacing w:after="0"/>
              <w:jc w:val="center"/>
              <w:rPr>
                <w:b/>
                <w:bCs/>
                <w:i/>
                <w:sz w:val="20"/>
                <w:szCs w:val="20"/>
                <w:lang w:val="bg-BG"/>
              </w:rPr>
            </w:pPr>
            <w:r w:rsidRPr="00786D79">
              <w:rPr>
                <w:b/>
                <w:bCs/>
                <w:i/>
                <w:sz w:val="20"/>
                <w:szCs w:val="20"/>
                <w:lang w:val="bg-BG"/>
              </w:rPr>
              <w:t xml:space="preserve">Приложение </w:t>
            </w:r>
            <w:r w:rsidR="00E4040E" w:rsidRPr="00786D79">
              <w:rPr>
                <w:b/>
                <w:bCs/>
                <w:i/>
                <w:sz w:val="20"/>
                <w:szCs w:val="20"/>
              </w:rPr>
              <w:t>III</w:t>
            </w:r>
            <w:r w:rsidR="00461731" w:rsidRPr="00786D79">
              <w:rPr>
                <w:b/>
                <w:bCs/>
                <w:i/>
                <w:sz w:val="20"/>
                <w:szCs w:val="20"/>
              </w:rPr>
              <w:t>-T0</w:t>
            </w:r>
            <w:r w:rsidR="004243D4" w:rsidRPr="00786D79">
              <w:rPr>
                <w:b/>
                <w:bCs/>
                <w:i/>
                <w:sz w:val="20"/>
                <w:szCs w:val="20"/>
              </w:rPr>
              <w:t>3-</w:t>
            </w:r>
            <w:r w:rsidR="00DC3F7D" w:rsidRPr="00786D79">
              <w:rPr>
                <w:b/>
                <w:bCs/>
                <w:i/>
                <w:sz w:val="20"/>
                <w:szCs w:val="20"/>
                <w:lang w:val="bg-BG"/>
              </w:rPr>
              <w:t>3</w:t>
            </w:r>
          </w:p>
        </w:tc>
      </w:tr>
      <w:tr w:rsidR="00F57F5F" w:rsidRPr="005369CA" w14:paraId="520E1CE8" w14:textId="77777777" w:rsidTr="00B75FFD">
        <w:trPr>
          <w:trHeight w:val="1156"/>
          <w:tblHeader/>
        </w:trPr>
        <w:tc>
          <w:tcPr>
            <w:tcW w:w="3119" w:type="dxa"/>
            <w:shd w:val="clear" w:color="auto" w:fill="auto"/>
            <w:vAlign w:val="center"/>
          </w:tcPr>
          <w:p w14:paraId="00B75EC4" w14:textId="77777777" w:rsidR="00F57F5F" w:rsidRDefault="00F57F5F" w:rsidP="00BC0A8B">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15BB47D1" w14:textId="77777777" w:rsidR="00F57F5F" w:rsidRPr="00D86986" w:rsidRDefault="00F57F5F" w:rsidP="00265C32">
            <w:pPr>
              <w:pStyle w:val="Index"/>
              <w:spacing w:before="0" w:beforeAutospacing="0" w:after="0" w:afterAutospacing="0"/>
              <w:jc w:val="center"/>
              <w:rPr>
                <w:b/>
                <w:sz w:val="22"/>
                <w:szCs w:val="22"/>
                <w:lang w:val="bg-BG"/>
              </w:rPr>
            </w:pPr>
            <w:r>
              <w:rPr>
                <w:b/>
                <w:i/>
                <w:iCs/>
                <w:sz w:val="22"/>
                <w:szCs w:val="22"/>
                <w:lang w:val="bg-BG"/>
              </w:rPr>
              <w:t xml:space="preserve"> „</w:t>
            </w:r>
            <w:r w:rsidR="00265C32">
              <w:rPr>
                <w:b/>
                <w:i/>
                <w:iCs/>
                <w:sz w:val="22"/>
                <w:szCs w:val="22"/>
                <w:lang w:val="bg-BG"/>
              </w:rPr>
              <w:t>Добро управление</w:t>
            </w:r>
            <w:r>
              <w:rPr>
                <w:b/>
                <w:i/>
                <w:iCs/>
                <w:sz w:val="22"/>
                <w:szCs w:val="22"/>
                <w:lang w:val="bg-BG"/>
              </w:rPr>
              <w:t>”</w:t>
            </w:r>
          </w:p>
        </w:tc>
        <w:tc>
          <w:tcPr>
            <w:tcW w:w="10489" w:type="dxa"/>
            <w:gridSpan w:val="2"/>
            <w:shd w:val="clear" w:color="auto" w:fill="666699"/>
            <w:vAlign w:val="center"/>
          </w:tcPr>
          <w:p w14:paraId="4CBEE2C2" w14:textId="46FACC85" w:rsidR="00F57F5F" w:rsidRPr="006874BE" w:rsidRDefault="00F57F5F" w:rsidP="00A47FF6">
            <w:pPr>
              <w:pStyle w:val="Index"/>
              <w:spacing w:after="0"/>
              <w:jc w:val="center"/>
              <w:rPr>
                <w:b/>
                <w:color w:val="FFFFFF"/>
                <w:sz w:val="28"/>
                <w:szCs w:val="28"/>
                <w:lang w:val="bg-BG"/>
              </w:rPr>
            </w:pPr>
            <w:r w:rsidRPr="00F57F5F">
              <w:rPr>
                <w:b/>
                <w:color w:val="FFFFFF"/>
                <w:sz w:val="28"/>
                <w:szCs w:val="28"/>
                <w:lang w:val="bg-BG"/>
              </w:rPr>
              <w:t xml:space="preserve">Правила за </w:t>
            </w:r>
            <w:r w:rsidR="009A49A4">
              <w:rPr>
                <w:b/>
                <w:color w:val="FFFFFF"/>
                <w:sz w:val="28"/>
                <w:szCs w:val="28"/>
                <w:lang w:val="bg-BG"/>
              </w:rPr>
              <w:t xml:space="preserve">работа с инструмента </w:t>
            </w:r>
            <w:r w:rsidR="006874BE">
              <w:rPr>
                <w:b/>
                <w:color w:val="FFFFFF"/>
                <w:sz w:val="28"/>
                <w:szCs w:val="28"/>
              </w:rPr>
              <w:t>ARACHNE</w:t>
            </w:r>
            <w:r w:rsidR="006874BE">
              <w:rPr>
                <w:b/>
                <w:color w:val="FFFFFF"/>
                <w:sz w:val="28"/>
                <w:szCs w:val="28"/>
                <w:lang w:val="bg-BG"/>
              </w:rPr>
              <w:t xml:space="preserve"> </w:t>
            </w:r>
            <w:r w:rsidR="006874BE" w:rsidRPr="00D13F32">
              <w:rPr>
                <w:b/>
                <w:color w:val="FFFFFF"/>
                <w:sz w:val="28"/>
                <w:szCs w:val="28"/>
                <w:lang w:val="bg-BG"/>
              </w:rPr>
              <w:t>в</w:t>
            </w:r>
            <w:r w:rsidR="00A47FF6">
              <w:rPr>
                <w:b/>
                <w:color w:val="FFFFFF"/>
                <w:sz w:val="28"/>
                <w:szCs w:val="28"/>
                <w:lang w:val="bg-BG"/>
              </w:rPr>
              <w:t xml:space="preserve"> процеса на верификация на проекти/финансови планове </w:t>
            </w:r>
            <w:r w:rsidR="00AD20E1">
              <w:rPr>
                <w:b/>
                <w:color w:val="FFFFFF"/>
                <w:sz w:val="28"/>
                <w:szCs w:val="28"/>
                <w:lang w:val="bg-BG"/>
              </w:rPr>
              <w:t xml:space="preserve">и проверки на сигнали за нередност </w:t>
            </w:r>
            <w:r w:rsidR="00A47FF6">
              <w:rPr>
                <w:b/>
                <w:color w:val="FFFFFF"/>
                <w:sz w:val="28"/>
                <w:szCs w:val="28"/>
                <w:lang w:val="bg-BG"/>
              </w:rPr>
              <w:t>по</w:t>
            </w:r>
            <w:r w:rsidR="006874BE" w:rsidRPr="00D13F32">
              <w:rPr>
                <w:b/>
                <w:color w:val="FFFFFF"/>
                <w:sz w:val="28"/>
                <w:szCs w:val="28"/>
                <w:lang w:val="bg-BG"/>
              </w:rPr>
              <w:t xml:space="preserve"> Оперативна програма „</w:t>
            </w:r>
            <w:r w:rsidR="006874BE" w:rsidRPr="009D5B6F">
              <w:rPr>
                <w:b/>
                <w:color w:val="FFFFFF"/>
                <w:sz w:val="28"/>
                <w:szCs w:val="28"/>
                <w:lang w:val="bg-BG"/>
              </w:rPr>
              <w:t>Д</w:t>
            </w:r>
            <w:r w:rsidR="006874BE" w:rsidRPr="00D13F32">
              <w:rPr>
                <w:b/>
                <w:color w:val="FFFFFF"/>
                <w:sz w:val="28"/>
                <w:szCs w:val="28"/>
                <w:lang w:val="bg-BG"/>
              </w:rPr>
              <w:t>обро управление”</w:t>
            </w:r>
          </w:p>
        </w:tc>
      </w:tr>
      <w:tr w:rsidR="00F57F5F" w:rsidRPr="007244E7" w14:paraId="483BFA44" w14:textId="77777777" w:rsidTr="00B75FFD">
        <w:trPr>
          <w:trHeight w:val="742"/>
          <w:tblHeader/>
        </w:trPr>
        <w:tc>
          <w:tcPr>
            <w:tcW w:w="3119" w:type="dxa"/>
            <w:shd w:val="clear" w:color="auto" w:fill="auto"/>
            <w:vAlign w:val="center"/>
          </w:tcPr>
          <w:p w14:paraId="0277CC26" w14:textId="72DF7E25" w:rsidR="00F57F5F" w:rsidRPr="00DA10A9" w:rsidRDefault="00F57F5F" w:rsidP="000345E5">
            <w:pPr>
              <w:pStyle w:val="Index"/>
              <w:spacing w:after="0"/>
              <w:rPr>
                <w:b/>
                <w:i/>
                <w:iCs/>
                <w:sz w:val="22"/>
                <w:szCs w:val="22"/>
                <w:lang w:val="bg-BG"/>
              </w:rPr>
            </w:pPr>
            <w:r w:rsidRPr="002D7825">
              <w:rPr>
                <w:sz w:val="22"/>
                <w:szCs w:val="22"/>
                <w:lang w:val="bg-BG"/>
              </w:rPr>
              <w:t xml:space="preserve">Вариант на документа: </w:t>
            </w:r>
            <w:r w:rsidR="000345E5">
              <w:rPr>
                <w:sz w:val="22"/>
                <w:szCs w:val="22"/>
                <w:lang w:val="bg-BG"/>
              </w:rPr>
              <w:t xml:space="preserve">4 </w:t>
            </w:r>
          </w:p>
        </w:tc>
        <w:tc>
          <w:tcPr>
            <w:tcW w:w="7229" w:type="dxa"/>
            <w:vAlign w:val="center"/>
          </w:tcPr>
          <w:p w14:paraId="48DF7571" w14:textId="77777777" w:rsidR="00F57F5F" w:rsidRPr="00AD374E" w:rsidRDefault="00F57F5F" w:rsidP="00BC0A8B">
            <w:pPr>
              <w:pStyle w:val="CharCharChar1Char"/>
              <w:jc w:val="center"/>
              <w:rPr>
                <w:rFonts w:ascii="Times New Roman" w:eastAsia="HG Mincho Light J" w:hAnsi="Times New Roman"/>
                <w:i/>
                <w:iCs/>
                <w:color w:val="000000"/>
                <w:sz w:val="22"/>
                <w:szCs w:val="22"/>
                <w:lang w:val="bg-BG" w:eastAsia="bg-BG"/>
              </w:rPr>
            </w:pPr>
            <w:r w:rsidRPr="00AD374E">
              <w:rPr>
                <w:rFonts w:ascii="Times New Roman" w:eastAsia="HG Mincho Light J" w:hAnsi="Times New Roman"/>
                <w:i/>
                <w:iCs/>
                <w:color w:val="000000"/>
                <w:sz w:val="22"/>
                <w:szCs w:val="22"/>
                <w:lang w:val="bg-BG" w:eastAsia="bg-BG"/>
              </w:rPr>
              <w:t xml:space="preserve">Одобрен от: </w:t>
            </w:r>
          </w:p>
          <w:p w14:paraId="3FA94D44" w14:textId="77777777" w:rsidR="00F57F5F" w:rsidRPr="00D86986" w:rsidRDefault="00F57F5F" w:rsidP="00BC0A8B">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00B77C93">
              <w:rPr>
                <w:i/>
                <w:iCs/>
                <w:sz w:val="22"/>
                <w:szCs w:val="22"/>
                <w:lang w:val="bg-BG"/>
              </w:rPr>
              <w:t>Добро управление</w:t>
            </w:r>
            <w:r>
              <w:rPr>
                <w:i/>
                <w:iCs/>
                <w:sz w:val="22"/>
                <w:szCs w:val="22"/>
                <w:lang w:val="bg-BG"/>
              </w:rPr>
              <w:t>”</w:t>
            </w:r>
          </w:p>
        </w:tc>
        <w:tc>
          <w:tcPr>
            <w:tcW w:w="3260" w:type="dxa"/>
            <w:vAlign w:val="center"/>
          </w:tcPr>
          <w:p w14:paraId="5D05F2AF" w14:textId="738F8ED7" w:rsidR="00F57F5F" w:rsidRPr="002A332B" w:rsidRDefault="004C0AC7" w:rsidP="000345E5">
            <w:pPr>
              <w:pStyle w:val="TableContents"/>
              <w:spacing w:after="0"/>
              <w:jc w:val="center"/>
              <w:rPr>
                <w:b/>
                <w:sz w:val="28"/>
                <w:szCs w:val="28"/>
                <w:lang w:val="bg-BG"/>
              </w:rPr>
            </w:pPr>
            <w:r w:rsidRPr="002D7825">
              <w:rPr>
                <w:sz w:val="22"/>
                <w:szCs w:val="22"/>
                <w:lang w:val="bg-BG"/>
              </w:rPr>
              <w:t>Дата</w:t>
            </w:r>
            <w:r w:rsidRPr="00397C4B">
              <w:rPr>
                <w:sz w:val="22"/>
                <w:szCs w:val="22"/>
                <w:lang w:val="bg-BG"/>
              </w:rPr>
              <w:t xml:space="preserve">: </w:t>
            </w:r>
            <w:r w:rsidR="000345E5">
              <w:rPr>
                <w:sz w:val="22"/>
                <w:szCs w:val="22"/>
                <w:lang w:val="bg-BG"/>
              </w:rPr>
              <w:t>01.08.2022</w:t>
            </w:r>
            <w:r w:rsidRPr="00397C4B">
              <w:rPr>
                <w:sz w:val="22"/>
                <w:szCs w:val="22"/>
                <w:lang w:val="bg-BG"/>
              </w:rPr>
              <w:t xml:space="preserve"> г.</w:t>
            </w:r>
          </w:p>
        </w:tc>
      </w:tr>
    </w:tbl>
    <w:p w14:paraId="3FFCE29D" w14:textId="77777777" w:rsidR="00F57F5F" w:rsidRPr="00F57F5F" w:rsidRDefault="00F57F5F" w:rsidP="009F4CC9">
      <w:pPr>
        <w:rPr>
          <w:sz w:val="24"/>
          <w:szCs w:val="24"/>
        </w:rPr>
      </w:pPr>
    </w:p>
    <w:p w14:paraId="638E67B1" w14:textId="77777777" w:rsidR="009F4CC9" w:rsidRPr="009F4CC9" w:rsidRDefault="009F4CC9" w:rsidP="009F4CC9">
      <w:pPr>
        <w:rPr>
          <w:sz w:val="24"/>
          <w:szCs w:val="24"/>
          <w:lang w:val="en-US"/>
        </w:rPr>
      </w:pPr>
    </w:p>
    <w:p w14:paraId="692CD627" w14:textId="01F9138E" w:rsidR="009F4CC9" w:rsidRPr="009F4CC9" w:rsidRDefault="009F4CC9" w:rsidP="00185200">
      <w:pPr>
        <w:ind w:firstLine="720"/>
        <w:jc w:val="center"/>
        <w:rPr>
          <w:b/>
          <w:sz w:val="24"/>
          <w:szCs w:val="24"/>
        </w:rPr>
      </w:pPr>
      <w:r w:rsidRPr="009F4CC9">
        <w:rPr>
          <w:b/>
          <w:sz w:val="24"/>
          <w:szCs w:val="24"/>
        </w:rPr>
        <w:t xml:space="preserve">ПРАВИЛА ЗА </w:t>
      </w:r>
      <w:r w:rsidR="006874BE">
        <w:rPr>
          <w:b/>
          <w:sz w:val="24"/>
          <w:szCs w:val="24"/>
        </w:rPr>
        <w:t xml:space="preserve">РАБОТА С ИНСТРУМЕНТА </w:t>
      </w:r>
      <w:r w:rsidR="006874BE" w:rsidRPr="006874BE">
        <w:rPr>
          <w:b/>
          <w:sz w:val="24"/>
          <w:szCs w:val="24"/>
        </w:rPr>
        <w:t xml:space="preserve">ARACHNE </w:t>
      </w:r>
      <w:r w:rsidRPr="009F4CC9">
        <w:rPr>
          <w:b/>
          <w:sz w:val="24"/>
          <w:szCs w:val="24"/>
        </w:rPr>
        <w:t xml:space="preserve">В </w:t>
      </w:r>
      <w:r w:rsidR="00A47FF6">
        <w:rPr>
          <w:b/>
          <w:sz w:val="24"/>
          <w:szCs w:val="24"/>
        </w:rPr>
        <w:t xml:space="preserve">ПРОЦЕСА НА ВЕРИФИКАЦИЯ НА ПРОЕКТИ/ФИНАНСОВИ ПЛАНОВЕ </w:t>
      </w:r>
      <w:r w:rsidR="00AD20E1">
        <w:rPr>
          <w:b/>
          <w:sz w:val="24"/>
          <w:szCs w:val="24"/>
        </w:rPr>
        <w:t xml:space="preserve">И ПРОВЕРКИ НА СИГНАЛИ ЗА НЕРЕДНОСТ </w:t>
      </w:r>
      <w:r w:rsidR="00A47FF6">
        <w:rPr>
          <w:b/>
          <w:sz w:val="24"/>
          <w:szCs w:val="24"/>
        </w:rPr>
        <w:t xml:space="preserve">ПО </w:t>
      </w:r>
      <w:r w:rsidRPr="009F4CC9">
        <w:rPr>
          <w:b/>
          <w:sz w:val="24"/>
          <w:szCs w:val="24"/>
        </w:rPr>
        <w:t>ОПЕРАТИВНА ПРОГРАМА „</w:t>
      </w:r>
      <w:r w:rsidR="00B77C93">
        <w:rPr>
          <w:b/>
          <w:sz w:val="24"/>
          <w:szCs w:val="24"/>
        </w:rPr>
        <w:t>ДОБРО УПРАВЛЕНИЕ</w:t>
      </w:r>
      <w:r w:rsidRPr="009F4CC9">
        <w:rPr>
          <w:b/>
          <w:sz w:val="24"/>
          <w:szCs w:val="24"/>
        </w:rPr>
        <w:t>”</w:t>
      </w:r>
    </w:p>
    <w:p w14:paraId="782082BC" w14:textId="77777777" w:rsidR="008B145C" w:rsidRDefault="008B145C" w:rsidP="00FE70A2">
      <w:pPr>
        <w:ind w:firstLine="720"/>
        <w:jc w:val="both"/>
        <w:rPr>
          <w:sz w:val="24"/>
          <w:szCs w:val="24"/>
        </w:rPr>
      </w:pPr>
    </w:p>
    <w:p w14:paraId="12446E12" w14:textId="77777777" w:rsidR="00A47FF6" w:rsidRPr="00CB024F" w:rsidRDefault="00A47FF6" w:rsidP="00A47FF6">
      <w:pPr>
        <w:jc w:val="both"/>
        <w:rPr>
          <w:sz w:val="24"/>
          <w:szCs w:val="24"/>
        </w:rPr>
      </w:pPr>
      <w:r w:rsidRPr="00CB024F">
        <w:rPr>
          <w:sz w:val="24"/>
          <w:szCs w:val="24"/>
        </w:rPr>
        <w:t xml:space="preserve">В общата рамка на борба срещу нередностите и измамите Европейската комисия е създала специализиран софтуерен инструмент за измерване на риска от измами и нередности ARACHNE. Посредством използването на инструмента се очаква да се повиши ефикасността на подбора, управлението, проверките и одита на проектите и допълнително да се подобри процесът по предотвратяване и откриване на измами. Инструментът способства определянето на най-рисковите проекти и предоставя възможност за продължително и систематично наблюдение и преглед на данни от вътрешни и </w:t>
      </w:r>
      <w:bookmarkStart w:id="0" w:name="_GoBack"/>
      <w:bookmarkEnd w:id="0"/>
      <w:r w:rsidRPr="00CB024F">
        <w:rPr>
          <w:sz w:val="24"/>
          <w:szCs w:val="24"/>
        </w:rPr>
        <w:t>външни източници по отношение на проекти, бенефициенти, договори и изпълнители.</w:t>
      </w:r>
    </w:p>
    <w:p w14:paraId="663F611C" w14:textId="77777777" w:rsidR="00A47FF6" w:rsidRPr="00CB024F" w:rsidRDefault="00A47FF6" w:rsidP="00A47FF6">
      <w:pPr>
        <w:jc w:val="both"/>
        <w:rPr>
          <w:sz w:val="24"/>
          <w:szCs w:val="24"/>
        </w:rPr>
      </w:pPr>
      <w:r w:rsidRPr="00CB024F">
        <w:rPr>
          <w:sz w:val="24"/>
          <w:szCs w:val="24"/>
        </w:rPr>
        <w:t xml:space="preserve">Достъпът до системата се осъществява посредством създаден от съответния потребител профил в ECAS на интернет адрес </w:t>
      </w:r>
      <w:hyperlink r:id="rId8" w:history="1">
        <w:r w:rsidRPr="00CB024F">
          <w:rPr>
            <w:rStyle w:val="Hyperlink"/>
            <w:sz w:val="24"/>
            <w:szCs w:val="24"/>
            <w:lang w:val="en-US"/>
          </w:rPr>
          <w:t>https</w:t>
        </w:r>
        <w:r w:rsidRPr="00D13F32">
          <w:rPr>
            <w:rStyle w:val="Hyperlink"/>
            <w:sz w:val="24"/>
            <w:szCs w:val="24"/>
          </w:rPr>
          <w:t>://</w:t>
        </w:r>
        <w:proofErr w:type="spellStart"/>
        <w:r w:rsidRPr="00CB024F">
          <w:rPr>
            <w:rStyle w:val="Hyperlink"/>
            <w:sz w:val="24"/>
            <w:szCs w:val="24"/>
            <w:lang w:val="en-US"/>
          </w:rPr>
          <w:t>ecas</w:t>
        </w:r>
        <w:proofErr w:type="spellEnd"/>
        <w:r w:rsidRPr="00D13F32">
          <w:rPr>
            <w:rStyle w:val="Hyperlink"/>
            <w:sz w:val="24"/>
            <w:szCs w:val="24"/>
          </w:rPr>
          <w:t>.</w:t>
        </w:r>
        <w:proofErr w:type="spellStart"/>
        <w:r w:rsidRPr="00CB024F">
          <w:rPr>
            <w:rStyle w:val="Hyperlink"/>
            <w:sz w:val="24"/>
            <w:szCs w:val="24"/>
            <w:lang w:val="en-US"/>
          </w:rPr>
          <w:t>ec</w:t>
        </w:r>
        <w:proofErr w:type="spellEnd"/>
        <w:r w:rsidRPr="00D13F32">
          <w:rPr>
            <w:rStyle w:val="Hyperlink"/>
            <w:sz w:val="24"/>
            <w:szCs w:val="24"/>
          </w:rPr>
          <w:t>.</w:t>
        </w:r>
        <w:proofErr w:type="spellStart"/>
        <w:r w:rsidRPr="00CB024F">
          <w:rPr>
            <w:rStyle w:val="Hyperlink"/>
            <w:sz w:val="24"/>
            <w:szCs w:val="24"/>
            <w:lang w:val="en-US"/>
          </w:rPr>
          <w:t>europa</w:t>
        </w:r>
        <w:proofErr w:type="spellEnd"/>
        <w:r w:rsidRPr="00D13F32">
          <w:rPr>
            <w:rStyle w:val="Hyperlink"/>
            <w:sz w:val="24"/>
            <w:szCs w:val="24"/>
          </w:rPr>
          <w:t>.</w:t>
        </w:r>
        <w:proofErr w:type="spellStart"/>
        <w:r w:rsidRPr="00CB024F">
          <w:rPr>
            <w:rStyle w:val="Hyperlink"/>
            <w:sz w:val="24"/>
            <w:szCs w:val="24"/>
            <w:lang w:val="en-US"/>
          </w:rPr>
          <w:t>eu</w:t>
        </w:r>
        <w:proofErr w:type="spellEnd"/>
        <w:r w:rsidRPr="00D13F32">
          <w:rPr>
            <w:rStyle w:val="Hyperlink"/>
            <w:sz w:val="24"/>
            <w:szCs w:val="24"/>
          </w:rPr>
          <w:t>/</w:t>
        </w:r>
        <w:proofErr w:type="spellStart"/>
        <w:r w:rsidRPr="00CB024F">
          <w:rPr>
            <w:rStyle w:val="Hyperlink"/>
            <w:sz w:val="24"/>
            <w:szCs w:val="24"/>
            <w:lang w:val="en-US"/>
          </w:rPr>
          <w:t>cas</w:t>
        </w:r>
        <w:proofErr w:type="spellEnd"/>
        <w:r w:rsidRPr="00D13F32">
          <w:rPr>
            <w:rStyle w:val="Hyperlink"/>
            <w:sz w:val="24"/>
            <w:szCs w:val="24"/>
          </w:rPr>
          <w:t>/</w:t>
        </w:r>
      </w:hyperlink>
      <w:r w:rsidRPr="00CB024F">
        <w:rPr>
          <w:sz w:val="24"/>
          <w:szCs w:val="24"/>
        </w:rPr>
        <w:t xml:space="preserve">. Управлението (създаване, промяна, прекратяване) на профилите за достъп в системата се извършва от централния координатор на </w:t>
      </w:r>
      <w:r w:rsidRPr="007C6D5F">
        <w:rPr>
          <w:sz w:val="24"/>
          <w:szCs w:val="24"/>
        </w:rPr>
        <w:t>системата</w:t>
      </w:r>
      <w:r w:rsidRPr="00D13F32">
        <w:rPr>
          <w:sz w:val="24"/>
          <w:szCs w:val="24"/>
        </w:rPr>
        <w:t xml:space="preserve"> </w:t>
      </w:r>
      <w:r w:rsidRPr="007C6D5F">
        <w:rPr>
          <w:sz w:val="24"/>
          <w:szCs w:val="24"/>
        </w:rPr>
        <w:t>(</w:t>
      </w:r>
      <w:r w:rsidRPr="007C6D5F">
        <w:rPr>
          <w:rFonts w:ascii="TimesNewRoman" w:hAnsi="TimesNewRoman" w:cs="TimesNewRoman"/>
          <w:sz w:val="24"/>
          <w:szCs w:val="24"/>
        </w:rPr>
        <w:t>Дирекция „Централно координационно звено” в администрацията на Министерския съвет)</w:t>
      </w:r>
      <w:r w:rsidRPr="007C6D5F">
        <w:rPr>
          <w:sz w:val="24"/>
          <w:szCs w:val="24"/>
        </w:rPr>
        <w:t>.</w:t>
      </w:r>
    </w:p>
    <w:p w14:paraId="287D4E55" w14:textId="77777777" w:rsidR="00A47FF6" w:rsidRDefault="00A47FF6" w:rsidP="00A47FF6">
      <w:pPr>
        <w:jc w:val="both"/>
        <w:rPr>
          <w:sz w:val="24"/>
          <w:szCs w:val="24"/>
        </w:rPr>
      </w:pPr>
      <w:r w:rsidRPr="00CB024F">
        <w:rPr>
          <w:sz w:val="24"/>
          <w:szCs w:val="24"/>
        </w:rPr>
        <w:t xml:space="preserve">Потребителите от УО на ОПДУ и техните роли в инструмента ARACHNE се определят със заповед на министър-председателя или оправомощено от него лице. Искането за създаване или промяна на профили се извършва съгласно Процедура за управление на достъпа до инструмента на Европейската комисия за измерване на риска от измами и нередности ARACHNE. </w:t>
      </w:r>
    </w:p>
    <w:p w14:paraId="6A32E094" w14:textId="77777777" w:rsidR="00A47FF6" w:rsidRPr="00CB024F" w:rsidRDefault="00A47FF6" w:rsidP="00A47FF6">
      <w:pPr>
        <w:jc w:val="both"/>
        <w:rPr>
          <w:sz w:val="24"/>
          <w:szCs w:val="24"/>
        </w:rPr>
      </w:pPr>
      <w:r w:rsidRPr="007C6D5F">
        <w:rPr>
          <w:sz w:val="24"/>
          <w:szCs w:val="24"/>
        </w:rPr>
        <w:t>Профилите за достъп до ARACHNE са лични и не следва да бъдат предоставяни на други лица. Потребителите  са отговорни за всички действия, осъществявани чрез профили за достъп, използвайки своето потребителско име и парола, дори когато действията са извършени от трети лица, на които потребителят е разкрил своето потребителско име и парола.</w:t>
      </w:r>
    </w:p>
    <w:p w14:paraId="3CDE7578" w14:textId="77777777" w:rsidR="00A47FF6" w:rsidRPr="00CB024F" w:rsidRDefault="00A47FF6" w:rsidP="00A47FF6">
      <w:pPr>
        <w:jc w:val="both"/>
        <w:rPr>
          <w:sz w:val="24"/>
          <w:szCs w:val="24"/>
        </w:rPr>
      </w:pPr>
      <w:r w:rsidRPr="00CB024F">
        <w:rPr>
          <w:sz w:val="24"/>
          <w:szCs w:val="24"/>
        </w:rPr>
        <w:t xml:space="preserve">За работа с инструмента ARACHNE е разработено Ръководство за работа с ARACHNE (ARACHNE </w:t>
      </w:r>
      <w:proofErr w:type="spellStart"/>
      <w:r w:rsidRPr="00CB024F">
        <w:rPr>
          <w:sz w:val="24"/>
          <w:szCs w:val="24"/>
        </w:rPr>
        <w:t>User</w:t>
      </w:r>
      <w:proofErr w:type="spellEnd"/>
      <w:r w:rsidRPr="00CB024F">
        <w:rPr>
          <w:sz w:val="24"/>
          <w:szCs w:val="24"/>
        </w:rPr>
        <w:t xml:space="preserve"> </w:t>
      </w:r>
      <w:proofErr w:type="spellStart"/>
      <w:r w:rsidRPr="00CB024F">
        <w:rPr>
          <w:sz w:val="24"/>
          <w:szCs w:val="24"/>
        </w:rPr>
        <w:t>Manual</w:t>
      </w:r>
      <w:proofErr w:type="spellEnd"/>
      <w:r w:rsidRPr="00CB024F">
        <w:rPr>
          <w:sz w:val="24"/>
          <w:szCs w:val="24"/>
        </w:rPr>
        <w:t xml:space="preserve"> </w:t>
      </w:r>
      <w:r w:rsidRPr="00CB024F">
        <w:rPr>
          <w:sz w:val="24"/>
          <w:szCs w:val="24"/>
          <w:lang w:val="en-US"/>
        </w:rPr>
        <w:t>C</w:t>
      </w:r>
      <w:proofErr w:type="spellStart"/>
      <w:r w:rsidRPr="00CB024F">
        <w:rPr>
          <w:sz w:val="24"/>
          <w:szCs w:val="24"/>
        </w:rPr>
        <w:t>lient</w:t>
      </w:r>
      <w:proofErr w:type="spellEnd"/>
      <w:r w:rsidRPr="00CB024F">
        <w:rPr>
          <w:sz w:val="24"/>
          <w:szCs w:val="24"/>
        </w:rPr>
        <w:t xml:space="preserve"> </w:t>
      </w:r>
      <w:proofErr w:type="spellStart"/>
      <w:r w:rsidRPr="00CB024F">
        <w:rPr>
          <w:sz w:val="24"/>
          <w:szCs w:val="24"/>
        </w:rPr>
        <w:t>Application</w:t>
      </w:r>
      <w:proofErr w:type="spellEnd"/>
      <w:r w:rsidRPr="00CB024F">
        <w:rPr>
          <w:sz w:val="24"/>
          <w:szCs w:val="24"/>
        </w:rPr>
        <w:t xml:space="preserve"> </w:t>
      </w:r>
      <w:r w:rsidRPr="00CB024F">
        <w:rPr>
          <w:sz w:val="24"/>
          <w:szCs w:val="24"/>
        </w:rPr>
        <w:lastRenderedPageBreak/>
        <w:t xml:space="preserve">V2.0.0) и Ръководство за калкулирането на рисковете (ARACHNE </w:t>
      </w:r>
      <w:proofErr w:type="spellStart"/>
      <w:r w:rsidRPr="00CB024F">
        <w:rPr>
          <w:sz w:val="24"/>
          <w:szCs w:val="24"/>
        </w:rPr>
        <w:t>Risk</w:t>
      </w:r>
      <w:proofErr w:type="spellEnd"/>
      <w:r w:rsidRPr="00CB024F">
        <w:rPr>
          <w:sz w:val="24"/>
          <w:szCs w:val="24"/>
        </w:rPr>
        <w:t xml:space="preserve"> </w:t>
      </w:r>
      <w:proofErr w:type="spellStart"/>
      <w:r w:rsidRPr="00CB024F">
        <w:rPr>
          <w:sz w:val="24"/>
          <w:szCs w:val="24"/>
        </w:rPr>
        <w:t>Calculations</w:t>
      </w:r>
      <w:proofErr w:type="spellEnd"/>
      <w:r w:rsidRPr="00CB024F">
        <w:rPr>
          <w:sz w:val="24"/>
          <w:szCs w:val="24"/>
        </w:rPr>
        <w:t>), които са налични в системата, както и на сървъра на УО на ОПДУ (</w:t>
      </w:r>
      <w:hyperlink r:id="rId9" w:history="1">
        <w:r w:rsidRPr="00CB024F">
          <w:rPr>
            <w:rStyle w:val="Hyperlink"/>
            <w:sz w:val="24"/>
            <w:szCs w:val="24"/>
          </w:rPr>
          <w:t>Q:\Отдел 2 МВ\ARACHNE\ARACHNE MANUALS</w:t>
        </w:r>
      </w:hyperlink>
      <w:r w:rsidRPr="00CB024F">
        <w:rPr>
          <w:sz w:val="24"/>
          <w:szCs w:val="24"/>
        </w:rPr>
        <w:t>).</w:t>
      </w:r>
    </w:p>
    <w:p w14:paraId="3D4D3F0E" w14:textId="77777777" w:rsidR="003F7BB7" w:rsidRDefault="003F7BB7" w:rsidP="00A47FF6">
      <w:pPr>
        <w:jc w:val="both"/>
        <w:rPr>
          <w:sz w:val="24"/>
          <w:szCs w:val="24"/>
        </w:rPr>
      </w:pPr>
    </w:p>
    <w:p w14:paraId="5778DA58" w14:textId="77777777" w:rsidR="00A47FF6" w:rsidRPr="00D13F32" w:rsidRDefault="00A47FF6" w:rsidP="00A47FF6">
      <w:pPr>
        <w:jc w:val="both"/>
        <w:rPr>
          <w:sz w:val="24"/>
          <w:szCs w:val="24"/>
        </w:rPr>
      </w:pPr>
      <w:r w:rsidRPr="00905D8A">
        <w:rPr>
          <w:sz w:val="24"/>
          <w:szCs w:val="24"/>
        </w:rPr>
        <w:t>В хода на верификацията на искане за плащане</w:t>
      </w:r>
      <w:r w:rsidRPr="00CB024F">
        <w:rPr>
          <w:sz w:val="24"/>
          <w:szCs w:val="24"/>
        </w:rPr>
        <w:t xml:space="preserve"> в инструмента ARACHNE се извършва проверка на проекта по описаните по-долу рискови категории и </w:t>
      </w:r>
      <w:r>
        <w:rPr>
          <w:sz w:val="24"/>
          <w:szCs w:val="24"/>
        </w:rPr>
        <w:t xml:space="preserve">отделни </w:t>
      </w:r>
      <w:r w:rsidRPr="00CB024F">
        <w:rPr>
          <w:sz w:val="24"/>
          <w:szCs w:val="24"/>
        </w:rPr>
        <w:t xml:space="preserve">рискови индикатори към тях. Проверката се извършва </w:t>
      </w:r>
      <w:r w:rsidRPr="00905D8A">
        <w:rPr>
          <w:sz w:val="24"/>
          <w:szCs w:val="24"/>
        </w:rPr>
        <w:t>от служител МВ1/служителят, който извършва верификацията на искането за плащане като първи чек, който има профил за работа с инструмента. В случай че той не разполага с такъв, началникът на отдел „Мониторинг и верифика</w:t>
      </w:r>
      <w:r w:rsidRPr="00CB024F">
        <w:rPr>
          <w:sz w:val="24"/>
          <w:szCs w:val="24"/>
        </w:rPr>
        <w:t>ция“ определя служител, който има профил, за да извърши проверката в ARACHNE и да я документира</w:t>
      </w:r>
      <w:r>
        <w:rPr>
          <w:sz w:val="24"/>
          <w:szCs w:val="24"/>
        </w:rPr>
        <w:t>, след което да предостави информацията на служител МВ1/служителя, който извършва верификацията на искането за плащане като първи чек</w:t>
      </w:r>
      <w:r w:rsidRPr="00CB024F">
        <w:rPr>
          <w:sz w:val="24"/>
          <w:szCs w:val="24"/>
        </w:rPr>
        <w:t>.</w:t>
      </w:r>
    </w:p>
    <w:p w14:paraId="55B281E7" w14:textId="09EFD6E6" w:rsidR="00AF0874" w:rsidRDefault="004C7BEF" w:rsidP="00A47FF6">
      <w:pPr>
        <w:jc w:val="both"/>
        <w:rPr>
          <w:sz w:val="24"/>
          <w:szCs w:val="24"/>
        </w:rPr>
      </w:pPr>
      <w:r>
        <w:rPr>
          <w:sz w:val="24"/>
          <w:szCs w:val="24"/>
        </w:rPr>
        <w:t>П</w:t>
      </w:r>
      <w:r w:rsidR="00AD20E1">
        <w:rPr>
          <w:sz w:val="24"/>
          <w:szCs w:val="24"/>
        </w:rPr>
        <w:t xml:space="preserve">осочените по-долу проверки </w:t>
      </w:r>
      <w:r w:rsidR="003F186E">
        <w:rPr>
          <w:sz w:val="24"/>
          <w:szCs w:val="24"/>
        </w:rPr>
        <w:t xml:space="preserve">на рискови категории </w:t>
      </w:r>
      <w:r w:rsidR="00AD20E1">
        <w:rPr>
          <w:sz w:val="24"/>
          <w:szCs w:val="24"/>
        </w:rPr>
        <w:t>се извършват и от служител, извършващ проверка на сигнал</w:t>
      </w:r>
      <w:r w:rsidR="00E24CF6">
        <w:rPr>
          <w:sz w:val="24"/>
          <w:szCs w:val="24"/>
        </w:rPr>
        <w:t>/и</w:t>
      </w:r>
      <w:r w:rsidR="00AD20E1">
        <w:rPr>
          <w:sz w:val="24"/>
          <w:szCs w:val="24"/>
        </w:rPr>
        <w:t xml:space="preserve"> за нередност</w:t>
      </w:r>
      <w:r w:rsidR="003F186E">
        <w:rPr>
          <w:sz w:val="24"/>
          <w:szCs w:val="24"/>
        </w:rPr>
        <w:t>/</w:t>
      </w:r>
      <w:r w:rsidR="00AD20E1">
        <w:rPr>
          <w:sz w:val="24"/>
          <w:szCs w:val="24"/>
        </w:rPr>
        <w:t>и.</w:t>
      </w:r>
    </w:p>
    <w:p w14:paraId="525D4F23" w14:textId="1C8F6C9C" w:rsidR="00CA0710" w:rsidRPr="00193052" w:rsidRDefault="00A47FF6" w:rsidP="00A47FF6">
      <w:pPr>
        <w:jc w:val="both"/>
        <w:rPr>
          <w:sz w:val="24"/>
          <w:szCs w:val="24"/>
        </w:rPr>
      </w:pPr>
      <w:r w:rsidRPr="00CB024F">
        <w:rPr>
          <w:sz w:val="24"/>
          <w:szCs w:val="24"/>
        </w:rPr>
        <w:t>Проверката се документира, като се създаде „</w:t>
      </w:r>
      <w:r w:rsidRPr="00CB024F">
        <w:rPr>
          <w:sz w:val="24"/>
          <w:szCs w:val="24"/>
          <w:lang w:val="en-US"/>
        </w:rPr>
        <w:t>Printable</w:t>
      </w:r>
      <w:r w:rsidRPr="00D13F32">
        <w:rPr>
          <w:sz w:val="24"/>
          <w:szCs w:val="24"/>
        </w:rPr>
        <w:t xml:space="preserve"> </w:t>
      </w:r>
      <w:r w:rsidRPr="00CB024F">
        <w:rPr>
          <w:sz w:val="24"/>
          <w:szCs w:val="24"/>
          <w:lang w:val="en-US"/>
        </w:rPr>
        <w:t>report</w:t>
      </w:r>
      <w:r w:rsidRPr="00CB024F">
        <w:rPr>
          <w:sz w:val="24"/>
          <w:szCs w:val="24"/>
        </w:rPr>
        <w:t>“</w:t>
      </w:r>
      <w:r w:rsidR="00CA0710">
        <w:rPr>
          <w:sz w:val="24"/>
          <w:szCs w:val="24"/>
        </w:rPr>
        <w:t xml:space="preserve"> с настройки, показани по-долу</w:t>
      </w:r>
      <w:r w:rsidRPr="00CB024F">
        <w:rPr>
          <w:sz w:val="24"/>
          <w:szCs w:val="24"/>
        </w:rPr>
        <w:t>, който се запаметява в папката на искането за плащане на сървъра на УО</w:t>
      </w:r>
      <w:r w:rsidR="00CA0710">
        <w:rPr>
          <w:sz w:val="24"/>
          <w:szCs w:val="24"/>
        </w:rPr>
        <w:t>.</w:t>
      </w:r>
      <w:r w:rsidR="00193052" w:rsidRPr="00D13F32">
        <w:rPr>
          <w:sz w:val="24"/>
          <w:szCs w:val="24"/>
        </w:rPr>
        <w:t xml:space="preserve"> </w:t>
      </w:r>
      <w:r w:rsidR="00193052">
        <w:rPr>
          <w:sz w:val="24"/>
          <w:szCs w:val="24"/>
        </w:rPr>
        <w:t>Ако е необходимо, се прилагат допълнителни документи/материали, свързани с направените проверки.</w:t>
      </w:r>
    </w:p>
    <w:p w14:paraId="60B1E481" w14:textId="77777777" w:rsidR="00CA0710" w:rsidRDefault="00CA0710" w:rsidP="00A47FF6">
      <w:pPr>
        <w:jc w:val="both"/>
        <w:rPr>
          <w:sz w:val="24"/>
          <w:szCs w:val="24"/>
        </w:rPr>
      </w:pPr>
    </w:p>
    <w:p w14:paraId="23980D32" w14:textId="1D138082" w:rsidR="00233048" w:rsidRPr="00D13F32" w:rsidRDefault="00444056" w:rsidP="00233048">
      <w:pPr>
        <w:jc w:val="center"/>
        <w:rPr>
          <w:sz w:val="24"/>
          <w:szCs w:val="24"/>
          <w:lang w:val="en-US"/>
        </w:rPr>
      </w:pPr>
      <w:r>
        <w:rPr>
          <w:noProof/>
        </w:rPr>
        <w:drawing>
          <wp:inline distT="0" distB="0" distL="0" distR="0" wp14:anchorId="1A73E67B" wp14:editId="6B5DAEBC">
            <wp:extent cx="2843092" cy="23571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5142" t="12094" r="60151" b="50900"/>
                    <a:stretch/>
                  </pic:blipFill>
                  <pic:spPr bwMode="auto">
                    <a:xfrm>
                      <a:off x="0" y="0"/>
                      <a:ext cx="2849369" cy="2362324"/>
                    </a:xfrm>
                    <a:prstGeom prst="rect">
                      <a:avLst/>
                    </a:prstGeom>
                    <a:ln>
                      <a:noFill/>
                    </a:ln>
                    <a:extLst>
                      <a:ext uri="{53640926-AAD7-44D8-BBD7-CCE9431645EC}">
                        <a14:shadowObscured xmlns:a14="http://schemas.microsoft.com/office/drawing/2010/main"/>
                      </a:ext>
                    </a:extLst>
                  </pic:spPr>
                </pic:pic>
              </a:graphicData>
            </a:graphic>
          </wp:inline>
        </w:drawing>
      </w:r>
      <w:r w:rsidR="00D13F32">
        <w:rPr>
          <w:sz w:val="24"/>
          <w:szCs w:val="24"/>
          <w:lang w:val="en-US"/>
        </w:rPr>
        <w:t xml:space="preserve">  </w:t>
      </w:r>
      <w:proofErr w:type="spellStart"/>
      <w:proofErr w:type="gramStart"/>
      <w:r w:rsidR="00D13F32">
        <w:rPr>
          <w:sz w:val="24"/>
          <w:szCs w:val="24"/>
          <w:lang w:val="en-US"/>
        </w:rPr>
        <w:t>или</w:t>
      </w:r>
      <w:proofErr w:type="spellEnd"/>
      <w:proofErr w:type="gramEnd"/>
      <w:r w:rsidR="00D13F32">
        <w:rPr>
          <w:sz w:val="24"/>
          <w:szCs w:val="24"/>
          <w:lang w:val="en-US"/>
        </w:rPr>
        <w:t xml:space="preserve">   </w:t>
      </w:r>
      <w:r w:rsidR="00D13F32">
        <w:rPr>
          <w:noProof/>
        </w:rPr>
        <w:drawing>
          <wp:inline distT="0" distB="0" distL="0" distR="0" wp14:anchorId="4CA9BBBC" wp14:editId="7EC2A008">
            <wp:extent cx="3486150" cy="232803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99021" cy="2336634"/>
                    </a:xfrm>
                    <a:prstGeom prst="rect">
                      <a:avLst/>
                    </a:prstGeom>
                  </pic:spPr>
                </pic:pic>
              </a:graphicData>
            </a:graphic>
          </wp:inline>
        </w:drawing>
      </w:r>
    </w:p>
    <w:p w14:paraId="1B3EF2F6" w14:textId="77777777" w:rsidR="00CA0710" w:rsidRDefault="00CA0710" w:rsidP="00A47FF6">
      <w:pPr>
        <w:jc w:val="both"/>
        <w:rPr>
          <w:sz w:val="24"/>
          <w:szCs w:val="24"/>
        </w:rPr>
      </w:pPr>
    </w:p>
    <w:p w14:paraId="58FB78E5" w14:textId="77777777" w:rsidR="00A47FF6" w:rsidRDefault="00A47FF6" w:rsidP="00A47FF6">
      <w:pPr>
        <w:jc w:val="both"/>
        <w:rPr>
          <w:sz w:val="24"/>
          <w:szCs w:val="24"/>
        </w:rPr>
      </w:pPr>
      <w:r w:rsidRPr="00057ABA">
        <w:rPr>
          <w:sz w:val="24"/>
          <w:szCs w:val="24"/>
        </w:rPr>
        <w:t>В контролния лист за верификация при искане за междинно или окончателно плащане</w:t>
      </w:r>
      <w:r w:rsidRPr="00057ABA" w:rsidDel="007458C4">
        <w:rPr>
          <w:sz w:val="24"/>
          <w:szCs w:val="24"/>
        </w:rPr>
        <w:t xml:space="preserve"> </w:t>
      </w:r>
      <w:r w:rsidRPr="00057ABA">
        <w:rPr>
          <w:sz w:val="24"/>
          <w:szCs w:val="24"/>
        </w:rPr>
        <w:t xml:space="preserve">и </w:t>
      </w:r>
      <w:r w:rsidRPr="0063307F">
        <w:rPr>
          <w:sz w:val="24"/>
          <w:szCs w:val="24"/>
        </w:rPr>
        <w:t>в контролния лист</w:t>
      </w:r>
      <w:r w:rsidR="00057ABA" w:rsidRPr="0063307F">
        <w:t xml:space="preserve"> </w:t>
      </w:r>
      <w:r w:rsidR="00057ABA" w:rsidRPr="0063307F">
        <w:rPr>
          <w:sz w:val="24"/>
          <w:szCs w:val="24"/>
        </w:rPr>
        <w:t>за проверка на направено изменение към сключен договор с изпълнител</w:t>
      </w:r>
      <w:r w:rsidR="0055411C" w:rsidRPr="0063307F">
        <w:rPr>
          <w:sz w:val="24"/>
          <w:szCs w:val="24"/>
        </w:rPr>
        <w:t>, както и в контролните листове за проверка на документация за обществени поръчки,</w:t>
      </w:r>
      <w:r w:rsidR="0055411C">
        <w:rPr>
          <w:sz w:val="24"/>
          <w:szCs w:val="24"/>
        </w:rPr>
        <w:t xml:space="preserve"> </w:t>
      </w:r>
      <w:r>
        <w:rPr>
          <w:sz w:val="24"/>
          <w:szCs w:val="24"/>
        </w:rPr>
        <w:t>се описват резултатите от извършените проверки на показаните в инструмента рискови индикатори</w:t>
      </w:r>
      <w:r w:rsidR="000F7E92">
        <w:rPr>
          <w:sz w:val="24"/>
          <w:szCs w:val="24"/>
        </w:rPr>
        <w:t xml:space="preserve"> и се отразява становището на проверяващия експерт относно необходимостта от предприемане на допълнителни мерки за изясняване на обстоят</w:t>
      </w:r>
      <w:r w:rsidR="00057ABA">
        <w:rPr>
          <w:sz w:val="24"/>
          <w:szCs w:val="24"/>
        </w:rPr>
        <w:t>елствата, показани в инструмента</w:t>
      </w:r>
      <w:r w:rsidR="000F7E92">
        <w:rPr>
          <w:sz w:val="24"/>
          <w:szCs w:val="24"/>
        </w:rPr>
        <w:t xml:space="preserve"> по рисковите индикатори, подлежащи на проверка</w:t>
      </w:r>
      <w:r>
        <w:rPr>
          <w:sz w:val="24"/>
          <w:szCs w:val="24"/>
        </w:rPr>
        <w:t xml:space="preserve">. </w:t>
      </w:r>
      <w:r w:rsidRPr="00CB024F">
        <w:rPr>
          <w:sz w:val="24"/>
          <w:szCs w:val="24"/>
        </w:rPr>
        <w:t xml:space="preserve">  </w:t>
      </w:r>
    </w:p>
    <w:p w14:paraId="4259C581" w14:textId="77777777" w:rsidR="00AE25D9" w:rsidRDefault="00AE25D9" w:rsidP="00A47FF6">
      <w:pPr>
        <w:jc w:val="both"/>
        <w:rPr>
          <w:sz w:val="24"/>
          <w:szCs w:val="24"/>
        </w:rPr>
      </w:pPr>
    </w:p>
    <w:p w14:paraId="08FAB750" w14:textId="77777777" w:rsidR="0055411C" w:rsidRPr="001F40ED" w:rsidRDefault="00AE25D9" w:rsidP="00A47FF6">
      <w:pPr>
        <w:jc w:val="both"/>
        <w:rPr>
          <w:sz w:val="24"/>
          <w:szCs w:val="24"/>
        </w:rPr>
      </w:pPr>
      <w:r>
        <w:rPr>
          <w:sz w:val="24"/>
          <w:szCs w:val="24"/>
        </w:rPr>
        <w:lastRenderedPageBreak/>
        <w:t xml:space="preserve">В случай че проверяващият експерт </w:t>
      </w:r>
      <w:r w:rsidRPr="00AE25D9">
        <w:rPr>
          <w:sz w:val="24"/>
          <w:szCs w:val="24"/>
        </w:rPr>
        <w:t>установ</w:t>
      </w:r>
      <w:r>
        <w:rPr>
          <w:sz w:val="24"/>
          <w:szCs w:val="24"/>
        </w:rPr>
        <w:t>и</w:t>
      </w:r>
      <w:r w:rsidRPr="00AE25D9">
        <w:rPr>
          <w:sz w:val="24"/>
          <w:szCs w:val="24"/>
        </w:rPr>
        <w:t xml:space="preserve"> </w:t>
      </w:r>
      <w:r w:rsidR="00B826A7">
        <w:rPr>
          <w:sz w:val="24"/>
          <w:szCs w:val="24"/>
        </w:rPr>
        <w:t xml:space="preserve">наличието на </w:t>
      </w:r>
      <w:r w:rsidRPr="00AE25D9">
        <w:rPr>
          <w:sz w:val="24"/>
          <w:szCs w:val="24"/>
        </w:rPr>
        <w:t>данни</w:t>
      </w:r>
      <w:r w:rsidR="00B826A7">
        <w:rPr>
          <w:sz w:val="24"/>
          <w:szCs w:val="24"/>
        </w:rPr>
        <w:t>, водещи до съмнение</w:t>
      </w:r>
      <w:r w:rsidRPr="00AE25D9">
        <w:rPr>
          <w:sz w:val="24"/>
          <w:szCs w:val="24"/>
        </w:rPr>
        <w:t xml:space="preserve"> за нередност</w:t>
      </w:r>
      <w:r>
        <w:rPr>
          <w:sz w:val="24"/>
          <w:szCs w:val="24"/>
        </w:rPr>
        <w:t xml:space="preserve">, той </w:t>
      </w:r>
      <w:r w:rsidRPr="00AE25D9">
        <w:rPr>
          <w:sz w:val="24"/>
          <w:szCs w:val="24"/>
        </w:rPr>
        <w:t xml:space="preserve">е длъжен да подаде сигнал за нередност до служителя по нередности ведно с цялата необходима документация относно </w:t>
      </w:r>
      <w:r>
        <w:rPr>
          <w:sz w:val="24"/>
          <w:szCs w:val="24"/>
        </w:rPr>
        <w:t xml:space="preserve">установените </w:t>
      </w:r>
      <w:r w:rsidRPr="00AE25D9">
        <w:rPr>
          <w:sz w:val="24"/>
          <w:szCs w:val="24"/>
        </w:rPr>
        <w:t>обстоятелства</w:t>
      </w:r>
      <w:r>
        <w:rPr>
          <w:sz w:val="24"/>
          <w:szCs w:val="24"/>
        </w:rPr>
        <w:t xml:space="preserve"> съгласно</w:t>
      </w:r>
      <w:r w:rsidRPr="00AE25D9">
        <w:rPr>
          <w:sz w:val="24"/>
          <w:szCs w:val="24"/>
        </w:rPr>
        <w:t xml:space="preserve"> Процедура за администриране и докладване на сигнали и нередности/съмнения за измама по ОПДУ</w:t>
      </w:r>
      <w:r>
        <w:rPr>
          <w:sz w:val="24"/>
          <w:szCs w:val="24"/>
        </w:rPr>
        <w:t xml:space="preserve"> </w:t>
      </w:r>
      <w:r w:rsidRPr="00AE25D9">
        <w:rPr>
          <w:i/>
          <w:sz w:val="24"/>
          <w:szCs w:val="24"/>
        </w:rPr>
        <w:t>(Процедура VI-П01 от Наръчника за изпълнение на ОПДУ</w:t>
      </w:r>
      <w:r w:rsidRPr="001F40ED">
        <w:rPr>
          <w:i/>
          <w:sz w:val="24"/>
          <w:szCs w:val="24"/>
        </w:rPr>
        <w:t>).</w:t>
      </w:r>
      <w:r w:rsidR="001F40ED" w:rsidRPr="001F40ED">
        <w:rPr>
          <w:i/>
          <w:sz w:val="24"/>
          <w:szCs w:val="24"/>
        </w:rPr>
        <w:t xml:space="preserve"> </w:t>
      </w:r>
      <w:r w:rsidR="001F40ED" w:rsidRPr="001F40ED">
        <w:rPr>
          <w:sz w:val="24"/>
          <w:szCs w:val="24"/>
        </w:rPr>
        <w:t xml:space="preserve">Разходите, засегнати от сигнала за нередност </w:t>
      </w:r>
      <w:r w:rsidR="001F40ED">
        <w:rPr>
          <w:sz w:val="24"/>
          <w:szCs w:val="24"/>
        </w:rPr>
        <w:t>не се верифицират до изясняване на обстоятелствата, свързани с него, и до приключване на производството по администрирането му.</w:t>
      </w:r>
    </w:p>
    <w:p w14:paraId="15573C8D" w14:textId="77777777" w:rsidR="00AE25D9" w:rsidRDefault="00AE25D9" w:rsidP="00A47FF6">
      <w:pPr>
        <w:jc w:val="both"/>
        <w:rPr>
          <w:sz w:val="24"/>
          <w:szCs w:val="24"/>
        </w:rPr>
      </w:pPr>
    </w:p>
    <w:p w14:paraId="4EBAA172" w14:textId="77777777" w:rsidR="00A47FF6" w:rsidRPr="00CB024F" w:rsidRDefault="0076632B" w:rsidP="00A47FF6">
      <w:pPr>
        <w:jc w:val="both"/>
        <w:rPr>
          <w:b/>
          <w:sz w:val="24"/>
          <w:szCs w:val="24"/>
        </w:rPr>
      </w:pPr>
      <w:r>
        <w:rPr>
          <w:sz w:val="24"/>
          <w:szCs w:val="24"/>
        </w:rPr>
        <w:t>Приложимите рискови</w:t>
      </w:r>
      <w:r w:rsidR="00A47FF6" w:rsidRPr="00CB024F">
        <w:rPr>
          <w:sz w:val="24"/>
          <w:szCs w:val="24"/>
        </w:rPr>
        <w:t xml:space="preserve"> категории</w:t>
      </w:r>
      <w:r w:rsidR="00A47FF6">
        <w:rPr>
          <w:sz w:val="24"/>
          <w:szCs w:val="24"/>
        </w:rPr>
        <w:t>, описани по-долу,</w:t>
      </w:r>
      <w:r w:rsidR="00A47FF6" w:rsidRPr="00CB024F">
        <w:rPr>
          <w:sz w:val="24"/>
          <w:szCs w:val="24"/>
        </w:rPr>
        <w:t xml:space="preserve"> се проверяват в </w:t>
      </w:r>
      <w:r w:rsidR="00A47FF6" w:rsidRPr="0012644B">
        <w:rPr>
          <w:sz w:val="24"/>
          <w:szCs w:val="24"/>
        </w:rPr>
        <w:t xml:space="preserve">ARACHNE в хода на верификацията на искане за плащане, когато </w:t>
      </w:r>
      <w:r w:rsidR="000F7E92" w:rsidRPr="0012644B">
        <w:rPr>
          <w:sz w:val="24"/>
          <w:szCs w:val="24"/>
        </w:rPr>
        <w:t xml:space="preserve">общата </w:t>
      </w:r>
      <w:r w:rsidR="00A47FF6" w:rsidRPr="0012644B">
        <w:rPr>
          <w:sz w:val="24"/>
          <w:szCs w:val="24"/>
        </w:rPr>
        <w:t xml:space="preserve">стойност на риска </w:t>
      </w:r>
      <w:r w:rsidR="000F7E92" w:rsidRPr="0012644B">
        <w:rPr>
          <w:sz w:val="24"/>
          <w:szCs w:val="24"/>
        </w:rPr>
        <w:t>на съответната категория е</w:t>
      </w:r>
      <w:r w:rsidR="00A47FF6" w:rsidRPr="0012644B">
        <w:rPr>
          <w:sz w:val="24"/>
          <w:szCs w:val="24"/>
        </w:rPr>
        <w:t xml:space="preserve"> над 30. Рисковите категории</w:t>
      </w:r>
      <w:r w:rsidR="00B826A7" w:rsidRPr="0012644B">
        <w:rPr>
          <w:sz w:val="24"/>
          <w:szCs w:val="24"/>
        </w:rPr>
        <w:t>/</w:t>
      </w:r>
      <w:r w:rsidR="00A47FF6" w:rsidRPr="0012644B">
        <w:rPr>
          <w:sz w:val="24"/>
          <w:szCs w:val="24"/>
        </w:rPr>
        <w:t xml:space="preserve">рисковите индикатори </w:t>
      </w:r>
      <w:r w:rsidR="00B826A7" w:rsidRPr="0012644B">
        <w:rPr>
          <w:sz w:val="24"/>
          <w:szCs w:val="24"/>
        </w:rPr>
        <w:t>и проверките, които се правят по</w:t>
      </w:r>
      <w:r w:rsidR="00A47FF6" w:rsidRPr="0012644B">
        <w:rPr>
          <w:sz w:val="24"/>
          <w:szCs w:val="24"/>
        </w:rPr>
        <w:t xml:space="preserve"> тях</w:t>
      </w:r>
      <w:r w:rsidR="00B826A7" w:rsidRPr="0012644B">
        <w:rPr>
          <w:sz w:val="24"/>
          <w:szCs w:val="24"/>
        </w:rPr>
        <w:t>,</w:t>
      </w:r>
      <w:r w:rsidR="00A47FF6" w:rsidRPr="0012644B">
        <w:rPr>
          <w:sz w:val="24"/>
          <w:szCs w:val="24"/>
        </w:rPr>
        <w:t xml:space="preserve"> са както следва:</w:t>
      </w:r>
    </w:p>
    <w:p w14:paraId="68D08367" w14:textId="77777777" w:rsidR="003F7BB7" w:rsidRDefault="003F7BB7" w:rsidP="00A47FF6">
      <w:pPr>
        <w:rPr>
          <w:b/>
          <w:sz w:val="24"/>
          <w:szCs w:val="24"/>
        </w:rPr>
      </w:pPr>
    </w:p>
    <w:p w14:paraId="224E0353" w14:textId="77777777" w:rsidR="008C252E" w:rsidRDefault="008C252E" w:rsidP="00A47FF6">
      <w:pPr>
        <w:rPr>
          <w:b/>
          <w:sz w:val="24"/>
          <w:szCs w:val="24"/>
        </w:rPr>
      </w:pPr>
    </w:p>
    <w:tbl>
      <w:tblPr>
        <w:tblStyle w:val="TableGrid"/>
        <w:tblW w:w="13603" w:type="dxa"/>
        <w:tblLayout w:type="fixed"/>
        <w:tblLook w:val="04A0" w:firstRow="1" w:lastRow="0" w:firstColumn="1" w:lastColumn="0" w:noHBand="0" w:noVBand="1"/>
      </w:tblPr>
      <w:tblGrid>
        <w:gridCol w:w="3391"/>
        <w:gridCol w:w="3391"/>
        <w:gridCol w:w="1814"/>
        <w:gridCol w:w="5007"/>
      </w:tblGrid>
      <w:tr w:rsidR="00B75FFD" w14:paraId="59F35A52" w14:textId="77777777" w:rsidTr="00394192">
        <w:tc>
          <w:tcPr>
            <w:tcW w:w="3391" w:type="dxa"/>
          </w:tcPr>
          <w:p w14:paraId="25E25920" w14:textId="77777777" w:rsidR="00B75FFD" w:rsidRDefault="00B75FFD" w:rsidP="00B75FFD">
            <w:pPr>
              <w:jc w:val="center"/>
              <w:rPr>
                <w:b/>
                <w:sz w:val="24"/>
                <w:szCs w:val="24"/>
              </w:rPr>
            </w:pPr>
            <w:r>
              <w:rPr>
                <w:b/>
                <w:sz w:val="24"/>
                <w:szCs w:val="24"/>
              </w:rPr>
              <w:t>Рискова категория</w:t>
            </w:r>
          </w:p>
        </w:tc>
        <w:tc>
          <w:tcPr>
            <w:tcW w:w="3391" w:type="dxa"/>
          </w:tcPr>
          <w:p w14:paraId="7781EF85" w14:textId="77777777" w:rsidR="00B75FFD" w:rsidRDefault="00B75FFD" w:rsidP="00B75FFD">
            <w:pPr>
              <w:jc w:val="center"/>
              <w:rPr>
                <w:b/>
                <w:sz w:val="24"/>
                <w:szCs w:val="24"/>
              </w:rPr>
            </w:pPr>
            <w:r>
              <w:rPr>
                <w:b/>
                <w:sz w:val="24"/>
                <w:szCs w:val="24"/>
              </w:rPr>
              <w:t>Рисков индикатор</w:t>
            </w:r>
          </w:p>
        </w:tc>
        <w:tc>
          <w:tcPr>
            <w:tcW w:w="1814" w:type="dxa"/>
          </w:tcPr>
          <w:p w14:paraId="4ECECBC9" w14:textId="77777777" w:rsidR="00B75FFD" w:rsidRDefault="00B75FFD" w:rsidP="00B75FFD">
            <w:pPr>
              <w:jc w:val="center"/>
              <w:rPr>
                <w:b/>
                <w:sz w:val="24"/>
                <w:szCs w:val="24"/>
              </w:rPr>
            </w:pPr>
            <w:r>
              <w:rPr>
                <w:b/>
                <w:sz w:val="24"/>
                <w:szCs w:val="24"/>
              </w:rPr>
              <w:t>Проверява се</w:t>
            </w:r>
            <w:r w:rsidR="000D4982">
              <w:rPr>
                <w:b/>
                <w:sz w:val="24"/>
                <w:szCs w:val="24"/>
              </w:rPr>
              <w:t xml:space="preserve"> (</w:t>
            </w:r>
            <w:r w:rsidR="000D4982">
              <w:rPr>
                <w:b/>
                <w:sz w:val="24"/>
                <w:szCs w:val="24"/>
              </w:rPr>
              <w:sym w:font="Wingdings 2" w:char="F050"/>
            </w:r>
            <w:r w:rsidR="000D4982">
              <w:rPr>
                <w:b/>
                <w:sz w:val="24"/>
                <w:szCs w:val="24"/>
              </w:rPr>
              <w:t>)</w:t>
            </w:r>
            <w:r>
              <w:rPr>
                <w:b/>
                <w:sz w:val="24"/>
                <w:szCs w:val="24"/>
              </w:rPr>
              <w:t>/не се проверява</w:t>
            </w:r>
            <w:r w:rsidR="000D4982">
              <w:rPr>
                <w:b/>
                <w:sz w:val="24"/>
                <w:szCs w:val="24"/>
              </w:rPr>
              <w:t xml:space="preserve"> (</w:t>
            </w:r>
            <w:r w:rsidR="000D4982">
              <w:rPr>
                <w:b/>
                <w:sz w:val="24"/>
                <w:szCs w:val="24"/>
              </w:rPr>
              <w:sym w:font="Wingdings 2" w:char="F04F"/>
            </w:r>
            <w:r w:rsidR="000D4982">
              <w:rPr>
                <w:b/>
                <w:sz w:val="24"/>
                <w:szCs w:val="24"/>
              </w:rPr>
              <w:t>)</w:t>
            </w:r>
          </w:p>
        </w:tc>
        <w:tc>
          <w:tcPr>
            <w:tcW w:w="5007" w:type="dxa"/>
          </w:tcPr>
          <w:p w14:paraId="6E6CAB45" w14:textId="77777777" w:rsidR="00B75FFD" w:rsidRDefault="00B75FFD" w:rsidP="00B75FFD">
            <w:pPr>
              <w:jc w:val="center"/>
              <w:rPr>
                <w:b/>
                <w:sz w:val="24"/>
                <w:szCs w:val="24"/>
              </w:rPr>
            </w:pPr>
            <w:r>
              <w:rPr>
                <w:b/>
                <w:sz w:val="24"/>
                <w:szCs w:val="24"/>
              </w:rPr>
              <w:t>Забележка</w:t>
            </w:r>
          </w:p>
        </w:tc>
      </w:tr>
      <w:tr w:rsidR="00B75FFD" w14:paraId="6E1B312F" w14:textId="77777777" w:rsidTr="00446B80">
        <w:tc>
          <w:tcPr>
            <w:tcW w:w="3391" w:type="dxa"/>
            <w:shd w:val="clear" w:color="auto" w:fill="auto"/>
          </w:tcPr>
          <w:p w14:paraId="67DCD720" w14:textId="77777777" w:rsidR="00B75FFD" w:rsidRPr="00446B80" w:rsidRDefault="00B75FFD" w:rsidP="00B75FFD">
            <w:pPr>
              <w:rPr>
                <w:b/>
                <w:sz w:val="24"/>
                <w:szCs w:val="24"/>
              </w:rPr>
            </w:pPr>
            <w:r w:rsidRPr="00446B80">
              <w:rPr>
                <w:b/>
                <w:sz w:val="24"/>
                <w:szCs w:val="24"/>
              </w:rPr>
              <w:t>Обществени поръчки</w:t>
            </w:r>
          </w:p>
          <w:p w14:paraId="1E35D093" w14:textId="77777777" w:rsidR="00B75FFD" w:rsidRDefault="00B75FFD" w:rsidP="00A47FF6">
            <w:pPr>
              <w:rPr>
                <w:b/>
                <w:sz w:val="24"/>
                <w:szCs w:val="24"/>
              </w:rPr>
            </w:pPr>
          </w:p>
        </w:tc>
        <w:tc>
          <w:tcPr>
            <w:tcW w:w="3391" w:type="dxa"/>
          </w:tcPr>
          <w:p w14:paraId="118F6B1A" w14:textId="77777777" w:rsidR="00B75FFD" w:rsidRPr="001822EA" w:rsidRDefault="00B75FFD" w:rsidP="00B75FFD">
            <w:pPr>
              <w:jc w:val="both"/>
              <w:rPr>
                <w:i/>
                <w:sz w:val="24"/>
                <w:szCs w:val="24"/>
              </w:rPr>
            </w:pPr>
            <w:r w:rsidRPr="001822EA">
              <w:rPr>
                <w:i/>
                <w:sz w:val="24"/>
                <w:szCs w:val="24"/>
              </w:rPr>
              <w:t>Период от време между откриването на процедурата и сключването на договора с изпълнител</w:t>
            </w:r>
          </w:p>
        </w:tc>
        <w:tc>
          <w:tcPr>
            <w:tcW w:w="1814" w:type="dxa"/>
            <w:vAlign w:val="center"/>
          </w:tcPr>
          <w:p w14:paraId="460C73CD" w14:textId="1C13DC89" w:rsidR="00B75FFD" w:rsidRDefault="0012644B" w:rsidP="0012644B">
            <w:pPr>
              <w:jc w:val="center"/>
              <w:rPr>
                <w:b/>
                <w:sz w:val="24"/>
                <w:szCs w:val="24"/>
              </w:rPr>
            </w:pPr>
            <w:r>
              <w:rPr>
                <w:b/>
                <w:sz w:val="24"/>
                <w:szCs w:val="24"/>
              </w:rPr>
              <w:sym w:font="Wingdings 2" w:char="F04F"/>
            </w:r>
          </w:p>
        </w:tc>
        <w:tc>
          <w:tcPr>
            <w:tcW w:w="5007" w:type="dxa"/>
          </w:tcPr>
          <w:p w14:paraId="66C35184" w14:textId="2DC1E571" w:rsidR="00B75FFD" w:rsidRPr="0063307F" w:rsidRDefault="0063307F" w:rsidP="0063307F">
            <w:pPr>
              <w:jc w:val="both"/>
            </w:pPr>
            <w:r w:rsidRPr="0063307F">
              <w:t>По правило се и</w:t>
            </w:r>
            <w:r w:rsidR="0012644B" w:rsidRPr="0063307F">
              <w:t xml:space="preserve">звършва </w:t>
            </w:r>
            <w:r w:rsidR="001822EA" w:rsidRPr="0063307F">
              <w:t>100% документална проверка на всички проведени поръчки по Закона за обществените поръчки и ПМС 160</w:t>
            </w:r>
            <w:r w:rsidRPr="0063307F">
              <w:t>.</w:t>
            </w:r>
          </w:p>
        </w:tc>
      </w:tr>
      <w:tr w:rsidR="0063307F" w14:paraId="16E60133" w14:textId="77777777" w:rsidTr="0063307F">
        <w:tc>
          <w:tcPr>
            <w:tcW w:w="3391" w:type="dxa"/>
          </w:tcPr>
          <w:p w14:paraId="243AB80F" w14:textId="77777777" w:rsidR="0063307F" w:rsidRDefault="0063307F" w:rsidP="0063307F">
            <w:pPr>
              <w:rPr>
                <w:b/>
                <w:sz w:val="24"/>
                <w:szCs w:val="24"/>
              </w:rPr>
            </w:pPr>
          </w:p>
        </w:tc>
        <w:tc>
          <w:tcPr>
            <w:tcW w:w="3391" w:type="dxa"/>
          </w:tcPr>
          <w:p w14:paraId="7BB3E526" w14:textId="77777777" w:rsidR="0063307F" w:rsidRPr="001822EA" w:rsidRDefault="0063307F" w:rsidP="0063307F">
            <w:pPr>
              <w:jc w:val="both"/>
              <w:rPr>
                <w:i/>
                <w:sz w:val="24"/>
                <w:szCs w:val="24"/>
              </w:rPr>
            </w:pPr>
            <w:r w:rsidRPr="001822EA">
              <w:rPr>
                <w:i/>
                <w:sz w:val="24"/>
                <w:szCs w:val="24"/>
              </w:rPr>
              <w:t>Съотношение между отхвърлените оферти и общо получените</w:t>
            </w:r>
          </w:p>
        </w:tc>
        <w:tc>
          <w:tcPr>
            <w:tcW w:w="1814" w:type="dxa"/>
            <w:vAlign w:val="center"/>
          </w:tcPr>
          <w:p w14:paraId="3F6ACA81" w14:textId="3AA66857" w:rsidR="0063307F" w:rsidRDefault="0063307F" w:rsidP="0063307F">
            <w:pPr>
              <w:jc w:val="center"/>
              <w:rPr>
                <w:b/>
                <w:sz w:val="24"/>
                <w:szCs w:val="24"/>
              </w:rPr>
            </w:pPr>
            <w:r>
              <w:rPr>
                <w:b/>
                <w:sz w:val="24"/>
                <w:szCs w:val="24"/>
              </w:rPr>
              <w:sym w:font="Wingdings 2" w:char="F04F"/>
            </w:r>
          </w:p>
        </w:tc>
        <w:tc>
          <w:tcPr>
            <w:tcW w:w="5007" w:type="dxa"/>
          </w:tcPr>
          <w:p w14:paraId="7EE79FAF" w14:textId="4F354155" w:rsidR="0063307F" w:rsidRPr="0063307F" w:rsidRDefault="0063307F" w:rsidP="0063307F">
            <w:pPr>
              <w:rPr>
                <w:b/>
              </w:rPr>
            </w:pPr>
            <w:r w:rsidRPr="0063307F">
              <w:t>По правило се извършва 100% документална проверка на всички проведени поръчки по Закона за обществените поръчки и ПМС 160.</w:t>
            </w:r>
          </w:p>
        </w:tc>
      </w:tr>
      <w:tr w:rsidR="0063307F" w14:paraId="08FE4E76" w14:textId="77777777" w:rsidTr="0063307F">
        <w:tc>
          <w:tcPr>
            <w:tcW w:w="3391" w:type="dxa"/>
          </w:tcPr>
          <w:p w14:paraId="10C8C87D" w14:textId="77777777" w:rsidR="0063307F" w:rsidRDefault="0063307F" w:rsidP="0063307F">
            <w:pPr>
              <w:rPr>
                <w:b/>
                <w:sz w:val="24"/>
                <w:szCs w:val="24"/>
              </w:rPr>
            </w:pPr>
          </w:p>
        </w:tc>
        <w:tc>
          <w:tcPr>
            <w:tcW w:w="3391" w:type="dxa"/>
          </w:tcPr>
          <w:p w14:paraId="01C0176A" w14:textId="77777777" w:rsidR="0063307F" w:rsidRPr="001822EA" w:rsidRDefault="0063307F" w:rsidP="0063307F">
            <w:pPr>
              <w:jc w:val="both"/>
              <w:rPr>
                <w:i/>
                <w:sz w:val="24"/>
                <w:szCs w:val="24"/>
              </w:rPr>
            </w:pPr>
            <w:r w:rsidRPr="001822EA">
              <w:rPr>
                <w:i/>
                <w:sz w:val="24"/>
                <w:szCs w:val="24"/>
              </w:rPr>
              <w:t>Брой на валидните оферти</w:t>
            </w:r>
          </w:p>
        </w:tc>
        <w:tc>
          <w:tcPr>
            <w:tcW w:w="1814" w:type="dxa"/>
            <w:vAlign w:val="center"/>
          </w:tcPr>
          <w:p w14:paraId="414EF33B" w14:textId="6E3B2D8A" w:rsidR="0063307F" w:rsidRDefault="0063307F" w:rsidP="0063307F">
            <w:pPr>
              <w:jc w:val="center"/>
              <w:rPr>
                <w:b/>
                <w:sz w:val="24"/>
                <w:szCs w:val="24"/>
              </w:rPr>
            </w:pPr>
            <w:r>
              <w:rPr>
                <w:b/>
                <w:sz w:val="24"/>
                <w:szCs w:val="24"/>
              </w:rPr>
              <w:sym w:font="Wingdings 2" w:char="F04F"/>
            </w:r>
          </w:p>
        </w:tc>
        <w:tc>
          <w:tcPr>
            <w:tcW w:w="5007" w:type="dxa"/>
          </w:tcPr>
          <w:p w14:paraId="0CD60158" w14:textId="41C3FD29" w:rsidR="0063307F" w:rsidRPr="0063307F" w:rsidRDefault="0063307F" w:rsidP="0063307F">
            <w:pPr>
              <w:rPr>
                <w:b/>
              </w:rPr>
            </w:pPr>
            <w:r w:rsidRPr="0063307F">
              <w:t>По правило се извършва 100% документална проверка на всички проведени поръчки по Закона за обществените поръчки и ПМС 160.</w:t>
            </w:r>
          </w:p>
        </w:tc>
      </w:tr>
      <w:tr w:rsidR="0063307F" w14:paraId="0A4315EC" w14:textId="77777777" w:rsidTr="0063307F">
        <w:tc>
          <w:tcPr>
            <w:tcW w:w="3391" w:type="dxa"/>
          </w:tcPr>
          <w:p w14:paraId="1F14AEE8" w14:textId="77777777" w:rsidR="0063307F" w:rsidRDefault="0063307F" w:rsidP="0063307F">
            <w:pPr>
              <w:rPr>
                <w:b/>
                <w:sz w:val="24"/>
                <w:szCs w:val="24"/>
              </w:rPr>
            </w:pPr>
          </w:p>
        </w:tc>
        <w:tc>
          <w:tcPr>
            <w:tcW w:w="3391" w:type="dxa"/>
          </w:tcPr>
          <w:p w14:paraId="7786A9EF" w14:textId="77777777" w:rsidR="0063307F" w:rsidRPr="001822EA" w:rsidRDefault="0063307F" w:rsidP="0063307F">
            <w:pPr>
              <w:jc w:val="both"/>
              <w:rPr>
                <w:b/>
                <w:sz w:val="24"/>
                <w:szCs w:val="24"/>
              </w:rPr>
            </w:pPr>
            <w:r w:rsidRPr="001822EA">
              <w:rPr>
                <w:i/>
                <w:sz w:val="24"/>
                <w:szCs w:val="24"/>
              </w:rPr>
              <w:t>Договорени суми посредством ограничени процедури (вкл. директно възлагане)/обща стойност на проекта</w:t>
            </w:r>
          </w:p>
        </w:tc>
        <w:tc>
          <w:tcPr>
            <w:tcW w:w="1814" w:type="dxa"/>
            <w:vAlign w:val="center"/>
          </w:tcPr>
          <w:p w14:paraId="043223BF" w14:textId="7D4451CF" w:rsidR="0063307F" w:rsidRDefault="0063307F" w:rsidP="0063307F">
            <w:pPr>
              <w:jc w:val="center"/>
              <w:rPr>
                <w:b/>
                <w:sz w:val="24"/>
                <w:szCs w:val="24"/>
              </w:rPr>
            </w:pPr>
            <w:r>
              <w:rPr>
                <w:b/>
                <w:sz w:val="24"/>
                <w:szCs w:val="24"/>
              </w:rPr>
              <w:sym w:font="Wingdings 2" w:char="F04F"/>
            </w:r>
          </w:p>
        </w:tc>
        <w:tc>
          <w:tcPr>
            <w:tcW w:w="5007" w:type="dxa"/>
          </w:tcPr>
          <w:p w14:paraId="12921BD9" w14:textId="5ACCC4B3" w:rsidR="0063307F" w:rsidRPr="0063307F" w:rsidRDefault="0063307F" w:rsidP="0063307F">
            <w:pPr>
              <w:rPr>
                <w:b/>
              </w:rPr>
            </w:pPr>
            <w:r w:rsidRPr="0063307F">
              <w:t>По правило се извършва 100% документална проверка на всички проведени поръчки по Закона за обществените поръчки и ПМС 160.</w:t>
            </w:r>
          </w:p>
        </w:tc>
      </w:tr>
      <w:tr w:rsidR="0063307F" w14:paraId="435EB3E6" w14:textId="77777777" w:rsidTr="0063307F">
        <w:trPr>
          <w:trHeight w:val="70"/>
        </w:trPr>
        <w:tc>
          <w:tcPr>
            <w:tcW w:w="3391" w:type="dxa"/>
          </w:tcPr>
          <w:p w14:paraId="4AACBA27" w14:textId="77777777" w:rsidR="0063307F" w:rsidRDefault="0063307F" w:rsidP="0063307F">
            <w:pPr>
              <w:rPr>
                <w:b/>
                <w:sz w:val="24"/>
                <w:szCs w:val="24"/>
              </w:rPr>
            </w:pPr>
          </w:p>
        </w:tc>
        <w:tc>
          <w:tcPr>
            <w:tcW w:w="3391" w:type="dxa"/>
          </w:tcPr>
          <w:p w14:paraId="5F6E4594" w14:textId="77777777" w:rsidR="0063307F" w:rsidRPr="001822EA" w:rsidRDefault="0063307F" w:rsidP="0063307F">
            <w:pPr>
              <w:jc w:val="both"/>
              <w:rPr>
                <w:i/>
                <w:sz w:val="24"/>
                <w:szCs w:val="24"/>
              </w:rPr>
            </w:pPr>
            <w:r w:rsidRPr="001822EA">
              <w:rPr>
                <w:i/>
                <w:sz w:val="24"/>
                <w:szCs w:val="24"/>
              </w:rPr>
              <w:t>Брой на измененията на договори, сравнен със средния за сектора</w:t>
            </w:r>
          </w:p>
        </w:tc>
        <w:tc>
          <w:tcPr>
            <w:tcW w:w="1814" w:type="dxa"/>
            <w:vAlign w:val="center"/>
          </w:tcPr>
          <w:p w14:paraId="24702FAF" w14:textId="79FD3383" w:rsidR="0063307F" w:rsidRDefault="0063307F" w:rsidP="0063307F">
            <w:pPr>
              <w:jc w:val="center"/>
              <w:rPr>
                <w:b/>
                <w:sz w:val="24"/>
                <w:szCs w:val="24"/>
              </w:rPr>
            </w:pPr>
            <w:r>
              <w:rPr>
                <w:b/>
                <w:sz w:val="24"/>
                <w:szCs w:val="24"/>
              </w:rPr>
              <w:sym w:font="Wingdings 2" w:char="F04F"/>
            </w:r>
          </w:p>
        </w:tc>
        <w:tc>
          <w:tcPr>
            <w:tcW w:w="5007" w:type="dxa"/>
          </w:tcPr>
          <w:p w14:paraId="7EE21C25" w14:textId="1225F8F7" w:rsidR="0063307F" w:rsidRPr="0063307F" w:rsidRDefault="0063307F" w:rsidP="0063307F">
            <w:pPr>
              <w:rPr>
                <w:b/>
              </w:rPr>
            </w:pPr>
            <w:r w:rsidRPr="0063307F">
              <w:t>По правило се извършва 100% документална проверка на всички проведени поръчки по Закона за обществените поръчки и ПМС 160.</w:t>
            </w:r>
          </w:p>
        </w:tc>
      </w:tr>
      <w:tr w:rsidR="00B75FFD" w14:paraId="64B6EACE" w14:textId="77777777" w:rsidTr="0063307F">
        <w:tc>
          <w:tcPr>
            <w:tcW w:w="3391" w:type="dxa"/>
          </w:tcPr>
          <w:p w14:paraId="23284D28" w14:textId="77777777" w:rsidR="00B75FFD" w:rsidRDefault="00B75FFD" w:rsidP="00A47FF6">
            <w:pPr>
              <w:rPr>
                <w:b/>
                <w:sz w:val="24"/>
                <w:szCs w:val="24"/>
              </w:rPr>
            </w:pPr>
          </w:p>
        </w:tc>
        <w:tc>
          <w:tcPr>
            <w:tcW w:w="3391" w:type="dxa"/>
          </w:tcPr>
          <w:p w14:paraId="5C24BFC3" w14:textId="77777777" w:rsidR="00B75FFD" w:rsidRPr="001822EA" w:rsidRDefault="00B75FFD" w:rsidP="00B75FFD">
            <w:pPr>
              <w:jc w:val="both"/>
              <w:rPr>
                <w:i/>
                <w:sz w:val="24"/>
                <w:szCs w:val="24"/>
              </w:rPr>
            </w:pPr>
            <w:r w:rsidRPr="001822EA">
              <w:rPr>
                <w:i/>
                <w:sz w:val="24"/>
                <w:szCs w:val="24"/>
              </w:rPr>
              <w:t>Финансови корекции</w:t>
            </w:r>
          </w:p>
        </w:tc>
        <w:tc>
          <w:tcPr>
            <w:tcW w:w="1814" w:type="dxa"/>
            <w:vAlign w:val="center"/>
          </w:tcPr>
          <w:p w14:paraId="08DD7994" w14:textId="27E96C2E" w:rsidR="00B75FFD" w:rsidRDefault="0012644B" w:rsidP="0012644B">
            <w:pPr>
              <w:jc w:val="center"/>
              <w:rPr>
                <w:b/>
                <w:sz w:val="24"/>
                <w:szCs w:val="24"/>
              </w:rPr>
            </w:pPr>
            <w:r>
              <w:rPr>
                <w:b/>
                <w:sz w:val="24"/>
                <w:szCs w:val="24"/>
              </w:rPr>
              <w:sym w:font="Wingdings 2" w:char="F04F"/>
            </w:r>
          </w:p>
        </w:tc>
        <w:tc>
          <w:tcPr>
            <w:tcW w:w="5007" w:type="dxa"/>
          </w:tcPr>
          <w:p w14:paraId="338DDF29" w14:textId="1D59C985" w:rsidR="00B75FFD" w:rsidRPr="0063307F" w:rsidRDefault="0063307F" w:rsidP="0063307F">
            <w:pPr>
              <w:jc w:val="both"/>
              <w:rPr>
                <w:b/>
              </w:rPr>
            </w:pPr>
            <w:r w:rsidRPr="0063307F">
              <w:t xml:space="preserve">По правило се извършва 100% документална проверка на всички проведени поръчки по Закона за </w:t>
            </w:r>
            <w:r w:rsidRPr="0063307F">
              <w:lastRenderedPageBreak/>
              <w:t xml:space="preserve">обществените поръчки и ПМС 160 </w:t>
            </w:r>
            <w:r w:rsidR="001822EA" w:rsidRPr="0063307F">
              <w:t>и в случай  на констатирано нарушение се предприемат действия за определяне на ФК.</w:t>
            </w:r>
          </w:p>
        </w:tc>
      </w:tr>
      <w:tr w:rsidR="00B75FFD" w14:paraId="5F9AA6AE" w14:textId="77777777" w:rsidTr="00394192">
        <w:tc>
          <w:tcPr>
            <w:tcW w:w="3391" w:type="dxa"/>
          </w:tcPr>
          <w:p w14:paraId="585AC28B" w14:textId="77777777" w:rsidR="00B75FFD" w:rsidRDefault="00B75FFD" w:rsidP="00A47FF6">
            <w:pPr>
              <w:rPr>
                <w:b/>
                <w:sz w:val="24"/>
                <w:szCs w:val="24"/>
              </w:rPr>
            </w:pPr>
            <w:r w:rsidRPr="00CB024F">
              <w:rPr>
                <w:b/>
                <w:sz w:val="24"/>
                <w:szCs w:val="24"/>
              </w:rPr>
              <w:lastRenderedPageBreak/>
              <w:t>Управление на договорите с изпълнители</w:t>
            </w:r>
          </w:p>
        </w:tc>
        <w:tc>
          <w:tcPr>
            <w:tcW w:w="3391" w:type="dxa"/>
          </w:tcPr>
          <w:p w14:paraId="2CE622F1" w14:textId="77777777" w:rsidR="00B75FFD" w:rsidRDefault="00B75FFD" w:rsidP="00B75FFD">
            <w:pPr>
              <w:jc w:val="both"/>
              <w:rPr>
                <w:b/>
                <w:sz w:val="24"/>
                <w:szCs w:val="24"/>
              </w:rPr>
            </w:pPr>
            <w:r w:rsidRPr="00B75FFD">
              <w:rPr>
                <w:i/>
                <w:sz w:val="24"/>
                <w:szCs w:val="24"/>
              </w:rPr>
              <w:t>Изпълнител с невалиден ДДС номер</w:t>
            </w:r>
          </w:p>
        </w:tc>
        <w:tc>
          <w:tcPr>
            <w:tcW w:w="1814" w:type="dxa"/>
            <w:vAlign w:val="center"/>
          </w:tcPr>
          <w:p w14:paraId="13D7463A" w14:textId="77777777" w:rsidR="00B75FFD" w:rsidRDefault="00B75FFD" w:rsidP="00AD5CB6">
            <w:pPr>
              <w:jc w:val="center"/>
              <w:rPr>
                <w:b/>
                <w:sz w:val="24"/>
                <w:szCs w:val="24"/>
              </w:rPr>
            </w:pPr>
            <w:r>
              <w:rPr>
                <w:b/>
                <w:sz w:val="24"/>
                <w:szCs w:val="24"/>
              </w:rPr>
              <w:sym w:font="Wingdings 2" w:char="F04F"/>
            </w:r>
          </w:p>
        </w:tc>
        <w:tc>
          <w:tcPr>
            <w:tcW w:w="5007" w:type="dxa"/>
          </w:tcPr>
          <w:p w14:paraId="44ADEE45" w14:textId="77777777" w:rsidR="00B75FFD" w:rsidRPr="000D4982" w:rsidRDefault="000D4982" w:rsidP="000D4982">
            <w:pPr>
              <w:jc w:val="both"/>
              <w:rPr>
                <w:b/>
              </w:rPr>
            </w:pPr>
            <w:r w:rsidRPr="000D4982">
              <w:t xml:space="preserve">Бенефициентът въвежда в ИСУН ДДС номер на всеки изпълнител, като системата осъществява контрол за формата и валидността на номера на всички регистрирани в </w:t>
            </w:r>
            <w:proofErr w:type="spellStart"/>
            <w:r w:rsidRPr="000D4982">
              <w:t>РБългария</w:t>
            </w:r>
            <w:proofErr w:type="spellEnd"/>
            <w:r w:rsidRPr="000D4982">
              <w:t xml:space="preserve"> субекти.</w:t>
            </w:r>
            <w:r w:rsidRPr="000D4982">
              <w:rPr>
                <w:i/>
              </w:rPr>
              <w:t xml:space="preserve"> </w:t>
            </w:r>
            <w:r>
              <w:t>По правило се п</w:t>
            </w:r>
            <w:r w:rsidRPr="000D4982">
              <w:t>роверява дали данните в ИСУН съответстват на данните в договора с изпълнителя</w:t>
            </w:r>
            <w:r w:rsidR="008C252E">
              <w:t>.</w:t>
            </w:r>
          </w:p>
        </w:tc>
      </w:tr>
      <w:tr w:rsidR="00B75FFD" w14:paraId="72981110" w14:textId="77777777" w:rsidTr="00394192">
        <w:tc>
          <w:tcPr>
            <w:tcW w:w="3391" w:type="dxa"/>
          </w:tcPr>
          <w:p w14:paraId="4AF94457" w14:textId="77777777" w:rsidR="00B75FFD" w:rsidRDefault="00B75FFD" w:rsidP="00A47FF6">
            <w:pPr>
              <w:rPr>
                <w:b/>
                <w:sz w:val="24"/>
                <w:szCs w:val="24"/>
              </w:rPr>
            </w:pPr>
          </w:p>
        </w:tc>
        <w:tc>
          <w:tcPr>
            <w:tcW w:w="3391" w:type="dxa"/>
          </w:tcPr>
          <w:p w14:paraId="57BFA35B" w14:textId="77777777" w:rsidR="00B75FFD" w:rsidRDefault="00B75FFD" w:rsidP="00B75FFD">
            <w:pPr>
              <w:jc w:val="both"/>
              <w:rPr>
                <w:b/>
                <w:sz w:val="24"/>
                <w:szCs w:val="24"/>
              </w:rPr>
            </w:pPr>
            <w:r w:rsidRPr="00B75FFD">
              <w:rPr>
                <w:i/>
                <w:sz w:val="24"/>
                <w:szCs w:val="24"/>
              </w:rPr>
              <w:t>Подизпълнител с невалиден ДДС номер</w:t>
            </w:r>
          </w:p>
        </w:tc>
        <w:tc>
          <w:tcPr>
            <w:tcW w:w="1814" w:type="dxa"/>
            <w:vAlign w:val="center"/>
          </w:tcPr>
          <w:p w14:paraId="6DEACD85" w14:textId="77777777" w:rsidR="00B75FFD" w:rsidRDefault="00AD5CB6" w:rsidP="00AD5CB6">
            <w:pPr>
              <w:jc w:val="center"/>
              <w:rPr>
                <w:b/>
                <w:sz w:val="24"/>
                <w:szCs w:val="24"/>
              </w:rPr>
            </w:pPr>
            <w:r>
              <w:rPr>
                <w:b/>
                <w:sz w:val="24"/>
                <w:szCs w:val="24"/>
              </w:rPr>
              <w:sym w:font="Wingdings 2" w:char="F04F"/>
            </w:r>
          </w:p>
        </w:tc>
        <w:tc>
          <w:tcPr>
            <w:tcW w:w="5007" w:type="dxa"/>
          </w:tcPr>
          <w:p w14:paraId="63DB63FF" w14:textId="77777777" w:rsidR="00B75FFD" w:rsidRPr="008C252E" w:rsidRDefault="000D4982" w:rsidP="000D4982">
            <w:pPr>
              <w:jc w:val="both"/>
              <w:rPr>
                <w:b/>
                <w:sz w:val="24"/>
                <w:szCs w:val="24"/>
              </w:rPr>
            </w:pPr>
            <w:r w:rsidRPr="000D4982">
              <w:t xml:space="preserve">Бенефициентът въвежда в ИСУН ДДС номер на всеки изпълнител, като системата осъществява контрол за формата и валидността на номера на всички регистрирани в </w:t>
            </w:r>
            <w:proofErr w:type="spellStart"/>
            <w:r w:rsidRPr="000D4982">
              <w:t>РБългария</w:t>
            </w:r>
            <w:proofErr w:type="spellEnd"/>
            <w:r w:rsidRPr="000D4982">
              <w:t xml:space="preserve"> субекти.</w:t>
            </w:r>
            <w:r w:rsidRPr="000D4982">
              <w:rPr>
                <w:i/>
              </w:rPr>
              <w:t xml:space="preserve"> </w:t>
            </w:r>
            <w:r>
              <w:t>По правило се п</w:t>
            </w:r>
            <w:r w:rsidRPr="000D4982">
              <w:t>роверява дали данните в ИСУН съответстват на данните в договора с изпълнителя</w:t>
            </w:r>
            <w:r>
              <w:t>/подизпълнителя</w:t>
            </w:r>
            <w:r w:rsidR="008C252E">
              <w:t>.</w:t>
            </w:r>
          </w:p>
        </w:tc>
      </w:tr>
      <w:tr w:rsidR="00B75FFD" w14:paraId="623E8D61" w14:textId="77777777" w:rsidTr="00394192">
        <w:tc>
          <w:tcPr>
            <w:tcW w:w="3391" w:type="dxa"/>
          </w:tcPr>
          <w:p w14:paraId="4ED39470" w14:textId="77777777" w:rsidR="00B75FFD" w:rsidRDefault="00B75FFD" w:rsidP="00A47FF6">
            <w:pPr>
              <w:rPr>
                <w:b/>
                <w:sz w:val="24"/>
                <w:szCs w:val="24"/>
              </w:rPr>
            </w:pPr>
          </w:p>
        </w:tc>
        <w:tc>
          <w:tcPr>
            <w:tcW w:w="3391" w:type="dxa"/>
          </w:tcPr>
          <w:p w14:paraId="25F26FD2" w14:textId="77777777" w:rsidR="00B75FFD" w:rsidRDefault="00B75FFD" w:rsidP="00B75FFD">
            <w:pPr>
              <w:jc w:val="both"/>
              <w:rPr>
                <w:b/>
                <w:sz w:val="24"/>
                <w:szCs w:val="24"/>
              </w:rPr>
            </w:pPr>
            <w:r w:rsidRPr="00B75FFD">
              <w:rPr>
                <w:i/>
                <w:sz w:val="24"/>
                <w:szCs w:val="24"/>
              </w:rPr>
              <w:t>Допълнителни разходи по договори спрямо разходите по проекта</w:t>
            </w:r>
          </w:p>
        </w:tc>
        <w:tc>
          <w:tcPr>
            <w:tcW w:w="1814" w:type="dxa"/>
            <w:vAlign w:val="center"/>
          </w:tcPr>
          <w:p w14:paraId="60B88AAD" w14:textId="77777777" w:rsidR="00B75FFD" w:rsidRDefault="00AD5CB6" w:rsidP="00AD5CB6">
            <w:pPr>
              <w:jc w:val="center"/>
              <w:rPr>
                <w:b/>
                <w:sz w:val="24"/>
                <w:szCs w:val="24"/>
              </w:rPr>
            </w:pPr>
            <w:r>
              <w:rPr>
                <w:b/>
                <w:sz w:val="24"/>
                <w:szCs w:val="24"/>
              </w:rPr>
              <w:sym w:font="Wingdings 2" w:char="F04F"/>
            </w:r>
          </w:p>
        </w:tc>
        <w:tc>
          <w:tcPr>
            <w:tcW w:w="5007" w:type="dxa"/>
          </w:tcPr>
          <w:p w14:paraId="22AD0250" w14:textId="77777777" w:rsidR="00B75FFD" w:rsidRPr="000D4982" w:rsidRDefault="000D4982" w:rsidP="000D4982">
            <w:pPr>
              <w:jc w:val="both"/>
              <w:rPr>
                <w:b/>
              </w:rPr>
            </w:pPr>
            <w:r w:rsidRPr="000D4982">
              <w:t>По правило се извършва проверка на всички измене</w:t>
            </w:r>
            <w:r>
              <w:t>ния в договорите с изпълнители (</w:t>
            </w:r>
            <w:r w:rsidRPr="000D4982">
              <w:t>разходи по които са включени в ИП</w:t>
            </w:r>
            <w:r>
              <w:t>)</w:t>
            </w:r>
            <w:r w:rsidRPr="000D4982">
              <w:t xml:space="preserve">, които не са проверявани до момента. </w:t>
            </w:r>
            <w:r w:rsidRPr="000D4982">
              <w:rPr>
                <w:b/>
              </w:rPr>
              <w:t>Измененията включват както обективираните в анекс промени, така също и отклоненията в изпълнението на договора от договорените условия, които не са предмет на анекс</w:t>
            </w:r>
            <w:r w:rsidR="008C252E">
              <w:rPr>
                <w:b/>
              </w:rPr>
              <w:t>.</w:t>
            </w:r>
          </w:p>
        </w:tc>
      </w:tr>
      <w:tr w:rsidR="00B75FFD" w14:paraId="5CDE978C" w14:textId="77777777" w:rsidTr="00394192">
        <w:trPr>
          <w:trHeight w:val="856"/>
        </w:trPr>
        <w:tc>
          <w:tcPr>
            <w:tcW w:w="3391" w:type="dxa"/>
          </w:tcPr>
          <w:p w14:paraId="14C2A5AC" w14:textId="77777777" w:rsidR="00B75FFD" w:rsidRDefault="00B75FFD" w:rsidP="00A47FF6">
            <w:pPr>
              <w:rPr>
                <w:b/>
                <w:sz w:val="24"/>
                <w:szCs w:val="24"/>
              </w:rPr>
            </w:pPr>
          </w:p>
        </w:tc>
        <w:tc>
          <w:tcPr>
            <w:tcW w:w="3391" w:type="dxa"/>
          </w:tcPr>
          <w:p w14:paraId="0A5A6C63" w14:textId="77777777" w:rsidR="00B75FFD" w:rsidRDefault="00B75FFD" w:rsidP="00B75FFD">
            <w:pPr>
              <w:jc w:val="both"/>
              <w:rPr>
                <w:b/>
                <w:sz w:val="24"/>
                <w:szCs w:val="24"/>
              </w:rPr>
            </w:pPr>
            <w:r w:rsidRPr="00B75FFD">
              <w:rPr>
                <w:i/>
                <w:sz w:val="24"/>
                <w:szCs w:val="24"/>
              </w:rPr>
              <w:t>Допълнителни разходи по договора спрямо първоначално договорените</w:t>
            </w:r>
          </w:p>
        </w:tc>
        <w:tc>
          <w:tcPr>
            <w:tcW w:w="1814" w:type="dxa"/>
            <w:vAlign w:val="center"/>
          </w:tcPr>
          <w:p w14:paraId="49FCCE95" w14:textId="77777777" w:rsidR="00B75FFD" w:rsidRDefault="000D4982" w:rsidP="00AD5CB6">
            <w:pPr>
              <w:jc w:val="center"/>
              <w:rPr>
                <w:b/>
                <w:sz w:val="24"/>
                <w:szCs w:val="24"/>
              </w:rPr>
            </w:pPr>
            <w:r>
              <w:rPr>
                <w:b/>
                <w:sz w:val="24"/>
                <w:szCs w:val="24"/>
              </w:rPr>
              <w:sym w:font="Wingdings 2" w:char="F050"/>
            </w:r>
          </w:p>
        </w:tc>
        <w:tc>
          <w:tcPr>
            <w:tcW w:w="5007" w:type="dxa"/>
          </w:tcPr>
          <w:p w14:paraId="028E01F3" w14:textId="77777777" w:rsidR="000D4982" w:rsidRDefault="000D4982" w:rsidP="000D4982">
            <w:pPr>
              <w:jc w:val="both"/>
            </w:pPr>
            <w:r>
              <w:t>Извършва се проверка на всички изменения в договорите с изпълнители (разходи по които са включени в ИП), които не са проверявани до момента.</w:t>
            </w:r>
          </w:p>
          <w:p w14:paraId="1CED7643" w14:textId="77777777" w:rsidR="00B75FFD" w:rsidRPr="000D4982" w:rsidRDefault="000D4982" w:rsidP="000D4982">
            <w:pPr>
              <w:jc w:val="both"/>
              <w:rPr>
                <w:b/>
              </w:rPr>
            </w:pPr>
            <w:r>
              <w:t xml:space="preserve">Следва да се има предвид, че в АРАХНЕ се визуализира информацията от ИСУН относно стойността на договора, финансирана по-проекта, която за някои договори (отнасящи се до дейността на администрацията като цяло) е много по-малка от тази на сключения с изпълнителя договор. В случай на изменение на стойността на договора с изпълнител системата изчислява променената стойност на договора (общата стойност на актуалния анекс) спрямо стойността, финансирана по проекта, и в резултат на това се получава висок процент, който не отразява коректно ситуацията. В случай че цялата стойност на договора с изпълнител е финансирана по проекта, при изменение на стойността се отчита съотношението между общата стойност на актуалния анекс спрямо първоначалната стойност на договора, което също дава </w:t>
            </w:r>
            <w:r>
              <w:lastRenderedPageBreak/>
              <w:t>висок процент. В определени случаи, там където в ИСУН бенефициентът е въвел стойността на договора с изпълнителя и в клетката „Обща стойност на актуалния анекс“ и без да е налице изменение на стойността на договора, ARACHNE го отчита като 100 % и го показва като рисков.</w:t>
            </w:r>
          </w:p>
        </w:tc>
      </w:tr>
      <w:tr w:rsidR="00B75FFD" w14:paraId="1F0B121C" w14:textId="77777777" w:rsidTr="00394192">
        <w:tc>
          <w:tcPr>
            <w:tcW w:w="3391" w:type="dxa"/>
          </w:tcPr>
          <w:p w14:paraId="6268B0F8" w14:textId="77777777" w:rsidR="00B75FFD" w:rsidRDefault="00B75FFD" w:rsidP="00A47FF6">
            <w:pPr>
              <w:rPr>
                <w:b/>
                <w:sz w:val="24"/>
                <w:szCs w:val="24"/>
              </w:rPr>
            </w:pPr>
          </w:p>
        </w:tc>
        <w:tc>
          <w:tcPr>
            <w:tcW w:w="3391" w:type="dxa"/>
          </w:tcPr>
          <w:p w14:paraId="655A1580" w14:textId="77777777" w:rsidR="00B75FFD" w:rsidRPr="00B75FFD" w:rsidRDefault="00B75FFD" w:rsidP="00B75FFD">
            <w:pPr>
              <w:jc w:val="both"/>
              <w:rPr>
                <w:i/>
                <w:sz w:val="24"/>
                <w:szCs w:val="24"/>
              </w:rPr>
            </w:pPr>
            <w:r w:rsidRPr="0076632B">
              <w:rPr>
                <w:i/>
                <w:sz w:val="24"/>
                <w:szCs w:val="24"/>
              </w:rPr>
              <w:t>Разлика между фактическата крайна дата на договора с изпълнител и първоначалната крайна дата на договора</w:t>
            </w:r>
          </w:p>
        </w:tc>
        <w:tc>
          <w:tcPr>
            <w:tcW w:w="1814" w:type="dxa"/>
            <w:vAlign w:val="center"/>
          </w:tcPr>
          <w:p w14:paraId="4BF7AF8F" w14:textId="77777777" w:rsidR="00B75FFD" w:rsidRDefault="00B75FFD" w:rsidP="00AD5CB6">
            <w:pPr>
              <w:jc w:val="center"/>
              <w:rPr>
                <w:b/>
                <w:sz w:val="24"/>
                <w:szCs w:val="24"/>
              </w:rPr>
            </w:pPr>
            <w:r>
              <w:rPr>
                <w:b/>
                <w:sz w:val="24"/>
                <w:szCs w:val="24"/>
              </w:rPr>
              <w:sym w:font="Wingdings 2" w:char="F050"/>
            </w:r>
          </w:p>
        </w:tc>
        <w:tc>
          <w:tcPr>
            <w:tcW w:w="5007" w:type="dxa"/>
          </w:tcPr>
          <w:p w14:paraId="7816D58A" w14:textId="77777777" w:rsidR="00B75FFD" w:rsidRDefault="008C252E" w:rsidP="008C252E">
            <w:pPr>
              <w:jc w:val="both"/>
              <w:rPr>
                <w:b/>
                <w:sz w:val="24"/>
                <w:szCs w:val="24"/>
              </w:rPr>
            </w:pPr>
            <w:r>
              <w:t>И</w:t>
            </w:r>
            <w:r w:rsidRPr="008C252E">
              <w:t>звършва се проверка на всички изменения в договорите с изпълнители (разходи по които са включени в ИП), които не са проверявани до момента.</w:t>
            </w:r>
          </w:p>
        </w:tc>
      </w:tr>
      <w:tr w:rsidR="00B75FFD" w14:paraId="731ADB07" w14:textId="77777777" w:rsidTr="00394192">
        <w:tc>
          <w:tcPr>
            <w:tcW w:w="3391" w:type="dxa"/>
          </w:tcPr>
          <w:p w14:paraId="06C28322" w14:textId="77777777" w:rsidR="00B75FFD" w:rsidRDefault="00B75FFD" w:rsidP="00A47FF6">
            <w:pPr>
              <w:rPr>
                <w:b/>
                <w:sz w:val="24"/>
                <w:szCs w:val="24"/>
              </w:rPr>
            </w:pPr>
          </w:p>
        </w:tc>
        <w:tc>
          <w:tcPr>
            <w:tcW w:w="3391" w:type="dxa"/>
          </w:tcPr>
          <w:p w14:paraId="6F2D6359" w14:textId="77777777" w:rsidR="00B75FFD" w:rsidRPr="00B75FFD" w:rsidRDefault="00B75FFD" w:rsidP="00B75FFD">
            <w:pPr>
              <w:jc w:val="both"/>
              <w:rPr>
                <w:i/>
                <w:sz w:val="24"/>
                <w:szCs w:val="24"/>
              </w:rPr>
            </w:pPr>
            <w:r w:rsidRPr="00281F6A">
              <w:rPr>
                <w:i/>
                <w:sz w:val="24"/>
                <w:szCs w:val="24"/>
              </w:rPr>
              <w:t>Брой на членовете на консорциума</w:t>
            </w:r>
          </w:p>
        </w:tc>
        <w:tc>
          <w:tcPr>
            <w:tcW w:w="1814" w:type="dxa"/>
            <w:vAlign w:val="center"/>
          </w:tcPr>
          <w:p w14:paraId="3B494FC8" w14:textId="77777777" w:rsidR="00B75FFD" w:rsidRDefault="008C252E" w:rsidP="008C252E">
            <w:pPr>
              <w:jc w:val="center"/>
              <w:rPr>
                <w:b/>
                <w:sz w:val="24"/>
                <w:szCs w:val="24"/>
              </w:rPr>
            </w:pPr>
            <w:r>
              <w:rPr>
                <w:b/>
                <w:sz w:val="24"/>
                <w:szCs w:val="24"/>
              </w:rPr>
              <w:sym w:font="Wingdings 2" w:char="F04F"/>
            </w:r>
          </w:p>
        </w:tc>
        <w:tc>
          <w:tcPr>
            <w:tcW w:w="5007" w:type="dxa"/>
          </w:tcPr>
          <w:p w14:paraId="06868EA4" w14:textId="77777777" w:rsidR="00B75FFD" w:rsidRDefault="008C252E" w:rsidP="008C252E">
            <w:pPr>
              <w:jc w:val="both"/>
              <w:rPr>
                <w:b/>
                <w:sz w:val="24"/>
                <w:szCs w:val="24"/>
              </w:rPr>
            </w:pPr>
            <w:r w:rsidRPr="008C252E">
              <w:t xml:space="preserve">По правило се проверяват всички обществени поръчки, разходи по които са включени в ИП, за законосъобразност на проведения избор. Проверява се </w:t>
            </w:r>
            <w:r>
              <w:t xml:space="preserve">и </w:t>
            </w:r>
            <w:r w:rsidRPr="008C252E">
              <w:t>изпълнението на всички договори, разходи по които са включени в ИП.</w:t>
            </w:r>
          </w:p>
        </w:tc>
      </w:tr>
      <w:tr w:rsidR="00B75FFD" w14:paraId="559824B2" w14:textId="77777777" w:rsidTr="00394192">
        <w:tc>
          <w:tcPr>
            <w:tcW w:w="3391" w:type="dxa"/>
          </w:tcPr>
          <w:p w14:paraId="6851973F" w14:textId="77777777" w:rsidR="00B75FFD" w:rsidRDefault="00B75FFD" w:rsidP="00A47FF6">
            <w:pPr>
              <w:rPr>
                <w:b/>
                <w:sz w:val="24"/>
                <w:szCs w:val="24"/>
              </w:rPr>
            </w:pPr>
          </w:p>
        </w:tc>
        <w:tc>
          <w:tcPr>
            <w:tcW w:w="3391" w:type="dxa"/>
          </w:tcPr>
          <w:p w14:paraId="1D2447E5" w14:textId="77777777" w:rsidR="00B75FFD" w:rsidRPr="00B75FFD" w:rsidRDefault="00B75FFD" w:rsidP="00B75FFD">
            <w:pPr>
              <w:jc w:val="both"/>
              <w:rPr>
                <w:i/>
                <w:sz w:val="24"/>
                <w:szCs w:val="24"/>
              </w:rPr>
            </w:pPr>
            <w:r w:rsidRPr="00281F6A">
              <w:rPr>
                <w:i/>
                <w:sz w:val="24"/>
                <w:szCs w:val="24"/>
              </w:rPr>
              <w:t>Изменения на договор с изпълнител</w:t>
            </w:r>
          </w:p>
        </w:tc>
        <w:tc>
          <w:tcPr>
            <w:tcW w:w="1814" w:type="dxa"/>
            <w:vAlign w:val="center"/>
          </w:tcPr>
          <w:p w14:paraId="13E6E746" w14:textId="77777777" w:rsidR="00B75FFD" w:rsidRDefault="008C252E" w:rsidP="008C252E">
            <w:pPr>
              <w:jc w:val="center"/>
              <w:rPr>
                <w:b/>
                <w:sz w:val="24"/>
                <w:szCs w:val="24"/>
              </w:rPr>
            </w:pPr>
            <w:r>
              <w:rPr>
                <w:b/>
                <w:sz w:val="24"/>
                <w:szCs w:val="24"/>
              </w:rPr>
              <w:sym w:font="Wingdings 2" w:char="F050"/>
            </w:r>
          </w:p>
        </w:tc>
        <w:tc>
          <w:tcPr>
            <w:tcW w:w="5007" w:type="dxa"/>
          </w:tcPr>
          <w:p w14:paraId="1C431C0F" w14:textId="77777777" w:rsidR="00B75FFD" w:rsidRDefault="008C252E" w:rsidP="008C252E">
            <w:pPr>
              <w:jc w:val="both"/>
              <w:rPr>
                <w:b/>
                <w:sz w:val="24"/>
                <w:szCs w:val="24"/>
              </w:rPr>
            </w:pPr>
            <w:r>
              <w:t>И</w:t>
            </w:r>
            <w:r w:rsidRPr="008C252E">
              <w:t>звършва се проверка на всички изменения в договорите с изпълнители (разходи по които са включени в ИП), които не са проверявани до момента.</w:t>
            </w:r>
          </w:p>
        </w:tc>
      </w:tr>
      <w:tr w:rsidR="00B75FFD" w14:paraId="4ABEC236" w14:textId="77777777" w:rsidTr="00394192">
        <w:tc>
          <w:tcPr>
            <w:tcW w:w="3391" w:type="dxa"/>
          </w:tcPr>
          <w:p w14:paraId="48C491D0" w14:textId="77777777" w:rsidR="00B75FFD" w:rsidRDefault="00B75FFD" w:rsidP="00A47FF6">
            <w:pPr>
              <w:rPr>
                <w:b/>
                <w:sz w:val="24"/>
                <w:szCs w:val="24"/>
              </w:rPr>
            </w:pPr>
          </w:p>
        </w:tc>
        <w:tc>
          <w:tcPr>
            <w:tcW w:w="3391" w:type="dxa"/>
          </w:tcPr>
          <w:p w14:paraId="381AA78A" w14:textId="77777777" w:rsidR="00B75FFD" w:rsidRPr="00B75FFD" w:rsidRDefault="00B75FFD" w:rsidP="00B75FFD">
            <w:pPr>
              <w:jc w:val="both"/>
              <w:rPr>
                <w:i/>
                <w:sz w:val="24"/>
                <w:szCs w:val="24"/>
              </w:rPr>
            </w:pPr>
            <w:r w:rsidRPr="00226D0F">
              <w:rPr>
                <w:i/>
                <w:sz w:val="24"/>
                <w:szCs w:val="24"/>
              </w:rPr>
              <w:t>Промяна на ключови експерти по договор с изпълнител</w:t>
            </w:r>
          </w:p>
        </w:tc>
        <w:tc>
          <w:tcPr>
            <w:tcW w:w="1814" w:type="dxa"/>
            <w:vAlign w:val="center"/>
          </w:tcPr>
          <w:p w14:paraId="719A1DD7" w14:textId="77777777" w:rsidR="00B75FFD" w:rsidRDefault="008C252E" w:rsidP="008C252E">
            <w:pPr>
              <w:jc w:val="center"/>
              <w:rPr>
                <w:b/>
                <w:sz w:val="24"/>
                <w:szCs w:val="24"/>
              </w:rPr>
            </w:pPr>
            <w:r>
              <w:rPr>
                <w:b/>
                <w:sz w:val="24"/>
                <w:szCs w:val="24"/>
              </w:rPr>
              <w:sym w:font="Wingdings 2" w:char="F050"/>
            </w:r>
          </w:p>
        </w:tc>
        <w:tc>
          <w:tcPr>
            <w:tcW w:w="5007" w:type="dxa"/>
          </w:tcPr>
          <w:p w14:paraId="4077B099" w14:textId="77777777" w:rsidR="00B75FFD" w:rsidRDefault="008C252E" w:rsidP="008C252E">
            <w:pPr>
              <w:jc w:val="both"/>
              <w:rPr>
                <w:b/>
                <w:sz w:val="24"/>
                <w:szCs w:val="24"/>
              </w:rPr>
            </w:pPr>
            <w:r>
              <w:t>И</w:t>
            </w:r>
            <w:r w:rsidRPr="008C252E">
              <w:t>звършва се проверка на всички изменения в договорите с изпълнители (разходи по които са включени в ИП), които не са проверявани до момента.</w:t>
            </w:r>
          </w:p>
        </w:tc>
      </w:tr>
      <w:tr w:rsidR="00B75FFD" w14:paraId="6F8CB684" w14:textId="77777777" w:rsidTr="00394192">
        <w:tc>
          <w:tcPr>
            <w:tcW w:w="3391" w:type="dxa"/>
          </w:tcPr>
          <w:p w14:paraId="132D6949" w14:textId="77777777" w:rsidR="00B75FFD" w:rsidRDefault="00B75FFD" w:rsidP="00A47FF6">
            <w:pPr>
              <w:rPr>
                <w:b/>
                <w:sz w:val="24"/>
                <w:szCs w:val="24"/>
              </w:rPr>
            </w:pPr>
          </w:p>
        </w:tc>
        <w:tc>
          <w:tcPr>
            <w:tcW w:w="3391" w:type="dxa"/>
          </w:tcPr>
          <w:p w14:paraId="502CDCED" w14:textId="77777777" w:rsidR="00B75FFD" w:rsidRPr="00B75FFD" w:rsidRDefault="00B75FFD" w:rsidP="00B75FFD">
            <w:pPr>
              <w:jc w:val="both"/>
              <w:rPr>
                <w:i/>
                <w:sz w:val="24"/>
                <w:szCs w:val="24"/>
              </w:rPr>
            </w:pPr>
            <w:r w:rsidRPr="00226D0F">
              <w:rPr>
                <w:i/>
                <w:sz w:val="24"/>
                <w:szCs w:val="24"/>
              </w:rPr>
              <w:t>Ключови експерти по договор, свързани с договори по други проекти</w:t>
            </w:r>
          </w:p>
        </w:tc>
        <w:tc>
          <w:tcPr>
            <w:tcW w:w="1814" w:type="dxa"/>
            <w:vAlign w:val="center"/>
          </w:tcPr>
          <w:p w14:paraId="64244DE8" w14:textId="77777777" w:rsidR="00B75FFD" w:rsidRDefault="008C252E" w:rsidP="008C252E">
            <w:pPr>
              <w:jc w:val="center"/>
              <w:rPr>
                <w:b/>
                <w:sz w:val="24"/>
                <w:szCs w:val="24"/>
              </w:rPr>
            </w:pPr>
            <w:r>
              <w:rPr>
                <w:b/>
                <w:sz w:val="24"/>
                <w:szCs w:val="24"/>
              </w:rPr>
              <w:sym w:font="Wingdings 2" w:char="F04F"/>
            </w:r>
          </w:p>
        </w:tc>
        <w:tc>
          <w:tcPr>
            <w:tcW w:w="5007" w:type="dxa"/>
          </w:tcPr>
          <w:p w14:paraId="5FCDA701" w14:textId="77777777" w:rsidR="00B75FFD" w:rsidRDefault="008C252E" w:rsidP="008C252E">
            <w:pPr>
              <w:jc w:val="both"/>
              <w:rPr>
                <w:b/>
                <w:sz w:val="24"/>
                <w:szCs w:val="24"/>
              </w:rPr>
            </w:pPr>
            <w:r w:rsidRPr="00D228D1">
              <w:t>По този индикатор информация не е налична в АРАХНЕ за проекти по ОПДУ.</w:t>
            </w:r>
          </w:p>
        </w:tc>
      </w:tr>
      <w:tr w:rsidR="00B75FFD" w14:paraId="5D8C2F04" w14:textId="77777777" w:rsidTr="00394192">
        <w:trPr>
          <w:trHeight w:val="1451"/>
        </w:trPr>
        <w:tc>
          <w:tcPr>
            <w:tcW w:w="3391" w:type="dxa"/>
          </w:tcPr>
          <w:p w14:paraId="0442C80A" w14:textId="77777777" w:rsidR="00B75FFD" w:rsidRDefault="00B75FFD" w:rsidP="00A47FF6">
            <w:pPr>
              <w:rPr>
                <w:b/>
                <w:sz w:val="24"/>
                <w:szCs w:val="24"/>
              </w:rPr>
            </w:pPr>
          </w:p>
        </w:tc>
        <w:tc>
          <w:tcPr>
            <w:tcW w:w="3391" w:type="dxa"/>
          </w:tcPr>
          <w:p w14:paraId="1100D245" w14:textId="77777777" w:rsidR="00B75FFD" w:rsidRPr="00226D0F" w:rsidRDefault="00B75FFD" w:rsidP="00B75FFD">
            <w:pPr>
              <w:jc w:val="both"/>
              <w:rPr>
                <w:i/>
                <w:sz w:val="24"/>
                <w:szCs w:val="24"/>
              </w:rPr>
            </w:pPr>
            <w:r w:rsidRPr="00B75FFD">
              <w:rPr>
                <w:i/>
                <w:sz w:val="24"/>
                <w:szCs w:val="24"/>
              </w:rPr>
              <w:t>Сума по договора спрямо годишния оборот на изпълнителя</w:t>
            </w:r>
          </w:p>
        </w:tc>
        <w:tc>
          <w:tcPr>
            <w:tcW w:w="1814" w:type="dxa"/>
            <w:vAlign w:val="center"/>
          </w:tcPr>
          <w:p w14:paraId="678F621A" w14:textId="77777777" w:rsidR="00B75FFD" w:rsidRDefault="00A650A7" w:rsidP="00A650A7">
            <w:pPr>
              <w:jc w:val="center"/>
              <w:rPr>
                <w:b/>
                <w:sz w:val="24"/>
                <w:szCs w:val="24"/>
              </w:rPr>
            </w:pPr>
            <w:r>
              <w:rPr>
                <w:b/>
                <w:sz w:val="24"/>
                <w:szCs w:val="24"/>
              </w:rPr>
              <w:sym w:font="Wingdings 2" w:char="F04F"/>
            </w:r>
          </w:p>
        </w:tc>
        <w:tc>
          <w:tcPr>
            <w:tcW w:w="5007" w:type="dxa"/>
          </w:tcPr>
          <w:p w14:paraId="39466B39" w14:textId="000ADB7A" w:rsidR="00B75FFD" w:rsidRPr="00394192" w:rsidRDefault="008C252E" w:rsidP="00394192">
            <w:pPr>
              <w:jc w:val="both"/>
            </w:pPr>
            <w:r w:rsidRPr="008C252E">
              <w:t xml:space="preserve">По правило се проверяват всички обществени поръчки, разходи по които са включени в ИП, за законосъобразност на проведения избор, вкл. критериите за подбор на възложителя (в т.ч. свързани с наличието на определен годишен оборот). Проверява се </w:t>
            </w:r>
            <w:r w:rsidR="00A650A7">
              <w:t xml:space="preserve">и </w:t>
            </w:r>
            <w:r w:rsidRPr="008C252E">
              <w:t xml:space="preserve">изпълнението на всички договори, разходи по които са включени в ИП.) </w:t>
            </w:r>
          </w:p>
        </w:tc>
      </w:tr>
      <w:tr w:rsidR="00B75FFD" w14:paraId="646AD766" w14:textId="77777777" w:rsidTr="00394192">
        <w:tc>
          <w:tcPr>
            <w:tcW w:w="3391" w:type="dxa"/>
          </w:tcPr>
          <w:p w14:paraId="65F49DF8" w14:textId="77777777" w:rsidR="00B75FFD" w:rsidRDefault="00B75FFD" w:rsidP="00A47FF6">
            <w:pPr>
              <w:rPr>
                <w:b/>
                <w:sz w:val="24"/>
                <w:szCs w:val="24"/>
              </w:rPr>
            </w:pPr>
          </w:p>
        </w:tc>
        <w:tc>
          <w:tcPr>
            <w:tcW w:w="3391" w:type="dxa"/>
          </w:tcPr>
          <w:p w14:paraId="745D140C" w14:textId="77777777" w:rsidR="00B75FFD" w:rsidRPr="00226D0F" w:rsidRDefault="00B75FFD" w:rsidP="00B75FFD">
            <w:pPr>
              <w:jc w:val="both"/>
              <w:rPr>
                <w:i/>
                <w:sz w:val="24"/>
                <w:szCs w:val="24"/>
              </w:rPr>
            </w:pPr>
            <w:r w:rsidRPr="007458C4">
              <w:rPr>
                <w:i/>
                <w:sz w:val="24"/>
                <w:szCs w:val="24"/>
              </w:rPr>
              <w:t>Външен доставчик на услуги</w:t>
            </w:r>
          </w:p>
        </w:tc>
        <w:tc>
          <w:tcPr>
            <w:tcW w:w="1814" w:type="dxa"/>
            <w:vAlign w:val="center"/>
          </w:tcPr>
          <w:p w14:paraId="31D71236" w14:textId="77777777" w:rsidR="00B75FFD" w:rsidRDefault="00A650A7" w:rsidP="00A650A7">
            <w:pPr>
              <w:jc w:val="center"/>
              <w:rPr>
                <w:b/>
                <w:sz w:val="24"/>
                <w:szCs w:val="24"/>
              </w:rPr>
            </w:pPr>
            <w:r>
              <w:rPr>
                <w:b/>
                <w:sz w:val="24"/>
                <w:szCs w:val="24"/>
              </w:rPr>
              <w:sym w:font="Wingdings 2" w:char="F04F"/>
            </w:r>
          </w:p>
        </w:tc>
        <w:tc>
          <w:tcPr>
            <w:tcW w:w="5007" w:type="dxa"/>
          </w:tcPr>
          <w:p w14:paraId="22E27337" w14:textId="77777777" w:rsidR="00B75FFD" w:rsidRDefault="00A650A7" w:rsidP="00A650A7">
            <w:pPr>
              <w:jc w:val="both"/>
              <w:rPr>
                <w:b/>
                <w:sz w:val="24"/>
                <w:szCs w:val="24"/>
              </w:rPr>
            </w:pPr>
            <w:r>
              <w:t>П</w:t>
            </w:r>
            <w:r w:rsidRPr="008C252E">
              <w:t>о този индикатор информация не е налична в АРАХНЕ за проекти по ОПДУ.</w:t>
            </w:r>
          </w:p>
        </w:tc>
      </w:tr>
      <w:tr w:rsidR="00A650A7" w14:paraId="71AB6976" w14:textId="77777777" w:rsidTr="00394192">
        <w:trPr>
          <w:trHeight w:val="1170"/>
        </w:trPr>
        <w:tc>
          <w:tcPr>
            <w:tcW w:w="3391" w:type="dxa"/>
          </w:tcPr>
          <w:p w14:paraId="71D65CC3" w14:textId="77777777" w:rsidR="00A650A7" w:rsidRPr="00A650A7" w:rsidRDefault="00A650A7" w:rsidP="00A650A7">
            <w:pPr>
              <w:jc w:val="both"/>
              <w:rPr>
                <w:b/>
                <w:sz w:val="24"/>
                <w:szCs w:val="24"/>
                <w:lang w:val="en-US"/>
              </w:rPr>
            </w:pPr>
            <w:r>
              <w:rPr>
                <w:b/>
                <w:sz w:val="24"/>
                <w:szCs w:val="24"/>
              </w:rPr>
              <w:lastRenderedPageBreak/>
              <w:t>Допустимост на ра</w:t>
            </w:r>
            <w:r w:rsidRPr="003B6563">
              <w:rPr>
                <w:b/>
                <w:sz w:val="24"/>
                <w:szCs w:val="24"/>
              </w:rPr>
              <w:t>зходите</w:t>
            </w:r>
          </w:p>
        </w:tc>
        <w:tc>
          <w:tcPr>
            <w:tcW w:w="3391" w:type="dxa"/>
          </w:tcPr>
          <w:p w14:paraId="47B19695" w14:textId="77777777" w:rsidR="00A650A7" w:rsidRPr="00226D0F" w:rsidRDefault="00A650A7" w:rsidP="00A650A7">
            <w:pPr>
              <w:jc w:val="both"/>
              <w:rPr>
                <w:i/>
                <w:sz w:val="24"/>
                <w:szCs w:val="24"/>
              </w:rPr>
            </w:pPr>
            <w:r w:rsidRPr="00CB024F">
              <w:rPr>
                <w:i/>
                <w:sz w:val="24"/>
                <w:szCs w:val="24"/>
              </w:rPr>
              <w:t>Разходи по проекта, платени извън периода на допустимост (преди началото на проекта)</w:t>
            </w:r>
          </w:p>
        </w:tc>
        <w:tc>
          <w:tcPr>
            <w:tcW w:w="1814" w:type="dxa"/>
            <w:vAlign w:val="center"/>
          </w:tcPr>
          <w:p w14:paraId="02EAA1C8" w14:textId="77777777" w:rsidR="00A650A7" w:rsidRDefault="00A650A7" w:rsidP="00A650A7">
            <w:pPr>
              <w:jc w:val="center"/>
            </w:pPr>
            <w:r w:rsidRPr="00B84111">
              <w:rPr>
                <w:b/>
                <w:sz w:val="24"/>
                <w:szCs w:val="24"/>
              </w:rPr>
              <w:sym w:font="Wingdings 2" w:char="F050"/>
            </w:r>
          </w:p>
        </w:tc>
        <w:tc>
          <w:tcPr>
            <w:tcW w:w="5007" w:type="dxa"/>
          </w:tcPr>
          <w:p w14:paraId="7E4D2C5A" w14:textId="77777777" w:rsidR="00A650A7" w:rsidRPr="00A650A7" w:rsidRDefault="00A650A7" w:rsidP="00A650A7">
            <w:pPr>
              <w:jc w:val="both"/>
            </w:pPr>
            <w:r w:rsidRPr="00A650A7">
              <w:t>Прави се проверка на разходите, включени в ИП, платени преди началото на проекта, показани в инструмента.</w:t>
            </w:r>
          </w:p>
        </w:tc>
      </w:tr>
      <w:tr w:rsidR="00A650A7" w14:paraId="4C1C89B1" w14:textId="77777777" w:rsidTr="00394192">
        <w:tc>
          <w:tcPr>
            <w:tcW w:w="3391" w:type="dxa"/>
          </w:tcPr>
          <w:p w14:paraId="57F9D2DF" w14:textId="77777777" w:rsidR="00A650A7" w:rsidRDefault="00A650A7" w:rsidP="00A650A7">
            <w:pPr>
              <w:rPr>
                <w:b/>
                <w:sz w:val="24"/>
                <w:szCs w:val="24"/>
              </w:rPr>
            </w:pPr>
          </w:p>
        </w:tc>
        <w:tc>
          <w:tcPr>
            <w:tcW w:w="3391" w:type="dxa"/>
          </w:tcPr>
          <w:p w14:paraId="261B8A5B" w14:textId="77777777" w:rsidR="00A650A7" w:rsidRPr="00226D0F" w:rsidRDefault="00A650A7" w:rsidP="00A650A7">
            <w:pPr>
              <w:pStyle w:val="ListParagraph"/>
              <w:ind w:left="0"/>
              <w:jc w:val="both"/>
              <w:rPr>
                <w:i/>
                <w:sz w:val="24"/>
                <w:szCs w:val="24"/>
              </w:rPr>
            </w:pPr>
            <w:r w:rsidRPr="00CB024F">
              <w:rPr>
                <w:rFonts w:ascii="Times New Roman" w:hAnsi="Times New Roman"/>
                <w:i/>
                <w:sz w:val="24"/>
                <w:szCs w:val="24"/>
              </w:rPr>
              <w:t xml:space="preserve">Разходи по проекта, платени извън периода на допустимост (след края на проекта) </w:t>
            </w:r>
          </w:p>
        </w:tc>
        <w:tc>
          <w:tcPr>
            <w:tcW w:w="1814" w:type="dxa"/>
            <w:vAlign w:val="center"/>
          </w:tcPr>
          <w:p w14:paraId="09979AA1" w14:textId="77777777" w:rsidR="00A650A7" w:rsidRDefault="00A650A7" w:rsidP="00A650A7">
            <w:pPr>
              <w:jc w:val="center"/>
            </w:pPr>
            <w:r w:rsidRPr="00B84111">
              <w:rPr>
                <w:b/>
                <w:sz w:val="24"/>
                <w:szCs w:val="24"/>
              </w:rPr>
              <w:sym w:font="Wingdings 2" w:char="F050"/>
            </w:r>
          </w:p>
        </w:tc>
        <w:tc>
          <w:tcPr>
            <w:tcW w:w="5007" w:type="dxa"/>
          </w:tcPr>
          <w:p w14:paraId="1813D69A" w14:textId="77777777" w:rsidR="00A650A7" w:rsidRPr="00A650A7" w:rsidRDefault="00A650A7" w:rsidP="00A650A7">
            <w:pPr>
              <w:jc w:val="both"/>
            </w:pPr>
            <w:r w:rsidRPr="00A650A7">
              <w:t xml:space="preserve">Прави се проверка на разходите, включени в ИП, платени извън периода на допустимост след края на проекта. Взима се предвид срокът за допустимост на плащанията, определен в </w:t>
            </w:r>
            <w:proofErr w:type="spellStart"/>
            <w:r w:rsidRPr="00A650A7">
              <w:t>договра</w:t>
            </w:r>
            <w:proofErr w:type="spellEnd"/>
            <w:r w:rsidRPr="00A650A7">
              <w:t>/заповедта за предоставяне на БФП (в общия случай 2 месеца след изтичането на срока за изпълнение).</w:t>
            </w:r>
          </w:p>
        </w:tc>
      </w:tr>
      <w:tr w:rsidR="00B75FFD" w14:paraId="5C788370" w14:textId="77777777" w:rsidTr="00394192">
        <w:tc>
          <w:tcPr>
            <w:tcW w:w="3391" w:type="dxa"/>
          </w:tcPr>
          <w:p w14:paraId="7DDB2A88" w14:textId="77777777" w:rsidR="00B75FFD" w:rsidRDefault="00B75FFD" w:rsidP="00A47FF6">
            <w:pPr>
              <w:rPr>
                <w:b/>
                <w:sz w:val="24"/>
                <w:szCs w:val="24"/>
              </w:rPr>
            </w:pPr>
          </w:p>
        </w:tc>
        <w:tc>
          <w:tcPr>
            <w:tcW w:w="3391" w:type="dxa"/>
          </w:tcPr>
          <w:p w14:paraId="5BFB9E70" w14:textId="77777777" w:rsidR="00B75FFD" w:rsidRPr="00226D0F" w:rsidRDefault="00A650A7" w:rsidP="00A650A7">
            <w:pPr>
              <w:jc w:val="both"/>
              <w:rPr>
                <w:i/>
                <w:sz w:val="24"/>
                <w:szCs w:val="24"/>
              </w:rPr>
            </w:pPr>
            <w:r w:rsidRPr="007458C4">
              <w:rPr>
                <w:i/>
                <w:sz w:val="24"/>
                <w:szCs w:val="24"/>
              </w:rPr>
              <w:t>Разлика между датите на фактурите и датите на плащане</w:t>
            </w:r>
          </w:p>
        </w:tc>
        <w:tc>
          <w:tcPr>
            <w:tcW w:w="1814" w:type="dxa"/>
            <w:vAlign w:val="center"/>
          </w:tcPr>
          <w:p w14:paraId="5EFA126A" w14:textId="77777777" w:rsidR="00B75FFD" w:rsidRDefault="00A650A7" w:rsidP="00A650A7">
            <w:pPr>
              <w:jc w:val="center"/>
              <w:rPr>
                <w:b/>
                <w:sz w:val="24"/>
                <w:szCs w:val="24"/>
              </w:rPr>
            </w:pPr>
            <w:r>
              <w:rPr>
                <w:b/>
                <w:sz w:val="24"/>
                <w:szCs w:val="24"/>
              </w:rPr>
              <w:sym w:font="Wingdings 2" w:char="F04F"/>
            </w:r>
          </w:p>
        </w:tc>
        <w:tc>
          <w:tcPr>
            <w:tcW w:w="5007" w:type="dxa"/>
          </w:tcPr>
          <w:p w14:paraId="3AA163A5" w14:textId="77777777" w:rsidR="00B75FFD" w:rsidRPr="00A650A7" w:rsidRDefault="00B75FFD" w:rsidP="00A650A7">
            <w:pPr>
              <w:jc w:val="both"/>
            </w:pPr>
          </w:p>
        </w:tc>
      </w:tr>
      <w:tr w:rsidR="00A650A7" w14:paraId="005186A5" w14:textId="77777777" w:rsidTr="00394192">
        <w:tc>
          <w:tcPr>
            <w:tcW w:w="3391" w:type="dxa"/>
          </w:tcPr>
          <w:p w14:paraId="16573901" w14:textId="77777777" w:rsidR="00A650A7" w:rsidRDefault="00A650A7" w:rsidP="00A650A7">
            <w:pPr>
              <w:rPr>
                <w:b/>
                <w:sz w:val="24"/>
                <w:szCs w:val="24"/>
              </w:rPr>
            </w:pPr>
          </w:p>
        </w:tc>
        <w:tc>
          <w:tcPr>
            <w:tcW w:w="3391" w:type="dxa"/>
          </w:tcPr>
          <w:p w14:paraId="2B32A29F" w14:textId="77777777" w:rsidR="00A650A7" w:rsidRPr="007458C4" w:rsidRDefault="00A650A7" w:rsidP="00A650A7">
            <w:pPr>
              <w:pStyle w:val="ListParagraph"/>
              <w:ind w:left="0"/>
              <w:jc w:val="both"/>
              <w:rPr>
                <w:i/>
                <w:sz w:val="24"/>
                <w:szCs w:val="24"/>
              </w:rPr>
            </w:pPr>
            <w:r w:rsidRPr="007458C4">
              <w:rPr>
                <w:rFonts w:ascii="Times New Roman" w:hAnsi="Times New Roman"/>
                <w:i/>
                <w:sz w:val="24"/>
                <w:szCs w:val="24"/>
              </w:rPr>
              <w:t>Висок процент на разходите, разпределени в края на проекта</w:t>
            </w:r>
            <w:r w:rsidRPr="007458C4">
              <w:rPr>
                <w:rFonts w:ascii="Times New Roman" w:hAnsi="Times New Roman"/>
                <w:sz w:val="24"/>
                <w:szCs w:val="24"/>
              </w:rPr>
              <w:t xml:space="preserve"> </w:t>
            </w:r>
          </w:p>
        </w:tc>
        <w:tc>
          <w:tcPr>
            <w:tcW w:w="1814" w:type="dxa"/>
            <w:vAlign w:val="center"/>
          </w:tcPr>
          <w:p w14:paraId="50957DA2" w14:textId="77777777" w:rsidR="00A650A7" w:rsidRDefault="00A650A7" w:rsidP="00A650A7">
            <w:pPr>
              <w:jc w:val="center"/>
            </w:pPr>
            <w:r w:rsidRPr="00B84111">
              <w:rPr>
                <w:b/>
                <w:sz w:val="24"/>
                <w:szCs w:val="24"/>
              </w:rPr>
              <w:sym w:font="Wingdings 2" w:char="F050"/>
            </w:r>
          </w:p>
        </w:tc>
        <w:tc>
          <w:tcPr>
            <w:tcW w:w="5007" w:type="dxa"/>
          </w:tcPr>
          <w:p w14:paraId="1201A1D2" w14:textId="77777777" w:rsidR="00A650A7" w:rsidRPr="00A650A7" w:rsidRDefault="00A650A7" w:rsidP="00A650A7">
            <w:pPr>
              <w:jc w:val="both"/>
            </w:pPr>
            <w:r w:rsidRPr="00A650A7">
              <w:t xml:space="preserve">Проверява се изпълнението на дейностите по проекта, в т.ч. спазването на графика за изпълнение. </w:t>
            </w:r>
          </w:p>
          <w:p w14:paraId="63A9B354" w14:textId="77777777" w:rsidR="00A650A7" w:rsidRPr="00A650A7" w:rsidRDefault="00A650A7" w:rsidP="00A650A7">
            <w:pPr>
              <w:jc w:val="both"/>
            </w:pPr>
          </w:p>
        </w:tc>
      </w:tr>
      <w:tr w:rsidR="00A650A7" w14:paraId="78CDE692" w14:textId="77777777" w:rsidTr="00394192">
        <w:tc>
          <w:tcPr>
            <w:tcW w:w="3391" w:type="dxa"/>
          </w:tcPr>
          <w:p w14:paraId="52A71559" w14:textId="77777777" w:rsidR="00A650A7" w:rsidRDefault="00A650A7" w:rsidP="00A650A7">
            <w:pPr>
              <w:rPr>
                <w:b/>
                <w:sz w:val="24"/>
                <w:szCs w:val="24"/>
              </w:rPr>
            </w:pPr>
          </w:p>
        </w:tc>
        <w:tc>
          <w:tcPr>
            <w:tcW w:w="3391" w:type="dxa"/>
          </w:tcPr>
          <w:p w14:paraId="41D4A021" w14:textId="7321E9B7" w:rsidR="00A650A7" w:rsidRPr="00394192" w:rsidRDefault="00A650A7" w:rsidP="00394192">
            <w:pPr>
              <w:pStyle w:val="ListParagraph"/>
              <w:ind w:left="0"/>
              <w:jc w:val="both"/>
              <w:rPr>
                <w:rFonts w:ascii="Times New Roman" w:hAnsi="Times New Roman"/>
                <w:sz w:val="24"/>
                <w:szCs w:val="24"/>
              </w:rPr>
            </w:pPr>
            <w:r w:rsidRPr="007458C4">
              <w:rPr>
                <w:rFonts w:ascii="Times New Roman" w:hAnsi="Times New Roman"/>
                <w:i/>
                <w:sz w:val="24"/>
                <w:szCs w:val="24"/>
              </w:rPr>
              <w:t>Разходи в кръгли суми</w:t>
            </w:r>
          </w:p>
        </w:tc>
        <w:tc>
          <w:tcPr>
            <w:tcW w:w="1814" w:type="dxa"/>
            <w:vAlign w:val="center"/>
          </w:tcPr>
          <w:p w14:paraId="150FE370" w14:textId="77777777" w:rsidR="00A650A7" w:rsidRDefault="00A650A7" w:rsidP="00A650A7">
            <w:pPr>
              <w:jc w:val="center"/>
            </w:pPr>
            <w:r w:rsidRPr="00B84111">
              <w:rPr>
                <w:b/>
                <w:sz w:val="24"/>
                <w:szCs w:val="24"/>
              </w:rPr>
              <w:sym w:font="Wingdings 2" w:char="F050"/>
            </w:r>
          </w:p>
        </w:tc>
        <w:tc>
          <w:tcPr>
            <w:tcW w:w="5007" w:type="dxa"/>
          </w:tcPr>
          <w:p w14:paraId="1D95042D" w14:textId="77777777" w:rsidR="00A650A7" w:rsidRPr="00A650A7" w:rsidRDefault="00A650A7" w:rsidP="00A650A7">
            <w:pPr>
              <w:jc w:val="both"/>
            </w:pPr>
            <w:r w:rsidRPr="00A650A7">
              <w:t>Проверяват се всички включени в ИП разходи.</w:t>
            </w:r>
          </w:p>
        </w:tc>
      </w:tr>
      <w:tr w:rsidR="00A650A7" w14:paraId="1C1B4B45" w14:textId="77777777" w:rsidTr="00394192">
        <w:tc>
          <w:tcPr>
            <w:tcW w:w="3391" w:type="dxa"/>
          </w:tcPr>
          <w:p w14:paraId="0E136009" w14:textId="77777777" w:rsidR="00A650A7" w:rsidRDefault="00A650A7" w:rsidP="00A650A7">
            <w:pPr>
              <w:rPr>
                <w:b/>
                <w:sz w:val="24"/>
                <w:szCs w:val="24"/>
              </w:rPr>
            </w:pPr>
          </w:p>
        </w:tc>
        <w:tc>
          <w:tcPr>
            <w:tcW w:w="3391" w:type="dxa"/>
          </w:tcPr>
          <w:p w14:paraId="7FA3B2BF" w14:textId="527C1EC7" w:rsidR="00A650A7" w:rsidRPr="00394192" w:rsidRDefault="00A650A7" w:rsidP="00394192">
            <w:pPr>
              <w:pStyle w:val="ListParagraph"/>
              <w:ind w:left="0"/>
              <w:jc w:val="both"/>
              <w:rPr>
                <w:rFonts w:ascii="Times New Roman" w:hAnsi="Times New Roman"/>
                <w:sz w:val="24"/>
                <w:szCs w:val="24"/>
              </w:rPr>
            </w:pPr>
            <w:r w:rsidRPr="00CB024F">
              <w:rPr>
                <w:rFonts w:ascii="Times New Roman" w:hAnsi="Times New Roman"/>
                <w:i/>
                <w:sz w:val="24"/>
                <w:szCs w:val="24"/>
              </w:rPr>
              <w:t>Дублирани суми на разходите</w:t>
            </w:r>
            <w:r>
              <w:rPr>
                <w:rFonts w:ascii="Times New Roman" w:hAnsi="Times New Roman"/>
                <w:sz w:val="24"/>
                <w:szCs w:val="24"/>
              </w:rPr>
              <w:t xml:space="preserve"> </w:t>
            </w:r>
          </w:p>
        </w:tc>
        <w:tc>
          <w:tcPr>
            <w:tcW w:w="1814" w:type="dxa"/>
            <w:vAlign w:val="center"/>
          </w:tcPr>
          <w:p w14:paraId="460D3EA6" w14:textId="77777777" w:rsidR="00A650A7" w:rsidRDefault="00A650A7" w:rsidP="00A650A7">
            <w:pPr>
              <w:jc w:val="center"/>
            </w:pPr>
            <w:r w:rsidRPr="00B84111">
              <w:rPr>
                <w:b/>
                <w:sz w:val="24"/>
                <w:szCs w:val="24"/>
              </w:rPr>
              <w:sym w:font="Wingdings 2" w:char="F050"/>
            </w:r>
          </w:p>
        </w:tc>
        <w:tc>
          <w:tcPr>
            <w:tcW w:w="5007" w:type="dxa"/>
          </w:tcPr>
          <w:p w14:paraId="05294A7D" w14:textId="77777777" w:rsidR="00A650A7" w:rsidRPr="00A650A7" w:rsidRDefault="00A650A7" w:rsidP="00A650A7">
            <w:pPr>
              <w:jc w:val="both"/>
            </w:pPr>
            <w:r w:rsidRPr="00A650A7">
              <w:t>Проверява се дали посочените в инструмента разходи не са включени и верифицирани в предходни ИП.</w:t>
            </w:r>
          </w:p>
        </w:tc>
      </w:tr>
      <w:tr w:rsidR="00A650A7" w14:paraId="771112E7" w14:textId="77777777" w:rsidTr="00394192">
        <w:tc>
          <w:tcPr>
            <w:tcW w:w="3391" w:type="dxa"/>
          </w:tcPr>
          <w:p w14:paraId="5E234FD6" w14:textId="77777777" w:rsidR="00A650A7" w:rsidRDefault="00A650A7" w:rsidP="00A650A7">
            <w:pPr>
              <w:rPr>
                <w:b/>
                <w:sz w:val="24"/>
                <w:szCs w:val="24"/>
              </w:rPr>
            </w:pPr>
          </w:p>
        </w:tc>
        <w:tc>
          <w:tcPr>
            <w:tcW w:w="3391" w:type="dxa"/>
          </w:tcPr>
          <w:p w14:paraId="11A4A8D4" w14:textId="79DC6DFC" w:rsidR="00A650A7" w:rsidRPr="00394192" w:rsidRDefault="00A650A7" w:rsidP="00394192">
            <w:pPr>
              <w:pStyle w:val="ListParagraph"/>
              <w:ind w:left="0"/>
              <w:jc w:val="both"/>
              <w:rPr>
                <w:rFonts w:ascii="Times New Roman" w:hAnsi="Times New Roman"/>
                <w:sz w:val="24"/>
                <w:szCs w:val="24"/>
              </w:rPr>
            </w:pPr>
            <w:r w:rsidRPr="00CB024F">
              <w:rPr>
                <w:rFonts w:ascii="Times New Roman" w:hAnsi="Times New Roman"/>
                <w:i/>
                <w:sz w:val="24"/>
                <w:szCs w:val="24"/>
              </w:rPr>
              <w:t>Разходи с отрицателен знак</w:t>
            </w:r>
            <w:r w:rsidRPr="00CB024F">
              <w:rPr>
                <w:rFonts w:ascii="Times New Roman" w:hAnsi="Times New Roman"/>
                <w:sz w:val="24"/>
                <w:szCs w:val="24"/>
              </w:rPr>
              <w:t xml:space="preserve">  </w:t>
            </w:r>
          </w:p>
        </w:tc>
        <w:tc>
          <w:tcPr>
            <w:tcW w:w="1814" w:type="dxa"/>
            <w:vAlign w:val="center"/>
          </w:tcPr>
          <w:p w14:paraId="74ED9458" w14:textId="77777777" w:rsidR="00A650A7" w:rsidRDefault="00A650A7" w:rsidP="00A650A7">
            <w:pPr>
              <w:jc w:val="center"/>
              <w:rPr>
                <w:b/>
                <w:sz w:val="24"/>
                <w:szCs w:val="24"/>
              </w:rPr>
            </w:pPr>
            <w:r>
              <w:rPr>
                <w:b/>
                <w:sz w:val="24"/>
                <w:szCs w:val="24"/>
              </w:rPr>
              <w:sym w:font="Wingdings 2" w:char="F04F"/>
            </w:r>
          </w:p>
        </w:tc>
        <w:tc>
          <w:tcPr>
            <w:tcW w:w="5007" w:type="dxa"/>
          </w:tcPr>
          <w:p w14:paraId="5960F12C" w14:textId="77777777" w:rsidR="00A650A7" w:rsidRPr="00A650A7" w:rsidRDefault="00A650A7" w:rsidP="00A650A7">
            <w:pPr>
              <w:jc w:val="both"/>
            </w:pPr>
            <w:r w:rsidRPr="00A650A7">
              <w:t>Неприложимо, тъй като ИСУН не позволява да се въвеждат разходи с отрицателен знак. Извършва се проверка на всички включени в ИП разходи</w:t>
            </w:r>
          </w:p>
        </w:tc>
      </w:tr>
      <w:tr w:rsidR="00A650A7" w14:paraId="0A2132FD" w14:textId="77777777" w:rsidTr="00394192">
        <w:tc>
          <w:tcPr>
            <w:tcW w:w="3391" w:type="dxa"/>
          </w:tcPr>
          <w:p w14:paraId="650F13AA" w14:textId="77777777" w:rsidR="00A650A7" w:rsidRDefault="00A650A7" w:rsidP="00A650A7">
            <w:pPr>
              <w:rPr>
                <w:b/>
                <w:sz w:val="24"/>
                <w:szCs w:val="24"/>
              </w:rPr>
            </w:pPr>
          </w:p>
        </w:tc>
        <w:tc>
          <w:tcPr>
            <w:tcW w:w="3391" w:type="dxa"/>
          </w:tcPr>
          <w:p w14:paraId="5069C3CE" w14:textId="1888F546" w:rsidR="00A650A7" w:rsidRPr="00394192" w:rsidRDefault="00A650A7" w:rsidP="00394192">
            <w:pPr>
              <w:pStyle w:val="ListParagraph"/>
              <w:ind w:left="0"/>
              <w:jc w:val="both"/>
              <w:rPr>
                <w:rFonts w:ascii="Times New Roman" w:hAnsi="Times New Roman"/>
                <w:i/>
                <w:sz w:val="24"/>
                <w:szCs w:val="24"/>
              </w:rPr>
            </w:pPr>
            <w:r w:rsidRPr="00CB024F">
              <w:rPr>
                <w:rFonts w:ascii="Times New Roman" w:hAnsi="Times New Roman"/>
                <w:i/>
                <w:sz w:val="24"/>
                <w:szCs w:val="24"/>
              </w:rPr>
              <w:t xml:space="preserve">Разходи по-високи от стойността на проекта </w:t>
            </w:r>
          </w:p>
        </w:tc>
        <w:tc>
          <w:tcPr>
            <w:tcW w:w="1814" w:type="dxa"/>
            <w:vAlign w:val="center"/>
          </w:tcPr>
          <w:p w14:paraId="048988A3" w14:textId="77777777" w:rsidR="00A650A7" w:rsidRDefault="00A650A7" w:rsidP="00A650A7">
            <w:pPr>
              <w:jc w:val="center"/>
            </w:pPr>
            <w:r w:rsidRPr="00B84111">
              <w:rPr>
                <w:b/>
                <w:sz w:val="24"/>
                <w:szCs w:val="24"/>
              </w:rPr>
              <w:sym w:font="Wingdings 2" w:char="F050"/>
            </w:r>
          </w:p>
        </w:tc>
        <w:tc>
          <w:tcPr>
            <w:tcW w:w="5007" w:type="dxa"/>
          </w:tcPr>
          <w:p w14:paraId="2B4B7DAD" w14:textId="77777777" w:rsidR="00A650A7" w:rsidRPr="00A650A7" w:rsidRDefault="00A650A7" w:rsidP="00A650A7">
            <w:pPr>
              <w:jc w:val="both"/>
            </w:pPr>
            <w:r w:rsidRPr="00A650A7">
              <w:t>Проверява се превишението, показано в инструмента.</w:t>
            </w:r>
          </w:p>
        </w:tc>
      </w:tr>
      <w:tr w:rsidR="00A650A7" w14:paraId="4DD0B73B" w14:textId="77777777" w:rsidTr="00394192">
        <w:tc>
          <w:tcPr>
            <w:tcW w:w="3391" w:type="dxa"/>
          </w:tcPr>
          <w:p w14:paraId="36ADBEEB" w14:textId="77777777" w:rsidR="00A650A7" w:rsidRDefault="00A650A7" w:rsidP="00A650A7">
            <w:pPr>
              <w:rPr>
                <w:b/>
                <w:sz w:val="24"/>
                <w:szCs w:val="24"/>
              </w:rPr>
            </w:pPr>
          </w:p>
        </w:tc>
        <w:tc>
          <w:tcPr>
            <w:tcW w:w="3391" w:type="dxa"/>
          </w:tcPr>
          <w:p w14:paraId="154272F6" w14:textId="1F960768" w:rsidR="00A650A7" w:rsidRPr="00394192" w:rsidRDefault="00A650A7" w:rsidP="00394192">
            <w:pPr>
              <w:pStyle w:val="ListParagraph"/>
              <w:ind w:left="0"/>
              <w:jc w:val="both"/>
              <w:rPr>
                <w:rFonts w:ascii="Times New Roman" w:hAnsi="Times New Roman"/>
                <w:sz w:val="24"/>
                <w:szCs w:val="24"/>
              </w:rPr>
            </w:pPr>
            <w:r w:rsidRPr="00954214">
              <w:rPr>
                <w:rFonts w:ascii="Times New Roman" w:hAnsi="Times New Roman"/>
                <w:i/>
                <w:sz w:val="24"/>
                <w:szCs w:val="24"/>
              </w:rPr>
              <w:t>Разходи за земя спрямо разходите по проекта</w:t>
            </w:r>
            <w:r w:rsidRPr="007458C4">
              <w:rPr>
                <w:rFonts w:ascii="Times New Roman" w:hAnsi="Times New Roman"/>
                <w:sz w:val="24"/>
                <w:szCs w:val="24"/>
              </w:rPr>
              <w:t xml:space="preserve"> </w:t>
            </w:r>
          </w:p>
        </w:tc>
        <w:tc>
          <w:tcPr>
            <w:tcW w:w="1814" w:type="dxa"/>
            <w:vAlign w:val="center"/>
          </w:tcPr>
          <w:p w14:paraId="3141119F" w14:textId="77777777" w:rsidR="00A650A7" w:rsidRDefault="00A650A7" w:rsidP="00A650A7">
            <w:pPr>
              <w:jc w:val="center"/>
              <w:rPr>
                <w:b/>
                <w:sz w:val="24"/>
                <w:szCs w:val="24"/>
              </w:rPr>
            </w:pPr>
            <w:r>
              <w:rPr>
                <w:b/>
                <w:sz w:val="24"/>
                <w:szCs w:val="24"/>
              </w:rPr>
              <w:sym w:font="Wingdings 2" w:char="F04F"/>
            </w:r>
          </w:p>
        </w:tc>
        <w:tc>
          <w:tcPr>
            <w:tcW w:w="5007" w:type="dxa"/>
          </w:tcPr>
          <w:p w14:paraId="284DDAD4" w14:textId="77777777" w:rsidR="00A650A7" w:rsidRPr="00A650A7" w:rsidRDefault="00A650A7" w:rsidP="00A650A7">
            <w:pPr>
              <w:jc w:val="both"/>
            </w:pPr>
            <w:r w:rsidRPr="00A650A7">
              <w:t>Неприложимо по ОПДУ.</w:t>
            </w:r>
          </w:p>
        </w:tc>
      </w:tr>
      <w:tr w:rsidR="00A650A7" w14:paraId="184AC1D3" w14:textId="77777777" w:rsidTr="00394192">
        <w:tc>
          <w:tcPr>
            <w:tcW w:w="3391" w:type="dxa"/>
          </w:tcPr>
          <w:p w14:paraId="5B121F75" w14:textId="77777777" w:rsidR="00A650A7" w:rsidRDefault="00A650A7" w:rsidP="00A650A7">
            <w:pPr>
              <w:rPr>
                <w:b/>
                <w:sz w:val="24"/>
                <w:szCs w:val="24"/>
              </w:rPr>
            </w:pPr>
            <w:r>
              <w:rPr>
                <w:b/>
                <w:sz w:val="24"/>
                <w:szCs w:val="24"/>
              </w:rPr>
              <w:t>Изпълнение</w:t>
            </w:r>
          </w:p>
        </w:tc>
        <w:tc>
          <w:tcPr>
            <w:tcW w:w="3391" w:type="dxa"/>
          </w:tcPr>
          <w:p w14:paraId="614DC137" w14:textId="77777777" w:rsidR="00A650A7" w:rsidRPr="00A650A7" w:rsidRDefault="00A650A7" w:rsidP="00C34CF9">
            <w:pPr>
              <w:pStyle w:val="ListParagraph"/>
              <w:ind w:left="0"/>
              <w:jc w:val="both"/>
              <w:rPr>
                <w:rFonts w:ascii="Times New Roman" w:hAnsi="Times New Roman"/>
                <w:sz w:val="24"/>
                <w:szCs w:val="24"/>
              </w:rPr>
            </w:pPr>
            <w:r w:rsidRPr="003B6563">
              <w:rPr>
                <w:rFonts w:ascii="Times New Roman" w:hAnsi="Times New Roman"/>
                <w:i/>
                <w:sz w:val="24"/>
                <w:szCs w:val="24"/>
              </w:rPr>
              <w:t>Брой на фактически обучените хора по проекта спрямо предвидения брой</w:t>
            </w:r>
            <w:r w:rsidRPr="003B6563">
              <w:rPr>
                <w:rFonts w:ascii="Times New Roman" w:hAnsi="Times New Roman"/>
                <w:sz w:val="24"/>
                <w:szCs w:val="24"/>
              </w:rPr>
              <w:t xml:space="preserve">  </w:t>
            </w:r>
          </w:p>
        </w:tc>
        <w:tc>
          <w:tcPr>
            <w:tcW w:w="1814" w:type="dxa"/>
            <w:vAlign w:val="center"/>
          </w:tcPr>
          <w:p w14:paraId="7EFA4287" w14:textId="77777777" w:rsidR="00A650A7" w:rsidRDefault="00A650A7" w:rsidP="00C34CF9">
            <w:pPr>
              <w:jc w:val="center"/>
              <w:rPr>
                <w:b/>
                <w:sz w:val="24"/>
                <w:szCs w:val="24"/>
              </w:rPr>
            </w:pPr>
            <w:r w:rsidRPr="00B84111">
              <w:rPr>
                <w:b/>
                <w:sz w:val="24"/>
                <w:szCs w:val="24"/>
              </w:rPr>
              <w:sym w:font="Wingdings 2" w:char="F050"/>
            </w:r>
          </w:p>
        </w:tc>
        <w:tc>
          <w:tcPr>
            <w:tcW w:w="5007" w:type="dxa"/>
          </w:tcPr>
          <w:p w14:paraId="61D7364B" w14:textId="77777777" w:rsidR="00A650A7" w:rsidRPr="00C34CF9" w:rsidRDefault="00A650A7" w:rsidP="00C34CF9">
            <w:pPr>
              <w:jc w:val="both"/>
            </w:pPr>
            <w:r w:rsidRPr="00C34CF9">
              <w:t>Проверява се постигането на индикатора за брой обучени представители на целевата група.</w:t>
            </w:r>
          </w:p>
        </w:tc>
      </w:tr>
      <w:tr w:rsidR="00A650A7" w14:paraId="167631A8" w14:textId="77777777" w:rsidTr="00394192">
        <w:tc>
          <w:tcPr>
            <w:tcW w:w="3391" w:type="dxa"/>
          </w:tcPr>
          <w:p w14:paraId="06FA88AF" w14:textId="77777777" w:rsidR="00A650A7" w:rsidRDefault="00A650A7" w:rsidP="00A650A7">
            <w:pPr>
              <w:rPr>
                <w:b/>
                <w:sz w:val="24"/>
                <w:szCs w:val="24"/>
              </w:rPr>
            </w:pPr>
          </w:p>
        </w:tc>
        <w:tc>
          <w:tcPr>
            <w:tcW w:w="3391" w:type="dxa"/>
          </w:tcPr>
          <w:p w14:paraId="545A4A8F" w14:textId="77777777" w:rsidR="00A650A7" w:rsidRPr="007458C4" w:rsidRDefault="00A650A7" w:rsidP="00C34CF9">
            <w:pPr>
              <w:pStyle w:val="ListParagraph"/>
              <w:ind w:left="0"/>
              <w:jc w:val="both"/>
              <w:rPr>
                <w:i/>
                <w:sz w:val="24"/>
                <w:szCs w:val="24"/>
              </w:rPr>
            </w:pPr>
            <w:r w:rsidRPr="003B6563">
              <w:rPr>
                <w:rFonts w:ascii="Times New Roman" w:hAnsi="Times New Roman"/>
                <w:i/>
                <w:sz w:val="24"/>
                <w:szCs w:val="24"/>
              </w:rPr>
              <w:t>Брой фактически часове на обучение по проекта спрямо предвидения брой</w:t>
            </w:r>
            <w:r w:rsidRPr="003B6563">
              <w:rPr>
                <w:rFonts w:ascii="Times New Roman" w:hAnsi="Times New Roman"/>
                <w:sz w:val="24"/>
                <w:szCs w:val="24"/>
              </w:rPr>
              <w:t xml:space="preserve"> </w:t>
            </w:r>
          </w:p>
        </w:tc>
        <w:tc>
          <w:tcPr>
            <w:tcW w:w="1814" w:type="dxa"/>
            <w:vAlign w:val="center"/>
          </w:tcPr>
          <w:p w14:paraId="26EB3781" w14:textId="77777777" w:rsidR="00A650A7" w:rsidRDefault="00A650A7" w:rsidP="00C34CF9">
            <w:pPr>
              <w:jc w:val="center"/>
            </w:pPr>
            <w:r w:rsidRPr="00E262B7">
              <w:rPr>
                <w:b/>
                <w:sz w:val="24"/>
                <w:szCs w:val="24"/>
              </w:rPr>
              <w:sym w:font="Wingdings 2" w:char="F04F"/>
            </w:r>
          </w:p>
        </w:tc>
        <w:tc>
          <w:tcPr>
            <w:tcW w:w="5007" w:type="dxa"/>
          </w:tcPr>
          <w:p w14:paraId="28BD0464" w14:textId="77777777" w:rsidR="00A650A7" w:rsidRPr="00C34CF9" w:rsidRDefault="00A650A7" w:rsidP="00C34CF9">
            <w:pPr>
              <w:jc w:val="both"/>
            </w:pPr>
            <w:r w:rsidRPr="00C34CF9">
              <w:t xml:space="preserve">Неприложимо по ОПДУ. </w:t>
            </w:r>
          </w:p>
          <w:p w14:paraId="765E3077" w14:textId="77777777" w:rsidR="00A650A7" w:rsidRPr="00C34CF9" w:rsidRDefault="00A650A7" w:rsidP="00C34CF9">
            <w:pPr>
              <w:jc w:val="both"/>
            </w:pPr>
          </w:p>
        </w:tc>
      </w:tr>
      <w:tr w:rsidR="00A650A7" w14:paraId="57751A37" w14:textId="77777777" w:rsidTr="00394192">
        <w:tc>
          <w:tcPr>
            <w:tcW w:w="3391" w:type="dxa"/>
          </w:tcPr>
          <w:p w14:paraId="4F5BA736" w14:textId="77777777" w:rsidR="00A650A7" w:rsidRDefault="00A650A7" w:rsidP="00A650A7">
            <w:pPr>
              <w:rPr>
                <w:b/>
                <w:sz w:val="24"/>
                <w:szCs w:val="24"/>
              </w:rPr>
            </w:pPr>
          </w:p>
        </w:tc>
        <w:tc>
          <w:tcPr>
            <w:tcW w:w="3391" w:type="dxa"/>
          </w:tcPr>
          <w:p w14:paraId="0A2AB0C4" w14:textId="77777777" w:rsidR="00A650A7" w:rsidRPr="007458C4" w:rsidRDefault="00A650A7" w:rsidP="00C34CF9">
            <w:pPr>
              <w:jc w:val="both"/>
              <w:rPr>
                <w:i/>
                <w:sz w:val="24"/>
                <w:szCs w:val="24"/>
              </w:rPr>
            </w:pPr>
            <w:r w:rsidRPr="003B6563">
              <w:rPr>
                <w:i/>
                <w:sz w:val="24"/>
                <w:szCs w:val="24"/>
              </w:rPr>
              <w:t>Извършени разходи за един обучителен час спрямо одобрените</w:t>
            </w:r>
          </w:p>
        </w:tc>
        <w:tc>
          <w:tcPr>
            <w:tcW w:w="1814" w:type="dxa"/>
            <w:vAlign w:val="center"/>
          </w:tcPr>
          <w:p w14:paraId="22CC0321" w14:textId="77777777" w:rsidR="00A650A7" w:rsidRDefault="00A650A7" w:rsidP="00C34CF9">
            <w:pPr>
              <w:jc w:val="center"/>
            </w:pPr>
            <w:r w:rsidRPr="00E262B7">
              <w:rPr>
                <w:b/>
                <w:sz w:val="24"/>
                <w:szCs w:val="24"/>
              </w:rPr>
              <w:sym w:font="Wingdings 2" w:char="F04F"/>
            </w:r>
          </w:p>
        </w:tc>
        <w:tc>
          <w:tcPr>
            <w:tcW w:w="5007" w:type="dxa"/>
          </w:tcPr>
          <w:p w14:paraId="07A0DE1C" w14:textId="77777777" w:rsidR="00A650A7" w:rsidRPr="00C34CF9" w:rsidRDefault="00A650A7" w:rsidP="00C34CF9">
            <w:pPr>
              <w:jc w:val="both"/>
            </w:pPr>
            <w:r w:rsidRPr="00C34CF9">
              <w:t xml:space="preserve">Неприложимо по ОПДУ. </w:t>
            </w:r>
          </w:p>
          <w:p w14:paraId="417598D6" w14:textId="77777777" w:rsidR="00A650A7" w:rsidRPr="00C34CF9" w:rsidRDefault="00A650A7" w:rsidP="00C34CF9">
            <w:pPr>
              <w:jc w:val="both"/>
            </w:pPr>
          </w:p>
        </w:tc>
      </w:tr>
      <w:tr w:rsidR="00A650A7" w14:paraId="0546A6A5" w14:textId="77777777" w:rsidTr="00394192">
        <w:tc>
          <w:tcPr>
            <w:tcW w:w="3391" w:type="dxa"/>
          </w:tcPr>
          <w:p w14:paraId="427B8CF7" w14:textId="77777777" w:rsidR="00A650A7" w:rsidRDefault="00A650A7" w:rsidP="00A650A7">
            <w:pPr>
              <w:rPr>
                <w:b/>
                <w:sz w:val="24"/>
                <w:szCs w:val="24"/>
              </w:rPr>
            </w:pPr>
          </w:p>
        </w:tc>
        <w:tc>
          <w:tcPr>
            <w:tcW w:w="3391" w:type="dxa"/>
          </w:tcPr>
          <w:p w14:paraId="18DBC988" w14:textId="77777777" w:rsidR="00A650A7" w:rsidRPr="007458C4" w:rsidRDefault="00A650A7" w:rsidP="00C34CF9">
            <w:pPr>
              <w:pStyle w:val="ListParagraph"/>
              <w:ind w:left="0"/>
              <w:jc w:val="both"/>
              <w:rPr>
                <w:i/>
                <w:sz w:val="24"/>
                <w:szCs w:val="24"/>
              </w:rPr>
            </w:pPr>
            <w:r w:rsidRPr="003B6563">
              <w:rPr>
                <w:rFonts w:ascii="Times New Roman" w:hAnsi="Times New Roman"/>
                <w:i/>
                <w:sz w:val="24"/>
                <w:szCs w:val="24"/>
              </w:rPr>
              <w:t>Брой на допълнителен персонал след приключването на проекта спрямо предвидения по проекта</w:t>
            </w:r>
            <w:r>
              <w:rPr>
                <w:rFonts w:ascii="Times New Roman" w:hAnsi="Times New Roman"/>
                <w:sz w:val="24"/>
                <w:szCs w:val="24"/>
              </w:rPr>
              <w:t xml:space="preserve"> </w:t>
            </w:r>
          </w:p>
        </w:tc>
        <w:tc>
          <w:tcPr>
            <w:tcW w:w="1814" w:type="dxa"/>
            <w:vAlign w:val="center"/>
          </w:tcPr>
          <w:p w14:paraId="42CF2C2A" w14:textId="77777777" w:rsidR="00A650A7" w:rsidRDefault="00A650A7" w:rsidP="00C34CF9">
            <w:pPr>
              <w:jc w:val="center"/>
            </w:pPr>
            <w:r w:rsidRPr="00E262B7">
              <w:rPr>
                <w:b/>
                <w:sz w:val="24"/>
                <w:szCs w:val="24"/>
              </w:rPr>
              <w:sym w:font="Wingdings 2" w:char="F04F"/>
            </w:r>
          </w:p>
        </w:tc>
        <w:tc>
          <w:tcPr>
            <w:tcW w:w="5007" w:type="dxa"/>
          </w:tcPr>
          <w:p w14:paraId="20DE2538" w14:textId="77777777" w:rsidR="00A650A7" w:rsidRDefault="00A650A7" w:rsidP="00C34CF9">
            <w:pPr>
              <w:jc w:val="both"/>
            </w:pPr>
            <w:r w:rsidRPr="00C34CF9">
              <w:t xml:space="preserve">Неприложимо по ОПДУ. </w:t>
            </w:r>
          </w:p>
        </w:tc>
      </w:tr>
      <w:tr w:rsidR="00A650A7" w14:paraId="6F4D547A" w14:textId="77777777" w:rsidTr="00394192">
        <w:tc>
          <w:tcPr>
            <w:tcW w:w="3391" w:type="dxa"/>
          </w:tcPr>
          <w:p w14:paraId="0273BE7E" w14:textId="77777777" w:rsidR="00A650A7" w:rsidRDefault="00A650A7" w:rsidP="00A650A7">
            <w:pPr>
              <w:rPr>
                <w:b/>
                <w:sz w:val="24"/>
                <w:szCs w:val="24"/>
              </w:rPr>
            </w:pPr>
          </w:p>
        </w:tc>
        <w:tc>
          <w:tcPr>
            <w:tcW w:w="3391" w:type="dxa"/>
          </w:tcPr>
          <w:p w14:paraId="2D5FA43E" w14:textId="77777777" w:rsidR="00A650A7" w:rsidRPr="007458C4" w:rsidRDefault="00A650A7" w:rsidP="00C34CF9">
            <w:pPr>
              <w:jc w:val="both"/>
              <w:rPr>
                <w:i/>
                <w:sz w:val="24"/>
                <w:szCs w:val="24"/>
              </w:rPr>
            </w:pPr>
            <w:r w:rsidRPr="003B6563">
              <w:rPr>
                <w:i/>
                <w:sz w:val="24"/>
                <w:szCs w:val="24"/>
              </w:rPr>
              <w:t>Брой на предвидения по проекта допълнителен персонал по проекта спрямо наличния</w:t>
            </w:r>
          </w:p>
        </w:tc>
        <w:tc>
          <w:tcPr>
            <w:tcW w:w="1814" w:type="dxa"/>
            <w:vAlign w:val="center"/>
          </w:tcPr>
          <w:p w14:paraId="492CA868" w14:textId="77777777" w:rsidR="00A650A7" w:rsidRDefault="00A650A7" w:rsidP="00C34CF9">
            <w:pPr>
              <w:jc w:val="center"/>
            </w:pPr>
            <w:r w:rsidRPr="00E262B7">
              <w:rPr>
                <w:b/>
                <w:sz w:val="24"/>
                <w:szCs w:val="24"/>
              </w:rPr>
              <w:sym w:font="Wingdings 2" w:char="F04F"/>
            </w:r>
          </w:p>
        </w:tc>
        <w:tc>
          <w:tcPr>
            <w:tcW w:w="5007" w:type="dxa"/>
          </w:tcPr>
          <w:p w14:paraId="51456C01" w14:textId="77777777" w:rsidR="00A650A7" w:rsidRDefault="00A650A7" w:rsidP="00C34CF9">
            <w:pPr>
              <w:jc w:val="both"/>
            </w:pPr>
            <w:r w:rsidRPr="00C34CF9">
              <w:t xml:space="preserve">Неприложимо по ОПДУ. </w:t>
            </w:r>
          </w:p>
        </w:tc>
      </w:tr>
      <w:tr w:rsidR="00A650A7" w14:paraId="67702F3C" w14:textId="77777777" w:rsidTr="00394192">
        <w:tc>
          <w:tcPr>
            <w:tcW w:w="3391" w:type="dxa"/>
          </w:tcPr>
          <w:p w14:paraId="04AEBEAA" w14:textId="77777777" w:rsidR="00A650A7" w:rsidRDefault="00A650A7" w:rsidP="00A650A7">
            <w:pPr>
              <w:rPr>
                <w:b/>
                <w:sz w:val="24"/>
                <w:szCs w:val="24"/>
              </w:rPr>
            </w:pPr>
          </w:p>
        </w:tc>
        <w:tc>
          <w:tcPr>
            <w:tcW w:w="3391" w:type="dxa"/>
          </w:tcPr>
          <w:p w14:paraId="3ED53A6D" w14:textId="77777777" w:rsidR="00A650A7" w:rsidRPr="007458C4" w:rsidRDefault="00A650A7" w:rsidP="00C34CF9">
            <w:pPr>
              <w:pStyle w:val="ListParagraph"/>
              <w:ind w:left="0"/>
              <w:jc w:val="both"/>
              <w:rPr>
                <w:i/>
                <w:sz w:val="24"/>
                <w:szCs w:val="24"/>
              </w:rPr>
            </w:pPr>
            <w:r w:rsidRPr="003B6563">
              <w:rPr>
                <w:rFonts w:ascii="Times New Roman" w:hAnsi="Times New Roman"/>
                <w:i/>
                <w:sz w:val="24"/>
                <w:szCs w:val="24"/>
              </w:rPr>
              <w:t>Допълнителен оборот в края на проекта спрямо допълнителен договорен оборот</w:t>
            </w:r>
            <w:r>
              <w:rPr>
                <w:rFonts w:ascii="Times New Roman" w:hAnsi="Times New Roman"/>
                <w:sz w:val="24"/>
                <w:szCs w:val="24"/>
              </w:rPr>
              <w:t xml:space="preserve"> </w:t>
            </w:r>
          </w:p>
        </w:tc>
        <w:tc>
          <w:tcPr>
            <w:tcW w:w="1814" w:type="dxa"/>
            <w:vAlign w:val="center"/>
          </w:tcPr>
          <w:p w14:paraId="152F4A0E" w14:textId="77777777" w:rsidR="00A650A7" w:rsidRDefault="00A650A7" w:rsidP="00C34CF9">
            <w:pPr>
              <w:jc w:val="center"/>
            </w:pPr>
            <w:r w:rsidRPr="00E262B7">
              <w:rPr>
                <w:b/>
                <w:sz w:val="24"/>
                <w:szCs w:val="24"/>
              </w:rPr>
              <w:sym w:font="Wingdings 2" w:char="F04F"/>
            </w:r>
          </w:p>
        </w:tc>
        <w:tc>
          <w:tcPr>
            <w:tcW w:w="5007" w:type="dxa"/>
          </w:tcPr>
          <w:p w14:paraId="5238C87C" w14:textId="77777777" w:rsidR="00A650A7" w:rsidRDefault="00A650A7" w:rsidP="00C34CF9">
            <w:pPr>
              <w:jc w:val="both"/>
            </w:pPr>
            <w:r w:rsidRPr="00C34CF9">
              <w:t xml:space="preserve">Неприложимо по ОПДУ. </w:t>
            </w:r>
          </w:p>
        </w:tc>
      </w:tr>
      <w:tr w:rsidR="00A650A7" w14:paraId="0C0CC9C1" w14:textId="77777777" w:rsidTr="00394192">
        <w:tc>
          <w:tcPr>
            <w:tcW w:w="3391" w:type="dxa"/>
          </w:tcPr>
          <w:p w14:paraId="55D10A1B" w14:textId="77777777" w:rsidR="00A650A7" w:rsidRDefault="00A650A7" w:rsidP="00A650A7">
            <w:pPr>
              <w:rPr>
                <w:b/>
                <w:sz w:val="24"/>
                <w:szCs w:val="24"/>
              </w:rPr>
            </w:pPr>
          </w:p>
        </w:tc>
        <w:tc>
          <w:tcPr>
            <w:tcW w:w="3391" w:type="dxa"/>
          </w:tcPr>
          <w:p w14:paraId="4F7D8A92" w14:textId="77777777" w:rsidR="00A650A7" w:rsidRPr="007458C4" w:rsidRDefault="00A650A7" w:rsidP="00C34CF9">
            <w:pPr>
              <w:jc w:val="both"/>
              <w:rPr>
                <w:i/>
                <w:sz w:val="24"/>
                <w:szCs w:val="24"/>
              </w:rPr>
            </w:pPr>
            <w:r w:rsidRPr="003B6563">
              <w:rPr>
                <w:i/>
                <w:sz w:val="24"/>
                <w:szCs w:val="24"/>
              </w:rPr>
              <w:t>Допълнителен договорен оборот спрямо реалния оборот при одобряването на проекта</w:t>
            </w:r>
          </w:p>
        </w:tc>
        <w:tc>
          <w:tcPr>
            <w:tcW w:w="1814" w:type="dxa"/>
            <w:vAlign w:val="center"/>
          </w:tcPr>
          <w:p w14:paraId="1E39D7EF" w14:textId="77777777" w:rsidR="00A650A7" w:rsidRDefault="00A650A7" w:rsidP="00C34CF9">
            <w:pPr>
              <w:jc w:val="center"/>
            </w:pPr>
            <w:r w:rsidRPr="00E262B7">
              <w:rPr>
                <w:b/>
                <w:sz w:val="24"/>
                <w:szCs w:val="24"/>
              </w:rPr>
              <w:sym w:font="Wingdings 2" w:char="F04F"/>
            </w:r>
          </w:p>
        </w:tc>
        <w:tc>
          <w:tcPr>
            <w:tcW w:w="5007" w:type="dxa"/>
          </w:tcPr>
          <w:p w14:paraId="2C1DBDF2" w14:textId="77777777" w:rsidR="00A650A7" w:rsidRDefault="00A650A7" w:rsidP="00C34CF9">
            <w:pPr>
              <w:jc w:val="both"/>
            </w:pPr>
            <w:r w:rsidRPr="00C34CF9">
              <w:t xml:space="preserve">Неприложимо по ОПДУ. </w:t>
            </w:r>
          </w:p>
        </w:tc>
      </w:tr>
      <w:tr w:rsidR="00A650A7" w14:paraId="4F4E2603" w14:textId="77777777" w:rsidTr="00394192">
        <w:tc>
          <w:tcPr>
            <w:tcW w:w="3391" w:type="dxa"/>
          </w:tcPr>
          <w:p w14:paraId="61A4A69C" w14:textId="77777777" w:rsidR="00A650A7" w:rsidRDefault="00A650A7" w:rsidP="00A650A7">
            <w:pPr>
              <w:rPr>
                <w:b/>
                <w:sz w:val="24"/>
                <w:szCs w:val="24"/>
              </w:rPr>
            </w:pPr>
          </w:p>
        </w:tc>
        <w:tc>
          <w:tcPr>
            <w:tcW w:w="3391" w:type="dxa"/>
          </w:tcPr>
          <w:p w14:paraId="0498A30A" w14:textId="77777777" w:rsidR="00A650A7" w:rsidRPr="007458C4" w:rsidRDefault="00A650A7" w:rsidP="00C34CF9">
            <w:pPr>
              <w:jc w:val="both"/>
              <w:rPr>
                <w:i/>
                <w:sz w:val="24"/>
                <w:szCs w:val="24"/>
              </w:rPr>
            </w:pPr>
            <w:r w:rsidRPr="00D73375">
              <w:rPr>
                <w:i/>
                <w:sz w:val="24"/>
                <w:szCs w:val="24"/>
              </w:rPr>
              <w:t>Разходи по проекта спрямо км. път</w:t>
            </w:r>
          </w:p>
        </w:tc>
        <w:tc>
          <w:tcPr>
            <w:tcW w:w="1814" w:type="dxa"/>
            <w:vAlign w:val="center"/>
          </w:tcPr>
          <w:p w14:paraId="6EB36D7A" w14:textId="77777777" w:rsidR="00A650A7" w:rsidRDefault="00A650A7" w:rsidP="00C34CF9">
            <w:pPr>
              <w:jc w:val="center"/>
            </w:pPr>
            <w:r w:rsidRPr="00E262B7">
              <w:rPr>
                <w:b/>
                <w:sz w:val="24"/>
                <w:szCs w:val="24"/>
              </w:rPr>
              <w:sym w:font="Wingdings 2" w:char="F04F"/>
            </w:r>
          </w:p>
        </w:tc>
        <w:tc>
          <w:tcPr>
            <w:tcW w:w="5007" w:type="dxa"/>
          </w:tcPr>
          <w:p w14:paraId="747BE005" w14:textId="77777777" w:rsidR="00A650A7" w:rsidRDefault="00A650A7" w:rsidP="00C34CF9">
            <w:pPr>
              <w:jc w:val="both"/>
            </w:pPr>
            <w:r w:rsidRPr="00C34CF9">
              <w:t xml:space="preserve">Неприложимо по ОПДУ. </w:t>
            </w:r>
          </w:p>
        </w:tc>
      </w:tr>
      <w:tr w:rsidR="00C34CF9" w14:paraId="572F0585" w14:textId="77777777" w:rsidTr="00394192">
        <w:tc>
          <w:tcPr>
            <w:tcW w:w="3391" w:type="dxa"/>
          </w:tcPr>
          <w:p w14:paraId="04152739" w14:textId="77777777" w:rsidR="00C34CF9" w:rsidRDefault="00C34CF9" w:rsidP="00C34CF9">
            <w:pPr>
              <w:rPr>
                <w:b/>
                <w:sz w:val="24"/>
                <w:szCs w:val="24"/>
              </w:rPr>
            </w:pPr>
          </w:p>
        </w:tc>
        <w:tc>
          <w:tcPr>
            <w:tcW w:w="3391" w:type="dxa"/>
          </w:tcPr>
          <w:p w14:paraId="3A8E58ED" w14:textId="77777777" w:rsidR="00C34CF9" w:rsidRPr="007458C4" w:rsidRDefault="00C34CF9" w:rsidP="00C34CF9">
            <w:pPr>
              <w:pStyle w:val="ListParagraph"/>
              <w:ind w:left="0"/>
              <w:jc w:val="both"/>
              <w:rPr>
                <w:i/>
                <w:sz w:val="24"/>
                <w:szCs w:val="24"/>
              </w:rPr>
            </w:pPr>
            <w:r w:rsidRPr="00D73375">
              <w:rPr>
                <w:rFonts w:ascii="Times New Roman" w:hAnsi="Times New Roman"/>
                <w:i/>
                <w:sz w:val="24"/>
                <w:szCs w:val="24"/>
              </w:rPr>
              <w:t>Разходи по проекта спрямо км. път</w:t>
            </w:r>
            <w:r w:rsidRPr="00D73375">
              <w:rPr>
                <w:rFonts w:ascii="Times New Roman" w:hAnsi="Times New Roman"/>
                <w:sz w:val="24"/>
                <w:szCs w:val="24"/>
              </w:rPr>
              <w:t xml:space="preserve"> </w:t>
            </w:r>
          </w:p>
        </w:tc>
        <w:tc>
          <w:tcPr>
            <w:tcW w:w="1814" w:type="dxa"/>
            <w:vAlign w:val="center"/>
          </w:tcPr>
          <w:p w14:paraId="01F63DD0" w14:textId="77777777" w:rsidR="00C34CF9" w:rsidRDefault="00C34CF9" w:rsidP="00C34CF9">
            <w:pPr>
              <w:jc w:val="center"/>
            </w:pPr>
            <w:r w:rsidRPr="00820C65">
              <w:rPr>
                <w:b/>
                <w:sz w:val="24"/>
                <w:szCs w:val="24"/>
              </w:rPr>
              <w:sym w:font="Wingdings 2" w:char="F04F"/>
            </w:r>
          </w:p>
        </w:tc>
        <w:tc>
          <w:tcPr>
            <w:tcW w:w="5007" w:type="dxa"/>
          </w:tcPr>
          <w:p w14:paraId="5EAE1380" w14:textId="77777777" w:rsidR="00C34CF9" w:rsidRDefault="00C34CF9" w:rsidP="00C34CF9">
            <w:pPr>
              <w:jc w:val="both"/>
            </w:pPr>
            <w:r w:rsidRPr="00C34CF9">
              <w:t xml:space="preserve">Неприложимо по ОПДУ. </w:t>
            </w:r>
          </w:p>
        </w:tc>
      </w:tr>
      <w:tr w:rsidR="00C34CF9" w14:paraId="78D50F22" w14:textId="77777777" w:rsidTr="00394192">
        <w:tc>
          <w:tcPr>
            <w:tcW w:w="3391" w:type="dxa"/>
          </w:tcPr>
          <w:p w14:paraId="41F39F00" w14:textId="77777777" w:rsidR="00C34CF9" w:rsidRDefault="00C34CF9" w:rsidP="00C34CF9">
            <w:pPr>
              <w:rPr>
                <w:b/>
                <w:sz w:val="24"/>
                <w:szCs w:val="24"/>
              </w:rPr>
            </w:pPr>
          </w:p>
        </w:tc>
        <w:tc>
          <w:tcPr>
            <w:tcW w:w="3391" w:type="dxa"/>
          </w:tcPr>
          <w:p w14:paraId="3A279B1E" w14:textId="77777777" w:rsidR="00C34CF9" w:rsidRPr="007458C4" w:rsidRDefault="00C34CF9" w:rsidP="00C34CF9">
            <w:pPr>
              <w:jc w:val="both"/>
              <w:rPr>
                <w:i/>
                <w:sz w:val="24"/>
                <w:szCs w:val="24"/>
              </w:rPr>
            </w:pPr>
            <w:r w:rsidRPr="00D73375">
              <w:rPr>
                <w:i/>
                <w:sz w:val="24"/>
                <w:szCs w:val="24"/>
              </w:rPr>
              <w:t>Разходи по проекта спрямо км. релсов път</w:t>
            </w:r>
          </w:p>
        </w:tc>
        <w:tc>
          <w:tcPr>
            <w:tcW w:w="1814" w:type="dxa"/>
            <w:vAlign w:val="center"/>
          </w:tcPr>
          <w:p w14:paraId="1C7698C1" w14:textId="77777777" w:rsidR="00C34CF9" w:rsidRDefault="00C34CF9" w:rsidP="00C34CF9">
            <w:pPr>
              <w:jc w:val="center"/>
            </w:pPr>
            <w:r w:rsidRPr="00820C65">
              <w:rPr>
                <w:b/>
                <w:sz w:val="24"/>
                <w:szCs w:val="24"/>
              </w:rPr>
              <w:sym w:font="Wingdings 2" w:char="F04F"/>
            </w:r>
          </w:p>
        </w:tc>
        <w:tc>
          <w:tcPr>
            <w:tcW w:w="5007" w:type="dxa"/>
          </w:tcPr>
          <w:p w14:paraId="0CCEE933" w14:textId="77777777" w:rsidR="00C34CF9" w:rsidRDefault="00C34CF9" w:rsidP="00C34CF9">
            <w:pPr>
              <w:jc w:val="both"/>
            </w:pPr>
            <w:r w:rsidRPr="00C34CF9">
              <w:t xml:space="preserve">Неприложимо по ОПДУ. </w:t>
            </w:r>
          </w:p>
        </w:tc>
      </w:tr>
      <w:tr w:rsidR="00C34CF9" w14:paraId="4CB5EA08" w14:textId="77777777" w:rsidTr="00394192">
        <w:tc>
          <w:tcPr>
            <w:tcW w:w="3391" w:type="dxa"/>
          </w:tcPr>
          <w:p w14:paraId="20B281BE" w14:textId="77777777" w:rsidR="00C34CF9" w:rsidRDefault="00C34CF9" w:rsidP="00C34CF9">
            <w:pPr>
              <w:rPr>
                <w:b/>
                <w:sz w:val="24"/>
                <w:szCs w:val="24"/>
              </w:rPr>
            </w:pPr>
          </w:p>
        </w:tc>
        <w:tc>
          <w:tcPr>
            <w:tcW w:w="3391" w:type="dxa"/>
          </w:tcPr>
          <w:p w14:paraId="7B280932" w14:textId="77777777" w:rsidR="00C34CF9" w:rsidRPr="007458C4" w:rsidRDefault="00C34CF9" w:rsidP="00C34CF9">
            <w:pPr>
              <w:jc w:val="both"/>
              <w:rPr>
                <w:i/>
                <w:sz w:val="24"/>
                <w:szCs w:val="24"/>
              </w:rPr>
            </w:pPr>
            <w:r w:rsidRPr="00D73375">
              <w:rPr>
                <w:i/>
                <w:sz w:val="24"/>
                <w:szCs w:val="24"/>
              </w:rPr>
              <w:t>Разходи по проекта спрямо количество третирани твърди отпадъци</w:t>
            </w:r>
          </w:p>
        </w:tc>
        <w:tc>
          <w:tcPr>
            <w:tcW w:w="1814" w:type="dxa"/>
            <w:vAlign w:val="center"/>
          </w:tcPr>
          <w:p w14:paraId="49F5C5B0" w14:textId="77777777" w:rsidR="00C34CF9" w:rsidRDefault="00C34CF9" w:rsidP="00C34CF9">
            <w:pPr>
              <w:jc w:val="center"/>
            </w:pPr>
            <w:r w:rsidRPr="00820C65">
              <w:rPr>
                <w:b/>
                <w:sz w:val="24"/>
                <w:szCs w:val="24"/>
              </w:rPr>
              <w:sym w:font="Wingdings 2" w:char="F04F"/>
            </w:r>
          </w:p>
        </w:tc>
        <w:tc>
          <w:tcPr>
            <w:tcW w:w="5007" w:type="dxa"/>
          </w:tcPr>
          <w:p w14:paraId="74ADDAF5" w14:textId="77777777" w:rsidR="00C34CF9" w:rsidRDefault="00C34CF9" w:rsidP="00C34CF9">
            <w:pPr>
              <w:jc w:val="both"/>
            </w:pPr>
            <w:r w:rsidRPr="00C34CF9">
              <w:t xml:space="preserve">Неприложимо по ОПДУ. </w:t>
            </w:r>
          </w:p>
        </w:tc>
      </w:tr>
      <w:tr w:rsidR="00C34CF9" w14:paraId="7641298F" w14:textId="77777777" w:rsidTr="00394192">
        <w:tc>
          <w:tcPr>
            <w:tcW w:w="3391" w:type="dxa"/>
          </w:tcPr>
          <w:p w14:paraId="79E006A6" w14:textId="77777777" w:rsidR="00C34CF9" w:rsidRDefault="00C34CF9" w:rsidP="00C34CF9">
            <w:pPr>
              <w:rPr>
                <w:b/>
                <w:sz w:val="24"/>
                <w:szCs w:val="24"/>
              </w:rPr>
            </w:pPr>
          </w:p>
        </w:tc>
        <w:tc>
          <w:tcPr>
            <w:tcW w:w="3391" w:type="dxa"/>
          </w:tcPr>
          <w:p w14:paraId="226C1507" w14:textId="77777777" w:rsidR="00C34CF9" w:rsidRPr="007458C4" w:rsidRDefault="00C34CF9" w:rsidP="00C34CF9">
            <w:pPr>
              <w:pStyle w:val="ListParagraph"/>
              <w:ind w:left="0"/>
              <w:jc w:val="both"/>
              <w:rPr>
                <w:i/>
                <w:sz w:val="24"/>
                <w:szCs w:val="24"/>
              </w:rPr>
            </w:pPr>
            <w:r w:rsidRPr="00D73375">
              <w:rPr>
                <w:rFonts w:ascii="Times New Roman" w:hAnsi="Times New Roman"/>
                <w:i/>
                <w:sz w:val="24"/>
                <w:szCs w:val="24"/>
              </w:rPr>
              <w:t>Количество на третираните твърди отпадъци спряма предвидените за третиране по проекта</w:t>
            </w:r>
            <w:r w:rsidRPr="00D73375">
              <w:rPr>
                <w:rFonts w:ascii="Times New Roman" w:hAnsi="Times New Roman"/>
                <w:sz w:val="24"/>
                <w:szCs w:val="24"/>
              </w:rPr>
              <w:t xml:space="preserve"> </w:t>
            </w:r>
          </w:p>
        </w:tc>
        <w:tc>
          <w:tcPr>
            <w:tcW w:w="1814" w:type="dxa"/>
            <w:vAlign w:val="center"/>
          </w:tcPr>
          <w:p w14:paraId="276F77CC" w14:textId="77777777" w:rsidR="00C34CF9" w:rsidRDefault="00C34CF9" w:rsidP="00C34CF9">
            <w:pPr>
              <w:jc w:val="center"/>
            </w:pPr>
            <w:r w:rsidRPr="00820C65">
              <w:rPr>
                <w:b/>
                <w:sz w:val="24"/>
                <w:szCs w:val="24"/>
              </w:rPr>
              <w:sym w:font="Wingdings 2" w:char="F04F"/>
            </w:r>
          </w:p>
        </w:tc>
        <w:tc>
          <w:tcPr>
            <w:tcW w:w="5007" w:type="dxa"/>
          </w:tcPr>
          <w:p w14:paraId="7A53A72C" w14:textId="77777777" w:rsidR="00C34CF9" w:rsidRDefault="00C34CF9" w:rsidP="00C34CF9">
            <w:pPr>
              <w:jc w:val="both"/>
            </w:pPr>
            <w:r w:rsidRPr="00C34CF9">
              <w:t xml:space="preserve">Неприложимо по ОПДУ. </w:t>
            </w:r>
          </w:p>
        </w:tc>
      </w:tr>
      <w:tr w:rsidR="00C34CF9" w14:paraId="710E2E02" w14:textId="77777777" w:rsidTr="00394192">
        <w:tc>
          <w:tcPr>
            <w:tcW w:w="3391" w:type="dxa"/>
          </w:tcPr>
          <w:p w14:paraId="3CE4466A" w14:textId="77777777" w:rsidR="00C34CF9" w:rsidRDefault="00C34CF9" w:rsidP="00C34CF9">
            <w:pPr>
              <w:rPr>
                <w:b/>
                <w:sz w:val="24"/>
                <w:szCs w:val="24"/>
              </w:rPr>
            </w:pPr>
          </w:p>
        </w:tc>
        <w:tc>
          <w:tcPr>
            <w:tcW w:w="3391" w:type="dxa"/>
          </w:tcPr>
          <w:p w14:paraId="1C6E26E7" w14:textId="77777777" w:rsidR="00C34CF9" w:rsidRPr="007458C4" w:rsidRDefault="00C34CF9" w:rsidP="00C34CF9">
            <w:pPr>
              <w:jc w:val="both"/>
              <w:rPr>
                <w:i/>
                <w:sz w:val="24"/>
                <w:szCs w:val="24"/>
              </w:rPr>
            </w:pPr>
            <w:r w:rsidRPr="00D73375">
              <w:rPr>
                <w:i/>
                <w:sz w:val="24"/>
                <w:szCs w:val="24"/>
              </w:rPr>
              <w:t>Разходи за третиране на отпадните води спрямо население, което ще се ползва от това</w:t>
            </w:r>
          </w:p>
        </w:tc>
        <w:tc>
          <w:tcPr>
            <w:tcW w:w="1814" w:type="dxa"/>
            <w:vAlign w:val="center"/>
          </w:tcPr>
          <w:p w14:paraId="48D72FF4" w14:textId="77777777" w:rsidR="00C34CF9" w:rsidRDefault="00C34CF9" w:rsidP="00C34CF9">
            <w:pPr>
              <w:jc w:val="center"/>
            </w:pPr>
            <w:r w:rsidRPr="00820C65">
              <w:rPr>
                <w:b/>
                <w:sz w:val="24"/>
                <w:szCs w:val="24"/>
              </w:rPr>
              <w:sym w:font="Wingdings 2" w:char="F04F"/>
            </w:r>
          </w:p>
        </w:tc>
        <w:tc>
          <w:tcPr>
            <w:tcW w:w="5007" w:type="dxa"/>
          </w:tcPr>
          <w:p w14:paraId="02577AC9" w14:textId="77777777" w:rsidR="00C34CF9" w:rsidRDefault="00C34CF9" w:rsidP="00C34CF9">
            <w:pPr>
              <w:jc w:val="both"/>
            </w:pPr>
            <w:r w:rsidRPr="00C34CF9">
              <w:t xml:space="preserve">Неприложимо по ОПДУ. </w:t>
            </w:r>
          </w:p>
        </w:tc>
      </w:tr>
      <w:tr w:rsidR="00C34CF9" w14:paraId="56D821B0" w14:textId="77777777" w:rsidTr="00394192">
        <w:tc>
          <w:tcPr>
            <w:tcW w:w="3391" w:type="dxa"/>
          </w:tcPr>
          <w:p w14:paraId="4807FD63" w14:textId="77777777" w:rsidR="00C34CF9" w:rsidRDefault="00C34CF9" w:rsidP="00C34CF9">
            <w:pPr>
              <w:rPr>
                <w:b/>
                <w:sz w:val="24"/>
                <w:szCs w:val="24"/>
              </w:rPr>
            </w:pPr>
          </w:p>
        </w:tc>
        <w:tc>
          <w:tcPr>
            <w:tcW w:w="3391" w:type="dxa"/>
          </w:tcPr>
          <w:p w14:paraId="759096B4" w14:textId="77777777" w:rsidR="00C34CF9" w:rsidRPr="007458C4" w:rsidRDefault="00C34CF9" w:rsidP="00C34CF9">
            <w:pPr>
              <w:jc w:val="both"/>
              <w:rPr>
                <w:i/>
                <w:sz w:val="24"/>
                <w:szCs w:val="24"/>
              </w:rPr>
            </w:pPr>
            <w:r w:rsidRPr="00D73375">
              <w:rPr>
                <w:i/>
                <w:sz w:val="24"/>
                <w:szCs w:val="24"/>
              </w:rPr>
              <w:t>Разходи за третиране на отпадните води спрямо население, което се ползва от това</w:t>
            </w:r>
            <w:r w:rsidRPr="00D73375">
              <w:rPr>
                <w:sz w:val="24"/>
                <w:szCs w:val="24"/>
              </w:rPr>
              <w:t xml:space="preserve">  </w:t>
            </w:r>
          </w:p>
        </w:tc>
        <w:tc>
          <w:tcPr>
            <w:tcW w:w="1814" w:type="dxa"/>
            <w:vAlign w:val="center"/>
          </w:tcPr>
          <w:p w14:paraId="46F26C21" w14:textId="77777777" w:rsidR="00C34CF9" w:rsidRDefault="00C34CF9" w:rsidP="00C34CF9">
            <w:pPr>
              <w:jc w:val="center"/>
            </w:pPr>
            <w:r w:rsidRPr="00820C65">
              <w:rPr>
                <w:b/>
                <w:sz w:val="24"/>
                <w:szCs w:val="24"/>
              </w:rPr>
              <w:sym w:font="Wingdings 2" w:char="F04F"/>
            </w:r>
          </w:p>
        </w:tc>
        <w:tc>
          <w:tcPr>
            <w:tcW w:w="5007" w:type="dxa"/>
          </w:tcPr>
          <w:p w14:paraId="5D2B07D3" w14:textId="77777777" w:rsidR="00C34CF9" w:rsidRDefault="00C34CF9" w:rsidP="00C34CF9">
            <w:pPr>
              <w:jc w:val="both"/>
            </w:pPr>
            <w:r w:rsidRPr="00C34CF9">
              <w:t xml:space="preserve">Неприложимо по ОПДУ. </w:t>
            </w:r>
          </w:p>
        </w:tc>
      </w:tr>
      <w:tr w:rsidR="00C34CF9" w14:paraId="3C870BF3" w14:textId="77777777" w:rsidTr="00394192">
        <w:tc>
          <w:tcPr>
            <w:tcW w:w="3391" w:type="dxa"/>
          </w:tcPr>
          <w:p w14:paraId="3C913654" w14:textId="77777777" w:rsidR="00C34CF9" w:rsidRDefault="00C34CF9" w:rsidP="00C34CF9">
            <w:pPr>
              <w:rPr>
                <w:b/>
                <w:sz w:val="24"/>
                <w:szCs w:val="24"/>
              </w:rPr>
            </w:pPr>
          </w:p>
        </w:tc>
        <w:tc>
          <w:tcPr>
            <w:tcW w:w="3391" w:type="dxa"/>
          </w:tcPr>
          <w:p w14:paraId="29DE02BE" w14:textId="77777777" w:rsidR="00C34CF9" w:rsidRPr="007458C4" w:rsidRDefault="00C34CF9" w:rsidP="00C34CF9">
            <w:pPr>
              <w:pStyle w:val="ListParagraph"/>
              <w:ind w:left="0"/>
              <w:jc w:val="both"/>
              <w:rPr>
                <w:i/>
                <w:sz w:val="24"/>
                <w:szCs w:val="24"/>
              </w:rPr>
            </w:pPr>
            <w:r w:rsidRPr="00D73375">
              <w:rPr>
                <w:rFonts w:ascii="Times New Roman" w:hAnsi="Times New Roman"/>
                <w:i/>
                <w:sz w:val="24"/>
                <w:szCs w:val="24"/>
              </w:rPr>
              <w:t>Разходи за обновяване на канализацията спрямо км за реновиране</w:t>
            </w:r>
            <w:r>
              <w:rPr>
                <w:rFonts w:ascii="Times New Roman" w:hAnsi="Times New Roman"/>
                <w:i/>
                <w:sz w:val="24"/>
                <w:szCs w:val="24"/>
              </w:rPr>
              <w:t xml:space="preserve"> </w:t>
            </w:r>
          </w:p>
        </w:tc>
        <w:tc>
          <w:tcPr>
            <w:tcW w:w="1814" w:type="dxa"/>
            <w:vAlign w:val="center"/>
          </w:tcPr>
          <w:p w14:paraId="451BFEC7" w14:textId="77777777" w:rsidR="00C34CF9" w:rsidRDefault="00C34CF9" w:rsidP="00C34CF9">
            <w:pPr>
              <w:jc w:val="center"/>
            </w:pPr>
            <w:r w:rsidRPr="00820C65">
              <w:rPr>
                <w:b/>
                <w:sz w:val="24"/>
                <w:szCs w:val="24"/>
              </w:rPr>
              <w:sym w:font="Wingdings 2" w:char="F04F"/>
            </w:r>
          </w:p>
        </w:tc>
        <w:tc>
          <w:tcPr>
            <w:tcW w:w="5007" w:type="dxa"/>
          </w:tcPr>
          <w:p w14:paraId="5E09E445" w14:textId="77777777" w:rsidR="00C34CF9" w:rsidRDefault="00C34CF9" w:rsidP="00C34CF9">
            <w:pPr>
              <w:jc w:val="both"/>
            </w:pPr>
            <w:r w:rsidRPr="00C34CF9">
              <w:t xml:space="preserve">Неприложимо по ОПДУ. </w:t>
            </w:r>
          </w:p>
        </w:tc>
      </w:tr>
      <w:tr w:rsidR="00C34CF9" w14:paraId="613270FD" w14:textId="77777777" w:rsidTr="00394192">
        <w:tc>
          <w:tcPr>
            <w:tcW w:w="3391" w:type="dxa"/>
          </w:tcPr>
          <w:p w14:paraId="23E23DCC" w14:textId="77777777" w:rsidR="00C34CF9" w:rsidRDefault="00C34CF9" w:rsidP="00C34CF9">
            <w:pPr>
              <w:rPr>
                <w:b/>
                <w:sz w:val="24"/>
                <w:szCs w:val="24"/>
              </w:rPr>
            </w:pPr>
          </w:p>
        </w:tc>
        <w:tc>
          <w:tcPr>
            <w:tcW w:w="3391" w:type="dxa"/>
          </w:tcPr>
          <w:p w14:paraId="396990C1" w14:textId="77777777" w:rsidR="00C34CF9" w:rsidRPr="007458C4" w:rsidRDefault="00C34CF9" w:rsidP="00C34CF9">
            <w:pPr>
              <w:jc w:val="both"/>
              <w:rPr>
                <w:i/>
                <w:sz w:val="24"/>
                <w:szCs w:val="24"/>
              </w:rPr>
            </w:pPr>
            <w:r w:rsidRPr="00D73375">
              <w:rPr>
                <w:i/>
                <w:sz w:val="24"/>
                <w:szCs w:val="24"/>
              </w:rPr>
              <w:t>Разходи за водоснабдяване спрямо населението, което ще се ползва</w:t>
            </w:r>
          </w:p>
        </w:tc>
        <w:tc>
          <w:tcPr>
            <w:tcW w:w="1814" w:type="dxa"/>
            <w:vAlign w:val="center"/>
          </w:tcPr>
          <w:p w14:paraId="21E30732" w14:textId="77777777" w:rsidR="00C34CF9" w:rsidRDefault="00C34CF9" w:rsidP="00C34CF9">
            <w:pPr>
              <w:jc w:val="center"/>
            </w:pPr>
            <w:r w:rsidRPr="00820C65">
              <w:rPr>
                <w:b/>
                <w:sz w:val="24"/>
                <w:szCs w:val="24"/>
              </w:rPr>
              <w:sym w:font="Wingdings 2" w:char="F04F"/>
            </w:r>
          </w:p>
        </w:tc>
        <w:tc>
          <w:tcPr>
            <w:tcW w:w="5007" w:type="dxa"/>
          </w:tcPr>
          <w:p w14:paraId="1D97BCCB" w14:textId="77777777" w:rsidR="00C34CF9" w:rsidRDefault="00C34CF9" w:rsidP="00C34CF9">
            <w:pPr>
              <w:jc w:val="both"/>
            </w:pPr>
            <w:r w:rsidRPr="00C34CF9">
              <w:t xml:space="preserve">Неприложимо по ОПДУ. </w:t>
            </w:r>
          </w:p>
        </w:tc>
      </w:tr>
      <w:tr w:rsidR="00C34CF9" w14:paraId="00473493" w14:textId="77777777" w:rsidTr="00394192">
        <w:tc>
          <w:tcPr>
            <w:tcW w:w="3391" w:type="dxa"/>
          </w:tcPr>
          <w:p w14:paraId="6725916B" w14:textId="77777777" w:rsidR="00C34CF9" w:rsidRDefault="00C34CF9" w:rsidP="00C34CF9">
            <w:pPr>
              <w:rPr>
                <w:b/>
                <w:sz w:val="24"/>
                <w:szCs w:val="24"/>
              </w:rPr>
            </w:pPr>
          </w:p>
        </w:tc>
        <w:tc>
          <w:tcPr>
            <w:tcW w:w="3391" w:type="dxa"/>
          </w:tcPr>
          <w:p w14:paraId="2748AB36" w14:textId="77777777" w:rsidR="00C34CF9" w:rsidRPr="007458C4" w:rsidRDefault="00C34CF9" w:rsidP="00C34CF9">
            <w:pPr>
              <w:jc w:val="both"/>
              <w:rPr>
                <w:i/>
                <w:sz w:val="24"/>
                <w:szCs w:val="24"/>
              </w:rPr>
            </w:pPr>
            <w:r w:rsidRPr="00D73375">
              <w:rPr>
                <w:i/>
                <w:sz w:val="24"/>
                <w:szCs w:val="24"/>
              </w:rPr>
              <w:t>Разходи за водоснабдяване спрямо км за реновиране</w:t>
            </w:r>
          </w:p>
        </w:tc>
        <w:tc>
          <w:tcPr>
            <w:tcW w:w="1814" w:type="dxa"/>
            <w:vAlign w:val="center"/>
          </w:tcPr>
          <w:p w14:paraId="29DCFB54" w14:textId="77777777" w:rsidR="00C34CF9" w:rsidRDefault="00C34CF9" w:rsidP="00C34CF9">
            <w:pPr>
              <w:jc w:val="center"/>
            </w:pPr>
            <w:r w:rsidRPr="00820C65">
              <w:rPr>
                <w:b/>
                <w:sz w:val="24"/>
                <w:szCs w:val="24"/>
              </w:rPr>
              <w:sym w:font="Wingdings 2" w:char="F04F"/>
            </w:r>
          </w:p>
        </w:tc>
        <w:tc>
          <w:tcPr>
            <w:tcW w:w="5007" w:type="dxa"/>
          </w:tcPr>
          <w:p w14:paraId="1DA28EA6" w14:textId="77777777" w:rsidR="00C34CF9" w:rsidRDefault="00C34CF9" w:rsidP="00C34CF9">
            <w:pPr>
              <w:jc w:val="both"/>
            </w:pPr>
            <w:r w:rsidRPr="00C34CF9">
              <w:t xml:space="preserve">Неприложимо по ОПДУ. </w:t>
            </w:r>
          </w:p>
        </w:tc>
      </w:tr>
      <w:tr w:rsidR="00C34CF9" w14:paraId="7E3190B1" w14:textId="77777777" w:rsidTr="00394192">
        <w:tc>
          <w:tcPr>
            <w:tcW w:w="3391" w:type="dxa"/>
          </w:tcPr>
          <w:p w14:paraId="46B89CB5" w14:textId="77777777" w:rsidR="00C34CF9" w:rsidRDefault="00C34CF9" w:rsidP="00C34CF9">
            <w:pPr>
              <w:rPr>
                <w:b/>
                <w:sz w:val="24"/>
                <w:szCs w:val="24"/>
              </w:rPr>
            </w:pPr>
          </w:p>
        </w:tc>
        <w:tc>
          <w:tcPr>
            <w:tcW w:w="3391" w:type="dxa"/>
          </w:tcPr>
          <w:p w14:paraId="3360932A" w14:textId="77777777" w:rsidR="00C34CF9" w:rsidRPr="007458C4" w:rsidRDefault="00C34CF9" w:rsidP="00C34CF9">
            <w:pPr>
              <w:jc w:val="both"/>
              <w:rPr>
                <w:i/>
                <w:sz w:val="24"/>
                <w:szCs w:val="24"/>
              </w:rPr>
            </w:pPr>
            <w:r w:rsidRPr="00D73375">
              <w:rPr>
                <w:i/>
                <w:sz w:val="24"/>
                <w:szCs w:val="24"/>
              </w:rPr>
              <w:t>Разходи по проекта спрямо намалено потребление на електричество</w:t>
            </w:r>
          </w:p>
        </w:tc>
        <w:tc>
          <w:tcPr>
            <w:tcW w:w="1814" w:type="dxa"/>
            <w:vAlign w:val="center"/>
          </w:tcPr>
          <w:p w14:paraId="1AFA7818" w14:textId="77777777" w:rsidR="00C34CF9" w:rsidRDefault="00C34CF9" w:rsidP="00C34CF9">
            <w:pPr>
              <w:jc w:val="center"/>
            </w:pPr>
            <w:r w:rsidRPr="00F3590A">
              <w:rPr>
                <w:b/>
                <w:sz w:val="24"/>
                <w:szCs w:val="24"/>
              </w:rPr>
              <w:sym w:font="Wingdings 2" w:char="F04F"/>
            </w:r>
          </w:p>
        </w:tc>
        <w:tc>
          <w:tcPr>
            <w:tcW w:w="5007" w:type="dxa"/>
          </w:tcPr>
          <w:p w14:paraId="15DDEF49" w14:textId="77777777" w:rsidR="00C34CF9" w:rsidRDefault="00C34CF9" w:rsidP="00C34CF9">
            <w:pPr>
              <w:jc w:val="both"/>
            </w:pPr>
            <w:r w:rsidRPr="00C34CF9">
              <w:t xml:space="preserve">Неприложимо по ОПДУ. </w:t>
            </w:r>
          </w:p>
        </w:tc>
      </w:tr>
      <w:tr w:rsidR="00C34CF9" w14:paraId="292C5831" w14:textId="77777777" w:rsidTr="00394192">
        <w:tc>
          <w:tcPr>
            <w:tcW w:w="3391" w:type="dxa"/>
          </w:tcPr>
          <w:p w14:paraId="4E88D9F3" w14:textId="77777777" w:rsidR="00C34CF9" w:rsidRDefault="00C34CF9" w:rsidP="00C34CF9">
            <w:pPr>
              <w:rPr>
                <w:b/>
                <w:sz w:val="24"/>
                <w:szCs w:val="24"/>
              </w:rPr>
            </w:pPr>
          </w:p>
        </w:tc>
        <w:tc>
          <w:tcPr>
            <w:tcW w:w="3391" w:type="dxa"/>
          </w:tcPr>
          <w:p w14:paraId="731E1EA9" w14:textId="77777777" w:rsidR="00C34CF9" w:rsidRPr="007458C4" w:rsidRDefault="00C34CF9" w:rsidP="00C34CF9">
            <w:pPr>
              <w:jc w:val="both"/>
              <w:rPr>
                <w:i/>
                <w:sz w:val="24"/>
                <w:szCs w:val="24"/>
              </w:rPr>
            </w:pPr>
            <w:r w:rsidRPr="00D73375">
              <w:rPr>
                <w:i/>
                <w:sz w:val="24"/>
                <w:szCs w:val="24"/>
              </w:rPr>
              <w:t>Разходи по проекта спрямо градско развитие</w:t>
            </w:r>
          </w:p>
        </w:tc>
        <w:tc>
          <w:tcPr>
            <w:tcW w:w="1814" w:type="dxa"/>
            <w:vAlign w:val="center"/>
          </w:tcPr>
          <w:p w14:paraId="658B1C00" w14:textId="77777777" w:rsidR="00C34CF9" w:rsidRDefault="00C34CF9" w:rsidP="00C34CF9">
            <w:pPr>
              <w:jc w:val="center"/>
            </w:pPr>
            <w:r w:rsidRPr="00F3590A">
              <w:rPr>
                <w:b/>
                <w:sz w:val="24"/>
                <w:szCs w:val="24"/>
              </w:rPr>
              <w:sym w:font="Wingdings 2" w:char="F04F"/>
            </w:r>
          </w:p>
        </w:tc>
        <w:tc>
          <w:tcPr>
            <w:tcW w:w="5007" w:type="dxa"/>
          </w:tcPr>
          <w:p w14:paraId="24BE0757" w14:textId="77777777" w:rsidR="00C34CF9" w:rsidRDefault="00C34CF9" w:rsidP="00C34CF9">
            <w:pPr>
              <w:jc w:val="both"/>
            </w:pPr>
            <w:r w:rsidRPr="00C34CF9">
              <w:t xml:space="preserve">Неприложимо по ОПДУ. </w:t>
            </w:r>
          </w:p>
        </w:tc>
      </w:tr>
      <w:tr w:rsidR="00C34CF9" w14:paraId="567ACC98" w14:textId="77777777" w:rsidTr="00394192">
        <w:tc>
          <w:tcPr>
            <w:tcW w:w="3391" w:type="dxa"/>
          </w:tcPr>
          <w:p w14:paraId="2540237F" w14:textId="77777777" w:rsidR="00C34CF9" w:rsidRDefault="00235CC5" w:rsidP="00A650A7">
            <w:pPr>
              <w:rPr>
                <w:b/>
                <w:sz w:val="24"/>
                <w:szCs w:val="24"/>
              </w:rPr>
            </w:pPr>
            <w:r>
              <w:rPr>
                <w:b/>
                <w:sz w:val="24"/>
                <w:szCs w:val="24"/>
              </w:rPr>
              <w:t>Концентрация</w:t>
            </w:r>
          </w:p>
        </w:tc>
        <w:tc>
          <w:tcPr>
            <w:tcW w:w="3391" w:type="dxa"/>
          </w:tcPr>
          <w:p w14:paraId="289E94DB" w14:textId="77777777" w:rsidR="00C34CF9" w:rsidRPr="00A13468" w:rsidRDefault="00C34CF9" w:rsidP="00C34CF9">
            <w:pPr>
              <w:pStyle w:val="ListParagraph"/>
              <w:ind w:left="0"/>
              <w:jc w:val="both"/>
              <w:rPr>
                <w:rFonts w:ascii="Times New Roman" w:hAnsi="Times New Roman"/>
                <w:sz w:val="24"/>
                <w:szCs w:val="24"/>
              </w:rPr>
            </w:pPr>
            <w:r w:rsidRPr="00B75FFD">
              <w:rPr>
                <w:rFonts w:ascii="Times New Roman" w:hAnsi="Times New Roman"/>
                <w:i/>
                <w:sz w:val="24"/>
                <w:szCs w:val="24"/>
              </w:rPr>
              <w:t>Бенефициенти, участващи в множество проекти</w:t>
            </w:r>
            <w:r>
              <w:rPr>
                <w:rFonts w:ascii="Times New Roman" w:hAnsi="Times New Roman"/>
                <w:sz w:val="24"/>
                <w:szCs w:val="24"/>
              </w:rPr>
              <w:t xml:space="preserve"> </w:t>
            </w:r>
          </w:p>
          <w:p w14:paraId="66C1679A" w14:textId="77777777" w:rsidR="00C34CF9" w:rsidRPr="007458C4" w:rsidRDefault="00C34CF9" w:rsidP="00A650A7">
            <w:pPr>
              <w:rPr>
                <w:i/>
                <w:sz w:val="24"/>
                <w:szCs w:val="24"/>
              </w:rPr>
            </w:pPr>
          </w:p>
        </w:tc>
        <w:tc>
          <w:tcPr>
            <w:tcW w:w="1814" w:type="dxa"/>
            <w:vAlign w:val="center"/>
          </w:tcPr>
          <w:p w14:paraId="24B07B2E" w14:textId="77777777" w:rsidR="00C34CF9" w:rsidRDefault="00235CC5" w:rsidP="00235CC5">
            <w:pPr>
              <w:jc w:val="center"/>
              <w:rPr>
                <w:b/>
                <w:sz w:val="24"/>
                <w:szCs w:val="24"/>
              </w:rPr>
            </w:pPr>
            <w:r w:rsidRPr="00F3590A">
              <w:rPr>
                <w:b/>
                <w:sz w:val="24"/>
                <w:szCs w:val="24"/>
              </w:rPr>
              <w:sym w:font="Wingdings 2" w:char="F04F"/>
            </w:r>
          </w:p>
        </w:tc>
        <w:tc>
          <w:tcPr>
            <w:tcW w:w="5007" w:type="dxa"/>
          </w:tcPr>
          <w:p w14:paraId="21724D55" w14:textId="77777777" w:rsidR="00235CC5" w:rsidRDefault="00C34CF9" w:rsidP="00235CC5">
            <w:pPr>
              <w:jc w:val="both"/>
            </w:pPr>
            <w:proofErr w:type="spellStart"/>
            <w:r w:rsidRPr="00C34CF9">
              <w:t>Бенфициентите</w:t>
            </w:r>
            <w:proofErr w:type="spellEnd"/>
            <w:r w:rsidRPr="00C34CF9">
              <w:t xml:space="preserve"> по ОПДУ са преобладаващо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w:t>
            </w:r>
            <w:r>
              <w:t xml:space="preserve">В тази връзка </w:t>
            </w:r>
            <w:r w:rsidR="00235CC5">
              <w:t xml:space="preserve">инструментът ще показва висок риск </w:t>
            </w:r>
            <w:r>
              <w:t>по този индикатор</w:t>
            </w:r>
            <w:r w:rsidR="00235CC5">
              <w:t xml:space="preserve"> за повечето от </w:t>
            </w:r>
            <w:r w:rsidR="00235CC5">
              <w:lastRenderedPageBreak/>
              <w:t xml:space="preserve">тях. </w:t>
            </w:r>
            <w:r w:rsidRPr="00C34CF9">
              <w:t>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w:t>
            </w:r>
            <w:r w:rsidR="00235CC5" w:rsidRPr="00C34CF9">
              <w:t xml:space="preserve"> </w:t>
            </w:r>
          </w:p>
          <w:p w14:paraId="390D8381" w14:textId="77777777" w:rsidR="00C34CF9" w:rsidRPr="00346F87" w:rsidRDefault="00235CC5" w:rsidP="00235CC5">
            <w:pPr>
              <w:jc w:val="both"/>
              <w:rPr>
                <w:sz w:val="24"/>
                <w:szCs w:val="24"/>
              </w:rPr>
            </w:pPr>
            <w:r w:rsidRPr="00C34CF9">
              <w:t xml:space="preserve">По правило се проверява изпълнението на </w:t>
            </w:r>
            <w:r>
              <w:t>всички дейности</w:t>
            </w:r>
            <w:r w:rsidRPr="00C34CF9">
              <w:t xml:space="preserve"> по проекта и всички разходи, включени в ИП.</w:t>
            </w:r>
          </w:p>
        </w:tc>
      </w:tr>
      <w:tr w:rsidR="00235CC5" w14:paraId="7CACD5D6" w14:textId="77777777" w:rsidTr="00394192">
        <w:tc>
          <w:tcPr>
            <w:tcW w:w="3391" w:type="dxa"/>
          </w:tcPr>
          <w:p w14:paraId="4007D02A" w14:textId="77777777" w:rsidR="00235CC5" w:rsidRDefault="00235CC5" w:rsidP="00235CC5">
            <w:pPr>
              <w:rPr>
                <w:b/>
                <w:sz w:val="24"/>
                <w:szCs w:val="24"/>
              </w:rPr>
            </w:pPr>
          </w:p>
        </w:tc>
        <w:tc>
          <w:tcPr>
            <w:tcW w:w="3391" w:type="dxa"/>
          </w:tcPr>
          <w:p w14:paraId="06C9B926" w14:textId="77777777" w:rsidR="00235CC5" w:rsidRPr="00A13468" w:rsidRDefault="00235CC5" w:rsidP="00235CC5">
            <w:pPr>
              <w:pStyle w:val="ListParagraph"/>
              <w:ind w:left="0"/>
              <w:jc w:val="both"/>
              <w:rPr>
                <w:rFonts w:ascii="Times New Roman" w:hAnsi="Times New Roman"/>
                <w:sz w:val="24"/>
                <w:szCs w:val="24"/>
              </w:rPr>
            </w:pPr>
            <w:r w:rsidRPr="00B75FFD">
              <w:rPr>
                <w:rFonts w:ascii="Times New Roman" w:hAnsi="Times New Roman"/>
                <w:i/>
                <w:sz w:val="24"/>
                <w:szCs w:val="24"/>
              </w:rPr>
              <w:t>Бенефициенти, участващи в множество оперативни програми</w:t>
            </w:r>
            <w:r w:rsidRPr="00B75FFD">
              <w:rPr>
                <w:rFonts w:ascii="Times New Roman" w:hAnsi="Times New Roman"/>
                <w:sz w:val="24"/>
                <w:szCs w:val="24"/>
              </w:rPr>
              <w:t xml:space="preserve"> </w:t>
            </w:r>
          </w:p>
          <w:p w14:paraId="03D08AC6" w14:textId="77777777" w:rsidR="00235CC5" w:rsidRPr="007458C4" w:rsidRDefault="00235CC5" w:rsidP="00235CC5">
            <w:pPr>
              <w:rPr>
                <w:i/>
                <w:sz w:val="24"/>
                <w:szCs w:val="24"/>
              </w:rPr>
            </w:pPr>
          </w:p>
        </w:tc>
        <w:tc>
          <w:tcPr>
            <w:tcW w:w="1814" w:type="dxa"/>
            <w:vAlign w:val="center"/>
          </w:tcPr>
          <w:p w14:paraId="72688899" w14:textId="77777777" w:rsidR="00235CC5" w:rsidRDefault="00235CC5" w:rsidP="00235CC5">
            <w:pPr>
              <w:jc w:val="center"/>
            </w:pPr>
            <w:r w:rsidRPr="006E3722">
              <w:rPr>
                <w:b/>
                <w:sz w:val="24"/>
                <w:szCs w:val="24"/>
              </w:rPr>
              <w:sym w:font="Wingdings 2" w:char="F04F"/>
            </w:r>
          </w:p>
        </w:tc>
        <w:tc>
          <w:tcPr>
            <w:tcW w:w="5007" w:type="dxa"/>
          </w:tcPr>
          <w:p w14:paraId="2F4D380A" w14:textId="77777777" w:rsidR="00235CC5" w:rsidRDefault="00235CC5" w:rsidP="00235CC5">
            <w:pPr>
              <w:jc w:val="both"/>
            </w:pPr>
            <w:proofErr w:type="spellStart"/>
            <w:r w:rsidRPr="00C34CF9">
              <w:t>Бенфициентите</w:t>
            </w:r>
            <w:proofErr w:type="spellEnd"/>
            <w:r w:rsidRPr="00C34CF9">
              <w:t xml:space="preserve"> по ОПДУ са преобладаващо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w:t>
            </w:r>
            <w:r>
              <w:t xml:space="preserve">В тази връзка инструментът ще показва висок риск по този индикатор за повечето от тях. </w:t>
            </w:r>
            <w:r w:rsidRPr="00C34CF9">
              <w:t xml:space="preserve">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 </w:t>
            </w:r>
          </w:p>
          <w:p w14:paraId="406BA52F" w14:textId="77777777" w:rsidR="00235CC5" w:rsidRPr="00346F87" w:rsidRDefault="00235CC5" w:rsidP="00235CC5">
            <w:pPr>
              <w:rPr>
                <w:sz w:val="24"/>
                <w:szCs w:val="24"/>
              </w:rPr>
            </w:pPr>
            <w:r w:rsidRPr="00C34CF9">
              <w:t xml:space="preserve">По правило се проверява изпълнението на </w:t>
            </w:r>
            <w:r>
              <w:t>всички дейности</w:t>
            </w:r>
            <w:r w:rsidRPr="00C34CF9">
              <w:t xml:space="preserve"> по проекта и всички разходи, включени в ИП.</w:t>
            </w:r>
          </w:p>
        </w:tc>
      </w:tr>
      <w:tr w:rsidR="00235CC5" w14:paraId="4067E3EF" w14:textId="77777777" w:rsidTr="00394192">
        <w:tc>
          <w:tcPr>
            <w:tcW w:w="3391" w:type="dxa"/>
          </w:tcPr>
          <w:p w14:paraId="0D9463D0" w14:textId="77777777" w:rsidR="00235CC5" w:rsidRDefault="00235CC5" w:rsidP="00235CC5">
            <w:pPr>
              <w:rPr>
                <w:b/>
                <w:sz w:val="24"/>
                <w:szCs w:val="24"/>
              </w:rPr>
            </w:pPr>
          </w:p>
        </w:tc>
        <w:tc>
          <w:tcPr>
            <w:tcW w:w="3391" w:type="dxa"/>
          </w:tcPr>
          <w:p w14:paraId="10C5D9CA" w14:textId="77777777" w:rsidR="00235CC5" w:rsidRPr="007458C4" w:rsidRDefault="00235CC5" w:rsidP="00235CC5">
            <w:pPr>
              <w:pStyle w:val="ListParagraph"/>
              <w:ind w:left="0"/>
              <w:jc w:val="both"/>
              <w:rPr>
                <w:i/>
                <w:sz w:val="24"/>
                <w:szCs w:val="24"/>
              </w:rPr>
            </w:pPr>
            <w:r w:rsidRPr="00B75FFD">
              <w:rPr>
                <w:rFonts w:ascii="Times New Roman" w:hAnsi="Times New Roman"/>
                <w:i/>
                <w:sz w:val="24"/>
                <w:szCs w:val="24"/>
              </w:rPr>
              <w:t>Партньори, участващи в множество проекти</w:t>
            </w:r>
            <w:r>
              <w:rPr>
                <w:rFonts w:ascii="Times New Roman" w:hAnsi="Times New Roman"/>
                <w:sz w:val="24"/>
                <w:szCs w:val="24"/>
              </w:rPr>
              <w:t xml:space="preserve"> </w:t>
            </w:r>
          </w:p>
        </w:tc>
        <w:tc>
          <w:tcPr>
            <w:tcW w:w="1814" w:type="dxa"/>
            <w:vAlign w:val="center"/>
          </w:tcPr>
          <w:p w14:paraId="1140C8D7" w14:textId="77777777" w:rsidR="00235CC5" w:rsidRDefault="00235CC5" w:rsidP="00235CC5">
            <w:pPr>
              <w:jc w:val="center"/>
            </w:pPr>
            <w:r w:rsidRPr="006E3722">
              <w:rPr>
                <w:b/>
                <w:sz w:val="24"/>
                <w:szCs w:val="24"/>
              </w:rPr>
              <w:sym w:font="Wingdings 2" w:char="F04F"/>
            </w:r>
          </w:p>
        </w:tc>
        <w:tc>
          <w:tcPr>
            <w:tcW w:w="5007" w:type="dxa"/>
          </w:tcPr>
          <w:p w14:paraId="7D65AB41" w14:textId="77777777" w:rsidR="00235CC5" w:rsidRPr="00235CC5" w:rsidRDefault="00235CC5" w:rsidP="00235CC5">
            <w:pPr>
              <w:pStyle w:val="ListParagraph"/>
              <w:ind w:left="0"/>
              <w:jc w:val="both"/>
              <w:rPr>
                <w:rFonts w:ascii="Times New Roman" w:eastAsia="Times New Roman" w:hAnsi="Times New Roman"/>
                <w:noProof w:val="0"/>
                <w:sz w:val="20"/>
                <w:szCs w:val="20"/>
                <w:lang w:eastAsia="bg-BG"/>
              </w:rPr>
            </w:pPr>
            <w:r w:rsidRPr="00235CC5">
              <w:rPr>
                <w:rFonts w:ascii="Times New Roman" w:eastAsia="Times New Roman" w:hAnsi="Times New Roman"/>
                <w:noProof w:val="0"/>
                <w:sz w:val="20"/>
                <w:szCs w:val="20"/>
                <w:lang w:eastAsia="bg-BG"/>
              </w:rPr>
              <w:t xml:space="preserve">По правило се проверява изпълнението на </w:t>
            </w:r>
            <w:r>
              <w:rPr>
                <w:rFonts w:ascii="Times New Roman" w:eastAsia="Times New Roman" w:hAnsi="Times New Roman"/>
                <w:noProof w:val="0"/>
                <w:sz w:val="20"/>
                <w:szCs w:val="20"/>
                <w:lang w:eastAsia="bg-BG"/>
              </w:rPr>
              <w:t xml:space="preserve">всички </w:t>
            </w:r>
            <w:r w:rsidRPr="00235CC5">
              <w:rPr>
                <w:rFonts w:ascii="Times New Roman" w:eastAsia="Times New Roman" w:hAnsi="Times New Roman"/>
                <w:noProof w:val="0"/>
                <w:sz w:val="20"/>
                <w:szCs w:val="20"/>
                <w:lang w:eastAsia="bg-BG"/>
              </w:rPr>
              <w:t>дейности по проекта и всички разходи, включени в ИП.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кандидата/партньора.</w:t>
            </w:r>
          </w:p>
        </w:tc>
      </w:tr>
      <w:tr w:rsidR="00235CC5" w14:paraId="327C3520" w14:textId="77777777" w:rsidTr="00394192">
        <w:tc>
          <w:tcPr>
            <w:tcW w:w="3391" w:type="dxa"/>
          </w:tcPr>
          <w:p w14:paraId="6CA02376" w14:textId="77777777" w:rsidR="00235CC5" w:rsidRDefault="00235CC5" w:rsidP="00235CC5">
            <w:pPr>
              <w:rPr>
                <w:b/>
                <w:sz w:val="24"/>
                <w:szCs w:val="24"/>
              </w:rPr>
            </w:pPr>
          </w:p>
        </w:tc>
        <w:tc>
          <w:tcPr>
            <w:tcW w:w="3391" w:type="dxa"/>
          </w:tcPr>
          <w:p w14:paraId="567D4553" w14:textId="77777777" w:rsidR="00235CC5" w:rsidRPr="007458C4" w:rsidRDefault="00235CC5" w:rsidP="00235CC5">
            <w:pPr>
              <w:jc w:val="both"/>
              <w:rPr>
                <w:i/>
                <w:sz w:val="24"/>
                <w:szCs w:val="24"/>
              </w:rPr>
            </w:pPr>
            <w:r w:rsidRPr="00B75FFD">
              <w:rPr>
                <w:i/>
                <w:sz w:val="24"/>
                <w:szCs w:val="24"/>
              </w:rPr>
              <w:t>Партньори, участващи в множество оперативни програми</w:t>
            </w:r>
          </w:p>
        </w:tc>
        <w:tc>
          <w:tcPr>
            <w:tcW w:w="1814" w:type="dxa"/>
            <w:vAlign w:val="center"/>
          </w:tcPr>
          <w:p w14:paraId="1ED96AE1" w14:textId="77777777" w:rsidR="00235CC5" w:rsidRDefault="00235CC5" w:rsidP="00235CC5">
            <w:pPr>
              <w:jc w:val="center"/>
            </w:pPr>
            <w:r w:rsidRPr="006E3722">
              <w:rPr>
                <w:b/>
                <w:sz w:val="24"/>
                <w:szCs w:val="24"/>
              </w:rPr>
              <w:sym w:font="Wingdings 2" w:char="F04F"/>
            </w:r>
          </w:p>
        </w:tc>
        <w:tc>
          <w:tcPr>
            <w:tcW w:w="5007" w:type="dxa"/>
          </w:tcPr>
          <w:p w14:paraId="15E5F888" w14:textId="77777777" w:rsidR="00235CC5" w:rsidRPr="00346F87" w:rsidRDefault="00235CC5" w:rsidP="00235CC5">
            <w:pPr>
              <w:jc w:val="both"/>
              <w:rPr>
                <w:sz w:val="24"/>
                <w:szCs w:val="24"/>
              </w:rPr>
            </w:pPr>
            <w:r w:rsidRPr="00235CC5">
              <w:t xml:space="preserve">По правило се проверява изпълнението на </w:t>
            </w:r>
            <w:r>
              <w:t xml:space="preserve">всички </w:t>
            </w:r>
            <w:r w:rsidRPr="00235CC5">
              <w:t>дейности по проекта и всички разходи, включени в ИП.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кандидата/партньора.</w:t>
            </w:r>
          </w:p>
        </w:tc>
      </w:tr>
      <w:tr w:rsidR="00235CC5" w14:paraId="274C6F17" w14:textId="77777777" w:rsidTr="00394192">
        <w:tc>
          <w:tcPr>
            <w:tcW w:w="3391" w:type="dxa"/>
          </w:tcPr>
          <w:p w14:paraId="620EDD8C" w14:textId="77777777" w:rsidR="00235CC5" w:rsidRDefault="00235CC5" w:rsidP="00235CC5">
            <w:pPr>
              <w:rPr>
                <w:b/>
                <w:sz w:val="24"/>
                <w:szCs w:val="24"/>
              </w:rPr>
            </w:pPr>
          </w:p>
        </w:tc>
        <w:tc>
          <w:tcPr>
            <w:tcW w:w="3391" w:type="dxa"/>
          </w:tcPr>
          <w:p w14:paraId="6F56244A" w14:textId="77777777" w:rsidR="00235CC5" w:rsidRPr="007C1989" w:rsidRDefault="00235CC5" w:rsidP="00235CC5">
            <w:pPr>
              <w:pStyle w:val="ListParagraph"/>
              <w:ind w:left="0"/>
              <w:jc w:val="both"/>
              <w:rPr>
                <w:rFonts w:ascii="Times New Roman" w:hAnsi="Times New Roman"/>
                <w:color w:val="FF0000"/>
                <w:sz w:val="24"/>
                <w:szCs w:val="24"/>
              </w:rPr>
            </w:pPr>
            <w:r w:rsidRPr="00374ADC">
              <w:rPr>
                <w:rFonts w:ascii="Times New Roman" w:hAnsi="Times New Roman"/>
                <w:i/>
                <w:sz w:val="24"/>
                <w:szCs w:val="24"/>
              </w:rPr>
              <w:t>Изпълнители, участващи в множество проекти</w:t>
            </w:r>
            <w:r>
              <w:rPr>
                <w:rFonts w:ascii="Times New Roman" w:hAnsi="Times New Roman"/>
                <w:sz w:val="24"/>
                <w:szCs w:val="24"/>
              </w:rPr>
              <w:t xml:space="preserve"> </w:t>
            </w:r>
          </w:p>
          <w:p w14:paraId="56BB2251" w14:textId="77777777" w:rsidR="00235CC5" w:rsidRPr="007458C4" w:rsidRDefault="00235CC5" w:rsidP="00235CC5">
            <w:pPr>
              <w:jc w:val="both"/>
              <w:rPr>
                <w:i/>
                <w:sz w:val="24"/>
                <w:szCs w:val="24"/>
              </w:rPr>
            </w:pPr>
          </w:p>
        </w:tc>
        <w:tc>
          <w:tcPr>
            <w:tcW w:w="1814" w:type="dxa"/>
            <w:vAlign w:val="center"/>
          </w:tcPr>
          <w:p w14:paraId="64206BF1" w14:textId="77777777" w:rsidR="00235CC5" w:rsidRDefault="00235CC5" w:rsidP="00235CC5">
            <w:pPr>
              <w:jc w:val="center"/>
            </w:pPr>
            <w:r w:rsidRPr="005D7717">
              <w:rPr>
                <w:b/>
                <w:sz w:val="24"/>
                <w:szCs w:val="24"/>
              </w:rPr>
              <w:sym w:font="Wingdings 2" w:char="F04F"/>
            </w:r>
          </w:p>
        </w:tc>
        <w:tc>
          <w:tcPr>
            <w:tcW w:w="5007" w:type="dxa"/>
          </w:tcPr>
          <w:p w14:paraId="4AD9F9AE" w14:textId="77777777" w:rsidR="00235CC5" w:rsidRPr="00346F87" w:rsidRDefault="00235CC5" w:rsidP="00235CC5">
            <w:pPr>
              <w:jc w:val="both"/>
              <w:rPr>
                <w:sz w:val="24"/>
                <w:szCs w:val="24"/>
              </w:rPr>
            </w:pPr>
            <w:r w:rsidRPr="00235CC5">
              <w:t xml:space="preserve">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w:t>
            </w:r>
            <w:r>
              <w:t xml:space="preserve">всички </w:t>
            </w:r>
            <w:r w:rsidRPr="00235CC5">
              <w:t>договори, разходи по които са включени в ИП.</w:t>
            </w:r>
          </w:p>
        </w:tc>
      </w:tr>
      <w:tr w:rsidR="00235CC5" w14:paraId="7E718093" w14:textId="77777777" w:rsidTr="00394192">
        <w:tc>
          <w:tcPr>
            <w:tcW w:w="3391" w:type="dxa"/>
          </w:tcPr>
          <w:p w14:paraId="3A4E87E4" w14:textId="77777777" w:rsidR="00235CC5" w:rsidRDefault="00235CC5" w:rsidP="00235CC5">
            <w:pPr>
              <w:rPr>
                <w:b/>
                <w:sz w:val="24"/>
                <w:szCs w:val="24"/>
              </w:rPr>
            </w:pPr>
          </w:p>
        </w:tc>
        <w:tc>
          <w:tcPr>
            <w:tcW w:w="3391" w:type="dxa"/>
          </w:tcPr>
          <w:p w14:paraId="71C01B0E" w14:textId="77777777" w:rsidR="00235CC5" w:rsidRPr="007458C4" w:rsidRDefault="00235CC5" w:rsidP="00235CC5">
            <w:pPr>
              <w:jc w:val="both"/>
              <w:rPr>
                <w:i/>
                <w:sz w:val="24"/>
                <w:szCs w:val="24"/>
              </w:rPr>
            </w:pPr>
            <w:r w:rsidRPr="00AB1C1F">
              <w:rPr>
                <w:i/>
                <w:sz w:val="24"/>
                <w:szCs w:val="24"/>
              </w:rPr>
              <w:t>Изпълнители, участващи в множество проекти на бенефициента</w:t>
            </w:r>
          </w:p>
        </w:tc>
        <w:tc>
          <w:tcPr>
            <w:tcW w:w="1814" w:type="dxa"/>
            <w:vAlign w:val="center"/>
          </w:tcPr>
          <w:p w14:paraId="71DAD122" w14:textId="77777777" w:rsidR="00235CC5" w:rsidRDefault="00235CC5" w:rsidP="00235CC5">
            <w:pPr>
              <w:jc w:val="center"/>
            </w:pPr>
            <w:r w:rsidRPr="005D7717">
              <w:rPr>
                <w:b/>
                <w:sz w:val="24"/>
                <w:szCs w:val="24"/>
              </w:rPr>
              <w:sym w:font="Wingdings 2" w:char="F04F"/>
            </w:r>
          </w:p>
        </w:tc>
        <w:tc>
          <w:tcPr>
            <w:tcW w:w="5007" w:type="dxa"/>
          </w:tcPr>
          <w:p w14:paraId="7295F8AA" w14:textId="77777777" w:rsidR="00235CC5" w:rsidRPr="00346F87" w:rsidRDefault="00235CC5" w:rsidP="00235CC5">
            <w:pPr>
              <w:jc w:val="both"/>
              <w:rPr>
                <w:sz w:val="24"/>
                <w:szCs w:val="24"/>
              </w:rPr>
            </w:pPr>
            <w:r w:rsidRPr="00235CC5">
              <w:t xml:space="preserve">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w:t>
            </w:r>
            <w:r>
              <w:t xml:space="preserve">всички </w:t>
            </w:r>
            <w:r w:rsidRPr="00235CC5">
              <w:t>договори, разходи по които са включени в ИП.</w:t>
            </w:r>
          </w:p>
        </w:tc>
      </w:tr>
      <w:tr w:rsidR="00C34CF9" w14:paraId="6C254306" w14:textId="77777777" w:rsidTr="00394192">
        <w:tc>
          <w:tcPr>
            <w:tcW w:w="3391" w:type="dxa"/>
          </w:tcPr>
          <w:p w14:paraId="635E7A1E" w14:textId="77777777" w:rsidR="00C34CF9" w:rsidRDefault="00C34CF9" w:rsidP="00A650A7">
            <w:pPr>
              <w:rPr>
                <w:b/>
                <w:sz w:val="24"/>
                <w:szCs w:val="24"/>
              </w:rPr>
            </w:pPr>
          </w:p>
        </w:tc>
        <w:tc>
          <w:tcPr>
            <w:tcW w:w="3391" w:type="dxa"/>
          </w:tcPr>
          <w:p w14:paraId="3A7FAE56" w14:textId="77777777" w:rsidR="00C34CF9" w:rsidRPr="007458C4" w:rsidRDefault="00235CC5" w:rsidP="00235CC5">
            <w:pPr>
              <w:jc w:val="both"/>
              <w:rPr>
                <w:i/>
                <w:sz w:val="24"/>
                <w:szCs w:val="24"/>
              </w:rPr>
            </w:pPr>
            <w:r w:rsidRPr="00AB1C1F">
              <w:rPr>
                <w:i/>
                <w:sz w:val="24"/>
                <w:szCs w:val="24"/>
              </w:rPr>
              <w:t>Изпълнители, участващи в множество оперативни програми</w:t>
            </w:r>
          </w:p>
        </w:tc>
        <w:tc>
          <w:tcPr>
            <w:tcW w:w="1814" w:type="dxa"/>
            <w:vAlign w:val="center"/>
          </w:tcPr>
          <w:p w14:paraId="4F4FE020" w14:textId="77777777" w:rsidR="00C34CF9" w:rsidRDefault="00235CC5" w:rsidP="00235CC5">
            <w:pPr>
              <w:jc w:val="center"/>
              <w:rPr>
                <w:b/>
                <w:sz w:val="24"/>
                <w:szCs w:val="24"/>
              </w:rPr>
            </w:pPr>
            <w:r w:rsidRPr="005D7717">
              <w:rPr>
                <w:b/>
                <w:sz w:val="24"/>
                <w:szCs w:val="24"/>
              </w:rPr>
              <w:sym w:font="Wingdings 2" w:char="F04F"/>
            </w:r>
          </w:p>
        </w:tc>
        <w:tc>
          <w:tcPr>
            <w:tcW w:w="5007" w:type="dxa"/>
          </w:tcPr>
          <w:p w14:paraId="4655FF05" w14:textId="77777777" w:rsidR="00C34CF9" w:rsidRPr="00346F87" w:rsidRDefault="00235CC5" w:rsidP="00235CC5">
            <w:pPr>
              <w:jc w:val="both"/>
              <w:rPr>
                <w:sz w:val="24"/>
                <w:szCs w:val="24"/>
              </w:rPr>
            </w:pPr>
            <w:r w:rsidRPr="00235CC5">
              <w:t xml:space="preserve">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w:t>
            </w:r>
            <w:r>
              <w:t xml:space="preserve">всички </w:t>
            </w:r>
            <w:r w:rsidRPr="00235CC5">
              <w:t>договори, разходи по които са включени в ИП.</w:t>
            </w:r>
          </w:p>
        </w:tc>
      </w:tr>
      <w:tr w:rsidR="00C34CF9" w14:paraId="32176DAE" w14:textId="77777777" w:rsidTr="00394192">
        <w:tc>
          <w:tcPr>
            <w:tcW w:w="3391" w:type="dxa"/>
          </w:tcPr>
          <w:p w14:paraId="6C891FB5" w14:textId="77777777" w:rsidR="00C34CF9" w:rsidRDefault="00C34CF9" w:rsidP="00A650A7">
            <w:pPr>
              <w:rPr>
                <w:b/>
                <w:sz w:val="24"/>
                <w:szCs w:val="24"/>
              </w:rPr>
            </w:pPr>
          </w:p>
        </w:tc>
        <w:tc>
          <w:tcPr>
            <w:tcW w:w="3391" w:type="dxa"/>
          </w:tcPr>
          <w:p w14:paraId="63925D8F" w14:textId="77777777" w:rsidR="00C34CF9" w:rsidRPr="00235CC5" w:rsidRDefault="00235CC5" w:rsidP="00235CC5">
            <w:pPr>
              <w:pStyle w:val="ListParagraph"/>
              <w:ind w:left="0"/>
              <w:jc w:val="both"/>
              <w:rPr>
                <w:rFonts w:ascii="Times New Roman" w:hAnsi="Times New Roman"/>
                <w:color w:val="FF0000"/>
                <w:sz w:val="24"/>
                <w:szCs w:val="24"/>
              </w:rPr>
            </w:pPr>
            <w:r w:rsidRPr="00AB1C1F">
              <w:rPr>
                <w:rFonts w:ascii="Times New Roman" w:hAnsi="Times New Roman"/>
                <w:i/>
                <w:sz w:val="24"/>
                <w:szCs w:val="24"/>
              </w:rPr>
              <w:t>Свързани с проекта лица, участващи в множество проекти</w:t>
            </w:r>
            <w:r>
              <w:rPr>
                <w:rFonts w:ascii="Times New Roman" w:hAnsi="Times New Roman"/>
                <w:sz w:val="24"/>
                <w:szCs w:val="24"/>
              </w:rPr>
              <w:t xml:space="preserve"> </w:t>
            </w:r>
          </w:p>
        </w:tc>
        <w:tc>
          <w:tcPr>
            <w:tcW w:w="1814" w:type="dxa"/>
            <w:vAlign w:val="center"/>
          </w:tcPr>
          <w:p w14:paraId="011C2C11" w14:textId="77777777" w:rsidR="00C34CF9" w:rsidRDefault="00235CC5" w:rsidP="00235CC5">
            <w:pPr>
              <w:jc w:val="center"/>
              <w:rPr>
                <w:b/>
                <w:sz w:val="24"/>
                <w:szCs w:val="24"/>
              </w:rPr>
            </w:pPr>
            <w:r w:rsidRPr="00B84111">
              <w:rPr>
                <w:b/>
                <w:sz w:val="24"/>
                <w:szCs w:val="24"/>
              </w:rPr>
              <w:sym w:font="Wingdings 2" w:char="F050"/>
            </w:r>
          </w:p>
        </w:tc>
        <w:tc>
          <w:tcPr>
            <w:tcW w:w="5007" w:type="dxa"/>
          </w:tcPr>
          <w:p w14:paraId="30D337FB" w14:textId="77777777" w:rsidR="00C34CF9" w:rsidRPr="00346F87" w:rsidRDefault="00235CC5" w:rsidP="00235CC5">
            <w:pPr>
              <w:jc w:val="both"/>
              <w:rPr>
                <w:sz w:val="24"/>
                <w:szCs w:val="24"/>
              </w:rPr>
            </w:pPr>
            <w:r>
              <w:t>П</w:t>
            </w:r>
            <w:r w:rsidRPr="00235CC5">
              <w:t>рави се проверка относно участието на физически лица, ангажирани в управлението и изпълнението на други проекти и отчетността в тази връзка.</w:t>
            </w:r>
          </w:p>
        </w:tc>
      </w:tr>
      <w:tr w:rsidR="00E931AD" w14:paraId="6A23C81D" w14:textId="77777777" w:rsidTr="00394192">
        <w:tc>
          <w:tcPr>
            <w:tcW w:w="3391" w:type="dxa"/>
          </w:tcPr>
          <w:p w14:paraId="47D774DB" w14:textId="77777777" w:rsidR="00E931AD" w:rsidRDefault="00E931AD" w:rsidP="00E931AD">
            <w:pPr>
              <w:rPr>
                <w:b/>
                <w:sz w:val="24"/>
                <w:szCs w:val="24"/>
              </w:rPr>
            </w:pPr>
          </w:p>
        </w:tc>
        <w:tc>
          <w:tcPr>
            <w:tcW w:w="3391" w:type="dxa"/>
          </w:tcPr>
          <w:p w14:paraId="2FAAC013" w14:textId="77777777" w:rsidR="00E931AD" w:rsidRDefault="00E931AD" w:rsidP="00E931AD">
            <w:pPr>
              <w:jc w:val="both"/>
            </w:pPr>
            <w:r w:rsidRPr="00AB1C1F">
              <w:rPr>
                <w:i/>
                <w:sz w:val="24"/>
                <w:szCs w:val="24"/>
              </w:rPr>
              <w:t>Членове на консорциум, участващи в множество проекти</w:t>
            </w:r>
            <w:r w:rsidRPr="00AB1C1F">
              <w:rPr>
                <w:sz w:val="24"/>
                <w:szCs w:val="24"/>
              </w:rPr>
              <w:t xml:space="preserve"> </w:t>
            </w:r>
          </w:p>
          <w:p w14:paraId="44977836" w14:textId="77777777" w:rsidR="00E931AD" w:rsidRPr="007458C4" w:rsidRDefault="00E931AD" w:rsidP="00E931AD">
            <w:pPr>
              <w:jc w:val="both"/>
              <w:rPr>
                <w:i/>
                <w:sz w:val="24"/>
                <w:szCs w:val="24"/>
              </w:rPr>
            </w:pPr>
          </w:p>
        </w:tc>
        <w:tc>
          <w:tcPr>
            <w:tcW w:w="1814" w:type="dxa"/>
            <w:vAlign w:val="center"/>
          </w:tcPr>
          <w:p w14:paraId="01EB8B42" w14:textId="77777777" w:rsidR="00E931AD" w:rsidRDefault="00E931AD" w:rsidP="00E931AD">
            <w:pPr>
              <w:jc w:val="center"/>
            </w:pPr>
            <w:r w:rsidRPr="00E94592">
              <w:rPr>
                <w:b/>
                <w:sz w:val="24"/>
                <w:szCs w:val="24"/>
              </w:rPr>
              <w:sym w:font="Wingdings 2" w:char="F04F"/>
            </w:r>
          </w:p>
        </w:tc>
        <w:tc>
          <w:tcPr>
            <w:tcW w:w="5007" w:type="dxa"/>
          </w:tcPr>
          <w:p w14:paraId="444A1C12" w14:textId="77777777" w:rsidR="00E931AD" w:rsidRPr="00346F87" w:rsidRDefault="00E931AD" w:rsidP="00E931AD">
            <w:pPr>
              <w:jc w:val="both"/>
              <w:rPr>
                <w:sz w:val="24"/>
                <w:szCs w:val="24"/>
              </w:rPr>
            </w:pPr>
            <w:r w:rsidRPr="00235CC5">
              <w:t xml:space="preserve">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w:t>
            </w:r>
            <w:r>
              <w:t xml:space="preserve">всички </w:t>
            </w:r>
            <w:r w:rsidRPr="00235CC5">
              <w:t>договори, разходи по които са включени в ИП.</w:t>
            </w:r>
          </w:p>
        </w:tc>
      </w:tr>
      <w:tr w:rsidR="00E931AD" w14:paraId="640AC0BA" w14:textId="77777777" w:rsidTr="00394192">
        <w:tc>
          <w:tcPr>
            <w:tcW w:w="3391" w:type="dxa"/>
          </w:tcPr>
          <w:p w14:paraId="79C0EEC0" w14:textId="77777777" w:rsidR="00E931AD" w:rsidRDefault="00E931AD" w:rsidP="00E931AD">
            <w:pPr>
              <w:rPr>
                <w:b/>
                <w:sz w:val="24"/>
                <w:szCs w:val="24"/>
              </w:rPr>
            </w:pPr>
          </w:p>
        </w:tc>
        <w:tc>
          <w:tcPr>
            <w:tcW w:w="3391" w:type="dxa"/>
          </w:tcPr>
          <w:p w14:paraId="7994435E" w14:textId="77777777" w:rsidR="00E931AD" w:rsidRDefault="00E931AD" w:rsidP="00E931AD">
            <w:pPr>
              <w:jc w:val="both"/>
            </w:pPr>
            <w:r w:rsidRPr="00E931AD">
              <w:rPr>
                <w:i/>
                <w:sz w:val="24"/>
                <w:szCs w:val="24"/>
              </w:rPr>
              <w:t>Членове на консорциум, участващи в множество проекти на бенефициента</w:t>
            </w:r>
            <w:r>
              <w:rPr>
                <w:i/>
                <w:sz w:val="24"/>
                <w:szCs w:val="24"/>
              </w:rPr>
              <w:t xml:space="preserve"> </w:t>
            </w:r>
          </w:p>
          <w:p w14:paraId="47E964A9" w14:textId="77777777" w:rsidR="00E931AD" w:rsidRPr="007458C4" w:rsidRDefault="00E931AD" w:rsidP="00E931AD">
            <w:pPr>
              <w:jc w:val="both"/>
              <w:rPr>
                <w:i/>
                <w:sz w:val="24"/>
                <w:szCs w:val="24"/>
              </w:rPr>
            </w:pPr>
          </w:p>
        </w:tc>
        <w:tc>
          <w:tcPr>
            <w:tcW w:w="1814" w:type="dxa"/>
            <w:vAlign w:val="center"/>
          </w:tcPr>
          <w:p w14:paraId="5FC77671" w14:textId="77777777" w:rsidR="00E931AD" w:rsidRDefault="00E931AD" w:rsidP="00E931AD">
            <w:pPr>
              <w:jc w:val="center"/>
            </w:pPr>
            <w:r w:rsidRPr="00E94592">
              <w:rPr>
                <w:b/>
                <w:sz w:val="24"/>
                <w:szCs w:val="24"/>
              </w:rPr>
              <w:sym w:font="Wingdings 2" w:char="F04F"/>
            </w:r>
          </w:p>
        </w:tc>
        <w:tc>
          <w:tcPr>
            <w:tcW w:w="5007" w:type="dxa"/>
          </w:tcPr>
          <w:p w14:paraId="0217BF19" w14:textId="77777777" w:rsidR="00E931AD" w:rsidRPr="00346F87" w:rsidRDefault="00E931AD" w:rsidP="00E931AD">
            <w:pPr>
              <w:jc w:val="both"/>
              <w:rPr>
                <w:sz w:val="24"/>
                <w:szCs w:val="24"/>
              </w:rPr>
            </w:pPr>
            <w:r w:rsidRPr="00235CC5">
              <w:t xml:space="preserve">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w:t>
            </w:r>
            <w:r>
              <w:t xml:space="preserve">всички </w:t>
            </w:r>
            <w:r w:rsidRPr="00235CC5">
              <w:t>договори, разходи по които са включени в ИП.</w:t>
            </w:r>
          </w:p>
        </w:tc>
      </w:tr>
      <w:tr w:rsidR="00E931AD" w14:paraId="700AAE8D" w14:textId="77777777" w:rsidTr="00394192">
        <w:tc>
          <w:tcPr>
            <w:tcW w:w="3391" w:type="dxa"/>
          </w:tcPr>
          <w:p w14:paraId="0B908494" w14:textId="77777777" w:rsidR="00E931AD" w:rsidRDefault="00E931AD" w:rsidP="00E931AD">
            <w:pPr>
              <w:rPr>
                <w:b/>
                <w:sz w:val="24"/>
                <w:szCs w:val="24"/>
              </w:rPr>
            </w:pPr>
          </w:p>
        </w:tc>
        <w:tc>
          <w:tcPr>
            <w:tcW w:w="3391" w:type="dxa"/>
          </w:tcPr>
          <w:p w14:paraId="423AE68D" w14:textId="77777777" w:rsidR="00E931AD" w:rsidRDefault="00E931AD" w:rsidP="00E931AD">
            <w:pPr>
              <w:jc w:val="both"/>
            </w:pPr>
            <w:r w:rsidRPr="00AB1C1F">
              <w:rPr>
                <w:i/>
                <w:sz w:val="24"/>
                <w:szCs w:val="24"/>
              </w:rPr>
              <w:t xml:space="preserve">Подизпълнители, участващи в множество проекти </w:t>
            </w:r>
          </w:p>
          <w:p w14:paraId="68AB7F52" w14:textId="77777777" w:rsidR="00E931AD" w:rsidRPr="007458C4" w:rsidRDefault="00E931AD" w:rsidP="00E931AD">
            <w:pPr>
              <w:jc w:val="both"/>
              <w:rPr>
                <w:i/>
                <w:sz w:val="24"/>
                <w:szCs w:val="24"/>
              </w:rPr>
            </w:pPr>
          </w:p>
        </w:tc>
        <w:tc>
          <w:tcPr>
            <w:tcW w:w="1814" w:type="dxa"/>
            <w:vAlign w:val="center"/>
          </w:tcPr>
          <w:p w14:paraId="16404D4D" w14:textId="77777777" w:rsidR="00E931AD" w:rsidRDefault="00E931AD" w:rsidP="00E931AD">
            <w:pPr>
              <w:jc w:val="center"/>
            </w:pPr>
            <w:r w:rsidRPr="003D79D7">
              <w:rPr>
                <w:b/>
                <w:sz w:val="24"/>
                <w:szCs w:val="24"/>
              </w:rPr>
              <w:sym w:font="Wingdings 2" w:char="F04F"/>
            </w:r>
          </w:p>
        </w:tc>
        <w:tc>
          <w:tcPr>
            <w:tcW w:w="5007" w:type="dxa"/>
          </w:tcPr>
          <w:p w14:paraId="3BE234A7" w14:textId="77777777" w:rsidR="00E931AD" w:rsidRDefault="00E931AD" w:rsidP="00E931AD">
            <w:pPr>
              <w:jc w:val="both"/>
            </w:pPr>
            <w:r w:rsidRPr="00E8232A">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ИП.</w:t>
            </w:r>
          </w:p>
        </w:tc>
      </w:tr>
      <w:tr w:rsidR="00E931AD" w14:paraId="33F4C30E" w14:textId="77777777" w:rsidTr="00394192">
        <w:tc>
          <w:tcPr>
            <w:tcW w:w="3391" w:type="dxa"/>
          </w:tcPr>
          <w:p w14:paraId="64D746CA" w14:textId="77777777" w:rsidR="00E931AD" w:rsidRDefault="00E931AD" w:rsidP="00E931AD">
            <w:pPr>
              <w:rPr>
                <w:b/>
                <w:sz w:val="24"/>
                <w:szCs w:val="24"/>
              </w:rPr>
            </w:pPr>
          </w:p>
        </w:tc>
        <w:tc>
          <w:tcPr>
            <w:tcW w:w="3391" w:type="dxa"/>
          </w:tcPr>
          <w:p w14:paraId="31C39F0E" w14:textId="77777777" w:rsidR="00E931AD" w:rsidRDefault="00E931AD" w:rsidP="00E931AD">
            <w:pPr>
              <w:jc w:val="both"/>
            </w:pPr>
            <w:r w:rsidRPr="00AB1C1F">
              <w:rPr>
                <w:i/>
                <w:sz w:val="24"/>
                <w:szCs w:val="24"/>
              </w:rPr>
              <w:t xml:space="preserve">Подизпълнители, участващи в </w:t>
            </w:r>
            <w:r w:rsidRPr="00AB1C1F">
              <w:rPr>
                <w:i/>
                <w:sz w:val="24"/>
                <w:szCs w:val="24"/>
              </w:rPr>
              <w:lastRenderedPageBreak/>
              <w:t>множество проекти на бенефициента</w:t>
            </w:r>
            <w:r w:rsidRPr="00AB1C1F">
              <w:rPr>
                <w:sz w:val="24"/>
                <w:szCs w:val="24"/>
              </w:rPr>
              <w:t xml:space="preserve"> </w:t>
            </w:r>
          </w:p>
          <w:p w14:paraId="38B9B69A" w14:textId="77777777" w:rsidR="00E931AD" w:rsidRPr="00AB1C1F" w:rsidRDefault="00E931AD" w:rsidP="00E931AD">
            <w:pPr>
              <w:jc w:val="both"/>
              <w:rPr>
                <w:i/>
                <w:sz w:val="24"/>
                <w:szCs w:val="24"/>
              </w:rPr>
            </w:pPr>
          </w:p>
        </w:tc>
        <w:tc>
          <w:tcPr>
            <w:tcW w:w="1814" w:type="dxa"/>
            <w:vAlign w:val="center"/>
          </w:tcPr>
          <w:p w14:paraId="479EF59B" w14:textId="77777777" w:rsidR="00E931AD" w:rsidRDefault="00E931AD" w:rsidP="00E931AD">
            <w:pPr>
              <w:jc w:val="center"/>
            </w:pPr>
            <w:r w:rsidRPr="003D79D7">
              <w:rPr>
                <w:b/>
                <w:sz w:val="24"/>
                <w:szCs w:val="24"/>
              </w:rPr>
              <w:lastRenderedPageBreak/>
              <w:sym w:font="Wingdings 2" w:char="F04F"/>
            </w:r>
          </w:p>
        </w:tc>
        <w:tc>
          <w:tcPr>
            <w:tcW w:w="5007" w:type="dxa"/>
          </w:tcPr>
          <w:p w14:paraId="384115F9" w14:textId="77777777" w:rsidR="00E931AD" w:rsidRDefault="00E931AD" w:rsidP="00E931AD">
            <w:pPr>
              <w:jc w:val="both"/>
            </w:pPr>
            <w:r w:rsidRPr="00E8232A">
              <w:t xml:space="preserve">По правило се проверяват всички обществени поръчки, разходи по които са включени в ИП, за </w:t>
            </w:r>
            <w:r w:rsidRPr="00E8232A">
              <w:lastRenderedPageBreak/>
              <w:t>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ИП.</w:t>
            </w:r>
          </w:p>
        </w:tc>
      </w:tr>
      <w:tr w:rsidR="00E931AD" w14:paraId="6F7A11AD" w14:textId="77777777" w:rsidTr="00394192">
        <w:tc>
          <w:tcPr>
            <w:tcW w:w="3391" w:type="dxa"/>
          </w:tcPr>
          <w:p w14:paraId="4FEBC282" w14:textId="77777777" w:rsidR="00E931AD" w:rsidRDefault="00E931AD" w:rsidP="00E931AD">
            <w:pPr>
              <w:rPr>
                <w:b/>
                <w:sz w:val="24"/>
                <w:szCs w:val="24"/>
              </w:rPr>
            </w:pPr>
          </w:p>
        </w:tc>
        <w:tc>
          <w:tcPr>
            <w:tcW w:w="3391" w:type="dxa"/>
          </w:tcPr>
          <w:p w14:paraId="4DA21DC8" w14:textId="69E9B4ED" w:rsidR="00E931AD" w:rsidRPr="00394192" w:rsidRDefault="00E931AD" w:rsidP="00E931AD">
            <w:pPr>
              <w:jc w:val="both"/>
            </w:pPr>
            <w:r w:rsidRPr="00AB1C1F">
              <w:rPr>
                <w:i/>
                <w:sz w:val="24"/>
                <w:szCs w:val="24"/>
              </w:rPr>
              <w:t>Изпълнител с надзорни функции няколко пъти в една и съща комбинация с изпълнители на строителни работи</w:t>
            </w:r>
            <w:r w:rsidRPr="00AB1C1F">
              <w:rPr>
                <w:sz w:val="24"/>
                <w:szCs w:val="24"/>
              </w:rPr>
              <w:t xml:space="preserve"> </w:t>
            </w:r>
          </w:p>
        </w:tc>
        <w:tc>
          <w:tcPr>
            <w:tcW w:w="1814" w:type="dxa"/>
            <w:vAlign w:val="center"/>
          </w:tcPr>
          <w:p w14:paraId="5F5D5127" w14:textId="77777777" w:rsidR="00E931AD" w:rsidRDefault="00E931AD" w:rsidP="00E931AD">
            <w:pPr>
              <w:jc w:val="center"/>
            </w:pPr>
            <w:r w:rsidRPr="003D79D7">
              <w:rPr>
                <w:b/>
                <w:sz w:val="24"/>
                <w:szCs w:val="24"/>
              </w:rPr>
              <w:sym w:font="Wingdings 2" w:char="F04F"/>
            </w:r>
          </w:p>
        </w:tc>
        <w:tc>
          <w:tcPr>
            <w:tcW w:w="5007" w:type="dxa"/>
          </w:tcPr>
          <w:p w14:paraId="19FF3AA8" w14:textId="77777777" w:rsidR="00E931AD" w:rsidRPr="00346F87" w:rsidRDefault="00E931AD" w:rsidP="00E931AD">
            <w:pPr>
              <w:rPr>
                <w:sz w:val="24"/>
                <w:szCs w:val="24"/>
              </w:rPr>
            </w:pPr>
            <w:r w:rsidRPr="00E931AD">
              <w:t>Неприложимо по ОПДУ.</w:t>
            </w:r>
          </w:p>
        </w:tc>
      </w:tr>
      <w:tr w:rsidR="00E931AD" w14:paraId="0D99C953" w14:textId="77777777" w:rsidTr="00394192">
        <w:tc>
          <w:tcPr>
            <w:tcW w:w="3391" w:type="dxa"/>
          </w:tcPr>
          <w:p w14:paraId="39050119" w14:textId="77777777" w:rsidR="00E931AD" w:rsidRPr="00E931AD" w:rsidRDefault="00E931AD" w:rsidP="00A650A7">
            <w:pPr>
              <w:rPr>
                <w:b/>
                <w:sz w:val="24"/>
                <w:szCs w:val="24"/>
                <w:lang w:val="en-US"/>
              </w:rPr>
            </w:pPr>
            <w:r>
              <w:rPr>
                <w:b/>
                <w:sz w:val="24"/>
                <w:szCs w:val="24"/>
              </w:rPr>
              <w:t>Съотносимост</w:t>
            </w:r>
          </w:p>
        </w:tc>
        <w:tc>
          <w:tcPr>
            <w:tcW w:w="3391" w:type="dxa"/>
          </w:tcPr>
          <w:p w14:paraId="1008019D"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 xml:space="preserve">Финансова помощ от ЕС спрямо разходите по проекта </w:t>
            </w:r>
          </w:p>
          <w:p w14:paraId="1E329C3C"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Финансова помощ от ЕС срещу приходи от проекти</w:t>
            </w:r>
          </w:p>
          <w:p w14:paraId="16A0661E"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Финансова помощ от ЕС срещу друг принос</w:t>
            </w:r>
          </w:p>
          <w:p w14:paraId="227A48D8"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Разходи за персонал спрямо разходите по проекта</w:t>
            </w:r>
          </w:p>
          <w:p w14:paraId="484945EF"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Разходи за ДМА спрямо разходите по проекта</w:t>
            </w:r>
          </w:p>
          <w:p w14:paraId="3E0CB5E5"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Разходи за администрирането на проекта спрямо разходите по проекта</w:t>
            </w:r>
          </w:p>
          <w:p w14:paraId="08AAE464"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Представителни и пътни разходи спрямо разходите по проекта</w:t>
            </w:r>
          </w:p>
          <w:p w14:paraId="1F088DC6"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Режийни разходи за спрямо разходите по проекта спрямо разходите по проекта</w:t>
            </w:r>
          </w:p>
          <w:p w14:paraId="2633964F"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Разходи за семинари, публикации</w:t>
            </w:r>
          </w:p>
          <w:p w14:paraId="241A2314"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lastRenderedPageBreak/>
              <w:t xml:space="preserve">Разходи за изследвания спрямо разходите по проекта </w:t>
            </w:r>
          </w:p>
          <w:p w14:paraId="19C06998"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Други разходи спрямо разходите по проекта</w:t>
            </w:r>
          </w:p>
          <w:p w14:paraId="059FAFF5"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Извънредни разходи спрямо разходите по проекта</w:t>
            </w:r>
          </w:p>
          <w:p w14:paraId="5A2E0545"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Разходи за ДМА спрямо разходите за персонал</w:t>
            </w:r>
          </w:p>
          <w:p w14:paraId="328D1BE8"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Финансова помощ от ЕС спрямо оборота на бенефициента</w:t>
            </w:r>
          </w:p>
          <w:p w14:paraId="0E7CDC18" w14:textId="225E03F5" w:rsidR="00E931AD" w:rsidRPr="00394192" w:rsidRDefault="00E931AD" w:rsidP="00394192">
            <w:pPr>
              <w:pStyle w:val="ListParagraph"/>
              <w:ind w:left="0"/>
              <w:jc w:val="both"/>
              <w:rPr>
                <w:rFonts w:ascii="Times New Roman" w:hAnsi="Times New Roman"/>
                <w:i/>
                <w:sz w:val="24"/>
                <w:szCs w:val="24"/>
              </w:rPr>
            </w:pPr>
            <w:r w:rsidRPr="00E931AD">
              <w:rPr>
                <w:rFonts w:ascii="Times New Roman" w:hAnsi="Times New Roman"/>
                <w:i/>
                <w:sz w:val="24"/>
                <w:szCs w:val="24"/>
              </w:rPr>
              <w:t>Обща финансова помощ от ЕС спрямо оборота на бенефициента</w:t>
            </w:r>
          </w:p>
        </w:tc>
        <w:tc>
          <w:tcPr>
            <w:tcW w:w="1814" w:type="dxa"/>
            <w:vAlign w:val="center"/>
          </w:tcPr>
          <w:p w14:paraId="67143B7D" w14:textId="77777777" w:rsidR="00E931AD" w:rsidRDefault="00E931AD" w:rsidP="00E931AD">
            <w:pPr>
              <w:jc w:val="center"/>
              <w:rPr>
                <w:b/>
                <w:sz w:val="24"/>
                <w:szCs w:val="24"/>
              </w:rPr>
            </w:pPr>
            <w:r w:rsidRPr="003D79D7">
              <w:rPr>
                <w:b/>
                <w:sz w:val="24"/>
                <w:szCs w:val="24"/>
              </w:rPr>
              <w:lastRenderedPageBreak/>
              <w:sym w:font="Wingdings 2" w:char="F04F"/>
            </w:r>
          </w:p>
        </w:tc>
        <w:tc>
          <w:tcPr>
            <w:tcW w:w="5007" w:type="dxa"/>
          </w:tcPr>
          <w:p w14:paraId="0E3B2226" w14:textId="77777777" w:rsidR="00E931AD" w:rsidRPr="00E931AD" w:rsidRDefault="00E931AD" w:rsidP="00DD3EE1">
            <w:pPr>
              <w:jc w:val="both"/>
            </w:pPr>
            <w:r w:rsidRPr="00E931AD">
              <w:t xml:space="preserve">По правило се проверява дали всички включени в ИП извършени и отчетени разходи с натрупване не превишават заложената сума в отделните бюджетни редове. Прави се проверка за спазване на приложимите процентни ограничения.  </w:t>
            </w:r>
          </w:p>
        </w:tc>
      </w:tr>
      <w:tr w:rsidR="00E931AD" w14:paraId="4E0F03E6" w14:textId="77777777" w:rsidTr="00394192">
        <w:tc>
          <w:tcPr>
            <w:tcW w:w="3391" w:type="dxa"/>
          </w:tcPr>
          <w:p w14:paraId="5FCD2D7F" w14:textId="77777777" w:rsidR="00E931AD" w:rsidRPr="00CB024F" w:rsidRDefault="00E931AD" w:rsidP="00E931AD">
            <w:pPr>
              <w:rPr>
                <w:b/>
                <w:sz w:val="24"/>
                <w:szCs w:val="24"/>
              </w:rPr>
            </w:pPr>
            <w:r w:rsidRPr="00CB024F">
              <w:rPr>
                <w:b/>
                <w:sz w:val="24"/>
                <w:szCs w:val="24"/>
              </w:rPr>
              <w:t>Репутация и измами</w:t>
            </w:r>
          </w:p>
          <w:p w14:paraId="5D5751C1" w14:textId="77777777" w:rsidR="00E931AD" w:rsidRPr="00E931AD" w:rsidRDefault="00E931AD" w:rsidP="00A650A7">
            <w:pPr>
              <w:rPr>
                <w:b/>
                <w:i/>
                <w:sz w:val="24"/>
                <w:szCs w:val="24"/>
              </w:rPr>
            </w:pPr>
            <w:r w:rsidRPr="00E931AD">
              <w:rPr>
                <w:b/>
                <w:i/>
                <w:sz w:val="24"/>
                <w:szCs w:val="24"/>
              </w:rPr>
              <w:t>Финансови</w:t>
            </w:r>
          </w:p>
        </w:tc>
        <w:tc>
          <w:tcPr>
            <w:tcW w:w="3391" w:type="dxa"/>
          </w:tcPr>
          <w:p w14:paraId="79E8332D" w14:textId="77777777" w:rsidR="00E931AD" w:rsidRPr="007458C4" w:rsidRDefault="00E931AD" w:rsidP="00E931AD">
            <w:pPr>
              <w:pStyle w:val="ListParagraph"/>
              <w:ind w:left="0"/>
              <w:jc w:val="both"/>
              <w:rPr>
                <w:rFonts w:ascii="Times New Roman" w:hAnsi="Times New Roman"/>
                <w:sz w:val="24"/>
                <w:szCs w:val="24"/>
              </w:rPr>
            </w:pPr>
            <w:r w:rsidRPr="00B75FFD">
              <w:rPr>
                <w:rFonts w:ascii="Times New Roman" w:hAnsi="Times New Roman"/>
                <w:i/>
                <w:sz w:val="24"/>
                <w:szCs w:val="24"/>
              </w:rPr>
              <w:t>Бенефициенти с невалиден ДДС номер</w:t>
            </w:r>
            <w:r>
              <w:rPr>
                <w:rFonts w:ascii="Times New Roman" w:hAnsi="Times New Roman"/>
                <w:sz w:val="24"/>
                <w:szCs w:val="24"/>
              </w:rPr>
              <w:t xml:space="preserve"> </w:t>
            </w:r>
          </w:p>
          <w:p w14:paraId="5C002BEC" w14:textId="77777777" w:rsidR="00E931AD" w:rsidRPr="00AB1C1F" w:rsidRDefault="00E931AD" w:rsidP="00E931AD">
            <w:pPr>
              <w:rPr>
                <w:i/>
                <w:sz w:val="24"/>
                <w:szCs w:val="24"/>
              </w:rPr>
            </w:pPr>
          </w:p>
        </w:tc>
        <w:tc>
          <w:tcPr>
            <w:tcW w:w="1814" w:type="dxa"/>
            <w:vAlign w:val="center"/>
          </w:tcPr>
          <w:p w14:paraId="0DA1F034" w14:textId="77777777" w:rsidR="00E931AD" w:rsidRDefault="00DD3EE1" w:rsidP="00E931AD">
            <w:pPr>
              <w:jc w:val="center"/>
              <w:rPr>
                <w:b/>
                <w:sz w:val="24"/>
                <w:szCs w:val="24"/>
              </w:rPr>
            </w:pPr>
            <w:r w:rsidRPr="003D79D7">
              <w:rPr>
                <w:b/>
                <w:sz w:val="24"/>
                <w:szCs w:val="24"/>
              </w:rPr>
              <w:sym w:font="Wingdings 2" w:char="F04F"/>
            </w:r>
          </w:p>
        </w:tc>
        <w:tc>
          <w:tcPr>
            <w:tcW w:w="5007" w:type="dxa"/>
          </w:tcPr>
          <w:p w14:paraId="1888AAD9" w14:textId="77777777" w:rsidR="00E931AD" w:rsidRPr="00DD3EE1" w:rsidRDefault="00E931AD" w:rsidP="00DD3EE1">
            <w:pPr>
              <w:jc w:val="both"/>
            </w:pPr>
            <w:r w:rsidRPr="00DD3EE1">
              <w:t>В ИСУН  се въвежда ДДС номер на бенефициента, като системата осъществява контрол за формата и валидността на номера на всички български регистрирани субекти.</w:t>
            </w:r>
          </w:p>
        </w:tc>
      </w:tr>
      <w:tr w:rsidR="00DD3EE1" w14:paraId="0014BDBC" w14:textId="77777777" w:rsidTr="00394192">
        <w:tc>
          <w:tcPr>
            <w:tcW w:w="3391" w:type="dxa"/>
          </w:tcPr>
          <w:p w14:paraId="311569D2" w14:textId="77777777" w:rsidR="00DD3EE1" w:rsidRDefault="00DD3EE1" w:rsidP="00DD3EE1">
            <w:pPr>
              <w:rPr>
                <w:b/>
                <w:sz w:val="24"/>
                <w:szCs w:val="24"/>
              </w:rPr>
            </w:pPr>
          </w:p>
        </w:tc>
        <w:tc>
          <w:tcPr>
            <w:tcW w:w="3391" w:type="dxa"/>
          </w:tcPr>
          <w:p w14:paraId="1D8959E9" w14:textId="77777777" w:rsidR="00DD3EE1" w:rsidRPr="007458C4" w:rsidRDefault="00DD3EE1" w:rsidP="00DD3EE1">
            <w:pPr>
              <w:pStyle w:val="ListParagraph"/>
              <w:ind w:left="0"/>
              <w:jc w:val="both"/>
              <w:rPr>
                <w:rFonts w:ascii="Times New Roman" w:hAnsi="Times New Roman"/>
                <w:sz w:val="24"/>
                <w:szCs w:val="24"/>
              </w:rPr>
            </w:pPr>
            <w:r w:rsidRPr="00AB1C1F">
              <w:rPr>
                <w:rFonts w:ascii="Times New Roman" w:hAnsi="Times New Roman"/>
                <w:i/>
                <w:sz w:val="24"/>
                <w:szCs w:val="24"/>
              </w:rPr>
              <w:t>Висока или повишаваща се вероятност от фалит (бенефициент, партньор, изпълнител, подизпълнител, член на консорциум, свързани с проекта)</w:t>
            </w:r>
            <w:r w:rsidRPr="007458C4">
              <w:rPr>
                <w:rFonts w:ascii="Times New Roman" w:hAnsi="Times New Roman"/>
                <w:sz w:val="24"/>
                <w:szCs w:val="24"/>
              </w:rPr>
              <w:t xml:space="preserve"> </w:t>
            </w:r>
          </w:p>
          <w:p w14:paraId="394AF119" w14:textId="77777777" w:rsidR="00DD3EE1" w:rsidRPr="00AB1C1F" w:rsidRDefault="00DD3EE1" w:rsidP="00DD3EE1">
            <w:pPr>
              <w:rPr>
                <w:i/>
                <w:sz w:val="24"/>
                <w:szCs w:val="24"/>
              </w:rPr>
            </w:pPr>
          </w:p>
        </w:tc>
        <w:tc>
          <w:tcPr>
            <w:tcW w:w="1814" w:type="dxa"/>
            <w:vAlign w:val="center"/>
          </w:tcPr>
          <w:p w14:paraId="0B10216E" w14:textId="77777777" w:rsidR="00DD3EE1" w:rsidRDefault="00DD3EE1" w:rsidP="00DD3EE1">
            <w:pPr>
              <w:jc w:val="center"/>
            </w:pPr>
            <w:r w:rsidRPr="00A329A8">
              <w:rPr>
                <w:b/>
                <w:sz w:val="24"/>
                <w:szCs w:val="24"/>
              </w:rPr>
              <w:sym w:font="Wingdings 2" w:char="F04F"/>
            </w:r>
          </w:p>
        </w:tc>
        <w:tc>
          <w:tcPr>
            <w:tcW w:w="5007" w:type="dxa"/>
          </w:tcPr>
          <w:p w14:paraId="04DF282B" w14:textId="77777777" w:rsidR="00DD3EE1" w:rsidRPr="00DD3EE1" w:rsidRDefault="00DD3EE1" w:rsidP="00DD3EE1">
            <w:pPr>
              <w:jc w:val="both"/>
            </w:pPr>
            <w:r w:rsidRPr="00DD3EE1">
              <w:t xml:space="preserve">Бенефициенти/партньори по ОПДУ са преобладаващо структури от държавната администрация, които не са изложени на риск от фалит. Бенефициентите НПО и общини предоставят обезпечение на авансовото плащане от УО. На бенефициентите текущо се възстановяват извършени и изплатени разходи </w:t>
            </w:r>
            <w:proofErr w:type="spellStart"/>
            <w:r w:rsidRPr="00DD3EE1">
              <w:t>относими</w:t>
            </w:r>
            <w:proofErr w:type="spellEnd"/>
            <w:r w:rsidRPr="00DD3EE1">
              <w:t xml:space="preserve"> към реално извършени дейности и постигнати резултати, като всички от тях се проверяват при верификацията. Що се отнася до изпълнител/подизпълнител/ член на консорциум, свързани с проекта, по правило всички обществени поръчки преминават последващ контрол за законосъобразност, включително критериите за подбор на възложителя.</w:t>
            </w:r>
          </w:p>
        </w:tc>
      </w:tr>
      <w:tr w:rsidR="00DD3EE1" w14:paraId="68B8E6E1" w14:textId="77777777" w:rsidTr="00394192">
        <w:tc>
          <w:tcPr>
            <w:tcW w:w="3391" w:type="dxa"/>
          </w:tcPr>
          <w:p w14:paraId="36BF8D0B" w14:textId="77777777" w:rsidR="00DD3EE1" w:rsidRDefault="00DD3EE1" w:rsidP="00DD3EE1">
            <w:pPr>
              <w:rPr>
                <w:b/>
                <w:sz w:val="24"/>
                <w:szCs w:val="24"/>
              </w:rPr>
            </w:pPr>
          </w:p>
        </w:tc>
        <w:tc>
          <w:tcPr>
            <w:tcW w:w="3391" w:type="dxa"/>
          </w:tcPr>
          <w:p w14:paraId="6D92BE3B" w14:textId="77777777" w:rsidR="00DD3EE1" w:rsidRPr="007458C4" w:rsidRDefault="00DD3EE1" w:rsidP="00DD3EE1">
            <w:pPr>
              <w:pStyle w:val="ListParagraph"/>
              <w:ind w:left="0"/>
              <w:jc w:val="both"/>
              <w:rPr>
                <w:rFonts w:ascii="Times New Roman" w:hAnsi="Times New Roman"/>
                <w:sz w:val="24"/>
                <w:szCs w:val="24"/>
              </w:rPr>
            </w:pPr>
            <w:r w:rsidRPr="0023713D">
              <w:rPr>
                <w:rFonts w:ascii="Times New Roman" w:hAnsi="Times New Roman"/>
                <w:i/>
                <w:sz w:val="24"/>
                <w:szCs w:val="24"/>
              </w:rPr>
              <w:t xml:space="preserve">Висока или повишаваща се вероятност от фалит в сравнение със сектора </w:t>
            </w:r>
            <w:r w:rsidRPr="0023713D">
              <w:rPr>
                <w:rFonts w:ascii="Times New Roman" w:hAnsi="Times New Roman"/>
                <w:i/>
                <w:sz w:val="24"/>
                <w:szCs w:val="24"/>
              </w:rPr>
              <w:lastRenderedPageBreak/>
              <w:t>(бенефициент, партньор, изпълнител, подизпълнител, член на консорциум, свързани с проекта)</w:t>
            </w:r>
            <w:r>
              <w:rPr>
                <w:rFonts w:ascii="Times New Roman" w:hAnsi="Times New Roman"/>
                <w:sz w:val="24"/>
                <w:szCs w:val="24"/>
              </w:rPr>
              <w:t xml:space="preserve">  </w:t>
            </w:r>
          </w:p>
          <w:p w14:paraId="3198BFBE" w14:textId="77777777" w:rsidR="00DD3EE1" w:rsidRPr="00AB1C1F" w:rsidRDefault="00DD3EE1" w:rsidP="00DD3EE1">
            <w:pPr>
              <w:rPr>
                <w:i/>
                <w:sz w:val="24"/>
                <w:szCs w:val="24"/>
              </w:rPr>
            </w:pPr>
          </w:p>
        </w:tc>
        <w:tc>
          <w:tcPr>
            <w:tcW w:w="1814" w:type="dxa"/>
            <w:vAlign w:val="center"/>
          </w:tcPr>
          <w:p w14:paraId="4C009B7D" w14:textId="77777777" w:rsidR="00DD3EE1" w:rsidRDefault="00DD3EE1" w:rsidP="00DD3EE1">
            <w:pPr>
              <w:jc w:val="center"/>
            </w:pPr>
            <w:r w:rsidRPr="00A329A8">
              <w:rPr>
                <w:b/>
                <w:sz w:val="24"/>
                <w:szCs w:val="24"/>
              </w:rPr>
              <w:lastRenderedPageBreak/>
              <w:sym w:font="Wingdings 2" w:char="F04F"/>
            </w:r>
          </w:p>
        </w:tc>
        <w:tc>
          <w:tcPr>
            <w:tcW w:w="5007" w:type="dxa"/>
          </w:tcPr>
          <w:p w14:paraId="4E59DE7B" w14:textId="77777777" w:rsidR="00DD3EE1" w:rsidRPr="00DD3EE1" w:rsidRDefault="00DD3EE1" w:rsidP="00DD3EE1">
            <w:pPr>
              <w:jc w:val="both"/>
            </w:pPr>
            <w:r w:rsidRPr="00DD3EE1">
              <w:t xml:space="preserve">Бенефициенти/партньори по ОПДУ са преобладаващо структури от държавната администрация, които не са изложени на риск от фалит. Бенефициентите НПО и общини предоставят обезпечение на авансовото </w:t>
            </w:r>
            <w:r w:rsidRPr="00DD3EE1">
              <w:lastRenderedPageBreak/>
              <w:t xml:space="preserve">плащане от УО. На бенефициентите текущо се възстановяват извършени и изплатени разходи </w:t>
            </w:r>
            <w:proofErr w:type="spellStart"/>
            <w:r w:rsidRPr="00DD3EE1">
              <w:t>относими</w:t>
            </w:r>
            <w:proofErr w:type="spellEnd"/>
            <w:r w:rsidRPr="00DD3EE1">
              <w:t xml:space="preserve"> към реално извършени дейности и постигнати резултати, като всички от тях се проверяват при верификацията. Що се отнася до изпълнител/подизпълнител/ член на консорциум, свързани с проекта, по правило всички обществени поръчки преминават последващ контрол за законосъобразност, включително критериите за подбор на възложителя.</w:t>
            </w:r>
          </w:p>
        </w:tc>
      </w:tr>
      <w:tr w:rsidR="00DD3EE1" w14:paraId="510B8372" w14:textId="77777777" w:rsidTr="00394192">
        <w:tc>
          <w:tcPr>
            <w:tcW w:w="3391" w:type="dxa"/>
          </w:tcPr>
          <w:p w14:paraId="187E298C" w14:textId="77777777" w:rsidR="00DD3EE1" w:rsidRDefault="00DD3EE1" w:rsidP="00DD3EE1">
            <w:pPr>
              <w:rPr>
                <w:b/>
                <w:sz w:val="24"/>
                <w:szCs w:val="24"/>
              </w:rPr>
            </w:pPr>
          </w:p>
        </w:tc>
        <w:tc>
          <w:tcPr>
            <w:tcW w:w="3391" w:type="dxa"/>
          </w:tcPr>
          <w:p w14:paraId="3B0C913D" w14:textId="77777777" w:rsidR="00DD3EE1" w:rsidRPr="007458C4" w:rsidRDefault="00DD3EE1" w:rsidP="00DD3EE1">
            <w:pPr>
              <w:pStyle w:val="ListParagraph"/>
              <w:ind w:left="0"/>
              <w:jc w:val="both"/>
              <w:rPr>
                <w:rFonts w:ascii="Times New Roman" w:hAnsi="Times New Roman"/>
                <w:sz w:val="24"/>
                <w:szCs w:val="24"/>
              </w:rPr>
            </w:pPr>
            <w:r w:rsidRPr="0023713D">
              <w:rPr>
                <w:rFonts w:ascii="Times New Roman" w:hAnsi="Times New Roman"/>
                <w:i/>
                <w:sz w:val="24"/>
                <w:szCs w:val="24"/>
              </w:rPr>
              <w:t>Висок финансов риск на свързани компании (shareholders/subsidiaries)</w:t>
            </w:r>
            <w:r>
              <w:rPr>
                <w:rFonts w:ascii="Times New Roman" w:hAnsi="Times New Roman"/>
                <w:i/>
                <w:sz w:val="24"/>
                <w:szCs w:val="24"/>
              </w:rPr>
              <w:t xml:space="preserve"> </w:t>
            </w:r>
          </w:p>
          <w:p w14:paraId="6C2C9F88" w14:textId="77777777" w:rsidR="00DD3EE1" w:rsidRPr="007458C4" w:rsidRDefault="00DD3EE1" w:rsidP="00DD3EE1">
            <w:pPr>
              <w:rPr>
                <w:i/>
                <w:sz w:val="24"/>
                <w:szCs w:val="24"/>
              </w:rPr>
            </w:pPr>
          </w:p>
        </w:tc>
        <w:tc>
          <w:tcPr>
            <w:tcW w:w="1814" w:type="dxa"/>
            <w:vAlign w:val="center"/>
          </w:tcPr>
          <w:p w14:paraId="06F12476" w14:textId="77777777" w:rsidR="00DD3EE1" w:rsidRDefault="00DD3EE1" w:rsidP="00DD3EE1">
            <w:pPr>
              <w:jc w:val="center"/>
            </w:pPr>
            <w:r w:rsidRPr="00A329A8">
              <w:rPr>
                <w:b/>
                <w:sz w:val="24"/>
                <w:szCs w:val="24"/>
              </w:rPr>
              <w:sym w:font="Wingdings 2" w:char="F04F"/>
            </w:r>
          </w:p>
        </w:tc>
        <w:tc>
          <w:tcPr>
            <w:tcW w:w="5007" w:type="dxa"/>
          </w:tcPr>
          <w:p w14:paraId="6C1086AD" w14:textId="77777777" w:rsidR="00DD3EE1" w:rsidRPr="00DD3EE1" w:rsidRDefault="00DD3EE1" w:rsidP="00DD3EE1">
            <w:pPr>
              <w:jc w:val="both"/>
            </w:pPr>
            <w:r w:rsidRPr="00DD3EE1">
              <w:t xml:space="preserve">По правило всички обществени поръчки преминават последващ контрол за законосъобразност, включително критериите за подбор на възложителя.  </w:t>
            </w:r>
          </w:p>
        </w:tc>
      </w:tr>
      <w:tr w:rsidR="00DD3EE1" w14:paraId="7B284BEF" w14:textId="77777777" w:rsidTr="00394192">
        <w:tc>
          <w:tcPr>
            <w:tcW w:w="3391" w:type="dxa"/>
          </w:tcPr>
          <w:p w14:paraId="41BE9C22" w14:textId="77777777" w:rsidR="00DD3EE1" w:rsidRDefault="00DD3EE1" w:rsidP="00DD3EE1">
            <w:pPr>
              <w:rPr>
                <w:b/>
                <w:sz w:val="24"/>
                <w:szCs w:val="24"/>
              </w:rPr>
            </w:pPr>
          </w:p>
        </w:tc>
        <w:tc>
          <w:tcPr>
            <w:tcW w:w="3391" w:type="dxa"/>
          </w:tcPr>
          <w:p w14:paraId="5559BAFB" w14:textId="745EC234" w:rsidR="00DD3EE1" w:rsidRPr="00A00AE2" w:rsidRDefault="00DD3EE1" w:rsidP="00DD3EE1">
            <w:pPr>
              <w:pStyle w:val="ListParagraph"/>
              <w:ind w:left="0"/>
              <w:jc w:val="both"/>
              <w:rPr>
                <w:rFonts w:ascii="Times New Roman" w:hAnsi="Times New Roman"/>
                <w:sz w:val="24"/>
                <w:szCs w:val="24"/>
              </w:rPr>
            </w:pPr>
            <w:r w:rsidRPr="0023713D">
              <w:rPr>
                <w:rFonts w:ascii="Times New Roman" w:hAnsi="Times New Roman"/>
                <w:i/>
                <w:sz w:val="24"/>
                <w:szCs w:val="24"/>
              </w:rPr>
              <w:t>Неподаване на годишни отчети</w:t>
            </w:r>
            <w:r>
              <w:rPr>
                <w:rFonts w:ascii="Times New Roman" w:hAnsi="Times New Roman"/>
                <w:sz w:val="24"/>
                <w:szCs w:val="24"/>
              </w:rPr>
              <w:t xml:space="preserve"> </w:t>
            </w:r>
          </w:p>
        </w:tc>
        <w:tc>
          <w:tcPr>
            <w:tcW w:w="1814" w:type="dxa"/>
            <w:vAlign w:val="center"/>
          </w:tcPr>
          <w:p w14:paraId="6E671E13" w14:textId="77777777" w:rsidR="00DD3EE1" w:rsidRDefault="00DD3EE1" w:rsidP="00DD3EE1">
            <w:pPr>
              <w:jc w:val="center"/>
            </w:pPr>
            <w:r w:rsidRPr="00A329A8">
              <w:rPr>
                <w:b/>
                <w:sz w:val="24"/>
                <w:szCs w:val="24"/>
              </w:rPr>
              <w:sym w:font="Wingdings 2" w:char="F04F"/>
            </w:r>
          </w:p>
        </w:tc>
        <w:tc>
          <w:tcPr>
            <w:tcW w:w="5007" w:type="dxa"/>
          </w:tcPr>
          <w:p w14:paraId="04F9B884" w14:textId="77777777" w:rsidR="00DD3EE1" w:rsidRDefault="00DD3EE1" w:rsidP="00DD3EE1">
            <w:pPr>
              <w:jc w:val="both"/>
            </w:pPr>
            <w:r w:rsidRPr="00DD3EE1">
              <w:t xml:space="preserve">Обстоятелството не оказва влияние върху изпълнението на проектите, дейностите по които текущо се </w:t>
            </w:r>
            <w:proofErr w:type="spellStart"/>
            <w:r w:rsidRPr="00DD3EE1">
              <w:t>мониторират</w:t>
            </w:r>
            <w:proofErr w:type="spellEnd"/>
            <w:r w:rsidRPr="00DD3EE1">
              <w:t>.</w:t>
            </w:r>
          </w:p>
        </w:tc>
      </w:tr>
      <w:tr w:rsidR="00DD3EE1" w14:paraId="79AAF0EE" w14:textId="77777777" w:rsidTr="00394192">
        <w:tc>
          <w:tcPr>
            <w:tcW w:w="3391" w:type="dxa"/>
          </w:tcPr>
          <w:p w14:paraId="53F60191" w14:textId="77777777" w:rsidR="00DD3EE1" w:rsidRDefault="00DD3EE1" w:rsidP="00DD3EE1">
            <w:pPr>
              <w:rPr>
                <w:b/>
                <w:sz w:val="24"/>
                <w:szCs w:val="24"/>
              </w:rPr>
            </w:pPr>
          </w:p>
        </w:tc>
        <w:tc>
          <w:tcPr>
            <w:tcW w:w="3391" w:type="dxa"/>
          </w:tcPr>
          <w:p w14:paraId="1FA6E754" w14:textId="77777777" w:rsidR="00DD3EE1" w:rsidRDefault="00DD3EE1" w:rsidP="00DD3EE1">
            <w:pPr>
              <w:pStyle w:val="ListParagraph"/>
              <w:ind w:left="0"/>
              <w:jc w:val="both"/>
              <w:rPr>
                <w:rFonts w:ascii="Times New Roman" w:hAnsi="Times New Roman"/>
                <w:sz w:val="24"/>
                <w:szCs w:val="24"/>
              </w:rPr>
            </w:pPr>
            <w:r w:rsidRPr="00CA0710">
              <w:rPr>
                <w:rFonts w:ascii="Times New Roman" w:hAnsi="Times New Roman"/>
                <w:i/>
                <w:sz w:val="24"/>
                <w:szCs w:val="24"/>
              </w:rPr>
              <w:t>Разлика между разходите по проекта и годишния оборот на бенефициента</w:t>
            </w:r>
            <w:r w:rsidRPr="00CA0710">
              <w:rPr>
                <w:rFonts w:ascii="Times New Roman" w:hAnsi="Times New Roman"/>
                <w:sz w:val="24"/>
                <w:szCs w:val="24"/>
              </w:rPr>
              <w:t xml:space="preserve"> </w:t>
            </w:r>
          </w:p>
          <w:p w14:paraId="61053836" w14:textId="77777777" w:rsidR="00DD3EE1" w:rsidRPr="007458C4" w:rsidRDefault="00DD3EE1" w:rsidP="00DD3EE1">
            <w:pPr>
              <w:rPr>
                <w:i/>
                <w:sz w:val="24"/>
                <w:szCs w:val="24"/>
              </w:rPr>
            </w:pPr>
          </w:p>
        </w:tc>
        <w:tc>
          <w:tcPr>
            <w:tcW w:w="1814" w:type="dxa"/>
            <w:vAlign w:val="center"/>
          </w:tcPr>
          <w:p w14:paraId="204A6063" w14:textId="77777777" w:rsidR="00DD3EE1" w:rsidRDefault="00DD3EE1" w:rsidP="00DD3EE1">
            <w:pPr>
              <w:jc w:val="center"/>
            </w:pPr>
            <w:r w:rsidRPr="00A329A8">
              <w:rPr>
                <w:b/>
                <w:sz w:val="24"/>
                <w:szCs w:val="24"/>
              </w:rPr>
              <w:sym w:font="Wingdings 2" w:char="F04F"/>
            </w:r>
          </w:p>
        </w:tc>
        <w:tc>
          <w:tcPr>
            <w:tcW w:w="5007" w:type="dxa"/>
          </w:tcPr>
          <w:p w14:paraId="6060779A" w14:textId="77777777" w:rsidR="00DD3EE1" w:rsidRDefault="00DD3EE1" w:rsidP="00DD3EE1">
            <w:pPr>
              <w:jc w:val="both"/>
            </w:pPr>
            <w:proofErr w:type="spellStart"/>
            <w:r w:rsidRPr="00C34CF9">
              <w:t>Бенфициентите</w:t>
            </w:r>
            <w:proofErr w:type="spellEnd"/>
            <w:r w:rsidRPr="00C34CF9">
              <w:t xml:space="preserve"> по ОПДУ са преобладаващо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 </w:t>
            </w:r>
          </w:p>
          <w:p w14:paraId="6FD92D47" w14:textId="77777777" w:rsidR="00DD3EE1" w:rsidRDefault="00DD3EE1" w:rsidP="00DD3EE1">
            <w:r w:rsidRPr="00C34CF9">
              <w:t xml:space="preserve">По правило се проверява изпълнението на </w:t>
            </w:r>
            <w:r>
              <w:t>всички дейности</w:t>
            </w:r>
            <w:r w:rsidRPr="00C34CF9">
              <w:t xml:space="preserve"> по проекта и всички разходи, включени в ИП.</w:t>
            </w:r>
          </w:p>
        </w:tc>
      </w:tr>
      <w:tr w:rsidR="00DD3EE1" w14:paraId="7FD64252" w14:textId="77777777" w:rsidTr="00394192">
        <w:tc>
          <w:tcPr>
            <w:tcW w:w="3391" w:type="dxa"/>
          </w:tcPr>
          <w:p w14:paraId="2DE9C948" w14:textId="77777777" w:rsidR="00DD3EE1" w:rsidRDefault="00DD3EE1" w:rsidP="00DD3EE1">
            <w:pPr>
              <w:rPr>
                <w:b/>
                <w:sz w:val="24"/>
                <w:szCs w:val="24"/>
              </w:rPr>
            </w:pPr>
          </w:p>
        </w:tc>
        <w:tc>
          <w:tcPr>
            <w:tcW w:w="3391" w:type="dxa"/>
          </w:tcPr>
          <w:p w14:paraId="7CDB9B81" w14:textId="77777777" w:rsidR="00DD3EE1" w:rsidRPr="00B75FFD" w:rsidRDefault="00DD3EE1" w:rsidP="00DD3EE1">
            <w:pPr>
              <w:pStyle w:val="ListParagraph"/>
              <w:ind w:left="0"/>
              <w:jc w:val="both"/>
              <w:rPr>
                <w:rFonts w:ascii="Times New Roman" w:hAnsi="Times New Roman"/>
                <w:sz w:val="24"/>
                <w:szCs w:val="24"/>
              </w:rPr>
            </w:pPr>
            <w:r w:rsidRPr="00B75FFD">
              <w:rPr>
                <w:rFonts w:ascii="Times New Roman" w:hAnsi="Times New Roman"/>
                <w:i/>
                <w:sz w:val="24"/>
                <w:szCs w:val="24"/>
              </w:rPr>
              <w:t>Разходи по проекта спрямо брой на заетите на бенефициента</w:t>
            </w:r>
            <w:r w:rsidRPr="00B75FFD">
              <w:rPr>
                <w:rFonts w:ascii="Times New Roman" w:hAnsi="Times New Roman"/>
                <w:sz w:val="24"/>
                <w:szCs w:val="24"/>
              </w:rPr>
              <w:t xml:space="preserve"> </w:t>
            </w:r>
          </w:p>
          <w:p w14:paraId="0FE9A797" w14:textId="77777777" w:rsidR="00DD3EE1" w:rsidRPr="007458C4" w:rsidRDefault="00DD3EE1" w:rsidP="00DD3EE1">
            <w:pPr>
              <w:rPr>
                <w:i/>
                <w:sz w:val="24"/>
                <w:szCs w:val="24"/>
              </w:rPr>
            </w:pPr>
          </w:p>
        </w:tc>
        <w:tc>
          <w:tcPr>
            <w:tcW w:w="1814" w:type="dxa"/>
            <w:vAlign w:val="center"/>
          </w:tcPr>
          <w:p w14:paraId="11CF0BEC" w14:textId="77777777" w:rsidR="00DD3EE1" w:rsidRDefault="00DD3EE1" w:rsidP="00DD3EE1">
            <w:pPr>
              <w:jc w:val="center"/>
            </w:pPr>
            <w:r w:rsidRPr="00A329A8">
              <w:rPr>
                <w:b/>
                <w:sz w:val="24"/>
                <w:szCs w:val="24"/>
              </w:rPr>
              <w:sym w:font="Wingdings 2" w:char="F04F"/>
            </w:r>
          </w:p>
        </w:tc>
        <w:tc>
          <w:tcPr>
            <w:tcW w:w="5007" w:type="dxa"/>
          </w:tcPr>
          <w:p w14:paraId="4F091BD3" w14:textId="77777777" w:rsidR="00DD3EE1" w:rsidRDefault="00DD3EE1" w:rsidP="00DD3EE1">
            <w:pPr>
              <w:jc w:val="both"/>
            </w:pPr>
            <w:proofErr w:type="spellStart"/>
            <w:r w:rsidRPr="00C34CF9">
              <w:t>Бенфициентите</w:t>
            </w:r>
            <w:proofErr w:type="spellEnd"/>
            <w:r w:rsidRPr="00C34CF9">
              <w:t xml:space="preserve"> по ОПДУ са преобладаващо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 </w:t>
            </w:r>
          </w:p>
          <w:p w14:paraId="2B7D453F" w14:textId="77777777" w:rsidR="00DD3EE1" w:rsidRDefault="00DD3EE1" w:rsidP="00DD3EE1">
            <w:r w:rsidRPr="00C34CF9">
              <w:t xml:space="preserve">По правило се проверява изпълнението на </w:t>
            </w:r>
            <w:r>
              <w:t xml:space="preserve">всички </w:t>
            </w:r>
            <w:r>
              <w:lastRenderedPageBreak/>
              <w:t>дейности</w:t>
            </w:r>
            <w:r w:rsidRPr="00C34CF9">
              <w:t xml:space="preserve"> по проекта и всички разходи, включени в ИП.</w:t>
            </w:r>
          </w:p>
        </w:tc>
      </w:tr>
      <w:tr w:rsidR="00DD3EE1" w14:paraId="6E8DA8E8" w14:textId="77777777" w:rsidTr="00394192">
        <w:tc>
          <w:tcPr>
            <w:tcW w:w="3391" w:type="dxa"/>
          </w:tcPr>
          <w:p w14:paraId="59BB4C15" w14:textId="77777777" w:rsidR="00DD3EE1" w:rsidRPr="00CB024F" w:rsidRDefault="00DD3EE1" w:rsidP="00DD3EE1">
            <w:pPr>
              <w:rPr>
                <w:b/>
                <w:sz w:val="24"/>
                <w:szCs w:val="24"/>
              </w:rPr>
            </w:pPr>
            <w:r w:rsidRPr="00CB024F">
              <w:rPr>
                <w:b/>
                <w:sz w:val="24"/>
                <w:szCs w:val="24"/>
              </w:rPr>
              <w:lastRenderedPageBreak/>
              <w:t>Репутация и измами</w:t>
            </w:r>
          </w:p>
          <w:p w14:paraId="0162AB0F" w14:textId="77777777" w:rsidR="00DD3EE1" w:rsidRPr="00DD3EE1" w:rsidRDefault="00DD3EE1" w:rsidP="00A650A7">
            <w:pPr>
              <w:rPr>
                <w:b/>
                <w:i/>
                <w:sz w:val="24"/>
                <w:szCs w:val="24"/>
              </w:rPr>
            </w:pPr>
            <w:r w:rsidRPr="00DD3EE1">
              <w:rPr>
                <w:b/>
                <w:i/>
                <w:sz w:val="24"/>
                <w:szCs w:val="24"/>
              </w:rPr>
              <w:t>Връзки</w:t>
            </w:r>
          </w:p>
        </w:tc>
        <w:tc>
          <w:tcPr>
            <w:tcW w:w="3391" w:type="dxa"/>
          </w:tcPr>
          <w:p w14:paraId="4149015E" w14:textId="77777777" w:rsidR="00DD3EE1" w:rsidRPr="007458C4" w:rsidRDefault="00DD3EE1" w:rsidP="00DD3EE1">
            <w:pPr>
              <w:pStyle w:val="ListParagraph"/>
              <w:ind w:left="0"/>
              <w:jc w:val="both"/>
              <w:rPr>
                <w:rFonts w:ascii="Times New Roman" w:hAnsi="Times New Roman"/>
                <w:sz w:val="24"/>
                <w:szCs w:val="24"/>
              </w:rPr>
            </w:pPr>
            <w:r w:rsidRPr="0023713D">
              <w:rPr>
                <w:rFonts w:ascii="Times New Roman" w:hAnsi="Times New Roman"/>
                <w:i/>
                <w:sz w:val="24"/>
                <w:szCs w:val="24"/>
              </w:rPr>
              <w:t>Връзки между бенефициентите/партньорите по проекта</w:t>
            </w:r>
            <w:r>
              <w:rPr>
                <w:rFonts w:ascii="Times New Roman" w:hAnsi="Times New Roman"/>
                <w:i/>
                <w:sz w:val="24"/>
                <w:szCs w:val="24"/>
              </w:rPr>
              <w:t xml:space="preserve">  </w:t>
            </w:r>
          </w:p>
          <w:p w14:paraId="28C63F5A" w14:textId="77777777" w:rsidR="00DD3EE1" w:rsidRPr="007458C4" w:rsidRDefault="00DD3EE1" w:rsidP="00A650A7">
            <w:pPr>
              <w:rPr>
                <w:i/>
                <w:sz w:val="24"/>
                <w:szCs w:val="24"/>
              </w:rPr>
            </w:pPr>
          </w:p>
        </w:tc>
        <w:tc>
          <w:tcPr>
            <w:tcW w:w="1814" w:type="dxa"/>
            <w:vAlign w:val="center"/>
          </w:tcPr>
          <w:p w14:paraId="58793A95" w14:textId="77777777" w:rsidR="00DD3EE1" w:rsidRDefault="00DD3EE1" w:rsidP="00E931AD">
            <w:pPr>
              <w:jc w:val="center"/>
              <w:rPr>
                <w:b/>
                <w:sz w:val="24"/>
                <w:szCs w:val="24"/>
              </w:rPr>
            </w:pPr>
            <w:r w:rsidRPr="00B84111">
              <w:rPr>
                <w:b/>
                <w:sz w:val="24"/>
                <w:szCs w:val="24"/>
              </w:rPr>
              <w:sym w:font="Wingdings 2" w:char="F050"/>
            </w:r>
          </w:p>
        </w:tc>
        <w:tc>
          <w:tcPr>
            <w:tcW w:w="5007" w:type="dxa"/>
          </w:tcPr>
          <w:p w14:paraId="3DC94CA2" w14:textId="77777777" w:rsidR="00DD3EE1" w:rsidRDefault="00DD3EE1" w:rsidP="00DD3EE1">
            <w:pPr>
              <w:jc w:val="both"/>
            </w:pPr>
            <w:r w:rsidRPr="00DD3EE1">
              <w:t>Извършва проверка по индикатора за проекти с бенефициенти НПО за целите на определяне на допустимия размер на минимална помощ. (На етап кандидатстване са определени допустимите бенефициенти и партньори, от които се изисква съвместно изпълнение на проекта при определени условия, заложени в проекта и партньорското споразумение.)</w:t>
            </w:r>
          </w:p>
        </w:tc>
      </w:tr>
      <w:tr w:rsidR="00DD3EE1" w14:paraId="54CACB7E" w14:textId="77777777" w:rsidTr="00394192">
        <w:tc>
          <w:tcPr>
            <w:tcW w:w="3391" w:type="dxa"/>
          </w:tcPr>
          <w:p w14:paraId="4B95C61D" w14:textId="77777777" w:rsidR="00DD3EE1" w:rsidRDefault="00DD3EE1" w:rsidP="00A650A7">
            <w:pPr>
              <w:rPr>
                <w:b/>
                <w:sz w:val="24"/>
                <w:szCs w:val="24"/>
              </w:rPr>
            </w:pPr>
          </w:p>
        </w:tc>
        <w:tc>
          <w:tcPr>
            <w:tcW w:w="3391" w:type="dxa"/>
          </w:tcPr>
          <w:p w14:paraId="25923D45" w14:textId="609B7DA0" w:rsidR="00DD3EE1" w:rsidRPr="002D54AC" w:rsidRDefault="00DD3EE1" w:rsidP="002D54AC">
            <w:pPr>
              <w:pStyle w:val="ListParagraph"/>
              <w:ind w:left="0"/>
              <w:jc w:val="both"/>
              <w:rPr>
                <w:rFonts w:ascii="Times New Roman" w:hAnsi="Times New Roman"/>
                <w:sz w:val="24"/>
                <w:szCs w:val="24"/>
              </w:rPr>
            </w:pPr>
            <w:r w:rsidRPr="00DD3EE1">
              <w:rPr>
                <w:rFonts w:ascii="Times New Roman" w:hAnsi="Times New Roman"/>
                <w:i/>
                <w:sz w:val="24"/>
                <w:szCs w:val="24"/>
              </w:rPr>
              <w:t>Връзки между бенефициентите/партньорите по проекта и изпълнители/членове на консорциуми</w:t>
            </w:r>
            <w:r w:rsidRPr="00DD3EE1">
              <w:rPr>
                <w:rFonts w:ascii="Times New Roman" w:hAnsi="Times New Roman"/>
                <w:sz w:val="24"/>
                <w:szCs w:val="24"/>
              </w:rPr>
              <w:t xml:space="preserve"> </w:t>
            </w:r>
          </w:p>
        </w:tc>
        <w:tc>
          <w:tcPr>
            <w:tcW w:w="1814" w:type="dxa"/>
            <w:vAlign w:val="center"/>
          </w:tcPr>
          <w:p w14:paraId="76454C91" w14:textId="77777777" w:rsidR="00DD3EE1" w:rsidRDefault="00DD3EE1" w:rsidP="00E931AD">
            <w:pPr>
              <w:jc w:val="center"/>
              <w:rPr>
                <w:b/>
                <w:sz w:val="24"/>
                <w:szCs w:val="24"/>
              </w:rPr>
            </w:pPr>
            <w:r w:rsidRPr="00B84111">
              <w:rPr>
                <w:b/>
                <w:sz w:val="24"/>
                <w:szCs w:val="24"/>
              </w:rPr>
              <w:sym w:font="Wingdings 2" w:char="F050"/>
            </w:r>
          </w:p>
        </w:tc>
        <w:tc>
          <w:tcPr>
            <w:tcW w:w="5007" w:type="dxa"/>
          </w:tcPr>
          <w:p w14:paraId="4FB8B5C0" w14:textId="77777777" w:rsidR="0063307F" w:rsidRPr="0063307F" w:rsidRDefault="0063307F" w:rsidP="0063307F">
            <w:pPr>
              <w:jc w:val="both"/>
            </w:pPr>
            <w:r w:rsidRPr="0063307F">
              <w:t>При осъществяване на последващ контрол за законосъобразност на проведените обществени поръчки се изследват връзките, показани в инструмента.</w:t>
            </w:r>
          </w:p>
          <w:p w14:paraId="5B9741F9" w14:textId="2FF7C7CC" w:rsidR="00DD3EE1" w:rsidRDefault="00DD3EE1" w:rsidP="0063307F">
            <w:pPr>
              <w:jc w:val="both"/>
            </w:pPr>
          </w:p>
        </w:tc>
      </w:tr>
      <w:tr w:rsidR="0063307F" w14:paraId="62EE415E" w14:textId="77777777" w:rsidTr="00394192">
        <w:tc>
          <w:tcPr>
            <w:tcW w:w="3391" w:type="dxa"/>
          </w:tcPr>
          <w:p w14:paraId="02ED790B" w14:textId="77777777" w:rsidR="0063307F" w:rsidRDefault="0063307F" w:rsidP="0063307F">
            <w:pPr>
              <w:rPr>
                <w:b/>
                <w:sz w:val="24"/>
                <w:szCs w:val="24"/>
              </w:rPr>
            </w:pPr>
          </w:p>
        </w:tc>
        <w:tc>
          <w:tcPr>
            <w:tcW w:w="3391" w:type="dxa"/>
          </w:tcPr>
          <w:p w14:paraId="6B494D6C" w14:textId="77777777" w:rsidR="0063307F" w:rsidRPr="007458C4" w:rsidRDefault="0063307F" w:rsidP="0063307F">
            <w:pPr>
              <w:rPr>
                <w:i/>
                <w:sz w:val="24"/>
                <w:szCs w:val="24"/>
              </w:rPr>
            </w:pPr>
            <w:r w:rsidRPr="00065F47">
              <w:rPr>
                <w:i/>
                <w:sz w:val="24"/>
                <w:szCs w:val="24"/>
              </w:rPr>
              <w:t>Връзки между бенефициентите/партньорите по проекта и подизпълнители</w:t>
            </w:r>
          </w:p>
        </w:tc>
        <w:tc>
          <w:tcPr>
            <w:tcW w:w="1814" w:type="dxa"/>
            <w:vAlign w:val="center"/>
          </w:tcPr>
          <w:p w14:paraId="762C0B70" w14:textId="77777777" w:rsidR="0063307F" w:rsidRDefault="0063307F" w:rsidP="0063307F">
            <w:pPr>
              <w:jc w:val="center"/>
              <w:rPr>
                <w:b/>
                <w:sz w:val="24"/>
                <w:szCs w:val="24"/>
              </w:rPr>
            </w:pPr>
            <w:r w:rsidRPr="00B84111">
              <w:rPr>
                <w:b/>
                <w:sz w:val="24"/>
                <w:szCs w:val="24"/>
              </w:rPr>
              <w:sym w:font="Wingdings 2" w:char="F050"/>
            </w:r>
          </w:p>
        </w:tc>
        <w:tc>
          <w:tcPr>
            <w:tcW w:w="5007" w:type="dxa"/>
          </w:tcPr>
          <w:p w14:paraId="6FE0B48B" w14:textId="77777777" w:rsidR="0063307F" w:rsidRPr="0063307F" w:rsidRDefault="0063307F" w:rsidP="0063307F">
            <w:pPr>
              <w:jc w:val="both"/>
            </w:pPr>
            <w:r w:rsidRPr="0063307F">
              <w:t>При осъществяване на последващ контрол за законосъобразност на проведените обществени поръчки се изследват връзките, показани в инструмента.</w:t>
            </w:r>
          </w:p>
          <w:p w14:paraId="12BFCB7D" w14:textId="5D1453D3" w:rsidR="0063307F" w:rsidRDefault="0063307F" w:rsidP="0063307F"/>
        </w:tc>
      </w:tr>
      <w:tr w:rsidR="00DD3EE1" w14:paraId="38B517D5" w14:textId="77777777" w:rsidTr="00394192">
        <w:tc>
          <w:tcPr>
            <w:tcW w:w="3391" w:type="dxa"/>
          </w:tcPr>
          <w:p w14:paraId="694E8D82" w14:textId="77777777" w:rsidR="00DD3EE1" w:rsidRDefault="00DD3EE1" w:rsidP="00A650A7">
            <w:pPr>
              <w:rPr>
                <w:b/>
                <w:sz w:val="24"/>
                <w:szCs w:val="24"/>
              </w:rPr>
            </w:pPr>
          </w:p>
        </w:tc>
        <w:tc>
          <w:tcPr>
            <w:tcW w:w="3391" w:type="dxa"/>
          </w:tcPr>
          <w:p w14:paraId="0597B6AE" w14:textId="77777777" w:rsidR="00DD3EE1" w:rsidRPr="007458C4" w:rsidRDefault="00DD3EE1" w:rsidP="00DD3EE1">
            <w:pPr>
              <w:pStyle w:val="ListParagraph"/>
              <w:ind w:left="0"/>
              <w:jc w:val="both"/>
              <w:rPr>
                <w:i/>
                <w:sz w:val="24"/>
                <w:szCs w:val="24"/>
              </w:rPr>
            </w:pPr>
            <w:r w:rsidRPr="00B75FFD">
              <w:rPr>
                <w:rFonts w:ascii="Times New Roman" w:hAnsi="Times New Roman"/>
                <w:i/>
                <w:sz w:val="24"/>
                <w:szCs w:val="24"/>
              </w:rPr>
              <w:t>Връзки между изпълнители/членове на консорциум</w:t>
            </w:r>
            <w:r>
              <w:rPr>
                <w:rFonts w:ascii="Times New Roman" w:hAnsi="Times New Roman"/>
                <w:i/>
                <w:sz w:val="24"/>
                <w:szCs w:val="24"/>
              </w:rPr>
              <w:t xml:space="preserve"> </w:t>
            </w:r>
          </w:p>
        </w:tc>
        <w:tc>
          <w:tcPr>
            <w:tcW w:w="1814" w:type="dxa"/>
            <w:vAlign w:val="center"/>
          </w:tcPr>
          <w:p w14:paraId="2847EDC1" w14:textId="77777777" w:rsidR="00DD3EE1" w:rsidRDefault="00DD3EE1" w:rsidP="00E931AD">
            <w:pPr>
              <w:jc w:val="center"/>
              <w:rPr>
                <w:b/>
                <w:sz w:val="24"/>
                <w:szCs w:val="24"/>
              </w:rPr>
            </w:pPr>
            <w:r w:rsidRPr="00A329A8">
              <w:rPr>
                <w:b/>
                <w:sz w:val="24"/>
                <w:szCs w:val="24"/>
              </w:rPr>
              <w:sym w:font="Wingdings 2" w:char="F04F"/>
            </w:r>
          </w:p>
        </w:tc>
        <w:tc>
          <w:tcPr>
            <w:tcW w:w="5007" w:type="dxa"/>
          </w:tcPr>
          <w:p w14:paraId="6A78D5F5" w14:textId="77777777" w:rsidR="00DD3EE1" w:rsidRDefault="00DD3EE1" w:rsidP="0006517D">
            <w:pPr>
              <w:jc w:val="both"/>
            </w:pPr>
            <w:r w:rsidRPr="0006517D">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06517D" w14:paraId="59D1092D" w14:textId="77777777" w:rsidTr="00394192">
        <w:tc>
          <w:tcPr>
            <w:tcW w:w="3391" w:type="dxa"/>
          </w:tcPr>
          <w:p w14:paraId="16601B93" w14:textId="77777777" w:rsidR="0006517D" w:rsidRDefault="0006517D" w:rsidP="0006517D">
            <w:pPr>
              <w:rPr>
                <w:b/>
                <w:sz w:val="24"/>
                <w:szCs w:val="24"/>
              </w:rPr>
            </w:pPr>
          </w:p>
        </w:tc>
        <w:tc>
          <w:tcPr>
            <w:tcW w:w="3391" w:type="dxa"/>
          </w:tcPr>
          <w:p w14:paraId="000E9E0A" w14:textId="77777777" w:rsidR="0006517D" w:rsidRPr="007458C4" w:rsidRDefault="0006517D" w:rsidP="0006517D">
            <w:pPr>
              <w:pStyle w:val="ListParagraph"/>
              <w:ind w:left="0"/>
              <w:jc w:val="both"/>
              <w:rPr>
                <w:i/>
                <w:sz w:val="24"/>
                <w:szCs w:val="24"/>
              </w:rPr>
            </w:pPr>
            <w:r w:rsidRPr="00B75FFD">
              <w:rPr>
                <w:rFonts w:ascii="Times New Roman" w:hAnsi="Times New Roman"/>
                <w:i/>
                <w:sz w:val="24"/>
                <w:szCs w:val="24"/>
              </w:rPr>
              <w:t xml:space="preserve">Връзки между изпълнители/членове на консорциум и подизпълнители </w:t>
            </w:r>
          </w:p>
        </w:tc>
        <w:tc>
          <w:tcPr>
            <w:tcW w:w="1814" w:type="dxa"/>
          </w:tcPr>
          <w:p w14:paraId="4BD18B9F" w14:textId="77777777" w:rsidR="0006517D" w:rsidRDefault="0006517D" w:rsidP="0006517D">
            <w:pPr>
              <w:jc w:val="center"/>
            </w:pPr>
            <w:r w:rsidRPr="003D712D">
              <w:rPr>
                <w:b/>
                <w:sz w:val="24"/>
                <w:szCs w:val="24"/>
              </w:rPr>
              <w:sym w:font="Wingdings 2" w:char="F04F"/>
            </w:r>
          </w:p>
        </w:tc>
        <w:tc>
          <w:tcPr>
            <w:tcW w:w="5007" w:type="dxa"/>
          </w:tcPr>
          <w:p w14:paraId="40E63020" w14:textId="77777777" w:rsidR="0006517D" w:rsidRDefault="0006517D" w:rsidP="0006517D">
            <w:pPr>
              <w:jc w:val="both"/>
            </w:pPr>
            <w:r w:rsidRPr="0006517D">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F16972" w14:paraId="394F7BC1" w14:textId="77777777" w:rsidTr="00394192">
        <w:tc>
          <w:tcPr>
            <w:tcW w:w="3391" w:type="dxa"/>
          </w:tcPr>
          <w:p w14:paraId="1E872838" w14:textId="77777777" w:rsidR="00F16972" w:rsidRDefault="00F16972" w:rsidP="0006517D">
            <w:pPr>
              <w:rPr>
                <w:b/>
                <w:sz w:val="24"/>
                <w:szCs w:val="24"/>
              </w:rPr>
            </w:pPr>
          </w:p>
        </w:tc>
        <w:tc>
          <w:tcPr>
            <w:tcW w:w="3391" w:type="dxa"/>
          </w:tcPr>
          <w:p w14:paraId="421EAC08" w14:textId="3A354E37" w:rsidR="00F16972" w:rsidRPr="00B75FFD" w:rsidRDefault="00F16972" w:rsidP="00D228D1">
            <w:pPr>
              <w:jc w:val="both"/>
              <w:rPr>
                <w:i/>
                <w:sz w:val="24"/>
                <w:szCs w:val="24"/>
              </w:rPr>
            </w:pPr>
            <w:r>
              <w:rPr>
                <w:i/>
                <w:sz w:val="24"/>
                <w:szCs w:val="24"/>
              </w:rPr>
              <w:t>Връзки между с</w:t>
            </w:r>
            <w:r w:rsidRPr="00AB1C1F">
              <w:rPr>
                <w:i/>
                <w:sz w:val="24"/>
                <w:szCs w:val="24"/>
              </w:rPr>
              <w:t>вързани с проекта лица</w:t>
            </w:r>
            <w:r>
              <w:rPr>
                <w:i/>
                <w:sz w:val="24"/>
                <w:szCs w:val="24"/>
              </w:rPr>
              <w:t xml:space="preserve"> и участващи компании</w:t>
            </w:r>
          </w:p>
        </w:tc>
        <w:tc>
          <w:tcPr>
            <w:tcW w:w="1814" w:type="dxa"/>
            <w:vAlign w:val="center"/>
          </w:tcPr>
          <w:p w14:paraId="2DBA97E2" w14:textId="321CFC84" w:rsidR="00F16972" w:rsidRPr="003D712D" w:rsidRDefault="00F16972" w:rsidP="0006517D">
            <w:pPr>
              <w:jc w:val="center"/>
              <w:rPr>
                <w:b/>
                <w:sz w:val="24"/>
                <w:szCs w:val="24"/>
              </w:rPr>
            </w:pPr>
            <w:r w:rsidRPr="00B84111">
              <w:rPr>
                <w:b/>
                <w:sz w:val="24"/>
                <w:szCs w:val="24"/>
              </w:rPr>
              <w:sym w:font="Wingdings 2" w:char="F050"/>
            </w:r>
          </w:p>
        </w:tc>
        <w:tc>
          <w:tcPr>
            <w:tcW w:w="5007" w:type="dxa"/>
          </w:tcPr>
          <w:p w14:paraId="6A617EEF" w14:textId="1589276D" w:rsidR="00F16972" w:rsidRDefault="00F16972" w:rsidP="00D228D1">
            <w:r>
              <w:t>П</w:t>
            </w:r>
            <w:r w:rsidRPr="00235CC5">
              <w:t xml:space="preserve">рави се проверка относно </w:t>
            </w:r>
            <w:r>
              <w:t>свързаността на</w:t>
            </w:r>
            <w:r w:rsidRPr="00235CC5">
              <w:t xml:space="preserve"> физически лица, ангажирани в управлението и изпълнението на проект</w:t>
            </w:r>
            <w:r>
              <w:t>а с изпълнители/подизпълнители по проекта</w:t>
            </w:r>
            <w:r w:rsidRPr="00235CC5">
              <w:t>.</w:t>
            </w:r>
          </w:p>
        </w:tc>
      </w:tr>
      <w:tr w:rsidR="0006517D" w14:paraId="7C0F5B83" w14:textId="77777777" w:rsidTr="00394192">
        <w:tc>
          <w:tcPr>
            <w:tcW w:w="3391" w:type="dxa"/>
          </w:tcPr>
          <w:p w14:paraId="4359DD1D" w14:textId="77777777" w:rsidR="0006517D" w:rsidRDefault="0006517D" w:rsidP="0006517D">
            <w:pPr>
              <w:rPr>
                <w:b/>
                <w:sz w:val="24"/>
                <w:szCs w:val="24"/>
              </w:rPr>
            </w:pPr>
          </w:p>
        </w:tc>
        <w:tc>
          <w:tcPr>
            <w:tcW w:w="3391" w:type="dxa"/>
          </w:tcPr>
          <w:p w14:paraId="69846C3D" w14:textId="77777777" w:rsidR="0006517D" w:rsidRPr="007458C4" w:rsidRDefault="0006517D" w:rsidP="002D54AC">
            <w:pPr>
              <w:jc w:val="both"/>
              <w:rPr>
                <w:i/>
                <w:sz w:val="24"/>
                <w:szCs w:val="24"/>
              </w:rPr>
            </w:pPr>
            <w:r w:rsidRPr="00B75FFD">
              <w:rPr>
                <w:i/>
                <w:sz w:val="24"/>
                <w:szCs w:val="24"/>
              </w:rPr>
              <w:t>Управляващи/собственици с голям брой на мандатите</w:t>
            </w:r>
          </w:p>
        </w:tc>
        <w:tc>
          <w:tcPr>
            <w:tcW w:w="1814" w:type="dxa"/>
            <w:vAlign w:val="center"/>
          </w:tcPr>
          <w:p w14:paraId="18393DAC" w14:textId="77777777" w:rsidR="0006517D" w:rsidRDefault="0006517D" w:rsidP="0006517D">
            <w:pPr>
              <w:jc w:val="center"/>
            </w:pPr>
            <w:r w:rsidRPr="003D712D">
              <w:rPr>
                <w:b/>
                <w:sz w:val="24"/>
                <w:szCs w:val="24"/>
              </w:rPr>
              <w:sym w:font="Wingdings 2" w:char="F04F"/>
            </w:r>
          </w:p>
        </w:tc>
        <w:tc>
          <w:tcPr>
            <w:tcW w:w="5007" w:type="dxa"/>
          </w:tcPr>
          <w:p w14:paraId="66FFBD55" w14:textId="77777777" w:rsidR="0006517D" w:rsidRDefault="0006517D" w:rsidP="0006517D"/>
        </w:tc>
      </w:tr>
      <w:tr w:rsidR="00DD3EE1" w14:paraId="4F1DA29A" w14:textId="77777777" w:rsidTr="00394192">
        <w:tc>
          <w:tcPr>
            <w:tcW w:w="3391" w:type="dxa"/>
          </w:tcPr>
          <w:p w14:paraId="7436B788" w14:textId="77777777" w:rsidR="00DD3EE1" w:rsidRDefault="00DD3EE1" w:rsidP="00A650A7">
            <w:pPr>
              <w:rPr>
                <w:b/>
                <w:sz w:val="24"/>
                <w:szCs w:val="24"/>
              </w:rPr>
            </w:pPr>
          </w:p>
        </w:tc>
        <w:tc>
          <w:tcPr>
            <w:tcW w:w="3391" w:type="dxa"/>
            <w:shd w:val="clear" w:color="auto" w:fill="auto"/>
          </w:tcPr>
          <w:p w14:paraId="722BE1DA" w14:textId="77777777" w:rsidR="00DD3EE1" w:rsidRPr="0006517D" w:rsidRDefault="0006517D" w:rsidP="0006517D">
            <w:pPr>
              <w:pStyle w:val="ListParagraph"/>
              <w:ind w:left="0"/>
              <w:jc w:val="both"/>
              <w:rPr>
                <w:rFonts w:ascii="Times New Roman" w:hAnsi="Times New Roman"/>
                <w:sz w:val="24"/>
                <w:szCs w:val="24"/>
              </w:rPr>
            </w:pPr>
            <w:r w:rsidRPr="0006517D">
              <w:rPr>
                <w:rFonts w:ascii="Times New Roman" w:hAnsi="Times New Roman"/>
                <w:i/>
                <w:sz w:val="24"/>
                <w:szCs w:val="24"/>
              </w:rPr>
              <w:t xml:space="preserve">Регистрация на множество компании на един адрес с бенефициент, партньор, изпълнител, член на консорциум </w:t>
            </w:r>
          </w:p>
        </w:tc>
        <w:tc>
          <w:tcPr>
            <w:tcW w:w="1814" w:type="dxa"/>
            <w:vAlign w:val="center"/>
          </w:tcPr>
          <w:p w14:paraId="1884555E" w14:textId="77777777" w:rsidR="00DD3EE1" w:rsidRDefault="0006517D" w:rsidP="00E931AD">
            <w:pPr>
              <w:jc w:val="center"/>
              <w:rPr>
                <w:b/>
                <w:sz w:val="24"/>
                <w:szCs w:val="24"/>
              </w:rPr>
            </w:pPr>
            <w:r w:rsidRPr="003D712D">
              <w:rPr>
                <w:b/>
                <w:sz w:val="24"/>
                <w:szCs w:val="24"/>
              </w:rPr>
              <w:sym w:font="Wingdings 2" w:char="F04F"/>
            </w:r>
          </w:p>
        </w:tc>
        <w:tc>
          <w:tcPr>
            <w:tcW w:w="5007" w:type="dxa"/>
          </w:tcPr>
          <w:p w14:paraId="27CBC3A7" w14:textId="77777777" w:rsidR="00DD3EE1" w:rsidRDefault="0006517D" w:rsidP="0006517D">
            <w:pPr>
              <w:jc w:val="both"/>
            </w:pPr>
            <w:r w:rsidRPr="0006517D">
              <w:t>По правило се проверяват всички обществени поръчки, разходи по които са включени в ИП, за законосъобразност на проведения избор на изпълнители.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DD3EE1" w14:paraId="55C028D9" w14:textId="77777777" w:rsidTr="00394192">
        <w:tc>
          <w:tcPr>
            <w:tcW w:w="3391" w:type="dxa"/>
          </w:tcPr>
          <w:p w14:paraId="3EF3CBFB" w14:textId="77777777" w:rsidR="00DD3EE1" w:rsidRDefault="0006517D" w:rsidP="00A650A7">
            <w:pPr>
              <w:rPr>
                <w:b/>
                <w:sz w:val="24"/>
                <w:szCs w:val="24"/>
              </w:rPr>
            </w:pPr>
            <w:r>
              <w:rPr>
                <w:b/>
                <w:sz w:val="24"/>
                <w:szCs w:val="24"/>
              </w:rPr>
              <w:t>Репутация и измами</w:t>
            </w:r>
          </w:p>
          <w:p w14:paraId="29E53473" w14:textId="77777777" w:rsidR="0006517D" w:rsidRPr="0006517D" w:rsidRDefault="0006517D" w:rsidP="00A650A7">
            <w:pPr>
              <w:rPr>
                <w:b/>
                <w:i/>
                <w:sz w:val="24"/>
                <w:szCs w:val="24"/>
              </w:rPr>
            </w:pPr>
            <w:proofErr w:type="spellStart"/>
            <w:r w:rsidRPr="0006517D">
              <w:rPr>
                <w:b/>
                <w:i/>
                <w:sz w:val="24"/>
                <w:szCs w:val="24"/>
              </w:rPr>
              <w:t>Репутационни</w:t>
            </w:r>
            <w:proofErr w:type="spellEnd"/>
          </w:p>
        </w:tc>
        <w:tc>
          <w:tcPr>
            <w:tcW w:w="3391" w:type="dxa"/>
          </w:tcPr>
          <w:p w14:paraId="5919F891" w14:textId="77777777" w:rsidR="00DD3EE1" w:rsidRPr="0006517D" w:rsidRDefault="0006517D" w:rsidP="0006517D">
            <w:pPr>
              <w:pStyle w:val="ListParagraph"/>
              <w:ind w:left="0"/>
              <w:jc w:val="both"/>
              <w:rPr>
                <w:rFonts w:ascii="Times New Roman" w:hAnsi="Times New Roman"/>
                <w:sz w:val="24"/>
                <w:szCs w:val="24"/>
              </w:rPr>
            </w:pPr>
            <w:r w:rsidRPr="0006517D">
              <w:rPr>
                <w:rFonts w:ascii="Times New Roman" w:hAnsi="Times New Roman"/>
                <w:i/>
                <w:sz w:val="24"/>
                <w:szCs w:val="24"/>
              </w:rPr>
              <w:t xml:space="preserve">Свързаност на управляващи/собственици с фалит </w:t>
            </w:r>
          </w:p>
        </w:tc>
        <w:tc>
          <w:tcPr>
            <w:tcW w:w="1814" w:type="dxa"/>
            <w:vAlign w:val="center"/>
          </w:tcPr>
          <w:p w14:paraId="5461B5E1" w14:textId="77777777" w:rsidR="00DD3EE1" w:rsidRDefault="0006517D" w:rsidP="00E931AD">
            <w:pPr>
              <w:jc w:val="center"/>
              <w:rPr>
                <w:b/>
                <w:sz w:val="24"/>
                <w:szCs w:val="24"/>
              </w:rPr>
            </w:pPr>
            <w:r w:rsidRPr="003D712D">
              <w:rPr>
                <w:b/>
                <w:sz w:val="24"/>
                <w:szCs w:val="24"/>
              </w:rPr>
              <w:sym w:font="Wingdings 2" w:char="F04F"/>
            </w:r>
          </w:p>
        </w:tc>
        <w:tc>
          <w:tcPr>
            <w:tcW w:w="5007" w:type="dxa"/>
          </w:tcPr>
          <w:p w14:paraId="438B6576" w14:textId="77777777" w:rsidR="00DD3EE1" w:rsidRDefault="00DD3EE1" w:rsidP="00A650A7"/>
        </w:tc>
      </w:tr>
      <w:tr w:rsidR="00DD3EE1" w14:paraId="133CC88F" w14:textId="77777777" w:rsidTr="00394192">
        <w:tc>
          <w:tcPr>
            <w:tcW w:w="3391" w:type="dxa"/>
          </w:tcPr>
          <w:p w14:paraId="47EBE386" w14:textId="77777777" w:rsidR="00DD3EE1" w:rsidRDefault="00DD3EE1" w:rsidP="00A650A7">
            <w:pPr>
              <w:rPr>
                <w:b/>
                <w:sz w:val="24"/>
                <w:szCs w:val="24"/>
              </w:rPr>
            </w:pPr>
          </w:p>
        </w:tc>
        <w:tc>
          <w:tcPr>
            <w:tcW w:w="3391" w:type="dxa"/>
          </w:tcPr>
          <w:p w14:paraId="3F846B97" w14:textId="77777777" w:rsidR="0006517D" w:rsidRPr="0006517D" w:rsidRDefault="0006517D" w:rsidP="0006517D">
            <w:pPr>
              <w:pStyle w:val="ListParagraph"/>
              <w:ind w:left="0"/>
              <w:jc w:val="both"/>
              <w:rPr>
                <w:rFonts w:ascii="Times New Roman" w:hAnsi="Times New Roman"/>
                <w:sz w:val="24"/>
                <w:szCs w:val="24"/>
              </w:rPr>
            </w:pPr>
            <w:r w:rsidRPr="0006517D">
              <w:rPr>
                <w:rFonts w:ascii="Times New Roman" w:hAnsi="Times New Roman"/>
                <w:i/>
                <w:sz w:val="24"/>
                <w:szCs w:val="24"/>
              </w:rPr>
              <w:t>Свързаност на управляващи/собственици бенефициент, партньор, изпълнител, член на консорциум) с чувствителни региони (офшорни зони, места с високо ниво на корупция)</w:t>
            </w:r>
            <w:r w:rsidRPr="0006517D">
              <w:rPr>
                <w:rFonts w:ascii="Times New Roman" w:hAnsi="Times New Roman"/>
                <w:sz w:val="24"/>
                <w:szCs w:val="24"/>
              </w:rPr>
              <w:t xml:space="preserve"> </w:t>
            </w:r>
          </w:p>
          <w:p w14:paraId="56204683" w14:textId="77777777" w:rsidR="00DD3EE1" w:rsidRPr="0006517D" w:rsidRDefault="00DD3EE1" w:rsidP="0006517D">
            <w:pPr>
              <w:pStyle w:val="ListParagraph"/>
              <w:ind w:left="0"/>
              <w:jc w:val="both"/>
              <w:rPr>
                <w:i/>
                <w:sz w:val="24"/>
                <w:szCs w:val="24"/>
              </w:rPr>
            </w:pPr>
          </w:p>
        </w:tc>
        <w:tc>
          <w:tcPr>
            <w:tcW w:w="1814" w:type="dxa"/>
            <w:vAlign w:val="center"/>
          </w:tcPr>
          <w:p w14:paraId="2F3DF472" w14:textId="77777777" w:rsidR="00DD3EE1" w:rsidRDefault="0006517D" w:rsidP="00E931AD">
            <w:pPr>
              <w:jc w:val="center"/>
              <w:rPr>
                <w:b/>
                <w:sz w:val="24"/>
                <w:szCs w:val="24"/>
              </w:rPr>
            </w:pPr>
            <w:r w:rsidRPr="003D712D">
              <w:rPr>
                <w:b/>
                <w:sz w:val="24"/>
                <w:szCs w:val="24"/>
              </w:rPr>
              <w:sym w:font="Wingdings 2" w:char="F04F"/>
            </w:r>
          </w:p>
        </w:tc>
        <w:tc>
          <w:tcPr>
            <w:tcW w:w="5007" w:type="dxa"/>
          </w:tcPr>
          <w:p w14:paraId="76D77F9E" w14:textId="77777777" w:rsidR="0006517D" w:rsidRDefault="0006517D" w:rsidP="0006517D">
            <w:pPr>
              <w:jc w:val="both"/>
            </w:pPr>
            <w:r w:rsidRPr="0006517D">
              <w:t>Съгласно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на дружествата, регистрирани в юрисдикции с преференциален данъчен режим, и на контролираните от тях лица се забранява пряко и/или косвено участие в процедура по обществени поръчки по Закона за обществените поръчки и нормативните актове по прилагането му, независимо от характера и стойността на обществената поръчка, включително и чрез гражданско дружество/консорциум, в което участва дружество, регистрирано в юрисдикция с преференциален данъчен режим.</w:t>
            </w:r>
          </w:p>
          <w:p w14:paraId="4447D82B" w14:textId="77777777" w:rsidR="00DD3EE1" w:rsidRDefault="0006517D" w:rsidP="0006517D">
            <w:pPr>
              <w:jc w:val="both"/>
            </w:pPr>
            <w:r w:rsidRPr="0006517D">
              <w:t xml:space="preserve">Проверяват се (от съответните служители)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 </w:t>
            </w:r>
          </w:p>
        </w:tc>
      </w:tr>
      <w:tr w:rsidR="00DD3EE1" w14:paraId="3F678EDB" w14:textId="77777777" w:rsidTr="00394192">
        <w:tc>
          <w:tcPr>
            <w:tcW w:w="3391" w:type="dxa"/>
          </w:tcPr>
          <w:p w14:paraId="1DE6CEBF" w14:textId="77777777" w:rsidR="00DD3EE1" w:rsidRDefault="00DD3EE1" w:rsidP="00A650A7">
            <w:pPr>
              <w:rPr>
                <w:b/>
                <w:sz w:val="24"/>
                <w:szCs w:val="24"/>
              </w:rPr>
            </w:pPr>
          </w:p>
        </w:tc>
        <w:tc>
          <w:tcPr>
            <w:tcW w:w="3391" w:type="dxa"/>
          </w:tcPr>
          <w:p w14:paraId="3A964317" w14:textId="77777777" w:rsidR="0006517D" w:rsidRPr="00B75FFD" w:rsidRDefault="0006517D" w:rsidP="0006517D">
            <w:pPr>
              <w:pStyle w:val="ListParagraph"/>
              <w:ind w:left="0"/>
              <w:jc w:val="both"/>
              <w:rPr>
                <w:rFonts w:ascii="Times New Roman" w:hAnsi="Times New Roman"/>
                <w:sz w:val="24"/>
                <w:szCs w:val="24"/>
              </w:rPr>
            </w:pPr>
            <w:r w:rsidRPr="00B75FFD">
              <w:rPr>
                <w:rFonts w:ascii="Times New Roman" w:hAnsi="Times New Roman"/>
                <w:i/>
                <w:sz w:val="24"/>
                <w:szCs w:val="24"/>
              </w:rPr>
              <w:t>Регистрация в чувствителни региони (бенефициент, партньор, изпълнител, член на консорциум)</w:t>
            </w:r>
            <w:r w:rsidRPr="00B75FFD">
              <w:rPr>
                <w:rFonts w:ascii="Times New Roman" w:hAnsi="Times New Roman"/>
                <w:sz w:val="24"/>
                <w:szCs w:val="24"/>
              </w:rPr>
              <w:t xml:space="preserve"> </w:t>
            </w:r>
          </w:p>
          <w:p w14:paraId="31988AB2" w14:textId="77777777" w:rsidR="00DD3EE1" w:rsidRPr="007458C4" w:rsidRDefault="00DD3EE1" w:rsidP="0006517D">
            <w:pPr>
              <w:jc w:val="both"/>
              <w:rPr>
                <w:i/>
                <w:sz w:val="24"/>
                <w:szCs w:val="24"/>
              </w:rPr>
            </w:pPr>
          </w:p>
        </w:tc>
        <w:tc>
          <w:tcPr>
            <w:tcW w:w="1814" w:type="dxa"/>
            <w:vAlign w:val="center"/>
          </w:tcPr>
          <w:p w14:paraId="440D9120" w14:textId="77777777" w:rsidR="00DD3EE1" w:rsidRDefault="0006517D" w:rsidP="00E931AD">
            <w:pPr>
              <w:jc w:val="center"/>
              <w:rPr>
                <w:b/>
                <w:sz w:val="24"/>
                <w:szCs w:val="24"/>
              </w:rPr>
            </w:pPr>
            <w:r w:rsidRPr="003D712D">
              <w:rPr>
                <w:b/>
                <w:sz w:val="24"/>
                <w:szCs w:val="24"/>
              </w:rPr>
              <w:lastRenderedPageBreak/>
              <w:sym w:font="Wingdings 2" w:char="F04F"/>
            </w:r>
          </w:p>
        </w:tc>
        <w:tc>
          <w:tcPr>
            <w:tcW w:w="5007" w:type="dxa"/>
          </w:tcPr>
          <w:p w14:paraId="578556E2" w14:textId="77777777" w:rsidR="0006517D" w:rsidRDefault="0006517D" w:rsidP="0006517D">
            <w:pPr>
              <w:jc w:val="both"/>
            </w:pPr>
            <w:r w:rsidRPr="0006517D">
              <w:t xml:space="preserve">Съгласно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на дружествата, регистрирани в юрисдикции с преференциален данъчен режим, и на контролираните </w:t>
            </w:r>
            <w:r w:rsidRPr="0006517D">
              <w:lastRenderedPageBreak/>
              <w:t>от тях лица се забранява пряко и/или косвено участие в процедура по обществени поръчки по Закона за обществените поръчки и нормативните актове по прилагането му, независимо от характера и стойността на обществената поръчка, включително и чрез гражданско дружество/консорциум, в което участва дружество, регистрирано в юрисдикция с преференциален данъчен режим.</w:t>
            </w:r>
          </w:p>
          <w:p w14:paraId="31630946" w14:textId="77777777" w:rsidR="00DD3EE1" w:rsidRDefault="0006517D" w:rsidP="008766F2">
            <w:pPr>
              <w:jc w:val="both"/>
            </w:pPr>
            <w:r w:rsidRPr="0006517D">
              <w:t>Проверяват се (от съответните служители)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DD3EE1" w14:paraId="66B0FBC4" w14:textId="77777777" w:rsidTr="00394192">
        <w:tc>
          <w:tcPr>
            <w:tcW w:w="3391" w:type="dxa"/>
          </w:tcPr>
          <w:p w14:paraId="02E04BE4" w14:textId="77777777" w:rsidR="00DD3EE1" w:rsidRDefault="00DD3EE1" w:rsidP="00A650A7">
            <w:pPr>
              <w:rPr>
                <w:b/>
                <w:sz w:val="24"/>
                <w:szCs w:val="24"/>
              </w:rPr>
            </w:pPr>
          </w:p>
        </w:tc>
        <w:tc>
          <w:tcPr>
            <w:tcW w:w="3391" w:type="dxa"/>
          </w:tcPr>
          <w:p w14:paraId="71CC259E" w14:textId="77777777" w:rsidR="00DD3EE1" w:rsidRPr="007458C4" w:rsidRDefault="0006517D" w:rsidP="0006517D">
            <w:pPr>
              <w:jc w:val="both"/>
              <w:rPr>
                <w:i/>
                <w:sz w:val="24"/>
                <w:szCs w:val="24"/>
              </w:rPr>
            </w:pPr>
            <w:r w:rsidRPr="0006517D">
              <w:rPr>
                <w:i/>
                <w:sz w:val="24"/>
                <w:szCs w:val="24"/>
              </w:rPr>
              <w:t>Връзки на участници в група с чувствителни региони (компания - бенефициент, партньор, изпълнител, член на консорциум, която притежава компания, регистрирана в чувствителен регион)</w:t>
            </w:r>
          </w:p>
        </w:tc>
        <w:tc>
          <w:tcPr>
            <w:tcW w:w="1814" w:type="dxa"/>
            <w:vAlign w:val="center"/>
          </w:tcPr>
          <w:p w14:paraId="3FCC1CA8" w14:textId="77777777" w:rsidR="00DD3EE1" w:rsidRDefault="0006517D" w:rsidP="00E931AD">
            <w:pPr>
              <w:jc w:val="center"/>
              <w:rPr>
                <w:b/>
                <w:sz w:val="24"/>
                <w:szCs w:val="24"/>
              </w:rPr>
            </w:pPr>
            <w:r w:rsidRPr="003D712D">
              <w:rPr>
                <w:b/>
                <w:sz w:val="24"/>
                <w:szCs w:val="24"/>
              </w:rPr>
              <w:sym w:font="Wingdings 2" w:char="F04F"/>
            </w:r>
          </w:p>
        </w:tc>
        <w:tc>
          <w:tcPr>
            <w:tcW w:w="5007" w:type="dxa"/>
          </w:tcPr>
          <w:p w14:paraId="147425FC" w14:textId="77777777" w:rsidR="0006517D" w:rsidRDefault="0006517D" w:rsidP="0006517D">
            <w:pPr>
              <w:jc w:val="both"/>
            </w:pPr>
            <w:r w:rsidRPr="0006517D">
              <w:t>Съгласно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на дружествата, регистрирани в юрисдикции с преференциален данъчен режим, и на контролираните от тях лица се забранява пряко и/или косвено участие в процедура по обществени поръчки по Закона за обществените поръчки и нормативните актове по прилагането му, независимо от характера и стойността на обществената поръчка, включително и чрез гражданско дружество/консорциум, в което участва дружество, регистрирано в юрисдикция с преференциален данъчен режим.</w:t>
            </w:r>
          </w:p>
          <w:p w14:paraId="46E1FCED" w14:textId="77777777" w:rsidR="00DD3EE1" w:rsidRDefault="0006517D" w:rsidP="008766F2">
            <w:pPr>
              <w:jc w:val="both"/>
            </w:pPr>
            <w:r w:rsidRPr="0006517D">
              <w:t>Проверяват се (от съответните служители)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3C38B5" w14:paraId="1B22FBED" w14:textId="77777777" w:rsidTr="00394192">
        <w:tc>
          <w:tcPr>
            <w:tcW w:w="3391" w:type="dxa"/>
          </w:tcPr>
          <w:p w14:paraId="2EB78F15" w14:textId="77777777" w:rsidR="003C38B5" w:rsidRDefault="003C38B5" w:rsidP="003C38B5">
            <w:pPr>
              <w:rPr>
                <w:b/>
                <w:sz w:val="24"/>
                <w:szCs w:val="24"/>
              </w:rPr>
            </w:pPr>
          </w:p>
        </w:tc>
        <w:tc>
          <w:tcPr>
            <w:tcW w:w="3391" w:type="dxa"/>
          </w:tcPr>
          <w:p w14:paraId="52F8DC4A" w14:textId="77777777" w:rsidR="003C38B5" w:rsidRPr="0006517D" w:rsidRDefault="003C38B5" w:rsidP="003C38B5">
            <w:pPr>
              <w:pStyle w:val="ListParagraph"/>
              <w:ind w:left="0"/>
              <w:jc w:val="both"/>
              <w:rPr>
                <w:i/>
                <w:sz w:val="24"/>
                <w:szCs w:val="24"/>
              </w:rPr>
            </w:pPr>
            <w:r w:rsidRPr="0006517D">
              <w:rPr>
                <w:rFonts w:ascii="Times New Roman" w:hAnsi="Times New Roman"/>
                <w:i/>
                <w:sz w:val="24"/>
                <w:szCs w:val="24"/>
              </w:rPr>
              <w:t xml:space="preserve">Участие в множество стопански дейности </w:t>
            </w:r>
          </w:p>
        </w:tc>
        <w:tc>
          <w:tcPr>
            <w:tcW w:w="1814" w:type="dxa"/>
          </w:tcPr>
          <w:p w14:paraId="3027DD8C" w14:textId="77777777" w:rsidR="003C38B5" w:rsidRDefault="003C38B5" w:rsidP="003C38B5">
            <w:pPr>
              <w:jc w:val="center"/>
            </w:pPr>
            <w:r w:rsidRPr="004A5306">
              <w:rPr>
                <w:b/>
                <w:sz w:val="24"/>
                <w:szCs w:val="24"/>
              </w:rPr>
              <w:sym w:font="Wingdings 2" w:char="F04F"/>
            </w:r>
          </w:p>
        </w:tc>
        <w:tc>
          <w:tcPr>
            <w:tcW w:w="5007" w:type="dxa"/>
          </w:tcPr>
          <w:p w14:paraId="046B1576" w14:textId="77777777" w:rsidR="003C38B5" w:rsidRPr="003C38B5" w:rsidRDefault="008A268D" w:rsidP="008A268D">
            <w:pPr>
              <w:jc w:val="both"/>
              <w:rPr>
                <w:sz w:val="24"/>
                <w:szCs w:val="24"/>
              </w:rPr>
            </w:pPr>
            <w:r>
              <w:t>По правило са п</w:t>
            </w:r>
            <w:r w:rsidR="003C38B5" w:rsidRPr="003C38B5">
              <w:t xml:space="preserve">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w:t>
            </w:r>
            <w:r w:rsidR="003C38B5" w:rsidRPr="003C38B5">
              <w:lastRenderedPageBreak/>
              <w:t>които са включени в ИП.</w:t>
            </w:r>
          </w:p>
        </w:tc>
      </w:tr>
      <w:tr w:rsidR="003C38B5" w14:paraId="517ECDBC" w14:textId="77777777" w:rsidTr="00394192">
        <w:tc>
          <w:tcPr>
            <w:tcW w:w="3391" w:type="dxa"/>
          </w:tcPr>
          <w:p w14:paraId="28278572" w14:textId="77777777" w:rsidR="003C38B5" w:rsidRDefault="003C38B5" w:rsidP="003C38B5">
            <w:pPr>
              <w:rPr>
                <w:b/>
                <w:sz w:val="24"/>
                <w:szCs w:val="24"/>
              </w:rPr>
            </w:pPr>
          </w:p>
        </w:tc>
        <w:tc>
          <w:tcPr>
            <w:tcW w:w="3391" w:type="dxa"/>
          </w:tcPr>
          <w:p w14:paraId="0F3731CC" w14:textId="77777777" w:rsidR="003C38B5" w:rsidRPr="0006517D" w:rsidRDefault="003C38B5" w:rsidP="003C38B5">
            <w:pPr>
              <w:jc w:val="both"/>
              <w:rPr>
                <w:i/>
                <w:sz w:val="24"/>
                <w:szCs w:val="24"/>
              </w:rPr>
            </w:pPr>
            <w:r w:rsidRPr="0006517D">
              <w:rPr>
                <w:i/>
                <w:sz w:val="24"/>
                <w:szCs w:val="24"/>
              </w:rPr>
              <w:t>Използване на пощенска кутия</w:t>
            </w:r>
          </w:p>
        </w:tc>
        <w:tc>
          <w:tcPr>
            <w:tcW w:w="1814" w:type="dxa"/>
            <w:vAlign w:val="center"/>
          </w:tcPr>
          <w:p w14:paraId="537E083F" w14:textId="77777777" w:rsidR="003C38B5" w:rsidRDefault="003C38B5" w:rsidP="003C38B5">
            <w:pPr>
              <w:jc w:val="center"/>
            </w:pPr>
            <w:r w:rsidRPr="004A5306">
              <w:rPr>
                <w:b/>
                <w:sz w:val="24"/>
                <w:szCs w:val="24"/>
              </w:rPr>
              <w:sym w:font="Wingdings 2" w:char="F04F"/>
            </w:r>
          </w:p>
        </w:tc>
        <w:tc>
          <w:tcPr>
            <w:tcW w:w="5007" w:type="dxa"/>
          </w:tcPr>
          <w:p w14:paraId="250F2803" w14:textId="77777777" w:rsidR="003C38B5" w:rsidRDefault="003C38B5" w:rsidP="003C38B5"/>
        </w:tc>
      </w:tr>
      <w:tr w:rsidR="003C38B5" w14:paraId="58D40D40" w14:textId="77777777" w:rsidTr="00394192">
        <w:tc>
          <w:tcPr>
            <w:tcW w:w="3391" w:type="dxa"/>
          </w:tcPr>
          <w:p w14:paraId="08A78C8D" w14:textId="77777777" w:rsidR="003C38B5" w:rsidRDefault="003C38B5" w:rsidP="003C38B5">
            <w:pPr>
              <w:rPr>
                <w:b/>
                <w:sz w:val="24"/>
                <w:szCs w:val="24"/>
              </w:rPr>
            </w:pPr>
            <w:r>
              <w:rPr>
                <w:b/>
                <w:sz w:val="24"/>
                <w:szCs w:val="24"/>
              </w:rPr>
              <w:t>Репутация и измами</w:t>
            </w:r>
          </w:p>
          <w:p w14:paraId="1EC7BC3D" w14:textId="77777777" w:rsidR="003C38B5" w:rsidRPr="003C38B5" w:rsidRDefault="003C38B5" w:rsidP="003C38B5">
            <w:pPr>
              <w:rPr>
                <w:b/>
                <w:i/>
                <w:sz w:val="24"/>
                <w:szCs w:val="24"/>
              </w:rPr>
            </w:pPr>
            <w:r w:rsidRPr="003C38B5">
              <w:rPr>
                <w:b/>
                <w:i/>
                <w:sz w:val="24"/>
                <w:szCs w:val="24"/>
              </w:rPr>
              <w:t>Санкции</w:t>
            </w:r>
          </w:p>
        </w:tc>
        <w:tc>
          <w:tcPr>
            <w:tcW w:w="3391" w:type="dxa"/>
          </w:tcPr>
          <w:p w14:paraId="6F8D40C8" w14:textId="77777777" w:rsidR="003C38B5" w:rsidRPr="00CB024F" w:rsidRDefault="003C38B5" w:rsidP="003C38B5">
            <w:pPr>
              <w:pStyle w:val="ListParagraph"/>
              <w:ind w:left="0"/>
              <w:jc w:val="both"/>
              <w:rPr>
                <w:rFonts w:ascii="Times New Roman" w:hAnsi="Times New Roman"/>
                <w:sz w:val="24"/>
                <w:szCs w:val="24"/>
              </w:rPr>
            </w:pPr>
            <w:r w:rsidRPr="00FD1996">
              <w:rPr>
                <w:rFonts w:ascii="Times New Roman" w:hAnsi="Times New Roman"/>
                <w:i/>
                <w:sz w:val="24"/>
                <w:szCs w:val="24"/>
              </w:rPr>
              <w:t>Участие в списъци с политически обвързани лица</w:t>
            </w:r>
            <w:r w:rsidRPr="00CB024F">
              <w:rPr>
                <w:rFonts w:ascii="Times New Roman" w:hAnsi="Times New Roman"/>
                <w:sz w:val="24"/>
                <w:szCs w:val="24"/>
              </w:rPr>
              <w:t xml:space="preserve"> </w:t>
            </w:r>
          </w:p>
          <w:p w14:paraId="18FB2395" w14:textId="77777777" w:rsidR="003C38B5" w:rsidRPr="00B75FFD" w:rsidRDefault="003C38B5" w:rsidP="003C38B5">
            <w:pPr>
              <w:pStyle w:val="ListParagraph"/>
              <w:ind w:left="0"/>
              <w:jc w:val="both"/>
              <w:rPr>
                <w:rFonts w:ascii="Times New Roman" w:hAnsi="Times New Roman"/>
                <w:i/>
                <w:sz w:val="24"/>
                <w:szCs w:val="24"/>
              </w:rPr>
            </w:pPr>
            <w:r w:rsidRPr="00B75FFD">
              <w:rPr>
                <w:rFonts w:ascii="Times New Roman" w:hAnsi="Times New Roman"/>
                <w:i/>
                <w:sz w:val="24"/>
                <w:szCs w:val="24"/>
              </w:rPr>
              <w:t>Участие в списъци със санкционирани лица</w:t>
            </w:r>
          </w:p>
          <w:p w14:paraId="7590C665" w14:textId="77777777" w:rsidR="003C38B5" w:rsidRPr="003C38B5" w:rsidRDefault="003C38B5" w:rsidP="003C38B5">
            <w:pPr>
              <w:pStyle w:val="ListParagraph"/>
              <w:ind w:left="0"/>
              <w:jc w:val="both"/>
              <w:rPr>
                <w:rFonts w:ascii="Times New Roman" w:hAnsi="Times New Roman"/>
                <w:i/>
                <w:sz w:val="24"/>
                <w:szCs w:val="24"/>
              </w:rPr>
            </w:pPr>
            <w:r w:rsidRPr="003C38B5">
              <w:rPr>
                <w:rFonts w:ascii="Times New Roman" w:hAnsi="Times New Roman"/>
                <w:i/>
                <w:sz w:val="24"/>
                <w:szCs w:val="24"/>
              </w:rPr>
              <w:t>Участие в списъци с осъдени/глобени лица</w:t>
            </w:r>
          </w:p>
          <w:p w14:paraId="4E180488" w14:textId="77777777" w:rsidR="003C38B5" w:rsidRPr="003C38B5" w:rsidRDefault="003C38B5" w:rsidP="003C38B5">
            <w:pPr>
              <w:pStyle w:val="ListParagraph"/>
              <w:ind w:left="0"/>
              <w:jc w:val="both"/>
              <w:rPr>
                <w:rFonts w:ascii="Times New Roman" w:hAnsi="Times New Roman"/>
                <w:i/>
                <w:sz w:val="24"/>
                <w:szCs w:val="24"/>
              </w:rPr>
            </w:pPr>
            <w:r w:rsidRPr="00B75FFD">
              <w:rPr>
                <w:rFonts w:ascii="Times New Roman" w:hAnsi="Times New Roman"/>
                <w:i/>
                <w:sz w:val="24"/>
                <w:szCs w:val="24"/>
              </w:rPr>
              <w:t>Участие в неблагоприятни медийни публикации</w:t>
            </w:r>
          </w:p>
        </w:tc>
        <w:tc>
          <w:tcPr>
            <w:tcW w:w="1814" w:type="dxa"/>
            <w:vAlign w:val="center"/>
          </w:tcPr>
          <w:p w14:paraId="0A72A85B" w14:textId="77777777" w:rsidR="003C38B5" w:rsidRPr="004A5306" w:rsidRDefault="003C38B5" w:rsidP="003C38B5">
            <w:pPr>
              <w:jc w:val="center"/>
              <w:rPr>
                <w:b/>
                <w:sz w:val="24"/>
                <w:szCs w:val="24"/>
              </w:rPr>
            </w:pPr>
            <w:r w:rsidRPr="004A5306">
              <w:rPr>
                <w:b/>
                <w:sz w:val="24"/>
                <w:szCs w:val="24"/>
              </w:rPr>
              <w:sym w:font="Wingdings 2" w:char="F04F"/>
            </w:r>
          </w:p>
        </w:tc>
        <w:tc>
          <w:tcPr>
            <w:tcW w:w="5007" w:type="dxa"/>
          </w:tcPr>
          <w:p w14:paraId="6BB16174" w14:textId="77777777" w:rsidR="003C38B5" w:rsidRPr="003C38B5" w:rsidRDefault="008A268D" w:rsidP="003C38B5">
            <w:pPr>
              <w:jc w:val="both"/>
            </w:pPr>
            <w:r>
              <w:t xml:space="preserve">По правило се проверява </w:t>
            </w:r>
            <w:r w:rsidR="003C38B5" w:rsidRPr="003C38B5">
              <w:t xml:space="preserve">допустимостта на всички включени в ИП разходи, в т.ч. всички </w:t>
            </w:r>
            <w:proofErr w:type="spellStart"/>
            <w:r w:rsidR="003C38B5" w:rsidRPr="003C38B5">
              <w:t>относими</w:t>
            </w:r>
            <w:proofErr w:type="spellEnd"/>
            <w:r w:rsidR="003C38B5" w:rsidRPr="003C38B5">
              <w:t xml:space="preserve"> обществени поръчки за законосъобразност на проведения избор, в т.ч. преди сключването дали избраният кандидат е представил свидетелства за съдимост на съответните лица съгласно ЗОП.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p w14:paraId="0EF49A67" w14:textId="77777777" w:rsidR="003C38B5" w:rsidRDefault="003C38B5" w:rsidP="003C38B5"/>
        </w:tc>
      </w:tr>
      <w:tr w:rsidR="003C38B5" w14:paraId="653C5B9C" w14:textId="77777777" w:rsidTr="00394192">
        <w:tc>
          <w:tcPr>
            <w:tcW w:w="3391" w:type="dxa"/>
          </w:tcPr>
          <w:p w14:paraId="5A0D340E" w14:textId="77777777" w:rsidR="008A268D" w:rsidRDefault="008A268D" w:rsidP="008A268D">
            <w:pPr>
              <w:rPr>
                <w:b/>
                <w:sz w:val="24"/>
                <w:szCs w:val="24"/>
              </w:rPr>
            </w:pPr>
            <w:r>
              <w:rPr>
                <w:b/>
                <w:sz w:val="24"/>
                <w:szCs w:val="24"/>
              </w:rPr>
              <w:t>Репутация и измами</w:t>
            </w:r>
          </w:p>
          <w:p w14:paraId="4792D4D4" w14:textId="77777777" w:rsidR="003C38B5" w:rsidRDefault="008A268D" w:rsidP="003C38B5">
            <w:pPr>
              <w:rPr>
                <w:b/>
                <w:sz w:val="24"/>
                <w:szCs w:val="24"/>
              </w:rPr>
            </w:pPr>
            <w:r w:rsidRPr="00CB024F">
              <w:rPr>
                <w:b/>
                <w:i/>
                <w:sz w:val="24"/>
                <w:szCs w:val="24"/>
              </w:rPr>
              <w:t>Промени</w:t>
            </w:r>
          </w:p>
        </w:tc>
        <w:tc>
          <w:tcPr>
            <w:tcW w:w="3391" w:type="dxa"/>
          </w:tcPr>
          <w:p w14:paraId="66FB9763" w14:textId="77777777" w:rsidR="008A268D" w:rsidRPr="008C62B2" w:rsidRDefault="008A268D" w:rsidP="008A268D">
            <w:pPr>
              <w:pStyle w:val="ListParagraph"/>
              <w:ind w:left="0"/>
              <w:jc w:val="both"/>
              <w:rPr>
                <w:rFonts w:ascii="Times New Roman" w:hAnsi="Times New Roman"/>
                <w:i/>
                <w:sz w:val="24"/>
                <w:szCs w:val="24"/>
              </w:rPr>
            </w:pPr>
            <w:r w:rsidRPr="008C62B2">
              <w:rPr>
                <w:rFonts w:ascii="Times New Roman" w:hAnsi="Times New Roman"/>
                <w:i/>
                <w:sz w:val="24"/>
                <w:szCs w:val="24"/>
              </w:rPr>
              <w:t xml:space="preserve">Новосъздадена компания  </w:t>
            </w:r>
          </w:p>
          <w:p w14:paraId="5CEBB104" w14:textId="77777777" w:rsidR="008A268D" w:rsidRPr="008C62B2" w:rsidRDefault="008A268D" w:rsidP="008A268D">
            <w:pPr>
              <w:pStyle w:val="ListParagraph"/>
              <w:ind w:left="0"/>
              <w:rPr>
                <w:rFonts w:ascii="Times New Roman" w:hAnsi="Times New Roman"/>
                <w:i/>
                <w:sz w:val="24"/>
                <w:szCs w:val="24"/>
              </w:rPr>
            </w:pPr>
            <w:r w:rsidRPr="008C62B2">
              <w:rPr>
                <w:rFonts w:ascii="Times New Roman" w:hAnsi="Times New Roman"/>
                <w:i/>
                <w:sz w:val="24"/>
                <w:szCs w:val="24"/>
              </w:rPr>
              <w:t>Нов собственик/управляващ</w:t>
            </w:r>
            <w:r>
              <w:rPr>
                <w:rFonts w:ascii="Times New Roman" w:hAnsi="Times New Roman"/>
                <w:i/>
                <w:sz w:val="24"/>
                <w:szCs w:val="24"/>
              </w:rPr>
              <w:t xml:space="preserve"> </w:t>
            </w:r>
          </w:p>
          <w:p w14:paraId="58F2D08D" w14:textId="77777777" w:rsidR="008A268D" w:rsidRPr="008C62B2" w:rsidRDefault="008A268D" w:rsidP="008A268D">
            <w:pPr>
              <w:pStyle w:val="ListParagraph"/>
              <w:ind w:left="0"/>
              <w:rPr>
                <w:rFonts w:ascii="Times New Roman" w:hAnsi="Times New Roman"/>
                <w:i/>
                <w:sz w:val="24"/>
                <w:szCs w:val="24"/>
              </w:rPr>
            </w:pPr>
            <w:r w:rsidRPr="008C62B2">
              <w:rPr>
                <w:rFonts w:ascii="Times New Roman" w:hAnsi="Times New Roman"/>
                <w:i/>
                <w:sz w:val="24"/>
                <w:szCs w:val="24"/>
              </w:rPr>
              <w:t>Честа смяна на управляващи</w:t>
            </w:r>
          </w:p>
          <w:p w14:paraId="763792DA" w14:textId="77777777" w:rsidR="008A268D" w:rsidRPr="008C62B2" w:rsidRDefault="008A268D" w:rsidP="008A268D">
            <w:pPr>
              <w:pStyle w:val="ListParagraph"/>
              <w:ind w:left="0"/>
              <w:rPr>
                <w:rFonts w:ascii="Times New Roman" w:hAnsi="Times New Roman"/>
                <w:i/>
                <w:sz w:val="24"/>
                <w:szCs w:val="24"/>
              </w:rPr>
            </w:pPr>
            <w:r w:rsidRPr="008C62B2">
              <w:rPr>
                <w:rFonts w:ascii="Times New Roman" w:hAnsi="Times New Roman"/>
                <w:i/>
                <w:sz w:val="24"/>
                <w:szCs w:val="24"/>
              </w:rPr>
              <w:t>Промяна на стопанската дейност</w:t>
            </w:r>
          </w:p>
          <w:p w14:paraId="4D09A909" w14:textId="77777777" w:rsidR="008A268D" w:rsidRPr="008C62B2" w:rsidRDefault="008A268D" w:rsidP="008A268D">
            <w:pPr>
              <w:pStyle w:val="ListParagraph"/>
              <w:ind w:left="0"/>
              <w:rPr>
                <w:rFonts w:ascii="Times New Roman" w:hAnsi="Times New Roman"/>
                <w:i/>
                <w:sz w:val="24"/>
                <w:szCs w:val="24"/>
              </w:rPr>
            </w:pPr>
            <w:r w:rsidRPr="008C62B2">
              <w:rPr>
                <w:rFonts w:ascii="Times New Roman" w:hAnsi="Times New Roman"/>
                <w:i/>
                <w:sz w:val="24"/>
                <w:szCs w:val="24"/>
              </w:rPr>
              <w:t>Промяна на адреса</w:t>
            </w:r>
          </w:p>
          <w:p w14:paraId="06A69138" w14:textId="77777777" w:rsidR="003C38B5" w:rsidRPr="008A268D" w:rsidRDefault="008A268D" w:rsidP="008A268D">
            <w:pPr>
              <w:pStyle w:val="ListParagraph"/>
              <w:ind w:left="0"/>
              <w:rPr>
                <w:rFonts w:ascii="Times New Roman" w:hAnsi="Times New Roman"/>
                <w:i/>
                <w:sz w:val="24"/>
                <w:szCs w:val="24"/>
              </w:rPr>
            </w:pPr>
            <w:r w:rsidRPr="008C62B2">
              <w:rPr>
                <w:rFonts w:ascii="Times New Roman" w:hAnsi="Times New Roman"/>
                <w:i/>
                <w:sz w:val="24"/>
                <w:szCs w:val="24"/>
              </w:rPr>
              <w:t>Промяна на името</w:t>
            </w:r>
          </w:p>
        </w:tc>
        <w:tc>
          <w:tcPr>
            <w:tcW w:w="1814" w:type="dxa"/>
            <w:vAlign w:val="center"/>
          </w:tcPr>
          <w:p w14:paraId="3F1DC7BE" w14:textId="77777777" w:rsidR="003C38B5" w:rsidRPr="004A5306" w:rsidRDefault="00057ABA" w:rsidP="003C38B5">
            <w:pPr>
              <w:jc w:val="center"/>
              <w:rPr>
                <w:b/>
                <w:sz w:val="24"/>
                <w:szCs w:val="24"/>
              </w:rPr>
            </w:pPr>
            <w:r w:rsidRPr="004A5306">
              <w:rPr>
                <w:b/>
                <w:sz w:val="24"/>
                <w:szCs w:val="24"/>
              </w:rPr>
              <w:sym w:font="Wingdings 2" w:char="F04F"/>
            </w:r>
          </w:p>
        </w:tc>
        <w:tc>
          <w:tcPr>
            <w:tcW w:w="5007" w:type="dxa"/>
          </w:tcPr>
          <w:p w14:paraId="1DEB417F" w14:textId="3BA9C1F0" w:rsidR="003C38B5" w:rsidRDefault="008A268D" w:rsidP="00A00AE2">
            <w:pPr>
              <w:jc w:val="both"/>
            </w:pPr>
            <w:r w:rsidRPr="008A268D">
              <w:t xml:space="preserve">По правило се проверява допустимостта на всички включени в ИП разходи, в т.ч. на всички </w:t>
            </w:r>
            <w:proofErr w:type="spellStart"/>
            <w:r w:rsidRPr="008A268D">
              <w:t>относими</w:t>
            </w:r>
            <w:proofErr w:type="spellEnd"/>
            <w:r w:rsidRPr="008A268D">
              <w:t xml:space="preserve"> обществени поръчки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 Извършва се проверка на всички изменения в договорите с изпълнители (разходи по които са включени в ИП), които не са проверявани до момента. Измененията включват както обективираните в анекс промени, така също и отклоненията в изпълнението на договора от договорените условия, които не са предмет на анекс.</w:t>
            </w:r>
          </w:p>
        </w:tc>
      </w:tr>
    </w:tbl>
    <w:p w14:paraId="57934B88" w14:textId="77777777" w:rsidR="00B75FFD" w:rsidRDefault="00B75FFD" w:rsidP="00A47FF6">
      <w:pPr>
        <w:rPr>
          <w:b/>
          <w:sz w:val="24"/>
          <w:szCs w:val="24"/>
        </w:rPr>
      </w:pPr>
    </w:p>
    <w:p w14:paraId="48C594C5" w14:textId="77777777" w:rsidR="00B75FFD" w:rsidRDefault="00B75FFD" w:rsidP="00A47FF6">
      <w:pPr>
        <w:rPr>
          <w:b/>
          <w:sz w:val="24"/>
          <w:szCs w:val="24"/>
        </w:rPr>
      </w:pPr>
    </w:p>
    <w:sectPr w:rsidR="00B75FFD" w:rsidSect="00B75FFD">
      <w:headerReference w:type="even" r:id="rId12"/>
      <w:headerReference w:type="default" r:id="rId13"/>
      <w:footerReference w:type="even" r:id="rId14"/>
      <w:footerReference w:type="default" r:id="rId15"/>
      <w:pgSz w:w="16838" w:h="11906" w:orient="landscape"/>
      <w:pgMar w:top="902" w:right="2336" w:bottom="1287" w:left="1077" w:header="35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2A2DF" w14:textId="77777777" w:rsidR="0012644B" w:rsidRDefault="0012644B">
      <w:r>
        <w:separator/>
      </w:r>
    </w:p>
  </w:endnote>
  <w:endnote w:type="continuationSeparator" w:id="0">
    <w:p w14:paraId="2BBC025E" w14:textId="77777777" w:rsidR="0012644B" w:rsidRDefault="0012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EUAlbertina">
    <w:altName w:val="EU Albertina"/>
    <w:panose1 w:val="00000000000000000000"/>
    <w:charset w:val="00"/>
    <w:family w:val="swiss"/>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EA7B3" w14:textId="481F8DC5" w:rsidR="0012644B" w:rsidRDefault="0012644B"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80940">
      <w:rPr>
        <w:rStyle w:val="PageNumber"/>
        <w:noProof/>
      </w:rPr>
      <w:t>4</w:t>
    </w:r>
    <w:r>
      <w:rPr>
        <w:rStyle w:val="PageNumber"/>
      </w:rPr>
      <w:fldChar w:fldCharType="end"/>
    </w:r>
  </w:p>
  <w:p w14:paraId="4EB42A3C" w14:textId="77777777" w:rsidR="0012644B" w:rsidRDefault="0012644B" w:rsidP="00702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C88C4" w14:textId="532D1B96" w:rsidR="0012644B" w:rsidRDefault="0012644B"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80940">
      <w:rPr>
        <w:rStyle w:val="PageNumber"/>
        <w:noProof/>
      </w:rPr>
      <w:t>3</w:t>
    </w:r>
    <w:r>
      <w:rPr>
        <w:rStyle w:val="PageNumber"/>
      </w:rPr>
      <w:fldChar w:fldCharType="end"/>
    </w:r>
  </w:p>
  <w:p w14:paraId="3FC79774" w14:textId="77777777" w:rsidR="0012644B" w:rsidRDefault="0012644B" w:rsidP="00702566">
    <w:pPr>
      <w:pStyle w:val="Footer"/>
      <w:ind w:left="-720"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75E8C" w14:textId="77777777" w:rsidR="0012644B" w:rsidRDefault="0012644B">
      <w:r>
        <w:separator/>
      </w:r>
    </w:p>
  </w:footnote>
  <w:footnote w:type="continuationSeparator" w:id="0">
    <w:p w14:paraId="79A1DD68" w14:textId="77777777" w:rsidR="0012644B" w:rsidRDefault="00126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3524D" w14:textId="3FF9BBD7" w:rsidR="0012644B" w:rsidRDefault="0012644B" w:rsidP="001824B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80940">
      <w:rPr>
        <w:rStyle w:val="PageNumber"/>
        <w:noProof/>
      </w:rPr>
      <w:t>4</w:t>
    </w:r>
    <w:r>
      <w:rPr>
        <w:rStyle w:val="PageNumber"/>
      </w:rPr>
      <w:fldChar w:fldCharType="end"/>
    </w:r>
  </w:p>
  <w:p w14:paraId="5E79227F" w14:textId="77777777" w:rsidR="0012644B" w:rsidRDefault="0012644B" w:rsidP="001B5A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39FB3" w14:textId="1DE0D96A" w:rsidR="0012644B" w:rsidRDefault="0012644B" w:rsidP="002A332B">
    <w:pPr>
      <w:pStyle w:val="Header"/>
      <w:jc w:val="center"/>
    </w:pPr>
    <w:r>
      <w:rPr>
        <w:lang w:val="en-US"/>
      </w:rPr>
      <w:t xml:space="preserve">    </w:t>
    </w:r>
    <w:r>
      <w:rPr>
        <w:rFonts w:ascii="Trebuchet MS" w:hAnsi="Trebuchet MS"/>
        <w:noProof/>
        <w:color w:val="32598C"/>
        <w:sz w:val="19"/>
        <w:szCs w:val="19"/>
      </w:rPr>
      <w:drawing>
        <wp:inline distT="0" distB="0" distL="0" distR="0" wp14:anchorId="24CCDEDD" wp14:editId="2A947F35">
          <wp:extent cx="781050" cy="571500"/>
          <wp:effectExtent l="0" t="0" r="0" b="0"/>
          <wp:docPr id="4"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1050" cy="571500"/>
                  </a:xfrm>
                  <a:prstGeom prst="rect">
                    <a:avLst/>
                  </a:prstGeom>
                  <a:noFill/>
                  <a:ln>
                    <a:noFill/>
                  </a:ln>
                </pic:spPr>
              </pic:pic>
            </a:graphicData>
          </a:graphic>
        </wp:inline>
      </w:drawing>
    </w:r>
    <w:r>
      <w:rPr>
        <w:lang w:val="en-US"/>
      </w:rPr>
      <w:t xml:space="preserve">      </w:t>
    </w:r>
    <w:r>
      <w:rPr>
        <w:rFonts w:ascii="Trebuchet MS" w:hAnsi="Trebuchet MS"/>
        <w:noProof/>
        <w:color w:val="32598C"/>
        <w:sz w:val="19"/>
        <w:szCs w:val="19"/>
      </w:rPr>
      <w:drawing>
        <wp:inline distT="0" distB="0" distL="0" distR="0" wp14:anchorId="628E8672" wp14:editId="6BFC41EF">
          <wp:extent cx="4114800" cy="485775"/>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114800" cy="485775"/>
                  </a:xfrm>
                  <a:prstGeom prst="rect">
                    <a:avLst/>
                  </a:prstGeom>
                  <a:noFill/>
                  <a:ln>
                    <a:noFill/>
                  </a:ln>
                </pic:spPr>
              </pic:pic>
            </a:graphicData>
          </a:graphic>
        </wp:inline>
      </w:drawing>
    </w:r>
    <w:r>
      <w:rPr>
        <w:lang w:val="en-US"/>
      </w:rPr>
      <w:t xml:space="preserve">      </w:t>
    </w:r>
    <w:r>
      <w:rPr>
        <w:rFonts w:ascii="Trebuchet MS" w:hAnsi="Trebuchet MS"/>
        <w:noProof/>
        <w:color w:val="32598C"/>
        <w:sz w:val="19"/>
        <w:szCs w:val="19"/>
      </w:rPr>
      <w:drawing>
        <wp:inline distT="0" distB="0" distL="0" distR="0" wp14:anchorId="10C8AC2B" wp14:editId="6E327004">
          <wp:extent cx="742950" cy="67627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42950" cy="676275"/>
                  </a:xfrm>
                  <a:prstGeom prst="rect">
                    <a:avLst/>
                  </a:prstGeom>
                  <a:noFill/>
                  <a:ln>
                    <a:noFill/>
                  </a:ln>
                </pic:spPr>
              </pic:pic>
            </a:graphicData>
          </a:graphic>
        </wp:inline>
      </w:drawing>
    </w:r>
  </w:p>
  <w:p w14:paraId="6AC2520B" w14:textId="77777777" w:rsidR="0012644B" w:rsidRPr="004C0AC7" w:rsidRDefault="0012644B">
    <w:pPr>
      <w:rPr>
        <w:lang w:val="en-US"/>
      </w:rPr>
    </w:pPr>
    <w:r>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3118"/>
    <w:multiLevelType w:val="hybridMultilevel"/>
    <w:tmpl w:val="B1F80170"/>
    <w:lvl w:ilvl="0" w:tplc="5DB2E57A">
      <w:start w:val="1"/>
      <w:numFmt w:val="decimal"/>
      <w:lvlText w:val="%1."/>
      <w:lvlJc w:val="left"/>
      <w:pPr>
        <w:ind w:left="1070" w:hanging="360"/>
      </w:pPr>
      <w:rPr>
        <w:i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 w15:restartNumberingAfterBreak="0">
    <w:nsid w:val="056B0DE8"/>
    <w:multiLevelType w:val="hybridMultilevel"/>
    <w:tmpl w:val="832258F4"/>
    <w:lvl w:ilvl="0" w:tplc="1A9C503A">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9B5152E"/>
    <w:multiLevelType w:val="hybridMultilevel"/>
    <w:tmpl w:val="6F34B8C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90E6118"/>
    <w:multiLevelType w:val="hybridMultilevel"/>
    <w:tmpl w:val="2ED038EE"/>
    <w:lvl w:ilvl="0" w:tplc="7384F4E2">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CAF194B"/>
    <w:multiLevelType w:val="hybridMultilevel"/>
    <w:tmpl w:val="D72E990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hint="default"/>
        <w:color w:val="0000FF"/>
        <w:sz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FE52616"/>
    <w:multiLevelType w:val="hybridMultilevel"/>
    <w:tmpl w:val="2ED038EE"/>
    <w:lvl w:ilvl="0" w:tplc="7384F4E2">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71146FF"/>
    <w:multiLevelType w:val="hybridMultilevel"/>
    <w:tmpl w:val="BA9EF1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3C5902"/>
    <w:multiLevelType w:val="hybridMultilevel"/>
    <w:tmpl w:val="B12EE10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9034C55"/>
    <w:multiLevelType w:val="hybridMultilevel"/>
    <w:tmpl w:val="607AC56C"/>
    <w:lvl w:ilvl="0" w:tplc="6C0470B0">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F495869"/>
    <w:multiLevelType w:val="hybridMultilevel"/>
    <w:tmpl w:val="13388D0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1FF7321"/>
    <w:multiLevelType w:val="hybridMultilevel"/>
    <w:tmpl w:val="2004A3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5E8797B"/>
    <w:multiLevelType w:val="hybridMultilevel"/>
    <w:tmpl w:val="4734FD4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6403028"/>
    <w:multiLevelType w:val="hybridMultilevel"/>
    <w:tmpl w:val="F620D3EE"/>
    <w:lvl w:ilvl="0" w:tplc="FEC6BFB2">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6A23E70"/>
    <w:multiLevelType w:val="hybridMultilevel"/>
    <w:tmpl w:val="796CC472"/>
    <w:lvl w:ilvl="0" w:tplc="EF3EDA56">
      <w:start w:val="1"/>
      <w:numFmt w:val="decimal"/>
      <w:lvlText w:val="%1."/>
      <w:lvlJc w:val="left"/>
      <w:pPr>
        <w:ind w:left="720" w:hanging="360"/>
      </w:pPr>
      <w:rPr>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5A4E2317"/>
    <w:multiLevelType w:val="hybridMultilevel"/>
    <w:tmpl w:val="832258F4"/>
    <w:lvl w:ilvl="0" w:tplc="1A9C503A">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F0476AB"/>
    <w:multiLevelType w:val="hybridMultilevel"/>
    <w:tmpl w:val="C39CCDB8"/>
    <w:lvl w:ilvl="0" w:tplc="1A9C503A">
      <w:start w:val="1"/>
      <w:numFmt w:val="decimal"/>
      <w:lvlText w:val="%1."/>
      <w:lvlJc w:val="left"/>
      <w:pPr>
        <w:ind w:left="720" w:hanging="360"/>
      </w:pPr>
      <w:rPr>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3E346DF"/>
    <w:multiLevelType w:val="hybridMultilevel"/>
    <w:tmpl w:val="417465C0"/>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pStyle w:val="NumPar2"/>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17865FE"/>
    <w:multiLevelType w:val="hybridMultilevel"/>
    <w:tmpl w:val="BA9EF1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79C84A00"/>
    <w:multiLevelType w:val="hybridMultilevel"/>
    <w:tmpl w:val="832258F4"/>
    <w:lvl w:ilvl="0" w:tplc="1A9C503A">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7"/>
  </w:num>
  <w:num w:numId="2">
    <w:abstractNumId w:val="18"/>
  </w:num>
  <w:num w:numId="3">
    <w:abstractNumId w:val="5"/>
  </w:num>
  <w:num w:numId="4">
    <w:abstractNumId w:val="10"/>
  </w:num>
  <w:num w:numId="5">
    <w:abstractNumId w:val="7"/>
  </w:num>
  <w:num w:numId="6">
    <w:abstractNumId w:val="9"/>
  </w:num>
  <w:num w:numId="7">
    <w:abstractNumId w:val="14"/>
  </w:num>
  <w:num w:numId="8">
    <w:abstractNumId w:val="8"/>
  </w:num>
  <w:num w:numId="9">
    <w:abstractNumId w:val="15"/>
  </w:num>
  <w:num w:numId="10">
    <w:abstractNumId w:val="13"/>
  </w:num>
  <w:num w:numId="11">
    <w:abstractNumId w:val="0"/>
  </w:num>
  <w:num w:numId="12">
    <w:abstractNumId w:val="11"/>
  </w:num>
  <w:num w:numId="13">
    <w:abstractNumId w:val="2"/>
  </w:num>
  <w:num w:numId="14">
    <w:abstractNumId w:val="6"/>
  </w:num>
  <w:num w:numId="15">
    <w:abstractNumId w:val="4"/>
  </w:num>
  <w:num w:numId="16">
    <w:abstractNumId w:val="20"/>
  </w:num>
  <w:num w:numId="17">
    <w:abstractNumId w:val="1"/>
  </w:num>
  <w:num w:numId="18">
    <w:abstractNumId w:val="16"/>
  </w:num>
  <w:num w:numId="19">
    <w:abstractNumId w:val="3"/>
  </w:num>
  <w:num w:numId="20">
    <w:abstractNumId w:val="19"/>
  </w:num>
  <w:num w:numId="21">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A3D"/>
    <w:rsid w:val="000034DE"/>
    <w:rsid w:val="0000431A"/>
    <w:rsid w:val="00006CD4"/>
    <w:rsid w:val="000146AF"/>
    <w:rsid w:val="000153D1"/>
    <w:rsid w:val="00021EE2"/>
    <w:rsid w:val="00022077"/>
    <w:rsid w:val="00022269"/>
    <w:rsid w:val="000246C1"/>
    <w:rsid w:val="0002530D"/>
    <w:rsid w:val="00027BEA"/>
    <w:rsid w:val="000303AD"/>
    <w:rsid w:val="0003116F"/>
    <w:rsid w:val="000331DE"/>
    <w:rsid w:val="0003365A"/>
    <w:rsid w:val="00034326"/>
    <w:rsid w:val="000345E5"/>
    <w:rsid w:val="0003481B"/>
    <w:rsid w:val="00035799"/>
    <w:rsid w:val="00037745"/>
    <w:rsid w:val="0004152D"/>
    <w:rsid w:val="00043B51"/>
    <w:rsid w:val="00044380"/>
    <w:rsid w:val="00044412"/>
    <w:rsid w:val="00045335"/>
    <w:rsid w:val="00045861"/>
    <w:rsid w:val="00046513"/>
    <w:rsid w:val="000473F1"/>
    <w:rsid w:val="000519E0"/>
    <w:rsid w:val="0005401C"/>
    <w:rsid w:val="0005675B"/>
    <w:rsid w:val="00057ABA"/>
    <w:rsid w:val="00061E18"/>
    <w:rsid w:val="00063E17"/>
    <w:rsid w:val="00064831"/>
    <w:rsid w:val="0006517D"/>
    <w:rsid w:val="00065F47"/>
    <w:rsid w:val="00070FCC"/>
    <w:rsid w:val="00071D15"/>
    <w:rsid w:val="00072B8F"/>
    <w:rsid w:val="00074BB5"/>
    <w:rsid w:val="00074C7D"/>
    <w:rsid w:val="0007690A"/>
    <w:rsid w:val="00080A6C"/>
    <w:rsid w:val="00087459"/>
    <w:rsid w:val="00091B46"/>
    <w:rsid w:val="000927BC"/>
    <w:rsid w:val="00097193"/>
    <w:rsid w:val="00097778"/>
    <w:rsid w:val="00097EAB"/>
    <w:rsid w:val="000A01C1"/>
    <w:rsid w:val="000A22D0"/>
    <w:rsid w:val="000A290F"/>
    <w:rsid w:val="000A4055"/>
    <w:rsid w:val="000A411E"/>
    <w:rsid w:val="000B01C9"/>
    <w:rsid w:val="000B053F"/>
    <w:rsid w:val="000B0B61"/>
    <w:rsid w:val="000B17AE"/>
    <w:rsid w:val="000B1CE2"/>
    <w:rsid w:val="000B37FC"/>
    <w:rsid w:val="000B430C"/>
    <w:rsid w:val="000B499B"/>
    <w:rsid w:val="000B4B94"/>
    <w:rsid w:val="000B5B51"/>
    <w:rsid w:val="000C1782"/>
    <w:rsid w:val="000C4910"/>
    <w:rsid w:val="000C650F"/>
    <w:rsid w:val="000C69EC"/>
    <w:rsid w:val="000D2E37"/>
    <w:rsid w:val="000D4336"/>
    <w:rsid w:val="000D4982"/>
    <w:rsid w:val="000E0604"/>
    <w:rsid w:val="000E26F6"/>
    <w:rsid w:val="000E382C"/>
    <w:rsid w:val="000E3E6A"/>
    <w:rsid w:val="000E4C43"/>
    <w:rsid w:val="000E7CCC"/>
    <w:rsid w:val="000F037E"/>
    <w:rsid w:val="000F7E92"/>
    <w:rsid w:val="00100F8D"/>
    <w:rsid w:val="00103569"/>
    <w:rsid w:val="00103F5A"/>
    <w:rsid w:val="0010521A"/>
    <w:rsid w:val="001063F2"/>
    <w:rsid w:val="00111EDE"/>
    <w:rsid w:val="001150C5"/>
    <w:rsid w:val="00116299"/>
    <w:rsid w:val="00117812"/>
    <w:rsid w:val="00120481"/>
    <w:rsid w:val="00121491"/>
    <w:rsid w:val="00122E3E"/>
    <w:rsid w:val="00123314"/>
    <w:rsid w:val="0012644B"/>
    <w:rsid w:val="001310E7"/>
    <w:rsid w:val="001312C8"/>
    <w:rsid w:val="00133CC7"/>
    <w:rsid w:val="00135342"/>
    <w:rsid w:val="00135DDF"/>
    <w:rsid w:val="00135E7D"/>
    <w:rsid w:val="0014009B"/>
    <w:rsid w:val="00140CDF"/>
    <w:rsid w:val="001415CF"/>
    <w:rsid w:val="00141E65"/>
    <w:rsid w:val="00143D22"/>
    <w:rsid w:val="00144C8E"/>
    <w:rsid w:val="001454AF"/>
    <w:rsid w:val="001513DE"/>
    <w:rsid w:val="00151ECE"/>
    <w:rsid w:val="0015458F"/>
    <w:rsid w:val="001552A9"/>
    <w:rsid w:val="00155F3D"/>
    <w:rsid w:val="00156C24"/>
    <w:rsid w:val="00161D0C"/>
    <w:rsid w:val="00164145"/>
    <w:rsid w:val="0016455F"/>
    <w:rsid w:val="00164833"/>
    <w:rsid w:val="00164C2F"/>
    <w:rsid w:val="00165BE1"/>
    <w:rsid w:val="00167E11"/>
    <w:rsid w:val="00170653"/>
    <w:rsid w:val="001712FE"/>
    <w:rsid w:val="001735B1"/>
    <w:rsid w:val="00173861"/>
    <w:rsid w:val="00176AA3"/>
    <w:rsid w:val="00180940"/>
    <w:rsid w:val="0018109E"/>
    <w:rsid w:val="001822EA"/>
    <w:rsid w:val="001824B8"/>
    <w:rsid w:val="00182504"/>
    <w:rsid w:val="00185200"/>
    <w:rsid w:val="00185849"/>
    <w:rsid w:val="0018738D"/>
    <w:rsid w:val="00191232"/>
    <w:rsid w:val="00193052"/>
    <w:rsid w:val="00193FD5"/>
    <w:rsid w:val="00194281"/>
    <w:rsid w:val="001955AE"/>
    <w:rsid w:val="001971C4"/>
    <w:rsid w:val="001978D6"/>
    <w:rsid w:val="001A0AA9"/>
    <w:rsid w:val="001A32DF"/>
    <w:rsid w:val="001A6353"/>
    <w:rsid w:val="001B0071"/>
    <w:rsid w:val="001B0F90"/>
    <w:rsid w:val="001B28D1"/>
    <w:rsid w:val="001B3324"/>
    <w:rsid w:val="001B45FD"/>
    <w:rsid w:val="001B4CFE"/>
    <w:rsid w:val="001B52F6"/>
    <w:rsid w:val="001B5A6F"/>
    <w:rsid w:val="001B7D24"/>
    <w:rsid w:val="001C0AFA"/>
    <w:rsid w:val="001C102E"/>
    <w:rsid w:val="001C2241"/>
    <w:rsid w:val="001C2D08"/>
    <w:rsid w:val="001C2D36"/>
    <w:rsid w:val="001C4FEB"/>
    <w:rsid w:val="001C558E"/>
    <w:rsid w:val="001C568F"/>
    <w:rsid w:val="001D0951"/>
    <w:rsid w:val="001D3B2E"/>
    <w:rsid w:val="001D6D4E"/>
    <w:rsid w:val="001D6EBA"/>
    <w:rsid w:val="001D7E19"/>
    <w:rsid w:val="001E159C"/>
    <w:rsid w:val="001E1EDA"/>
    <w:rsid w:val="001E4F52"/>
    <w:rsid w:val="001F061A"/>
    <w:rsid w:val="001F0F88"/>
    <w:rsid w:val="001F2088"/>
    <w:rsid w:val="001F2163"/>
    <w:rsid w:val="001F3D92"/>
    <w:rsid w:val="001F40ED"/>
    <w:rsid w:val="001F6FB2"/>
    <w:rsid w:val="002007FD"/>
    <w:rsid w:val="00201155"/>
    <w:rsid w:val="0020263C"/>
    <w:rsid w:val="002073BD"/>
    <w:rsid w:val="00207728"/>
    <w:rsid w:val="00207B33"/>
    <w:rsid w:val="002124E7"/>
    <w:rsid w:val="0021406F"/>
    <w:rsid w:val="00214768"/>
    <w:rsid w:val="00217144"/>
    <w:rsid w:val="002203D5"/>
    <w:rsid w:val="00222EE1"/>
    <w:rsid w:val="0022355B"/>
    <w:rsid w:val="00225413"/>
    <w:rsid w:val="00225454"/>
    <w:rsid w:val="00225F99"/>
    <w:rsid w:val="00226D0F"/>
    <w:rsid w:val="002300B7"/>
    <w:rsid w:val="0023063A"/>
    <w:rsid w:val="00230A64"/>
    <w:rsid w:val="00232E5A"/>
    <w:rsid w:val="00233048"/>
    <w:rsid w:val="00235CC5"/>
    <w:rsid w:val="002361DC"/>
    <w:rsid w:val="0023713D"/>
    <w:rsid w:val="00242105"/>
    <w:rsid w:val="00244844"/>
    <w:rsid w:val="0024799D"/>
    <w:rsid w:val="002501EC"/>
    <w:rsid w:val="00250DE4"/>
    <w:rsid w:val="00250FF2"/>
    <w:rsid w:val="0025284F"/>
    <w:rsid w:val="00256A8B"/>
    <w:rsid w:val="00260182"/>
    <w:rsid w:val="00261C19"/>
    <w:rsid w:val="00263696"/>
    <w:rsid w:val="0026588B"/>
    <w:rsid w:val="00265C32"/>
    <w:rsid w:val="00267FF5"/>
    <w:rsid w:val="002738CF"/>
    <w:rsid w:val="00275615"/>
    <w:rsid w:val="0027575B"/>
    <w:rsid w:val="00276DA4"/>
    <w:rsid w:val="0028153E"/>
    <w:rsid w:val="002835D8"/>
    <w:rsid w:val="0028414F"/>
    <w:rsid w:val="00286126"/>
    <w:rsid w:val="0028721A"/>
    <w:rsid w:val="00291AE8"/>
    <w:rsid w:val="00292124"/>
    <w:rsid w:val="00293161"/>
    <w:rsid w:val="00295A3D"/>
    <w:rsid w:val="002A1F56"/>
    <w:rsid w:val="002A332B"/>
    <w:rsid w:val="002A3BA7"/>
    <w:rsid w:val="002A4CFA"/>
    <w:rsid w:val="002A664D"/>
    <w:rsid w:val="002A6C47"/>
    <w:rsid w:val="002A7F32"/>
    <w:rsid w:val="002B1A3D"/>
    <w:rsid w:val="002B2305"/>
    <w:rsid w:val="002B36FB"/>
    <w:rsid w:val="002B3A09"/>
    <w:rsid w:val="002B4272"/>
    <w:rsid w:val="002B451A"/>
    <w:rsid w:val="002B6C87"/>
    <w:rsid w:val="002B7D82"/>
    <w:rsid w:val="002C172A"/>
    <w:rsid w:val="002C57EC"/>
    <w:rsid w:val="002C58B6"/>
    <w:rsid w:val="002C66D0"/>
    <w:rsid w:val="002C6BF5"/>
    <w:rsid w:val="002C6DD3"/>
    <w:rsid w:val="002C71EC"/>
    <w:rsid w:val="002C7B63"/>
    <w:rsid w:val="002C7BF5"/>
    <w:rsid w:val="002D0E20"/>
    <w:rsid w:val="002D1AF5"/>
    <w:rsid w:val="002D3DF0"/>
    <w:rsid w:val="002D3F34"/>
    <w:rsid w:val="002D4029"/>
    <w:rsid w:val="002D54AC"/>
    <w:rsid w:val="002D5838"/>
    <w:rsid w:val="002D5CC9"/>
    <w:rsid w:val="002D7825"/>
    <w:rsid w:val="002E1EAA"/>
    <w:rsid w:val="002E5709"/>
    <w:rsid w:val="002E6505"/>
    <w:rsid w:val="002E690E"/>
    <w:rsid w:val="002E76A2"/>
    <w:rsid w:val="002E7776"/>
    <w:rsid w:val="002F066B"/>
    <w:rsid w:val="002F1646"/>
    <w:rsid w:val="002F420C"/>
    <w:rsid w:val="002F5F88"/>
    <w:rsid w:val="002F6814"/>
    <w:rsid w:val="002F744A"/>
    <w:rsid w:val="002F7C73"/>
    <w:rsid w:val="0030004A"/>
    <w:rsid w:val="003035B5"/>
    <w:rsid w:val="003068C7"/>
    <w:rsid w:val="0031085F"/>
    <w:rsid w:val="00311086"/>
    <w:rsid w:val="003119E6"/>
    <w:rsid w:val="00311DF8"/>
    <w:rsid w:val="00311F29"/>
    <w:rsid w:val="003121F1"/>
    <w:rsid w:val="00313261"/>
    <w:rsid w:val="0031368E"/>
    <w:rsid w:val="00315105"/>
    <w:rsid w:val="003165D7"/>
    <w:rsid w:val="00316D9C"/>
    <w:rsid w:val="00317A00"/>
    <w:rsid w:val="00320739"/>
    <w:rsid w:val="003230B7"/>
    <w:rsid w:val="003246B6"/>
    <w:rsid w:val="00325220"/>
    <w:rsid w:val="00326FA3"/>
    <w:rsid w:val="0033289D"/>
    <w:rsid w:val="00332AA1"/>
    <w:rsid w:val="003338AB"/>
    <w:rsid w:val="00335CDB"/>
    <w:rsid w:val="00340B25"/>
    <w:rsid w:val="00341A7C"/>
    <w:rsid w:val="00342302"/>
    <w:rsid w:val="0034296D"/>
    <w:rsid w:val="00342B32"/>
    <w:rsid w:val="00343CE9"/>
    <w:rsid w:val="00344284"/>
    <w:rsid w:val="00344B5C"/>
    <w:rsid w:val="00344BED"/>
    <w:rsid w:val="00346075"/>
    <w:rsid w:val="0034655C"/>
    <w:rsid w:val="00352A49"/>
    <w:rsid w:val="003539FA"/>
    <w:rsid w:val="00354754"/>
    <w:rsid w:val="0036077A"/>
    <w:rsid w:val="00360E0A"/>
    <w:rsid w:val="00364179"/>
    <w:rsid w:val="0036684E"/>
    <w:rsid w:val="003710C7"/>
    <w:rsid w:val="00371651"/>
    <w:rsid w:val="003716B4"/>
    <w:rsid w:val="00374ADC"/>
    <w:rsid w:val="003750A7"/>
    <w:rsid w:val="00377362"/>
    <w:rsid w:val="00384C2C"/>
    <w:rsid w:val="00385236"/>
    <w:rsid w:val="00385B8D"/>
    <w:rsid w:val="0039173C"/>
    <w:rsid w:val="00392AA9"/>
    <w:rsid w:val="00392E03"/>
    <w:rsid w:val="00394192"/>
    <w:rsid w:val="00395D57"/>
    <w:rsid w:val="00397C4B"/>
    <w:rsid w:val="003A1892"/>
    <w:rsid w:val="003A1D51"/>
    <w:rsid w:val="003A2AF0"/>
    <w:rsid w:val="003A3774"/>
    <w:rsid w:val="003B46D0"/>
    <w:rsid w:val="003B515F"/>
    <w:rsid w:val="003B69F4"/>
    <w:rsid w:val="003B6AE9"/>
    <w:rsid w:val="003B6F7B"/>
    <w:rsid w:val="003C18A1"/>
    <w:rsid w:val="003C38B5"/>
    <w:rsid w:val="003C654E"/>
    <w:rsid w:val="003D22FB"/>
    <w:rsid w:val="003D436C"/>
    <w:rsid w:val="003D608D"/>
    <w:rsid w:val="003D7107"/>
    <w:rsid w:val="003E1122"/>
    <w:rsid w:val="003E175B"/>
    <w:rsid w:val="003E1ED1"/>
    <w:rsid w:val="003E3C59"/>
    <w:rsid w:val="003E419B"/>
    <w:rsid w:val="003E47A6"/>
    <w:rsid w:val="003E584D"/>
    <w:rsid w:val="003E5D62"/>
    <w:rsid w:val="003E6977"/>
    <w:rsid w:val="003E6A6B"/>
    <w:rsid w:val="003E6FBC"/>
    <w:rsid w:val="003E7418"/>
    <w:rsid w:val="003F186E"/>
    <w:rsid w:val="003F18AE"/>
    <w:rsid w:val="003F1AEF"/>
    <w:rsid w:val="003F28DF"/>
    <w:rsid w:val="003F6928"/>
    <w:rsid w:val="003F7BB7"/>
    <w:rsid w:val="0040306E"/>
    <w:rsid w:val="004031BD"/>
    <w:rsid w:val="00406E97"/>
    <w:rsid w:val="00406FF6"/>
    <w:rsid w:val="004121FF"/>
    <w:rsid w:val="00412805"/>
    <w:rsid w:val="00412DE4"/>
    <w:rsid w:val="00413801"/>
    <w:rsid w:val="004139F3"/>
    <w:rsid w:val="00415515"/>
    <w:rsid w:val="00420745"/>
    <w:rsid w:val="00420A18"/>
    <w:rsid w:val="00423AD3"/>
    <w:rsid w:val="004243D4"/>
    <w:rsid w:val="00426652"/>
    <w:rsid w:val="0043100C"/>
    <w:rsid w:val="0043276B"/>
    <w:rsid w:val="00434DF8"/>
    <w:rsid w:val="00434E7C"/>
    <w:rsid w:val="00435E0E"/>
    <w:rsid w:val="0043788F"/>
    <w:rsid w:val="00440ADC"/>
    <w:rsid w:val="004412CD"/>
    <w:rsid w:val="004413B7"/>
    <w:rsid w:val="00443475"/>
    <w:rsid w:val="00444056"/>
    <w:rsid w:val="00444690"/>
    <w:rsid w:val="004447EE"/>
    <w:rsid w:val="00445BD8"/>
    <w:rsid w:val="00446B80"/>
    <w:rsid w:val="00452959"/>
    <w:rsid w:val="00455756"/>
    <w:rsid w:val="00456241"/>
    <w:rsid w:val="0045772F"/>
    <w:rsid w:val="00457E74"/>
    <w:rsid w:val="00457EAF"/>
    <w:rsid w:val="00461731"/>
    <w:rsid w:val="00462BFA"/>
    <w:rsid w:val="00467EE1"/>
    <w:rsid w:val="00470B88"/>
    <w:rsid w:val="004719E5"/>
    <w:rsid w:val="00471E13"/>
    <w:rsid w:val="00471F94"/>
    <w:rsid w:val="0047202E"/>
    <w:rsid w:val="00473BCE"/>
    <w:rsid w:val="00474D23"/>
    <w:rsid w:val="00481B8F"/>
    <w:rsid w:val="004825EB"/>
    <w:rsid w:val="0048353C"/>
    <w:rsid w:val="00483919"/>
    <w:rsid w:val="004839FA"/>
    <w:rsid w:val="00487D8C"/>
    <w:rsid w:val="004905D5"/>
    <w:rsid w:val="004927FA"/>
    <w:rsid w:val="00495E82"/>
    <w:rsid w:val="004A07D1"/>
    <w:rsid w:val="004A0995"/>
    <w:rsid w:val="004A34FF"/>
    <w:rsid w:val="004A40B7"/>
    <w:rsid w:val="004A56C4"/>
    <w:rsid w:val="004A5B6F"/>
    <w:rsid w:val="004A6845"/>
    <w:rsid w:val="004A68FA"/>
    <w:rsid w:val="004B01DB"/>
    <w:rsid w:val="004B1E65"/>
    <w:rsid w:val="004B2AF3"/>
    <w:rsid w:val="004B3967"/>
    <w:rsid w:val="004B3ACA"/>
    <w:rsid w:val="004B3B04"/>
    <w:rsid w:val="004B59EF"/>
    <w:rsid w:val="004C0AC7"/>
    <w:rsid w:val="004C1E10"/>
    <w:rsid w:val="004C3F74"/>
    <w:rsid w:val="004C57BF"/>
    <w:rsid w:val="004C5B00"/>
    <w:rsid w:val="004C7BEF"/>
    <w:rsid w:val="004D0BA9"/>
    <w:rsid w:val="004D2DED"/>
    <w:rsid w:val="004D48E2"/>
    <w:rsid w:val="004D50D6"/>
    <w:rsid w:val="004E30D5"/>
    <w:rsid w:val="004E3688"/>
    <w:rsid w:val="004E4678"/>
    <w:rsid w:val="004E5943"/>
    <w:rsid w:val="004E65D2"/>
    <w:rsid w:val="004E6F7D"/>
    <w:rsid w:val="004F1F01"/>
    <w:rsid w:val="004F63BA"/>
    <w:rsid w:val="00500192"/>
    <w:rsid w:val="0050088D"/>
    <w:rsid w:val="00500978"/>
    <w:rsid w:val="0050162C"/>
    <w:rsid w:val="005060E4"/>
    <w:rsid w:val="0050616F"/>
    <w:rsid w:val="00506C2D"/>
    <w:rsid w:val="0050757D"/>
    <w:rsid w:val="00515E83"/>
    <w:rsid w:val="00517B55"/>
    <w:rsid w:val="00517B82"/>
    <w:rsid w:val="0052189A"/>
    <w:rsid w:val="00523B75"/>
    <w:rsid w:val="005245A6"/>
    <w:rsid w:val="005248DA"/>
    <w:rsid w:val="00524971"/>
    <w:rsid w:val="005261FE"/>
    <w:rsid w:val="00530674"/>
    <w:rsid w:val="00530746"/>
    <w:rsid w:val="00531E91"/>
    <w:rsid w:val="00532DA5"/>
    <w:rsid w:val="00536449"/>
    <w:rsid w:val="00537721"/>
    <w:rsid w:val="00537852"/>
    <w:rsid w:val="00542C6C"/>
    <w:rsid w:val="00543D9C"/>
    <w:rsid w:val="00544072"/>
    <w:rsid w:val="0054418A"/>
    <w:rsid w:val="00544908"/>
    <w:rsid w:val="00544D6C"/>
    <w:rsid w:val="005472D3"/>
    <w:rsid w:val="0055411C"/>
    <w:rsid w:val="005634EA"/>
    <w:rsid w:val="00564043"/>
    <w:rsid w:val="00564080"/>
    <w:rsid w:val="00564201"/>
    <w:rsid w:val="00566FDE"/>
    <w:rsid w:val="00570BB6"/>
    <w:rsid w:val="005729C2"/>
    <w:rsid w:val="005737AB"/>
    <w:rsid w:val="005752A3"/>
    <w:rsid w:val="0058040A"/>
    <w:rsid w:val="00580E8F"/>
    <w:rsid w:val="00582DE2"/>
    <w:rsid w:val="00582EDE"/>
    <w:rsid w:val="00586642"/>
    <w:rsid w:val="005877B8"/>
    <w:rsid w:val="00590D00"/>
    <w:rsid w:val="00591208"/>
    <w:rsid w:val="005913C1"/>
    <w:rsid w:val="00592E95"/>
    <w:rsid w:val="00593185"/>
    <w:rsid w:val="005A0680"/>
    <w:rsid w:val="005A0B49"/>
    <w:rsid w:val="005A0F07"/>
    <w:rsid w:val="005A35AE"/>
    <w:rsid w:val="005A37C4"/>
    <w:rsid w:val="005A5895"/>
    <w:rsid w:val="005A5ADD"/>
    <w:rsid w:val="005B06E1"/>
    <w:rsid w:val="005B16BB"/>
    <w:rsid w:val="005B1C3B"/>
    <w:rsid w:val="005B2254"/>
    <w:rsid w:val="005B3157"/>
    <w:rsid w:val="005B3171"/>
    <w:rsid w:val="005B3DE2"/>
    <w:rsid w:val="005B41A1"/>
    <w:rsid w:val="005B54FB"/>
    <w:rsid w:val="005B6396"/>
    <w:rsid w:val="005B7A8F"/>
    <w:rsid w:val="005C21A4"/>
    <w:rsid w:val="005C4734"/>
    <w:rsid w:val="005C74EF"/>
    <w:rsid w:val="005D10C6"/>
    <w:rsid w:val="005D13DD"/>
    <w:rsid w:val="005D18CD"/>
    <w:rsid w:val="005D1E2C"/>
    <w:rsid w:val="005D55B0"/>
    <w:rsid w:val="005D5F24"/>
    <w:rsid w:val="005E3BF2"/>
    <w:rsid w:val="005E42EB"/>
    <w:rsid w:val="005E503A"/>
    <w:rsid w:val="005E52B9"/>
    <w:rsid w:val="005E57A9"/>
    <w:rsid w:val="005F00D5"/>
    <w:rsid w:val="005F1B29"/>
    <w:rsid w:val="005F2E7E"/>
    <w:rsid w:val="005F45D3"/>
    <w:rsid w:val="005F5F50"/>
    <w:rsid w:val="005F666D"/>
    <w:rsid w:val="005F68A2"/>
    <w:rsid w:val="006002AD"/>
    <w:rsid w:val="00601248"/>
    <w:rsid w:val="00602C9A"/>
    <w:rsid w:val="00605434"/>
    <w:rsid w:val="006077D2"/>
    <w:rsid w:val="00610FDF"/>
    <w:rsid w:val="0061278F"/>
    <w:rsid w:val="00613036"/>
    <w:rsid w:val="00613EA3"/>
    <w:rsid w:val="00622860"/>
    <w:rsid w:val="006243D9"/>
    <w:rsid w:val="0062543C"/>
    <w:rsid w:val="00626217"/>
    <w:rsid w:val="00630B8B"/>
    <w:rsid w:val="00631B7B"/>
    <w:rsid w:val="0063307F"/>
    <w:rsid w:val="00634490"/>
    <w:rsid w:val="00634A50"/>
    <w:rsid w:val="00635300"/>
    <w:rsid w:val="00643431"/>
    <w:rsid w:val="00643ED7"/>
    <w:rsid w:val="00647DA6"/>
    <w:rsid w:val="00653290"/>
    <w:rsid w:val="006542B7"/>
    <w:rsid w:val="006564F9"/>
    <w:rsid w:val="006611BD"/>
    <w:rsid w:val="006621B5"/>
    <w:rsid w:val="00663806"/>
    <w:rsid w:val="00667BD9"/>
    <w:rsid w:val="00670510"/>
    <w:rsid w:val="00672AE9"/>
    <w:rsid w:val="00674174"/>
    <w:rsid w:val="0067490B"/>
    <w:rsid w:val="00676E9A"/>
    <w:rsid w:val="006800D2"/>
    <w:rsid w:val="00681B7F"/>
    <w:rsid w:val="00682798"/>
    <w:rsid w:val="00682A88"/>
    <w:rsid w:val="00683278"/>
    <w:rsid w:val="00683F4D"/>
    <w:rsid w:val="00684DC4"/>
    <w:rsid w:val="00685D04"/>
    <w:rsid w:val="00685F40"/>
    <w:rsid w:val="006863B3"/>
    <w:rsid w:val="006874BE"/>
    <w:rsid w:val="00696CC0"/>
    <w:rsid w:val="0069705A"/>
    <w:rsid w:val="006972A2"/>
    <w:rsid w:val="00697E3A"/>
    <w:rsid w:val="00697F9C"/>
    <w:rsid w:val="006A15F3"/>
    <w:rsid w:val="006A3D7E"/>
    <w:rsid w:val="006A4EEC"/>
    <w:rsid w:val="006A4FDD"/>
    <w:rsid w:val="006B0111"/>
    <w:rsid w:val="006B2531"/>
    <w:rsid w:val="006B5A6B"/>
    <w:rsid w:val="006B6237"/>
    <w:rsid w:val="006C0306"/>
    <w:rsid w:val="006C0CA7"/>
    <w:rsid w:val="006C0D73"/>
    <w:rsid w:val="006C28EB"/>
    <w:rsid w:val="006C341A"/>
    <w:rsid w:val="006C5EC4"/>
    <w:rsid w:val="006D75AE"/>
    <w:rsid w:val="006E0904"/>
    <w:rsid w:val="006E3AF4"/>
    <w:rsid w:val="006E3C45"/>
    <w:rsid w:val="006E4F81"/>
    <w:rsid w:val="006E550A"/>
    <w:rsid w:val="006E5F03"/>
    <w:rsid w:val="006E5F2F"/>
    <w:rsid w:val="006E712D"/>
    <w:rsid w:val="006E7691"/>
    <w:rsid w:val="006E7E32"/>
    <w:rsid w:val="006E7E3B"/>
    <w:rsid w:val="006F0DFC"/>
    <w:rsid w:val="006F11F5"/>
    <w:rsid w:val="006F19A1"/>
    <w:rsid w:val="006F1FA8"/>
    <w:rsid w:val="006F501A"/>
    <w:rsid w:val="007019B2"/>
    <w:rsid w:val="00702566"/>
    <w:rsid w:val="00702E56"/>
    <w:rsid w:val="00705F32"/>
    <w:rsid w:val="00710079"/>
    <w:rsid w:val="00711D8A"/>
    <w:rsid w:val="00711EAB"/>
    <w:rsid w:val="00712ABA"/>
    <w:rsid w:val="00716622"/>
    <w:rsid w:val="0072220C"/>
    <w:rsid w:val="007226C4"/>
    <w:rsid w:val="0072585B"/>
    <w:rsid w:val="007271C2"/>
    <w:rsid w:val="00727D70"/>
    <w:rsid w:val="00730D3C"/>
    <w:rsid w:val="00731090"/>
    <w:rsid w:val="00732528"/>
    <w:rsid w:val="00733588"/>
    <w:rsid w:val="007346D3"/>
    <w:rsid w:val="00735B72"/>
    <w:rsid w:val="007361B2"/>
    <w:rsid w:val="00740018"/>
    <w:rsid w:val="00742269"/>
    <w:rsid w:val="007431DE"/>
    <w:rsid w:val="00745734"/>
    <w:rsid w:val="00746B03"/>
    <w:rsid w:val="00747716"/>
    <w:rsid w:val="0075168E"/>
    <w:rsid w:val="00751811"/>
    <w:rsid w:val="00753C57"/>
    <w:rsid w:val="00755554"/>
    <w:rsid w:val="00755E48"/>
    <w:rsid w:val="00755E6B"/>
    <w:rsid w:val="00756863"/>
    <w:rsid w:val="007604B8"/>
    <w:rsid w:val="00765DFB"/>
    <w:rsid w:val="0076632B"/>
    <w:rsid w:val="007701C3"/>
    <w:rsid w:val="0077022D"/>
    <w:rsid w:val="007708E8"/>
    <w:rsid w:val="00772C5F"/>
    <w:rsid w:val="0077382E"/>
    <w:rsid w:val="007757AC"/>
    <w:rsid w:val="00777628"/>
    <w:rsid w:val="007809C9"/>
    <w:rsid w:val="00780EDD"/>
    <w:rsid w:val="00781B94"/>
    <w:rsid w:val="0078298E"/>
    <w:rsid w:val="00786D79"/>
    <w:rsid w:val="00791D6D"/>
    <w:rsid w:val="007A0368"/>
    <w:rsid w:val="007A4EC3"/>
    <w:rsid w:val="007B1AFD"/>
    <w:rsid w:val="007B26EF"/>
    <w:rsid w:val="007B2738"/>
    <w:rsid w:val="007B4000"/>
    <w:rsid w:val="007B6791"/>
    <w:rsid w:val="007B7884"/>
    <w:rsid w:val="007C1123"/>
    <w:rsid w:val="007C1638"/>
    <w:rsid w:val="007D1435"/>
    <w:rsid w:val="007D52AF"/>
    <w:rsid w:val="007E013F"/>
    <w:rsid w:val="007E2820"/>
    <w:rsid w:val="007E33F0"/>
    <w:rsid w:val="007E625E"/>
    <w:rsid w:val="007E6C14"/>
    <w:rsid w:val="007F470A"/>
    <w:rsid w:val="007F5301"/>
    <w:rsid w:val="007F69F2"/>
    <w:rsid w:val="007F72DE"/>
    <w:rsid w:val="00801C07"/>
    <w:rsid w:val="00801F79"/>
    <w:rsid w:val="00802BAD"/>
    <w:rsid w:val="00804928"/>
    <w:rsid w:val="0081043B"/>
    <w:rsid w:val="00812064"/>
    <w:rsid w:val="00812A61"/>
    <w:rsid w:val="008140D6"/>
    <w:rsid w:val="00822533"/>
    <w:rsid w:val="008237E6"/>
    <w:rsid w:val="00826199"/>
    <w:rsid w:val="00833897"/>
    <w:rsid w:val="00835364"/>
    <w:rsid w:val="0083595E"/>
    <w:rsid w:val="00836A11"/>
    <w:rsid w:val="00837962"/>
    <w:rsid w:val="00837B88"/>
    <w:rsid w:val="00840582"/>
    <w:rsid w:val="00841122"/>
    <w:rsid w:val="00841167"/>
    <w:rsid w:val="00842445"/>
    <w:rsid w:val="0084338E"/>
    <w:rsid w:val="008443C2"/>
    <w:rsid w:val="00845187"/>
    <w:rsid w:val="00845279"/>
    <w:rsid w:val="008506F2"/>
    <w:rsid w:val="00853950"/>
    <w:rsid w:val="00855818"/>
    <w:rsid w:val="008569F3"/>
    <w:rsid w:val="008571DD"/>
    <w:rsid w:val="008574AF"/>
    <w:rsid w:val="008575D2"/>
    <w:rsid w:val="00860F32"/>
    <w:rsid w:val="0086175C"/>
    <w:rsid w:val="0086372B"/>
    <w:rsid w:val="0086436D"/>
    <w:rsid w:val="00864ED4"/>
    <w:rsid w:val="0086664E"/>
    <w:rsid w:val="00871915"/>
    <w:rsid w:val="00876365"/>
    <w:rsid w:val="008764FF"/>
    <w:rsid w:val="008766F2"/>
    <w:rsid w:val="00876E9D"/>
    <w:rsid w:val="00877FD4"/>
    <w:rsid w:val="00884BCB"/>
    <w:rsid w:val="00886CDD"/>
    <w:rsid w:val="008904A9"/>
    <w:rsid w:val="00892355"/>
    <w:rsid w:val="00892D5F"/>
    <w:rsid w:val="00895241"/>
    <w:rsid w:val="008A0CD7"/>
    <w:rsid w:val="008A0F3A"/>
    <w:rsid w:val="008A1C56"/>
    <w:rsid w:val="008A214D"/>
    <w:rsid w:val="008A2329"/>
    <w:rsid w:val="008A268D"/>
    <w:rsid w:val="008A26AA"/>
    <w:rsid w:val="008A4E45"/>
    <w:rsid w:val="008B145C"/>
    <w:rsid w:val="008B1A9A"/>
    <w:rsid w:val="008B2E72"/>
    <w:rsid w:val="008B317E"/>
    <w:rsid w:val="008B34D4"/>
    <w:rsid w:val="008B5025"/>
    <w:rsid w:val="008B54F5"/>
    <w:rsid w:val="008B5ABB"/>
    <w:rsid w:val="008B66E1"/>
    <w:rsid w:val="008C11C7"/>
    <w:rsid w:val="008C1CA0"/>
    <w:rsid w:val="008C252E"/>
    <w:rsid w:val="008C2736"/>
    <w:rsid w:val="008C59BC"/>
    <w:rsid w:val="008C62B2"/>
    <w:rsid w:val="008C6B9C"/>
    <w:rsid w:val="008C6E4B"/>
    <w:rsid w:val="008D5727"/>
    <w:rsid w:val="008D6B78"/>
    <w:rsid w:val="008D6EB9"/>
    <w:rsid w:val="008E0D64"/>
    <w:rsid w:val="008E2C0F"/>
    <w:rsid w:val="008E6835"/>
    <w:rsid w:val="008E7B5B"/>
    <w:rsid w:val="008F1E49"/>
    <w:rsid w:val="008F35F2"/>
    <w:rsid w:val="008F42E5"/>
    <w:rsid w:val="008F4431"/>
    <w:rsid w:val="008F4B38"/>
    <w:rsid w:val="008F7BC5"/>
    <w:rsid w:val="0090046F"/>
    <w:rsid w:val="009005CC"/>
    <w:rsid w:val="00901FD2"/>
    <w:rsid w:val="009033DE"/>
    <w:rsid w:val="009034B1"/>
    <w:rsid w:val="00903CC0"/>
    <w:rsid w:val="009052F8"/>
    <w:rsid w:val="00905381"/>
    <w:rsid w:val="00905D8A"/>
    <w:rsid w:val="00906319"/>
    <w:rsid w:val="009100A7"/>
    <w:rsid w:val="009117C0"/>
    <w:rsid w:val="009133C8"/>
    <w:rsid w:val="009135DF"/>
    <w:rsid w:val="00915DE0"/>
    <w:rsid w:val="00923195"/>
    <w:rsid w:val="00923EBD"/>
    <w:rsid w:val="0092479A"/>
    <w:rsid w:val="00925058"/>
    <w:rsid w:val="0092659C"/>
    <w:rsid w:val="00932E83"/>
    <w:rsid w:val="0093460A"/>
    <w:rsid w:val="00934B05"/>
    <w:rsid w:val="009357A6"/>
    <w:rsid w:val="009414AE"/>
    <w:rsid w:val="00941A38"/>
    <w:rsid w:val="00953555"/>
    <w:rsid w:val="009535C4"/>
    <w:rsid w:val="00954214"/>
    <w:rsid w:val="00954902"/>
    <w:rsid w:val="00961F4C"/>
    <w:rsid w:val="00962335"/>
    <w:rsid w:val="00962DAC"/>
    <w:rsid w:val="00963704"/>
    <w:rsid w:val="00964831"/>
    <w:rsid w:val="009652A0"/>
    <w:rsid w:val="00966448"/>
    <w:rsid w:val="00971351"/>
    <w:rsid w:val="009716C1"/>
    <w:rsid w:val="0097197F"/>
    <w:rsid w:val="00972CBE"/>
    <w:rsid w:val="009755C5"/>
    <w:rsid w:val="00980768"/>
    <w:rsid w:val="0098191B"/>
    <w:rsid w:val="00984096"/>
    <w:rsid w:val="00984C05"/>
    <w:rsid w:val="0098546F"/>
    <w:rsid w:val="00985D1A"/>
    <w:rsid w:val="00990B1B"/>
    <w:rsid w:val="00990FF3"/>
    <w:rsid w:val="009913E1"/>
    <w:rsid w:val="00992644"/>
    <w:rsid w:val="0099415A"/>
    <w:rsid w:val="009952A5"/>
    <w:rsid w:val="00995C8D"/>
    <w:rsid w:val="0099634B"/>
    <w:rsid w:val="00996409"/>
    <w:rsid w:val="0099642B"/>
    <w:rsid w:val="009972FC"/>
    <w:rsid w:val="00997308"/>
    <w:rsid w:val="009978E5"/>
    <w:rsid w:val="009A1701"/>
    <w:rsid w:val="009A34FD"/>
    <w:rsid w:val="009A3504"/>
    <w:rsid w:val="009A410D"/>
    <w:rsid w:val="009A413C"/>
    <w:rsid w:val="009A44C2"/>
    <w:rsid w:val="009A49A4"/>
    <w:rsid w:val="009A5812"/>
    <w:rsid w:val="009B004A"/>
    <w:rsid w:val="009B1E57"/>
    <w:rsid w:val="009B3113"/>
    <w:rsid w:val="009B314A"/>
    <w:rsid w:val="009B3EA8"/>
    <w:rsid w:val="009B65F0"/>
    <w:rsid w:val="009C290B"/>
    <w:rsid w:val="009C69A6"/>
    <w:rsid w:val="009D2608"/>
    <w:rsid w:val="009D30A9"/>
    <w:rsid w:val="009D59B0"/>
    <w:rsid w:val="009D5B6F"/>
    <w:rsid w:val="009D7E3A"/>
    <w:rsid w:val="009E75D9"/>
    <w:rsid w:val="009E7B3C"/>
    <w:rsid w:val="009F2C33"/>
    <w:rsid w:val="009F4CC9"/>
    <w:rsid w:val="009F54E0"/>
    <w:rsid w:val="009F774C"/>
    <w:rsid w:val="00A00314"/>
    <w:rsid w:val="00A00933"/>
    <w:rsid w:val="00A00AE2"/>
    <w:rsid w:val="00A039AC"/>
    <w:rsid w:val="00A04AA2"/>
    <w:rsid w:val="00A04B5C"/>
    <w:rsid w:val="00A05F04"/>
    <w:rsid w:val="00A074CA"/>
    <w:rsid w:val="00A07A14"/>
    <w:rsid w:val="00A13468"/>
    <w:rsid w:val="00A13C3D"/>
    <w:rsid w:val="00A13F17"/>
    <w:rsid w:val="00A15847"/>
    <w:rsid w:val="00A167B9"/>
    <w:rsid w:val="00A17D24"/>
    <w:rsid w:val="00A210AF"/>
    <w:rsid w:val="00A217C1"/>
    <w:rsid w:val="00A21C60"/>
    <w:rsid w:val="00A21DDB"/>
    <w:rsid w:val="00A22AD4"/>
    <w:rsid w:val="00A25848"/>
    <w:rsid w:val="00A26A1F"/>
    <w:rsid w:val="00A27207"/>
    <w:rsid w:val="00A273B6"/>
    <w:rsid w:val="00A30479"/>
    <w:rsid w:val="00A31890"/>
    <w:rsid w:val="00A34E93"/>
    <w:rsid w:val="00A3725F"/>
    <w:rsid w:val="00A407C1"/>
    <w:rsid w:val="00A4182D"/>
    <w:rsid w:val="00A43472"/>
    <w:rsid w:val="00A435DC"/>
    <w:rsid w:val="00A43780"/>
    <w:rsid w:val="00A43C71"/>
    <w:rsid w:val="00A44773"/>
    <w:rsid w:val="00A47FF6"/>
    <w:rsid w:val="00A515F4"/>
    <w:rsid w:val="00A51D45"/>
    <w:rsid w:val="00A525A8"/>
    <w:rsid w:val="00A533E5"/>
    <w:rsid w:val="00A53EBE"/>
    <w:rsid w:val="00A550F9"/>
    <w:rsid w:val="00A55832"/>
    <w:rsid w:val="00A560CF"/>
    <w:rsid w:val="00A578BA"/>
    <w:rsid w:val="00A6115B"/>
    <w:rsid w:val="00A62392"/>
    <w:rsid w:val="00A650A7"/>
    <w:rsid w:val="00A67AD8"/>
    <w:rsid w:val="00A731EA"/>
    <w:rsid w:val="00A7330A"/>
    <w:rsid w:val="00A73AEB"/>
    <w:rsid w:val="00A74270"/>
    <w:rsid w:val="00A75376"/>
    <w:rsid w:val="00A76673"/>
    <w:rsid w:val="00A76B97"/>
    <w:rsid w:val="00A77002"/>
    <w:rsid w:val="00A7767B"/>
    <w:rsid w:val="00A82017"/>
    <w:rsid w:val="00A83C29"/>
    <w:rsid w:val="00A83FEA"/>
    <w:rsid w:val="00A84268"/>
    <w:rsid w:val="00A8590F"/>
    <w:rsid w:val="00A86B34"/>
    <w:rsid w:val="00A909AB"/>
    <w:rsid w:val="00A90D36"/>
    <w:rsid w:val="00A932A4"/>
    <w:rsid w:val="00A9605A"/>
    <w:rsid w:val="00A9666B"/>
    <w:rsid w:val="00A9786E"/>
    <w:rsid w:val="00AA410C"/>
    <w:rsid w:val="00AA4E9C"/>
    <w:rsid w:val="00AB0604"/>
    <w:rsid w:val="00AB1C1F"/>
    <w:rsid w:val="00AB1FB2"/>
    <w:rsid w:val="00AB294E"/>
    <w:rsid w:val="00AB6117"/>
    <w:rsid w:val="00AB622A"/>
    <w:rsid w:val="00AB72A0"/>
    <w:rsid w:val="00AC0732"/>
    <w:rsid w:val="00AC26CD"/>
    <w:rsid w:val="00AC360F"/>
    <w:rsid w:val="00AC786B"/>
    <w:rsid w:val="00AD20E1"/>
    <w:rsid w:val="00AD2B2D"/>
    <w:rsid w:val="00AD4B9A"/>
    <w:rsid w:val="00AD5CB6"/>
    <w:rsid w:val="00AE0111"/>
    <w:rsid w:val="00AE0C50"/>
    <w:rsid w:val="00AE0CD9"/>
    <w:rsid w:val="00AE25D9"/>
    <w:rsid w:val="00AE39E2"/>
    <w:rsid w:val="00AE4033"/>
    <w:rsid w:val="00AE69FB"/>
    <w:rsid w:val="00AE7F5C"/>
    <w:rsid w:val="00AF0874"/>
    <w:rsid w:val="00AF5521"/>
    <w:rsid w:val="00AF6C14"/>
    <w:rsid w:val="00B00C64"/>
    <w:rsid w:val="00B05549"/>
    <w:rsid w:val="00B113FE"/>
    <w:rsid w:val="00B15FA0"/>
    <w:rsid w:val="00B1687F"/>
    <w:rsid w:val="00B16F0A"/>
    <w:rsid w:val="00B177B8"/>
    <w:rsid w:val="00B216E1"/>
    <w:rsid w:val="00B21B9A"/>
    <w:rsid w:val="00B2619F"/>
    <w:rsid w:val="00B3124A"/>
    <w:rsid w:val="00B33A34"/>
    <w:rsid w:val="00B36ADF"/>
    <w:rsid w:val="00B3706A"/>
    <w:rsid w:val="00B40FF5"/>
    <w:rsid w:val="00B454C3"/>
    <w:rsid w:val="00B45E9D"/>
    <w:rsid w:val="00B46964"/>
    <w:rsid w:val="00B47220"/>
    <w:rsid w:val="00B528BE"/>
    <w:rsid w:val="00B531AF"/>
    <w:rsid w:val="00B54657"/>
    <w:rsid w:val="00B550D8"/>
    <w:rsid w:val="00B643FA"/>
    <w:rsid w:val="00B65D51"/>
    <w:rsid w:val="00B6728C"/>
    <w:rsid w:val="00B71D43"/>
    <w:rsid w:val="00B73DEE"/>
    <w:rsid w:val="00B7479F"/>
    <w:rsid w:val="00B75FFD"/>
    <w:rsid w:val="00B76098"/>
    <w:rsid w:val="00B76512"/>
    <w:rsid w:val="00B77C93"/>
    <w:rsid w:val="00B81E56"/>
    <w:rsid w:val="00B82460"/>
    <w:rsid w:val="00B826A7"/>
    <w:rsid w:val="00B83FD0"/>
    <w:rsid w:val="00B856FC"/>
    <w:rsid w:val="00B87488"/>
    <w:rsid w:val="00B90A01"/>
    <w:rsid w:val="00B9181E"/>
    <w:rsid w:val="00B92DC1"/>
    <w:rsid w:val="00B9418D"/>
    <w:rsid w:val="00B944A5"/>
    <w:rsid w:val="00B95DC1"/>
    <w:rsid w:val="00BA1F5C"/>
    <w:rsid w:val="00BA3C03"/>
    <w:rsid w:val="00BA4625"/>
    <w:rsid w:val="00BA673F"/>
    <w:rsid w:val="00BB0563"/>
    <w:rsid w:val="00BB1CCA"/>
    <w:rsid w:val="00BB225F"/>
    <w:rsid w:val="00BB3AA8"/>
    <w:rsid w:val="00BB3FCC"/>
    <w:rsid w:val="00BB5B7D"/>
    <w:rsid w:val="00BC0A8B"/>
    <w:rsid w:val="00BC1241"/>
    <w:rsid w:val="00BC6B45"/>
    <w:rsid w:val="00BC6E58"/>
    <w:rsid w:val="00BC7D25"/>
    <w:rsid w:val="00BD0581"/>
    <w:rsid w:val="00BD2E37"/>
    <w:rsid w:val="00BD4350"/>
    <w:rsid w:val="00BD494E"/>
    <w:rsid w:val="00BD534C"/>
    <w:rsid w:val="00BD678B"/>
    <w:rsid w:val="00BE19E0"/>
    <w:rsid w:val="00BE34C7"/>
    <w:rsid w:val="00BE4295"/>
    <w:rsid w:val="00BE4545"/>
    <w:rsid w:val="00BE51FF"/>
    <w:rsid w:val="00BF3873"/>
    <w:rsid w:val="00BF3C98"/>
    <w:rsid w:val="00BF47F4"/>
    <w:rsid w:val="00C00465"/>
    <w:rsid w:val="00C02A70"/>
    <w:rsid w:val="00C064C4"/>
    <w:rsid w:val="00C075F2"/>
    <w:rsid w:val="00C079B6"/>
    <w:rsid w:val="00C160D1"/>
    <w:rsid w:val="00C21EE8"/>
    <w:rsid w:val="00C2259A"/>
    <w:rsid w:val="00C229CB"/>
    <w:rsid w:val="00C23863"/>
    <w:rsid w:val="00C23A32"/>
    <w:rsid w:val="00C24C58"/>
    <w:rsid w:val="00C25EB2"/>
    <w:rsid w:val="00C2631E"/>
    <w:rsid w:val="00C26B10"/>
    <w:rsid w:val="00C31156"/>
    <w:rsid w:val="00C3466B"/>
    <w:rsid w:val="00C34AF6"/>
    <w:rsid w:val="00C34CF9"/>
    <w:rsid w:val="00C35326"/>
    <w:rsid w:val="00C376EC"/>
    <w:rsid w:val="00C4296B"/>
    <w:rsid w:val="00C43F7B"/>
    <w:rsid w:val="00C472F5"/>
    <w:rsid w:val="00C47CE8"/>
    <w:rsid w:val="00C53ECF"/>
    <w:rsid w:val="00C541E3"/>
    <w:rsid w:val="00C54423"/>
    <w:rsid w:val="00C55A99"/>
    <w:rsid w:val="00C55C40"/>
    <w:rsid w:val="00C5617A"/>
    <w:rsid w:val="00C57A8A"/>
    <w:rsid w:val="00C60307"/>
    <w:rsid w:val="00C60848"/>
    <w:rsid w:val="00C6281C"/>
    <w:rsid w:val="00C63AD3"/>
    <w:rsid w:val="00C6668D"/>
    <w:rsid w:val="00C715E6"/>
    <w:rsid w:val="00C71AD8"/>
    <w:rsid w:val="00C73F9E"/>
    <w:rsid w:val="00C80007"/>
    <w:rsid w:val="00C804BA"/>
    <w:rsid w:val="00C808FF"/>
    <w:rsid w:val="00C9085E"/>
    <w:rsid w:val="00C91930"/>
    <w:rsid w:val="00C929EA"/>
    <w:rsid w:val="00C92C94"/>
    <w:rsid w:val="00C9356E"/>
    <w:rsid w:val="00C93E6A"/>
    <w:rsid w:val="00CA0710"/>
    <w:rsid w:val="00CA5130"/>
    <w:rsid w:val="00CA532F"/>
    <w:rsid w:val="00CA6071"/>
    <w:rsid w:val="00CB0538"/>
    <w:rsid w:val="00CB14FF"/>
    <w:rsid w:val="00CB201F"/>
    <w:rsid w:val="00CB2BED"/>
    <w:rsid w:val="00CB5104"/>
    <w:rsid w:val="00CB627B"/>
    <w:rsid w:val="00CB752C"/>
    <w:rsid w:val="00CB7CB3"/>
    <w:rsid w:val="00CB7E02"/>
    <w:rsid w:val="00CC2404"/>
    <w:rsid w:val="00CC4D47"/>
    <w:rsid w:val="00CC63FF"/>
    <w:rsid w:val="00CC6464"/>
    <w:rsid w:val="00CD09F9"/>
    <w:rsid w:val="00CD4FBD"/>
    <w:rsid w:val="00CD524F"/>
    <w:rsid w:val="00CD52E6"/>
    <w:rsid w:val="00CD5D52"/>
    <w:rsid w:val="00CE0A9C"/>
    <w:rsid w:val="00CE25A2"/>
    <w:rsid w:val="00CE28DA"/>
    <w:rsid w:val="00CE3BF7"/>
    <w:rsid w:val="00CE4331"/>
    <w:rsid w:val="00CE4412"/>
    <w:rsid w:val="00CE4D13"/>
    <w:rsid w:val="00CE4DFB"/>
    <w:rsid w:val="00CF005A"/>
    <w:rsid w:val="00CF1D93"/>
    <w:rsid w:val="00CF34F9"/>
    <w:rsid w:val="00CF485E"/>
    <w:rsid w:val="00CF6439"/>
    <w:rsid w:val="00CF71A9"/>
    <w:rsid w:val="00CF7E33"/>
    <w:rsid w:val="00D00963"/>
    <w:rsid w:val="00D00E9E"/>
    <w:rsid w:val="00D01909"/>
    <w:rsid w:val="00D0193C"/>
    <w:rsid w:val="00D046F5"/>
    <w:rsid w:val="00D050A5"/>
    <w:rsid w:val="00D10BF1"/>
    <w:rsid w:val="00D115D2"/>
    <w:rsid w:val="00D12124"/>
    <w:rsid w:val="00D138A9"/>
    <w:rsid w:val="00D13F32"/>
    <w:rsid w:val="00D17B5E"/>
    <w:rsid w:val="00D20C0A"/>
    <w:rsid w:val="00D228D1"/>
    <w:rsid w:val="00D23447"/>
    <w:rsid w:val="00D24DF9"/>
    <w:rsid w:val="00D25DD0"/>
    <w:rsid w:val="00D2610D"/>
    <w:rsid w:val="00D2791B"/>
    <w:rsid w:val="00D3286A"/>
    <w:rsid w:val="00D32941"/>
    <w:rsid w:val="00D330FE"/>
    <w:rsid w:val="00D3329B"/>
    <w:rsid w:val="00D33AC5"/>
    <w:rsid w:val="00D33D46"/>
    <w:rsid w:val="00D432C0"/>
    <w:rsid w:val="00D43901"/>
    <w:rsid w:val="00D44748"/>
    <w:rsid w:val="00D46565"/>
    <w:rsid w:val="00D47325"/>
    <w:rsid w:val="00D47A23"/>
    <w:rsid w:val="00D5065C"/>
    <w:rsid w:val="00D51F94"/>
    <w:rsid w:val="00D540DB"/>
    <w:rsid w:val="00D55F0E"/>
    <w:rsid w:val="00D56360"/>
    <w:rsid w:val="00D56483"/>
    <w:rsid w:val="00D57257"/>
    <w:rsid w:val="00D579C1"/>
    <w:rsid w:val="00D60A33"/>
    <w:rsid w:val="00D61332"/>
    <w:rsid w:val="00D62C5B"/>
    <w:rsid w:val="00D62EC1"/>
    <w:rsid w:val="00D63774"/>
    <w:rsid w:val="00D65009"/>
    <w:rsid w:val="00D6526E"/>
    <w:rsid w:val="00D66A32"/>
    <w:rsid w:val="00D66C77"/>
    <w:rsid w:val="00D71080"/>
    <w:rsid w:val="00D718DF"/>
    <w:rsid w:val="00D74AA2"/>
    <w:rsid w:val="00D75608"/>
    <w:rsid w:val="00D76DD4"/>
    <w:rsid w:val="00D80A0F"/>
    <w:rsid w:val="00D86B0A"/>
    <w:rsid w:val="00D86E30"/>
    <w:rsid w:val="00D90F31"/>
    <w:rsid w:val="00D937D6"/>
    <w:rsid w:val="00D94A10"/>
    <w:rsid w:val="00D961E0"/>
    <w:rsid w:val="00D97650"/>
    <w:rsid w:val="00DA03E5"/>
    <w:rsid w:val="00DA5B74"/>
    <w:rsid w:val="00DA7F7B"/>
    <w:rsid w:val="00DB12A5"/>
    <w:rsid w:val="00DB1C91"/>
    <w:rsid w:val="00DB1CFA"/>
    <w:rsid w:val="00DB2AD6"/>
    <w:rsid w:val="00DB305B"/>
    <w:rsid w:val="00DB43BF"/>
    <w:rsid w:val="00DB4B8E"/>
    <w:rsid w:val="00DB5DD7"/>
    <w:rsid w:val="00DC00EF"/>
    <w:rsid w:val="00DC0A8B"/>
    <w:rsid w:val="00DC11FF"/>
    <w:rsid w:val="00DC3388"/>
    <w:rsid w:val="00DC3F7D"/>
    <w:rsid w:val="00DC42BB"/>
    <w:rsid w:val="00DC5C08"/>
    <w:rsid w:val="00DC7F19"/>
    <w:rsid w:val="00DD13D7"/>
    <w:rsid w:val="00DD2ECC"/>
    <w:rsid w:val="00DD39BD"/>
    <w:rsid w:val="00DD3EE1"/>
    <w:rsid w:val="00DD5191"/>
    <w:rsid w:val="00DD7511"/>
    <w:rsid w:val="00DE0A71"/>
    <w:rsid w:val="00DE1A21"/>
    <w:rsid w:val="00DE40B7"/>
    <w:rsid w:val="00DE7B2C"/>
    <w:rsid w:val="00DF32D5"/>
    <w:rsid w:val="00DF74E5"/>
    <w:rsid w:val="00E034FF"/>
    <w:rsid w:val="00E05331"/>
    <w:rsid w:val="00E10980"/>
    <w:rsid w:val="00E110EE"/>
    <w:rsid w:val="00E121E8"/>
    <w:rsid w:val="00E137BC"/>
    <w:rsid w:val="00E16A0A"/>
    <w:rsid w:val="00E2387C"/>
    <w:rsid w:val="00E24CF6"/>
    <w:rsid w:val="00E257FB"/>
    <w:rsid w:val="00E262B5"/>
    <w:rsid w:val="00E263D8"/>
    <w:rsid w:val="00E2643A"/>
    <w:rsid w:val="00E30638"/>
    <w:rsid w:val="00E30CCD"/>
    <w:rsid w:val="00E35CED"/>
    <w:rsid w:val="00E362BD"/>
    <w:rsid w:val="00E36E75"/>
    <w:rsid w:val="00E4040E"/>
    <w:rsid w:val="00E405EA"/>
    <w:rsid w:val="00E43DE3"/>
    <w:rsid w:val="00E45FB0"/>
    <w:rsid w:val="00E47486"/>
    <w:rsid w:val="00E501B9"/>
    <w:rsid w:val="00E5020C"/>
    <w:rsid w:val="00E51F6A"/>
    <w:rsid w:val="00E53905"/>
    <w:rsid w:val="00E53DD2"/>
    <w:rsid w:val="00E561BC"/>
    <w:rsid w:val="00E56CD2"/>
    <w:rsid w:val="00E6152E"/>
    <w:rsid w:val="00E6173A"/>
    <w:rsid w:val="00E66427"/>
    <w:rsid w:val="00E66648"/>
    <w:rsid w:val="00E67428"/>
    <w:rsid w:val="00E71CEB"/>
    <w:rsid w:val="00E71F90"/>
    <w:rsid w:val="00E77F7B"/>
    <w:rsid w:val="00E8121D"/>
    <w:rsid w:val="00E81D65"/>
    <w:rsid w:val="00E81F14"/>
    <w:rsid w:val="00E83395"/>
    <w:rsid w:val="00E864B2"/>
    <w:rsid w:val="00E8698C"/>
    <w:rsid w:val="00E869BA"/>
    <w:rsid w:val="00E931AD"/>
    <w:rsid w:val="00E94B17"/>
    <w:rsid w:val="00EA0CA9"/>
    <w:rsid w:val="00EA3AC4"/>
    <w:rsid w:val="00EA3F24"/>
    <w:rsid w:val="00EA45D5"/>
    <w:rsid w:val="00EA529C"/>
    <w:rsid w:val="00EA59D8"/>
    <w:rsid w:val="00EA7E81"/>
    <w:rsid w:val="00EB14B2"/>
    <w:rsid w:val="00EB405A"/>
    <w:rsid w:val="00EB63A3"/>
    <w:rsid w:val="00EC0F40"/>
    <w:rsid w:val="00EC59BF"/>
    <w:rsid w:val="00EC5FCC"/>
    <w:rsid w:val="00EC6F56"/>
    <w:rsid w:val="00ED2A47"/>
    <w:rsid w:val="00ED3C2C"/>
    <w:rsid w:val="00ED5C5B"/>
    <w:rsid w:val="00ED5C64"/>
    <w:rsid w:val="00ED6498"/>
    <w:rsid w:val="00ED7625"/>
    <w:rsid w:val="00EE16BB"/>
    <w:rsid w:val="00EE215C"/>
    <w:rsid w:val="00EE4F0D"/>
    <w:rsid w:val="00EE5AEF"/>
    <w:rsid w:val="00EE623D"/>
    <w:rsid w:val="00EE6D3D"/>
    <w:rsid w:val="00EE74B9"/>
    <w:rsid w:val="00EE799B"/>
    <w:rsid w:val="00EF01AF"/>
    <w:rsid w:val="00EF039D"/>
    <w:rsid w:val="00EF1E72"/>
    <w:rsid w:val="00EF2448"/>
    <w:rsid w:val="00EF688F"/>
    <w:rsid w:val="00F0404D"/>
    <w:rsid w:val="00F0424D"/>
    <w:rsid w:val="00F053F5"/>
    <w:rsid w:val="00F1106F"/>
    <w:rsid w:val="00F16972"/>
    <w:rsid w:val="00F174DA"/>
    <w:rsid w:val="00F176FD"/>
    <w:rsid w:val="00F200A2"/>
    <w:rsid w:val="00F22E80"/>
    <w:rsid w:val="00F24BEB"/>
    <w:rsid w:val="00F25FD5"/>
    <w:rsid w:val="00F26177"/>
    <w:rsid w:val="00F30571"/>
    <w:rsid w:val="00F30BD2"/>
    <w:rsid w:val="00F33C18"/>
    <w:rsid w:val="00F3424B"/>
    <w:rsid w:val="00F35DE4"/>
    <w:rsid w:val="00F37402"/>
    <w:rsid w:val="00F375AC"/>
    <w:rsid w:val="00F40721"/>
    <w:rsid w:val="00F40785"/>
    <w:rsid w:val="00F40C47"/>
    <w:rsid w:val="00F43F53"/>
    <w:rsid w:val="00F442B4"/>
    <w:rsid w:val="00F446A5"/>
    <w:rsid w:val="00F44A78"/>
    <w:rsid w:val="00F4514E"/>
    <w:rsid w:val="00F507C1"/>
    <w:rsid w:val="00F52775"/>
    <w:rsid w:val="00F5288C"/>
    <w:rsid w:val="00F5388C"/>
    <w:rsid w:val="00F53D20"/>
    <w:rsid w:val="00F5531D"/>
    <w:rsid w:val="00F55F22"/>
    <w:rsid w:val="00F57354"/>
    <w:rsid w:val="00F57585"/>
    <w:rsid w:val="00F57F3D"/>
    <w:rsid w:val="00F57F5F"/>
    <w:rsid w:val="00F60428"/>
    <w:rsid w:val="00F61A13"/>
    <w:rsid w:val="00F643D5"/>
    <w:rsid w:val="00F64FD4"/>
    <w:rsid w:val="00F66004"/>
    <w:rsid w:val="00F70300"/>
    <w:rsid w:val="00F709A6"/>
    <w:rsid w:val="00F71451"/>
    <w:rsid w:val="00F71C79"/>
    <w:rsid w:val="00F75566"/>
    <w:rsid w:val="00F7559F"/>
    <w:rsid w:val="00F769F8"/>
    <w:rsid w:val="00F76AFB"/>
    <w:rsid w:val="00F76BF5"/>
    <w:rsid w:val="00F778E5"/>
    <w:rsid w:val="00F8009C"/>
    <w:rsid w:val="00F8062F"/>
    <w:rsid w:val="00F81646"/>
    <w:rsid w:val="00F83117"/>
    <w:rsid w:val="00F83377"/>
    <w:rsid w:val="00F8384A"/>
    <w:rsid w:val="00F85F58"/>
    <w:rsid w:val="00F8725E"/>
    <w:rsid w:val="00F90152"/>
    <w:rsid w:val="00F9022B"/>
    <w:rsid w:val="00FA103A"/>
    <w:rsid w:val="00FA31B3"/>
    <w:rsid w:val="00FA3D44"/>
    <w:rsid w:val="00FA61C4"/>
    <w:rsid w:val="00FA72CA"/>
    <w:rsid w:val="00FB23A5"/>
    <w:rsid w:val="00FB30CB"/>
    <w:rsid w:val="00FB4855"/>
    <w:rsid w:val="00FC12F5"/>
    <w:rsid w:val="00FC3F19"/>
    <w:rsid w:val="00FC44F2"/>
    <w:rsid w:val="00FC4C18"/>
    <w:rsid w:val="00FC71C0"/>
    <w:rsid w:val="00FC7891"/>
    <w:rsid w:val="00FD1996"/>
    <w:rsid w:val="00FD6DE6"/>
    <w:rsid w:val="00FD70FC"/>
    <w:rsid w:val="00FE0246"/>
    <w:rsid w:val="00FE0BD4"/>
    <w:rsid w:val="00FE1356"/>
    <w:rsid w:val="00FE1F13"/>
    <w:rsid w:val="00FE2B47"/>
    <w:rsid w:val="00FE3743"/>
    <w:rsid w:val="00FE4865"/>
    <w:rsid w:val="00FE50D1"/>
    <w:rsid w:val="00FE6FE9"/>
    <w:rsid w:val="00FE70A2"/>
    <w:rsid w:val="00FF0AD8"/>
    <w:rsid w:val="00FF1432"/>
    <w:rsid w:val="00FF692F"/>
    <w:rsid w:val="00FF74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137BD6CE"/>
  <w15:chartTrackingRefBased/>
  <w15:docId w15:val="{229B5CA5-69B7-4F21-BC38-0DBE37BDF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06F"/>
    <w:pPr>
      <w:widowControl w:val="0"/>
      <w:autoSpaceDE w:val="0"/>
      <w:autoSpaceDN w:val="0"/>
      <w:adjustRightInd w:val="0"/>
    </w:pPr>
  </w:style>
  <w:style w:type="paragraph" w:styleId="Heading1">
    <w:name w:val="heading 1"/>
    <w:basedOn w:val="Normal"/>
    <w:next w:val="Normal"/>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basedOn w:val="Normal"/>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basedOn w:val="Normal"/>
    <w:next w:val="Normal"/>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7">
    <w:name w:val="heading 7"/>
    <w:basedOn w:val="Normal"/>
    <w:next w:val="Normal"/>
    <w:qFormat/>
    <w:rsid w:val="00EC59BF"/>
    <w:pPr>
      <w:widowControl/>
      <w:autoSpaceDE/>
      <w:autoSpaceDN/>
      <w:adjustRightInd/>
      <w:spacing w:before="240" w:after="60"/>
      <w:outlineLvl w:val="6"/>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95A3D"/>
    <w:pPr>
      <w:tabs>
        <w:tab w:val="center" w:pos="4536"/>
        <w:tab w:val="right" w:pos="9072"/>
      </w:tabs>
    </w:pPr>
  </w:style>
  <w:style w:type="paragraph" w:styleId="Footer">
    <w:name w:val="footer"/>
    <w:basedOn w:val="Normal"/>
    <w:rsid w:val="00295A3D"/>
    <w:pPr>
      <w:tabs>
        <w:tab w:val="center" w:pos="4536"/>
        <w:tab w:val="right" w:pos="9072"/>
      </w:tabs>
    </w:pPr>
  </w:style>
  <w:style w:type="paragraph" w:customStyle="1" w:styleId="CharCharCharCharCharCharChar">
    <w:name w:val="Знак Знак Char Char Char Знак Знак Char Char Char Char"/>
    <w:basedOn w:val="Normal"/>
    <w:rsid w:val="00AC0732"/>
    <w:pPr>
      <w:tabs>
        <w:tab w:val="left" w:pos="709"/>
      </w:tabs>
    </w:pPr>
    <w:rPr>
      <w:rFonts w:ascii="Tahoma" w:hAnsi="Tahoma"/>
      <w:lang w:val="pl-PL" w:eastAsia="pl-PL"/>
    </w:rPr>
  </w:style>
  <w:style w:type="character" w:styleId="Emphasis">
    <w:name w:val="Emphasis"/>
    <w:qFormat/>
    <w:rsid w:val="00AC0732"/>
    <w:rPr>
      <w:i/>
      <w:iCs/>
    </w:rPr>
  </w:style>
  <w:style w:type="paragraph" w:customStyle="1" w:styleId="CharCharCharCharCharCharCharCharCharCharCharChar">
    <w:name w:val="Char Char Char Char Char Char Char Char Char Char Char Char"/>
    <w:basedOn w:val="Normal"/>
    <w:rsid w:val="0021406F"/>
    <w:pPr>
      <w:tabs>
        <w:tab w:val="left" w:pos="709"/>
      </w:tabs>
    </w:pPr>
    <w:rPr>
      <w:rFonts w:ascii="Tahoma" w:hAnsi="Tahoma"/>
      <w:lang w:val="pl-PL" w:eastAsia="pl-PL"/>
    </w:rPr>
  </w:style>
  <w:style w:type="character" w:styleId="Hyperlink">
    <w:name w:val="Hyperlink"/>
    <w:rsid w:val="0021406F"/>
    <w:rPr>
      <w:color w:val="0000FF"/>
      <w:u w:val="single"/>
    </w:rPr>
  </w:style>
  <w:style w:type="paragraph" w:customStyle="1" w:styleId="CharCharCharCharCharChar">
    <w:name w:val="Char Char Char Char Char Char"/>
    <w:basedOn w:val="Normal"/>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rsid w:val="006E7691"/>
    <w:pPr>
      <w:widowControl/>
      <w:autoSpaceDE/>
      <w:autoSpaceDN/>
      <w:adjustRightInd/>
      <w:spacing w:before="150"/>
    </w:pPr>
    <w:rPr>
      <w:sz w:val="24"/>
      <w:szCs w:val="24"/>
    </w:rPr>
  </w:style>
  <w:style w:type="character" w:styleId="Strong">
    <w:name w:val="Strong"/>
    <w:qFormat/>
    <w:rsid w:val="006E7691"/>
    <w:rPr>
      <w:b/>
      <w:bCs/>
    </w:rPr>
  </w:style>
  <w:style w:type="paragraph" w:styleId="BalloonText">
    <w:name w:val="Balloon Text"/>
    <w:basedOn w:val="Normal"/>
    <w:semiHidden/>
    <w:rsid w:val="0052189A"/>
    <w:rPr>
      <w:rFonts w:ascii="Tahoma" w:hAnsi="Tahoma" w:cs="Tahoma"/>
      <w:sz w:val="16"/>
      <w:szCs w:val="16"/>
    </w:rPr>
  </w:style>
  <w:style w:type="character" w:styleId="PageNumber">
    <w:name w:val="page number"/>
    <w:basedOn w:val="DefaultParagraphFont"/>
    <w:rsid w:val="0086372B"/>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Normal"/>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rsid w:val="00117812"/>
    <w:pPr>
      <w:widowControl/>
      <w:numPr>
        <w:numId w:val="2"/>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rsid w:val="00117812"/>
    <w:pPr>
      <w:widowControl/>
      <w:numPr>
        <w:ilvl w:val="1"/>
        <w:numId w:val="2"/>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rsid w:val="00117812"/>
    <w:pPr>
      <w:keepNext/>
      <w:widowControl/>
      <w:numPr>
        <w:ilvl w:val="2"/>
        <w:numId w:val="2"/>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rsid w:val="00117812"/>
    <w:pPr>
      <w:keepNext/>
      <w:widowControl/>
      <w:numPr>
        <w:ilvl w:val="3"/>
        <w:numId w:val="2"/>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rsid w:val="00117812"/>
    <w:pPr>
      <w:numPr>
        <w:ilvl w:val="1"/>
        <w:numId w:val="1"/>
      </w:numPr>
      <w:spacing w:before="0" w:beforeAutospacing="0" w:after="24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semiHidden/>
    <w:rsid w:val="00BB3FCC"/>
    <w:pPr>
      <w:widowControl/>
      <w:autoSpaceDE/>
      <w:autoSpaceDN/>
      <w:adjustRightInd/>
      <w:jc w:val="both"/>
    </w:pPr>
    <w:rPr>
      <w:rFonts w:eastAsia="MS Mincho"/>
      <w:sz w:val="24"/>
      <w:lang w:eastAsia="en-US"/>
    </w:rPr>
  </w:style>
  <w:style w:type="paragraph" w:customStyle="1" w:styleId="CharCharChar">
    <w:name w:val="Знак Знак Char Char Char Знак Знак"/>
    <w:basedOn w:val="Normal"/>
    <w:rsid w:val="00DB4B8E"/>
    <w:pPr>
      <w:tabs>
        <w:tab w:val="left" w:pos="709"/>
      </w:tabs>
    </w:pPr>
    <w:rPr>
      <w:rFonts w:ascii="Tahoma" w:hAnsi="Tahoma"/>
      <w:lang w:val="pl-PL" w:eastAsia="pl-PL"/>
    </w:rPr>
  </w:style>
  <w:style w:type="paragraph" w:customStyle="1" w:styleId="CharChar">
    <w:name w:val="Char Char"/>
    <w:basedOn w:val="Normal"/>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Char Char Char"/>
    <w:basedOn w:val="Normal"/>
    <w:rsid w:val="00EE4F0D"/>
    <w:pPr>
      <w:tabs>
        <w:tab w:val="left" w:pos="709"/>
      </w:tabs>
    </w:pPr>
    <w:rPr>
      <w:rFonts w:ascii="Tahoma" w:hAnsi="Tahoma"/>
      <w:lang w:val="pl-PL" w:eastAsia="pl-PL"/>
    </w:rPr>
  </w:style>
  <w:style w:type="paragraph" w:customStyle="1" w:styleId="CharCharCharCharCharCharCharCharChar">
    <w:name w:val="Знак Знак Char Char Char Знак Знак Char Char Char Char Char Char"/>
    <w:basedOn w:val="Normal"/>
    <w:rsid w:val="00BA4625"/>
    <w:pPr>
      <w:tabs>
        <w:tab w:val="left" w:pos="709"/>
      </w:tabs>
    </w:pPr>
    <w:rPr>
      <w:rFonts w:ascii="Tahoma" w:hAnsi="Tahoma"/>
      <w:lang w:val="pl-PL" w:eastAsia="pl-PL"/>
    </w:rPr>
  </w:style>
  <w:style w:type="paragraph" w:customStyle="1" w:styleId="CharChar2">
    <w:name w:val="Char Char2"/>
    <w:basedOn w:val="Normal"/>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rsid w:val="00D138A9"/>
    <w:pPr>
      <w:widowControl/>
      <w:autoSpaceDE/>
      <w:autoSpaceDN/>
      <w:adjustRightInd/>
      <w:spacing w:before="150"/>
    </w:pPr>
    <w:rPr>
      <w:sz w:val="24"/>
      <w:szCs w:val="24"/>
    </w:rPr>
  </w:style>
  <w:style w:type="character" w:customStyle="1" w:styleId="createdate1">
    <w:name w:val="createdate1"/>
    <w:rsid w:val="00D138A9"/>
    <w:rPr>
      <w:b/>
      <w:bCs/>
      <w:sz w:val="14"/>
      <w:szCs w:val="14"/>
    </w:rPr>
  </w:style>
  <w:style w:type="paragraph" w:customStyle="1" w:styleId="CharCharCharCharChar">
    <w:name w:val="Char Char Char Char Char"/>
    <w:basedOn w:val="Normal"/>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basedOn w:val="Normal"/>
    <w:rsid w:val="00EC59BF"/>
    <w:pPr>
      <w:widowControl/>
      <w:autoSpaceDE/>
      <w:autoSpaceDN/>
      <w:adjustRightInd/>
      <w:spacing w:after="120"/>
    </w:pPr>
    <w:rPr>
      <w:color w:val="000000"/>
      <w:sz w:val="24"/>
      <w:szCs w:val="24"/>
    </w:rPr>
  </w:style>
  <w:style w:type="paragraph" w:customStyle="1" w:styleId="Style">
    <w:name w:val="Style"/>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EC59BF"/>
    <w:pPr>
      <w:widowControl w:val="0"/>
      <w:suppressLineNumbers/>
      <w:suppressAutoHyphens/>
      <w:spacing w:beforeAutospacing="1" w:afterAutospacing="1"/>
    </w:pPr>
    <w:rPr>
      <w:rFonts w:eastAsia="HG Mincho Light J"/>
      <w:lang w:val="en-US"/>
    </w:rPr>
  </w:style>
  <w:style w:type="paragraph" w:customStyle="1" w:styleId="Index">
    <w:name w:val="Index"/>
    <w:basedOn w:val="Normal"/>
    <w:rsid w:val="00EC59BF"/>
    <w:pPr>
      <w:suppressLineNumbers/>
      <w:suppressAutoHyphens/>
      <w:autoSpaceDE/>
      <w:autoSpaceDN/>
      <w:adjustRightInd/>
      <w:spacing w:before="100" w:beforeAutospacing="1" w:after="100" w:afterAutospacing="1"/>
    </w:pPr>
    <w:rPr>
      <w:rFonts w:eastAsia="HG Mincho Light J"/>
      <w:color w:val="000000"/>
      <w:sz w:val="24"/>
      <w:szCs w:val="24"/>
      <w:lang w:val="en-US"/>
    </w:rPr>
  </w:style>
  <w:style w:type="numbering" w:customStyle="1" w:styleId="Style1">
    <w:name w:val="Style 1"/>
    <w:basedOn w:val="NoList"/>
    <w:rsid w:val="00122E3E"/>
    <w:pPr>
      <w:numPr>
        <w:numId w:val="3"/>
      </w:numPr>
    </w:pPr>
  </w:style>
  <w:style w:type="paragraph" w:styleId="CommentText">
    <w:name w:val="annotation text"/>
    <w:basedOn w:val="Normal"/>
    <w:link w:val="CommentTextChar"/>
    <w:uiPriority w:val="99"/>
    <w:semiHidden/>
    <w:rsid w:val="00BC6B45"/>
    <w:pPr>
      <w:widowControl/>
      <w:autoSpaceDE/>
      <w:autoSpaceDN/>
      <w:adjustRightInd/>
      <w:spacing w:line="290" w:lineRule="atLeast"/>
    </w:pPr>
    <w:rPr>
      <w:sz w:val="24"/>
      <w:lang w:val="en-GB" w:eastAsia="en-US"/>
    </w:rPr>
  </w:style>
  <w:style w:type="paragraph" w:customStyle="1" w:styleId="CharChar1Char">
    <w:name w:val="Char Char1 Char"/>
    <w:basedOn w:val="Normal"/>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rsid w:val="00D62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rsid w:val="0083595E"/>
    <w:pPr>
      <w:widowControl/>
      <w:tabs>
        <w:tab w:val="left" w:pos="709"/>
      </w:tabs>
      <w:autoSpaceDE/>
      <w:autoSpaceDN/>
      <w:adjustRightInd/>
    </w:pPr>
    <w:rPr>
      <w:rFonts w:ascii="Tahoma" w:hAnsi="Tahoma"/>
      <w:sz w:val="24"/>
      <w:szCs w:val="24"/>
      <w:lang w:val="pl-PL" w:eastAsia="pl-PL"/>
    </w:rPr>
  </w:style>
  <w:style w:type="paragraph" w:styleId="FootnoteText">
    <w:name w:val="footnote text"/>
    <w:basedOn w:val="Normal"/>
    <w:semiHidden/>
    <w:rsid w:val="005B2254"/>
  </w:style>
  <w:style w:type="character" w:styleId="FootnoteReference">
    <w:name w:val="footnote reference"/>
    <w:semiHidden/>
    <w:rsid w:val="005B2254"/>
    <w:rPr>
      <w:vertAlign w:val="superscript"/>
    </w:rPr>
  </w:style>
  <w:style w:type="paragraph" w:customStyle="1" w:styleId="CharCharCharCharCharCharCharCharChar0">
    <w:name w:val="Char Char Char Char Char Char Char Char Char"/>
    <w:basedOn w:val="Normal"/>
    <w:rsid w:val="00AB6117"/>
    <w:pPr>
      <w:widowControl/>
      <w:tabs>
        <w:tab w:val="left" w:pos="709"/>
      </w:tabs>
      <w:autoSpaceDE/>
      <w:autoSpaceDN/>
      <w:adjustRightInd/>
    </w:pPr>
    <w:rPr>
      <w:rFonts w:ascii="Tahoma" w:hAnsi="Tahoma"/>
      <w:sz w:val="24"/>
      <w:szCs w:val="24"/>
      <w:lang w:val="pl-PL" w:eastAsia="pl-PL"/>
    </w:rPr>
  </w:style>
  <w:style w:type="paragraph" w:styleId="BodyTextIndent2">
    <w:name w:val="Body Text Indent 2"/>
    <w:basedOn w:val="Normal"/>
    <w:rsid w:val="004B59EF"/>
    <w:pPr>
      <w:widowControl/>
      <w:autoSpaceDE/>
      <w:autoSpaceDN/>
      <w:adjustRightInd/>
      <w:spacing w:after="120" w:line="480" w:lineRule="auto"/>
      <w:ind w:left="283"/>
    </w:pPr>
    <w:rPr>
      <w:snapToGrid w:val="0"/>
      <w:sz w:val="24"/>
      <w:lang w:val="en-GB" w:eastAsia="en-US"/>
    </w:rPr>
  </w:style>
  <w:style w:type="character" w:styleId="CommentReference">
    <w:name w:val="annotation reference"/>
    <w:uiPriority w:val="99"/>
    <w:semiHidden/>
    <w:rsid w:val="00F1106F"/>
    <w:rPr>
      <w:sz w:val="16"/>
      <w:szCs w:val="16"/>
    </w:rPr>
  </w:style>
  <w:style w:type="paragraph" w:styleId="CommentSubject">
    <w:name w:val="annotation subject"/>
    <w:basedOn w:val="CommentText"/>
    <w:next w:val="CommentText"/>
    <w:semiHidden/>
    <w:rsid w:val="00F1106F"/>
    <w:pPr>
      <w:widowControl w:val="0"/>
      <w:autoSpaceDE w:val="0"/>
      <w:autoSpaceDN w:val="0"/>
      <w:adjustRightInd w:val="0"/>
      <w:spacing w:line="240" w:lineRule="auto"/>
    </w:pPr>
    <w:rPr>
      <w:b/>
      <w:bCs/>
      <w:sz w:val="20"/>
      <w:lang w:val="bg-BG" w:eastAsia="bg-BG"/>
    </w:rPr>
  </w:style>
  <w:style w:type="paragraph" w:customStyle="1" w:styleId="CharCharChar1Char">
    <w:name w:val="Char Char Char1 Char"/>
    <w:basedOn w:val="Normal"/>
    <w:rsid w:val="00F57F5F"/>
    <w:pPr>
      <w:widowControl/>
      <w:autoSpaceDE/>
      <w:autoSpaceDN/>
      <w:adjustRightInd/>
      <w:spacing w:after="160" w:line="240" w:lineRule="exact"/>
    </w:pPr>
    <w:rPr>
      <w:rFonts w:ascii="Tahoma" w:hAnsi="Tahoma"/>
      <w:lang w:val="en-US" w:eastAsia="en-US"/>
    </w:rPr>
  </w:style>
  <w:style w:type="character" w:customStyle="1" w:styleId="HeaderChar">
    <w:name w:val="Header Char"/>
    <w:link w:val="Header"/>
    <w:uiPriority w:val="99"/>
    <w:rsid w:val="002A332B"/>
    <w:rPr>
      <w:lang w:val="bg-BG" w:eastAsia="bg-BG"/>
    </w:rPr>
  </w:style>
  <w:style w:type="paragraph" w:customStyle="1" w:styleId="CM1">
    <w:name w:val="CM1"/>
    <w:basedOn w:val="Normal"/>
    <w:next w:val="Normal"/>
    <w:uiPriority w:val="99"/>
    <w:rsid w:val="00876365"/>
    <w:pPr>
      <w:widowControl/>
    </w:pPr>
    <w:rPr>
      <w:rFonts w:ascii="EUAlbertina" w:hAnsi="EUAlbertina"/>
      <w:sz w:val="24"/>
      <w:szCs w:val="24"/>
    </w:rPr>
  </w:style>
  <w:style w:type="paragraph" w:customStyle="1" w:styleId="CM3">
    <w:name w:val="CM3"/>
    <w:basedOn w:val="Normal"/>
    <w:next w:val="Normal"/>
    <w:uiPriority w:val="99"/>
    <w:rsid w:val="00876365"/>
    <w:pPr>
      <w:widowControl/>
    </w:pPr>
    <w:rPr>
      <w:rFonts w:ascii="EUAlbertina" w:hAnsi="EUAlbertina"/>
      <w:sz w:val="24"/>
      <w:szCs w:val="24"/>
    </w:rPr>
  </w:style>
  <w:style w:type="paragraph" w:styleId="ListParagraph">
    <w:name w:val="List Paragraph"/>
    <w:basedOn w:val="Normal"/>
    <w:uiPriority w:val="34"/>
    <w:qFormat/>
    <w:rsid w:val="00A47FF6"/>
    <w:pPr>
      <w:widowControl/>
      <w:autoSpaceDE/>
      <w:autoSpaceDN/>
      <w:adjustRightInd/>
      <w:spacing w:after="160" w:line="259" w:lineRule="auto"/>
      <w:ind w:left="720"/>
      <w:contextualSpacing/>
    </w:pPr>
    <w:rPr>
      <w:rFonts w:ascii="Calibri" w:eastAsia="Calibri" w:hAnsi="Calibri"/>
      <w:noProof/>
      <w:sz w:val="22"/>
      <w:szCs w:val="22"/>
      <w:lang w:eastAsia="en-US"/>
    </w:rPr>
  </w:style>
  <w:style w:type="character" w:customStyle="1" w:styleId="CommentTextChar">
    <w:name w:val="Comment Text Char"/>
    <w:link w:val="CommentText"/>
    <w:uiPriority w:val="99"/>
    <w:semiHidden/>
    <w:rsid w:val="00A47FF6"/>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7165">
      <w:bodyDiv w:val="1"/>
      <w:marLeft w:val="0"/>
      <w:marRight w:val="0"/>
      <w:marTop w:val="0"/>
      <w:marBottom w:val="0"/>
      <w:divBdr>
        <w:top w:val="none" w:sz="0" w:space="0" w:color="auto"/>
        <w:left w:val="none" w:sz="0" w:space="0" w:color="auto"/>
        <w:bottom w:val="none" w:sz="0" w:space="0" w:color="auto"/>
        <w:right w:val="none" w:sz="0" w:space="0" w:color="auto"/>
      </w:divBdr>
    </w:div>
    <w:div w:id="226772036">
      <w:bodyDiv w:val="1"/>
      <w:marLeft w:val="0"/>
      <w:marRight w:val="0"/>
      <w:marTop w:val="0"/>
      <w:marBottom w:val="0"/>
      <w:divBdr>
        <w:top w:val="none" w:sz="0" w:space="0" w:color="auto"/>
        <w:left w:val="none" w:sz="0" w:space="0" w:color="auto"/>
        <w:bottom w:val="none" w:sz="0" w:space="0" w:color="auto"/>
        <w:right w:val="none" w:sz="0" w:space="0" w:color="auto"/>
      </w:divBdr>
      <w:divsChild>
        <w:div w:id="2098938945">
          <w:marLeft w:val="0"/>
          <w:marRight w:val="0"/>
          <w:marTop w:val="100"/>
          <w:marBottom w:val="100"/>
          <w:divBdr>
            <w:top w:val="none" w:sz="0" w:space="0" w:color="auto"/>
            <w:left w:val="none" w:sz="0" w:space="0" w:color="auto"/>
            <w:bottom w:val="none" w:sz="0" w:space="0" w:color="auto"/>
            <w:right w:val="none" w:sz="0" w:space="0" w:color="auto"/>
          </w:divBdr>
          <w:divsChild>
            <w:div w:id="751778860">
              <w:marLeft w:val="0"/>
              <w:marRight w:val="0"/>
              <w:marTop w:val="150"/>
              <w:marBottom w:val="150"/>
              <w:divBdr>
                <w:top w:val="none" w:sz="0" w:space="0" w:color="auto"/>
                <w:left w:val="none" w:sz="0" w:space="0" w:color="auto"/>
                <w:bottom w:val="none" w:sz="0" w:space="0" w:color="auto"/>
                <w:right w:val="none" w:sz="0" w:space="0" w:color="auto"/>
              </w:divBdr>
              <w:divsChild>
                <w:div w:id="39296930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433288912">
      <w:bodyDiv w:val="1"/>
      <w:marLeft w:val="0"/>
      <w:marRight w:val="0"/>
      <w:marTop w:val="0"/>
      <w:marBottom w:val="0"/>
      <w:divBdr>
        <w:top w:val="none" w:sz="0" w:space="0" w:color="auto"/>
        <w:left w:val="none" w:sz="0" w:space="0" w:color="auto"/>
        <w:bottom w:val="none" w:sz="0" w:space="0" w:color="auto"/>
        <w:right w:val="none" w:sz="0" w:space="0" w:color="auto"/>
      </w:divBdr>
      <w:divsChild>
        <w:div w:id="1629895892">
          <w:marLeft w:val="0"/>
          <w:marRight w:val="0"/>
          <w:marTop w:val="100"/>
          <w:marBottom w:val="100"/>
          <w:divBdr>
            <w:top w:val="none" w:sz="0" w:space="0" w:color="auto"/>
            <w:left w:val="none" w:sz="0" w:space="0" w:color="auto"/>
            <w:bottom w:val="none" w:sz="0" w:space="0" w:color="auto"/>
            <w:right w:val="none" w:sz="0" w:space="0" w:color="auto"/>
          </w:divBdr>
          <w:divsChild>
            <w:div w:id="1952858346">
              <w:marLeft w:val="0"/>
              <w:marRight w:val="0"/>
              <w:marTop w:val="150"/>
              <w:marBottom w:val="150"/>
              <w:divBdr>
                <w:top w:val="none" w:sz="0" w:space="0" w:color="auto"/>
                <w:left w:val="none" w:sz="0" w:space="0" w:color="auto"/>
                <w:bottom w:val="none" w:sz="0" w:space="0" w:color="auto"/>
                <w:right w:val="none" w:sz="0" w:space="0" w:color="auto"/>
              </w:divBdr>
              <w:divsChild>
                <w:div w:id="89254232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484052713">
      <w:bodyDiv w:val="1"/>
      <w:marLeft w:val="0"/>
      <w:marRight w:val="0"/>
      <w:marTop w:val="0"/>
      <w:marBottom w:val="0"/>
      <w:divBdr>
        <w:top w:val="none" w:sz="0" w:space="0" w:color="auto"/>
        <w:left w:val="none" w:sz="0" w:space="0" w:color="auto"/>
        <w:bottom w:val="none" w:sz="0" w:space="0" w:color="auto"/>
        <w:right w:val="none" w:sz="0" w:space="0" w:color="auto"/>
      </w:divBdr>
      <w:divsChild>
        <w:div w:id="1456438515">
          <w:marLeft w:val="0"/>
          <w:marRight w:val="0"/>
          <w:marTop w:val="100"/>
          <w:marBottom w:val="100"/>
          <w:divBdr>
            <w:top w:val="none" w:sz="0" w:space="0" w:color="auto"/>
            <w:left w:val="none" w:sz="0" w:space="0" w:color="auto"/>
            <w:bottom w:val="none" w:sz="0" w:space="0" w:color="auto"/>
            <w:right w:val="none" w:sz="0" w:space="0" w:color="auto"/>
          </w:divBdr>
          <w:divsChild>
            <w:div w:id="997924528">
              <w:marLeft w:val="0"/>
              <w:marRight w:val="0"/>
              <w:marTop w:val="150"/>
              <w:marBottom w:val="150"/>
              <w:divBdr>
                <w:top w:val="none" w:sz="0" w:space="0" w:color="auto"/>
                <w:left w:val="none" w:sz="0" w:space="0" w:color="auto"/>
                <w:bottom w:val="none" w:sz="0" w:space="0" w:color="auto"/>
                <w:right w:val="none" w:sz="0" w:space="0" w:color="auto"/>
              </w:divBdr>
              <w:divsChild>
                <w:div w:id="138263177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581064495">
      <w:bodyDiv w:val="1"/>
      <w:marLeft w:val="0"/>
      <w:marRight w:val="0"/>
      <w:marTop w:val="0"/>
      <w:marBottom w:val="0"/>
      <w:divBdr>
        <w:top w:val="none" w:sz="0" w:space="0" w:color="auto"/>
        <w:left w:val="none" w:sz="0" w:space="0" w:color="auto"/>
        <w:bottom w:val="none" w:sz="0" w:space="0" w:color="auto"/>
        <w:right w:val="none" w:sz="0" w:space="0" w:color="auto"/>
      </w:divBdr>
      <w:divsChild>
        <w:div w:id="803547093">
          <w:marLeft w:val="0"/>
          <w:marRight w:val="0"/>
          <w:marTop w:val="100"/>
          <w:marBottom w:val="100"/>
          <w:divBdr>
            <w:top w:val="none" w:sz="0" w:space="0" w:color="auto"/>
            <w:left w:val="none" w:sz="0" w:space="0" w:color="auto"/>
            <w:bottom w:val="none" w:sz="0" w:space="0" w:color="auto"/>
            <w:right w:val="none" w:sz="0" w:space="0" w:color="auto"/>
          </w:divBdr>
          <w:divsChild>
            <w:div w:id="1600986892">
              <w:marLeft w:val="0"/>
              <w:marRight w:val="0"/>
              <w:marTop w:val="150"/>
              <w:marBottom w:val="150"/>
              <w:divBdr>
                <w:top w:val="none" w:sz="0" w:space="0" w:color="auto"/>
                <w:left w:val="none" w:sz="0" w:space="0" w:color="auto"/>
                <w:bottom w:val="none" w:sz="0" w:space="0" w:color="auto"/>
                <w:right w:val="none" w:sz="0" w:space="0" w:color="auto"/>
              </w:divBdr>
              <w:divsChild>
                <w:div w:id="5381311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673190330">
      <w:bodyDiv w:val="1"/>
      <w:marLeft w:val="0"/>
      <w:marRight w:val="0"/>
      <w:marTop w:val="0"/>
      <w:marBottom w:val="0"/>
      <w:divBdr>
        <w:top w:val="none" w:sz="0" w:space="0" w:color="auto"/>
        <w:left w:val="none" w:sz="0" w:space="0" w:color="auto"/>
        <w:bottom w:val="none" w:sz="0" w:space="0" w:color="auto"/>
        <w:right w:val="none" w:sz="0" w:space="0" w:color="auto"/>
      </w:divBdr>
      <w:divsChild>
        <w:div w:id="478544910">
          <w:marLeft w:val="0"/>
          <w:marRight w:val="0"/>
          <w:marTop w:val="100"/>
          <w:marBottom w:val="100"/>
          <w:divBdr>
            <w:top w:val="none" w:sz="0" w:space="0" w:color="auto"/>
            <w:left w:val="none" w:sz="0" w:space="0" w:color="auto"/>
            <w:bottom w:val="none" w:sz="0" w:space="0" w:color="auto"/>
            <w:right w:val="none" w:sz="0" w:space="0" w:color="auto"/>
          </w:divBdr>
          <w:divsChild>
            <w:div w:id="1969974187">
              <w:marLeft w:val="0"/>
              <w:marRight w:val="0"/>
              <w:marTop w:val="150"/>
              <w:marBottom w:val="150"/>
              <w:divBdr>
                <w:top w:val="none" w:sz="0" w:space="0" w:color="auto"/>
                <w:left w:val="none" w:sz="0" w:space="0" w:color="auto"/>
                <w:bottom w:val="none" w:sz="0" w:space="0" w:color="auto"/>
                <w:right w:val="none" w:sz="0" w:space="0" w:color="auto"/>
              </w:divBdr>
              <w:divsChild>
                <w:div w:id="8670428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06120516">
      <w:bodyDiv w:val="1"/>
      <w:marLeft w:val="0"/>
      <w:marRight w:val="0"/>
      <w:marTop w:val="0"/>
      <w:marBottom w:val="0"/>
      <w:divBdr>
        <w:top w:val="none" w:sz="0" w:space="0" w:color="auto"/>
        <w:left w:val="none" w:sz="0" w:space="0" w:color="auto"/>
        <w:bottom w:val="none" w:sz="0" w:space="0" w:color="auto"/>
        <w:right w:val="none" w:sz="0" w:space="0" w:color="auto"/>
      </w:divBdr>
      <w:divsChild>
        <w:div w:id="1202279798">
          <w:marLeft w:val="0"/>
          <w:marRight w:val="0"/>
          <w:marTop w:val="100"/>
          <w:marBottom w:val="100"/>
          <w:divBdr>
            <w:top w:val="none" w:sz="0" w:space="0" w:color="auto"/>
            <w:left w:val="none" w:sz="0" w:space="0" w:color="auto"/>
            <w:bottom w:val="none" w:sz="0" w:space="0" w:color="auto"/>
            <w:right w:val="none" w:sz="0" w:space="0" w:color="auto"/>
          </w:divBdr>
          <w:divsChild>
            <w:div w:id="2010214970">
              <w:marLeft w:val="0"/>
              <w:marRight w:val="0"/>
              <w:marTop w:val="150"/>
              <w:marBottom w:val="150"/>
              <w:divBdr>
                <w:top w:val="none" w:sz="0" w:space="0" w:color="auto"/>
                <w:left w:val="none" w:sz="0" w:space="0" w:color="auto"/>
                <w:bottom w:val="none" w:sz="0" w:space="0" w:color="auto"/>
                <w:right w:val="none" w:sz="0" w:space="0" w:color="auto"/>
              </w:divBdr>
              <w:divsChild>
                <w:div w:id="83657344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76239663">
      <w:bodyDiv w:val="1"/>
      <w:marLeft w:val="0"/>
      <w:marRight w:val="0"/>
      <w:marTop w:val="0"/>
      <w:marBottom w:val="0"/>
      <w:divBdr>
        <w:top w:val="none" w:sz="0" w:space="0" w:color="auto"/>
        <w:left w:val="none" w:sz="0" w:space="0" w:color="auto"/>
        <w:bottom w:val="none" w:sz="0" w:space="0" w:color="auto"/>
        <w:right w:val="none" w:sz="0" w:space="0" w:color="auto"/>
      </w:divBdr>
      <w:divsChild>
        <w:div w:id="1265839976">
          <w:marLeft w:val="0"/>
          <w:marRight w:val="0"/>
          <w:marTop w:val="100"/>
          <w:marBottom w:val="100"/>
          <w:divBdr>
            <w:top w:val="none" w:sz="0" w:space="0" w:color="auto"/>
            <w:left w:val="none" w:sz="0" w:space="0" w:color="auto"/>
            <w:bottom w:val="none" w:sz="0" w:space="0" w:color="auto"/>
            <w:right w:val="none" w:sz="0" w:space="0" w:color="auto"/>
          </w:divBdr>
          <w:divsChild>
            <w:div w:id="1152867810">
              <w:marLeft w:val="0"/>
              <w:marRight w:val="0"/>
              <w:marTop w:val="150"/>
              <w:marBottom w:val="150"/>
              <w:divBdr>
                <w:top w:val="none" w:sz="0" w:space="0" w:color="auto"/>
                <w:left w:val="none" w:sz="0" w:space="0" w:color="auto"/>
                <w:bottom w:val="none" w:sz="0" w:space="0" w:color="auto"/>
                <w:right w:val="none" w:sz="0" w:space="0" w:color="auto"/>
              </w:divBdr>
              <w:divsChild>
                <w:div w:id="76835762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89225068">
      <w:bodyDiv w:val="1"/>
      <w:marLeft w:val="0"/>
      <w:marRight w:val="0"/>
      <w:marTop w:val="0"/>
      <w:marBottom w:val="0"/>
      <w:divBdr>
        <w:top w:val="none" w:sz="0" w:space="0" w:color="auto"/>
        <w:left w:val="none" w:sz="0" w:space="0" w:color="auto"/>
        <w:bottom w:val="none" w:sz="0" w:space="0" w:color="auto"/>
        <w:right w:val="none" w:sz="0" w:space="0" w:color="auto"/>
      </w:divBdr>
      <w:divsChild>
        <w:div w:id="93402083">
          <w:marLeft w:val="0"/>
          <w:marRight w:val="0"/>
          <w:marTop w:val="0"/>
          <w:marBottom w:val="0"/>
          <w:divBdr>
            <w:top w:val="none" w:sz="0" w:space="0" w:color="auto"/>
            <w:left w:val="none" w:sz="0" w:space="0" w:color="auto"/>
            <w:bottom w:val="none" w:sz="0" w:space="0" w:color="auto"/>
            <w:right w:val="none" w:sz="0" w:space="0" w:color="auto"/>
          </w:divBdr>
          <w:divsChild>
            <w:div w:id="484901988">
              <w:marLeft w:val="0"/>
              <w:marRight w:val="0"/>
              <w:marTop w:val="0"/>
              <w:marBottom w:val="0"/>
              <w:divBdr>
                <w:top w:val="none" w:sz="0" w:space="0" w:color="auto"/>
                <w:left w:val="none" w:sz="0" w:space="0" w:color="auto"/>
                <w:bottom w:val="none" w:sz="0" w:space="0" w:color="auto"/>
                <w:right w:val="none" w:sz="0" w:space="0" w:color="auto"/>
              </w:divBdr>
            </w:div>
          </w:divsChild>
        </w:div>
        <w:div w:id="660542875">
          <w:marLeft w:val="0"/>
          <w:marRight w:val="0"/>
          <w:marTop w:val="0"/>
          <w:marBottom w:val="0"/>
          <w:divBdr>
            <w:top w:val="none" w:sz="0" w:space="0" w:color="auto"/>
            <w:left w:val="none" w:sz="0" w:space="0" w:color="auto"/>
            <w:bottom w:val="none" w:sz="0" w:space="0" w:color="auto"/>
            <w:right w:val="none" w:sz="0" w:space="0" w:color="auto"/>
          </w:divBdr>
          <w:divsChild>
            <w:div w:id="518592972">
              <w:marLeft w:val="0"/>
              <w:marRight w:val="0"/>
              <w:marTop w:val="0"/>
              <w:marBottom w:val="0"/>
              <w:divBdr>
                <w:top w:val="none" w:sz="0" w:space="0" w:color="auto"/>
                <w:left w:val="none" w:sz="0" w:space="0" w:color="auto"/>
                <w:bottom w:val="none" w:sz="0" w:space="0" w:color="auto"/>
                <w:right w:val="none" w:sz="0" w:space="0" w:color="auto"/>
              </w:divBdr>
            </w:div>
          </w:divsChild>
        </w:div>
        <w:div w:id="1597179158">
          <w:marLeft w:val="0"/>
          <w:marRight w:val="0"/>
          <w:marTop w:val="0"/>
          <w:marBottom w:val="0"/>
          <w:divBdr>
            <w:top w:val="none" w:sz="0" w:space="0" w:color="auto"/>
            <w:left w:val="none" w:sz="0" w:space="0" w:color="auto"/>
            <w:bottom w:val="none" w:sz="0" w:space="0" w:color="auto"/>
            <w:right w:val="none" w:sz="0" w:space="0" w:color="auto"/>
          </w:divBdr>
          <w:divsChild>
            <w:div w:id="1748846169">
              <w:marLeft w:val="0"/>
              <w:marRight w:val="0"/>
              <w:marTop w:val="0"/>
              <w:marBottom w:val="0"/>
              <w:divBdr>
                <w:top w:val="none" w:sz="0" w:space="0" w:color="auto"/>
                <w:left w:val="none" w:sz="0" w:space="0" w:color="auto"/>
                <w:bottom w:val="none" w:sz="0" w:space="0" w:color="auto"/>
                <w:right w:val="none" w:sz="0" w:space="0" w:color="auto"/>
              </w:divBdr>
            </w:div>
          </w:divsChild>
        </w:div>
        <w:div w:id="53085784">
          <w:marLeft w:val="0"/>
          <w:marRight w:val="0"/>
          <w:marTop w:val="0"/>
          <w:marBottom w:val="0"/>
          <w:divBdr>
            <w:top w:val="none" w:sz="0" w:space="0" w:color="auto"/>
            <w:left w:val="none" w:sz="0" w:space="0" w:color="auto"/>
            <w:bottom w:val="none" w:sz="0" w:space="0" w:color="auto"/>
            <w:right w:val="none" w:sz="0" w:space="0" w:color="auto"/>
          </w:divBdr>
          <w:divsChild>
            <w:div w:id="452745766">
              <w:marLeft w:val="0"/>
              <w:marRight w:val="0"/>
              <w:marTop w:val="0"/>
              <w:marBottom w:val="0"/>
              <w:divBdr>
                <w:top w:val="none" w:sz="0" w:space="0" w:color="auto"/>
                <w:left w:val="none" w:sz="0" w:space="0" w:color="auto"/>
                <w:bottom w:val="none" w:sz="0" w:space="0" w:color="auto"/>
                <w:right w:val="none" w:sz="0" w:space="0" w:color="auto"/>
              </w:divBdr>
            </w:div>
          </w:divsChild>
        </w:div>
        <w:div w:id="1629437347">
          <w:marLeft w:val="0"/>
          <w:marRight w:val="0"/>
          <w:marTop w:val="0"/>
          <w:marBottom w:val="0"/>
          <w:divBdr>
            <w:top w:val="none" w:sz="0" w:space="0" w:color="auto"/>
            <w:left w:val="none" w:sz="0" w:space="0" w:color="auto"/>
            <w:bottom w:val="none" w:sz="0" w:space="0" w:color="auto"/>
            <w:right w:val="none" w:sz="0" w:space="0" w:color="auto"/>
          </w:divBdr>
          <w:divsChild>
            <w:div w:id="1665814232">
              <w:marLeft w:val="0"/>
              <w:marRight w:val="0"/>
              <w:marTop w:val="0"/>
              <w:marBottom w:val="0"/>
              <w:divBdr>
                <w:top w:val="none" w:sz="0" w:space="0" w:color="auto"/>
                <w:left w:val="none" w:sz="0" w:space="0" w:color="auto"/>
                <w:bottom w:val="none" w:sz="0" w:space="0" w:color="auto"/>
                <w:right w:val="none" w:sz="0" w:space="0" w:color="auto"/>
              </w:divBdr>
            </w:div>
          </w:divsChild>
        </w:div>
        <w:div w:id="1752700113">
          <w:marLeft w:val="0"/>
          <w:marRight w:val="0"/>
          <w:marTop w:val="0"/>
          <w:marBottom w:val="0"/>
          <w:divBdr>
            <w:top w:val="none" w:sz="0" w:space="0" w:color="auto"/>
            <w:left w:val="none" w:sz="0" w:space="0" w:color="auto"/>
            <w:bottom w:val="none" w:sz="0" w:space="0" w:color="auto"/>
            <w:right w:val="none" w:sz="0" w:space="0" w:color="auto"/>
          </w:divBdr>
          <w:divsChild>
            <w:div w:id="510531995">
              <w:marLeft w:val="0"/>
              <w:marRight w:val="0"/>
              <w:marTop w:val="0"/>
              <w:marBottom w:val="0"/>
              <w:divBdr>
                <w:top w:val="none" w:sz="0" w:space="0" w:color="auto"/>
                <w:left w:val="none" w:sz="0" w:space="0" w:color="auto"/>
                <w:bottom w:val="none" w:sz="0" w:space="0" w:color="auto"/>
                <w:right w:val="none" w:sz="0" w:space="0" w:color="auto"/>
              </w:divBdr>
            </w:div>
          </w:divsChild>
        </w:div>
        <w:div w:id="1433553870">
          <w:marLeft w:val="0"/>
          <w:marRight w:val="0"/>
          <w:marTop w:val="0"/>
          <w:marBottom w:val="0"/>
          <w:divBdr>
            <w:top w:val="none" w:sz="0" w:space="0" w:color="auto"/>
            <w:left w:val="none" w:sz="0" w:space="0" w:color="auto"/>
            <w:bottom w:val="none" w:sz="0" w:space="0" w:color="auto"/>
            <w:right w:val="none" w:sz="0" w:space="0" w:color="auto"/>
          </w:divBdr>
          <w:divsChild>
            <w:div w:id="295528658">
              <w:marLeft w:val="0"/>
              <w:marRight w:val="0"/>
              <w:marTop w:val="0"/>
              <w:marBottom w:val="0"/>
              <w:divBdr>
                <w:top w:val="none" w:sz="0" w:space="0" w:color="auto"/>
                <w:left w:val="none" w:sz="0" w:space="0" w:color="auto"/>
                <w:bottom w:val="none" w:sz="0" w:space="0" w:color="auto"/>
                <w:right w:val="none" w:sz="0" w:space="0" w:color="auto"/>
              </w:divBdr>
            </w:div>
          </w:divsChild>
        </w:div>
        <w:div w:id="1686400774">
          <w:marLeft w:val="0"/>
          <w:marRight w:val="0"/>
          <w:marTop w:val="0"/>
          <w:marBottom w:val="0"/>
          <w:divBdr>
            <w:top w:val="none" w:sz="0" w:space="0" w:color="auto"/>
            <w:left w:val="none" w:sz="0" w:space="0" w:color="auto"/>
            <w:bottom w:val="none" w:sz="0" w:space="0" w:color="auto"/>
            <w:right w:val="none" w:sz="0" w:space="0" w:color="auto"/>
          </w:divBdr>
          <w:divsChild>
            <w:div w:id="722752987">
              <w:marLeft w:val="0"/>
              <w:marRight w:val="0"/>
              <w:marTop w:val="0"/>
              <w:marBottom w:val="0"/>
              <w:divBdr>
                <w:top w:val="none" w:sz="0" w:space="0" w:color="auto"/>
                <w:left w:val="none" w:sz="0" w:space="0" w:color="auto"/>
                <w:bottom w:val="none" w:sz="0" w:space="0" w:color="auto"/>
                <w:right w:val="none" w:sz="0" w:space="0" w:color="auto"/>
              </w:divBdr>
            </w:div>
          </w:divsChild>
        </w:div>
        <w:div w:id="12924230">
          <w:marLeft w:val="0"/>
          <w:marRight w:val="0"/>
          <w:marTop w:val="0"/>
          <w:marBottom w:val="0"/>
          <w:divBdr>
            <w:top w:val="none" w:sz="0" w:space="0" w:color="auto"/>
            <w:left w:val="none" w:sz="0" w:space="0" w:color="auto"/>
            <w:bottom w:val="none" w:sz="0" w:space="0" w:color="auto"/>
            <w:right w:val="none" w:sz="0" w:space="0" w:color="auto"/>
          </w:divBdr>
          <w:divsChild>
            <w:div w:id="1722629521">
              <w:marLeft w:val="0"/>
              <w:marRight w:val="0"/>
              <w:marTop w:val="0"/>
              <w:marBottom w:val="0"/>
              <w:divBdr>
                <w:top w:val="none" w:sz="0" w:space="0" w:color="auto"/>
                <w:left w:val="none" w:sz="0" w:space="0" w:color="auto"/>
                <w:bottom w:val="none" w:sz="0" w:space="0" w:color="auto"/>
                <w:right w:val="none" w:sz="0" w:space="0" w:color="auto"/>
              </w:divBdr>
            </w:div>
          </w:divsChild>
        </w:div>
        <w:div w:id="2081557792">
          <w:marLeft w:val="0"/>
          <w:marRight w:val="0"/>
          <w:marTop w:val="0"/>
          <w:marBottom w:val="0"/>
          <w:divBdr>
            <w:top w:val="none" w:sz="0" w:space="0" w:color="auto"/>
            <w:left w:val="none" w:sz="0" w:space="0" w:color="auto"/>
            <w:bottom w:val="none" w:sz="0" w:space="0" w:color="auto"/>
            <w:right w:val="none" w:sz="0" w:space="0" w:color="auto"/>
          </w:divBdr>
          <w:divsChild>
            <w:div w:id="1573856976">
              <w:marLeft w:val="0"/>
              <w:marRight w:val="0"/>
              <w:marTop w:val="0"/>
              <w:marBottom w:val="0"/>
              <w:divBdr>
                <w:top w:val="none" w:sz="0" w:space="0" w:color="auto"/>
                <w:left w:val="none" w:sz="0" w:space="0" w:color="auto"/>
                <w:bottom w:val="none" w:sz="0" w:space="0" w:color="auto"/>
                <w:right w:val="none" w:sz="0" w:space="0" w:color="auto"/>
              </w:divBdr>
            </w:div>
          </w:divsChild>
        </w:div>
        <w:div w:id="924269524">
          <w:marLeft w:val="0"/>
          <w:marRight w:val="0"/>
          <w:marTop w:val="0"/>
          <w:marBottom w:val="0"/>
          <w:divBdr>
            <w:top w:val="none" w:sz="0" w:space="0" w:color="auto"/>
            <w:left w:val="none" w:sz="0" w:space="0" w:color="auto"/>
            <w:bottom w:val="none" w:sz="0" w:space="0" w:color="auto"/>
            <w:right w:val="none" w:sz="0" w:space="0" w:color="auto"/>
          </w:divBdr>
          <w:divsChild>
            <w:div w:id="433482451">
              <w:marLeft w:val="0"/>
              <w:marRight w:val="0"/>
              <w:marTop w:val="0"/>
              <w:marBottom w:val="0"/>
              <w:divBdr>
                <w:top w:val="none" w:sz="0" w:space="0" w:color="auto"/>
                <w:left w:val="none" w:sz="0" w:space="0" w:color="auto"/>
                <w:bottom w:val="none" w:sz="0" w:space="0" w:color="auto"/>
                <w:right w:val="none" w:sz="0" w:space="0" w:color="auto"/>
              </w:divBdr>
            </w:div>
          </w:divsChild>
        </w:div>
        <w:div w:id="2140490945">
          <w:marLeft w:val="0"/>
          <w:marRight w:val="0"/>
          <w:marTop w:val="0"/>
          <w:marBottom w:val="0"/>
          <w:divBdr>
            <w:top w:val="none" w:sz="0" w:space="0" w:color="auto"/>
            <w:left w:val="none" w:sz="0" w:space="0" w:color="auto"/>
            <w:bottom w:val="none" w:sz="0" w:space="0" w:color="auto"/>
            <w:right w:val="none" w:sz="0" w:space="0" w:color="auto"/>
          </w:divBdr>
          <w:divsChild>
            <w:div w:id="1455250495">
              <w:marLeft w:val="0"/>
              <w:marRight w:val="0"/>
              <w:marTop w:val="0"/>
              <w:marBottom w:val="0"/>
              <w:divBdr>
                <w:top w:val="none" w:sz="0" w:space="0" w:color="auto"/>
                <w:left w:val="none" w:sz="0" w:space="0" w:color="auto"/>
                <w:bottom w:val="none" w:sz="0" w:space="0" w:color="auto"/>
                <w:right w:val="none" w:sz="0" w:space="0" w:color="auto"/>
              </w:divBdr>
            </w:div>
          </w:divsChild>
        </w:div>
        <w:div w:id="710113714">
          <w:marLeft w:val="0"/>
          <w:marRight w:val="0"/>
          <w:marTop w:val="0"/>
          <w:marBottom w:val="0"/>
          <w:divBdr>
            <w:top w:val="none" w:sz="0" w:space="0" w:color="auto"/>
            <w:left w:val="none" w:sz="0" w:space="0" w:color="auto"/>
            <w:bottom w:val="none" w:sz="0" w:space="0" w:color="auto"/>
            <w:right w:val="none" w:sz="0" w:space="0" w:color="auto"/>
          </w:divBdr>
          <w:divsChild>
            <w:div w:id="963000395">
              <w:marLeft w:val="0"/>
              <w:marRight w:val="0"/>
              <w:marTop w:val="0"/>
              <w:marBottom w:val="0"/>
              <w:divBdr>
                <w:top w:val="none" w:sz="0" w:space="0" w:color="auto"/>
                <w:left w:val="none" w:sz="0" w:space="0" w:color="auto"/>
                <w:bottom w:val="none" w:sz="0" w:space="0" w:color="auto"/>
                <w:right w:val="none" w:sz="0" w:space="0" w:color="auto"/>
              </w:divBdr>
            </w:div>
          </w:divsChild>
        </w:div>
        <w:div w:id="718289867">
          <w:marLeft w:val="0"/>
          <w:marRight w:val="0"/>
          <w:marTop w:val="0"/>
          <w:marBottom w:val="0"/>
          <w:divBdr>
            <w:top w:val="none" w:sz="0" w:space="0" w:color="auto"/>
            <w:left w:val="none" w:sz="0" w:space="0" w:color="auto"/>
            <w:bottom w:val="none" w:sz="0" w:space="0" w:color="auto"/>
            <w:right w:val="none" w:sz="0" w:space="0" w:color="auto"/>
          </w:divBdr>
          <w:divsChild>
            <w:div w:id="1281109607">
              <w:marLeft w:val="0"/>
              <w:marRight w:val="0"/>
              <w:marTop w:val="0"/>
              <w:marBottom w:val="0"/>
              <w:divBdr>
                <w:top w:val="none" w:sz="0" w:space="0" w:color="auto"/>
                <w:left w:val="none" w:sz="0" w:space="0" w:color="auto"/>
                <w:bottom w:val="none" w:sz="0" w:space="0" w:color="auto"/>
                <w:right w:val="none" w:sz="0" w:space="0" w:color="auto"/>
              </w:divBdr>
            </w:div>
          </w:divsChild>
        </w:div>
        <w:div w:id="459767107">
          <w:marLeft w:val="0"/>
          <w:marRight w:val="0"/>
          <w:marTop w:val="0"/>
          <w:marBottom w:val="0"/>
          <w:divBdr>
            <w:top w:val="none" w:sz="0" w:space="0" w:color="auto"/>
            <w:left w:val="none" w:sz="0" w:space="0" w:color="auto"/>
            <w:bottom w:val="none" w:sz="0" w:space="0" w:color="auto"/>
            <w:right w:val="none" w:sz="0" w:space="0" w:color="auto"/>
          </w:divBdr>
          <w:divsChild>
            <w:div w:id="1881822378">
              <w:marLeft w:val="0"/>
              <w:marRight w:val="0"/>
              <w:marTop w:val="0"/>
              <w:marBottom w:val="0"/>
              <w:divBdr>
                <w:top w:val="none" w:sz="0" w:space="0" w:color="auto"/>
                <w:left w:val="none" w:sz="0" w:space="0" w:color="auto"/>
                <w:bottom w:val="none" w:sz="0" w:space="0" w:color="auto"/>
                <w:right w:val="none" w:sz="0" w:space="0" w:color="auto"/>
              </w:divBdr>
            </w:div>
          </w:divsChild>
        </w:div>
        <w:div w:id="1018233749">
          <w:marLeft w:val="0"/>
          <w:marRight w:val="0"/>
          <w:marTop w:val="0"/>
          <w:marBottom w:val="0"/>
          <w:divBdr>
            <w:top w:val="none" w:sz="0" w:space="0" w:color="auto"/>
            <w:left w:val="none" w:sz="0" w:space="0" w:color="auto"/>
            <w:bottom w:val="none" w:sz="0" w:space="0" w:color="auto"/>
            <w:right w:val="none" w:sz="0" w:space="0" w:color="auto"/>
          </w:divBdr>
          <w:divsChild>
            <w:div w:id="847334520">
              <w:marLeft w:val="0"/>
              <w:marRight w:val="0"/>
              <w:marTop w:val="0"/>
              <w:marBottom w:val="0"/>
              <w:divBdr>
                <w:top w:val="none" w:sz="0" w:space="0" w:color="auto"/>
                <w:left w:val="none" w:sz="0" w:space="0" w:color="auto"/>
                <w:bottom w:val="none" w:sz="0" w:space="0" w:color="auto"/>
                <w:right w:val="none" w:sz="0" w:space="0" w:color="auto"/>
              </w:divBdr>
            </w:div>
          </w:divsChild>
        </w:div>
        <w:div w:id="601030791">
          <w:marLeft w:val="0"/>
          <w:marRight w:val="0"/>
          <w:marTop w:val="0"/>
          <w:marBottom w:val="0"/>
          <w:divBdr>
            <w:top w:val="none" w:sz="0" w:space="0" w:color="auto"/>
            <w:left w:val="none" w:sz="0" w:space="0" w:color="auto"/>
            <w:bottom w:val="none" w:sz="0" w:space="0" w:color="auto"/>
            <w:right w:val="none" w:sz="0" w:space="0" w:color="auto"/>
          </w:divBdr>
          <w:divsChild>
            <w:div w:id="1754160319">
              <w:marLeft w:val="0"/>
              <w:marRight w:val="0"/>
              <w:marTop w:val="0"/>
              <w:marBottom w:val="0"/>
              <w:divBdr>
                <w:top w:val="none" w:sz="0" w:space="0" w:color="auto"/>
                <w:left w:val="none" w:sz="0" w:space="0" w:color="auto"/>
                <w:bottom w:val="none" w:sz="0" w:space="0" w:color="auto"/>
                <w:right w:val="none" w:sz="0" w:space="0" w:color="auto"/>
              </w:divBdr>
            </w:div>
          </w:divsChild>
        </w:div>
        <w:div w:id="379982287">
          <w:marLeft w:val="0"/>
          <w:marRight w:val="0"/>
          <w:marTop w:val="0"/>
          <w:marBottom w:val="0"/>
          <w:divBdr>
            <w:top w:val="none" w:sz="0" w:space="0" w:color="auto"/>
            <w:left w:val="none" w:sz="0" w:space="0" w:color="auto"/>
            <w:bottom w:val="none" w:sz="0" w:space="0" w:color="auto"/>
            <w:right w:val="none" w:sz="0" w:space="0" w:color="auto"/>
          </w:divBdr>
          <w:divsChild>
            <w:div w:id="1422990745">
              <w:marLeft w:val="0"/>
              <w:marRight w:val="0"/>
              <w:marTop w:val="0"/>
              <w:marBottom w:val="0"/>
              <w:divBdr>
                <w:top w:val="none" w:sz="0" w:space="0" w:color="auto"/>
                <w:left w:val="none" w:sz="0" w:space="0" w:color="auto"/>
                <w:bottom w:val="none" w:sz="0" w:space="0" w:color="auto"/>
                <w:right w:val="none" w:sz="0" w:space="0" w:color="auto"/>
              </w:divBdr>
            </w:div>
          </w:divsChild>
        </w:div>
        <w:div w:id="1697004223">
          <w:marLeft w:val="0"/>
          <w:marRight w:val="0"/>
          <w:marTop w:val="0"/>
          <w:marBottom w:val="0"/>
          <w:divBdr>
            <w:top w:val="none" w:sz="0" w:space="0" w:color="auto"/>
            <w:left w:val="none" w:sz="0" w:space="0" w:color="auto"/>
            <w:bottom w:val="none" w:sz="0" w:space="0" w:color="auto"/>
            <w:right w:val="none" w:sz="0" w:space="0" w:color="auto"/>
          </w:divBdr>
          <w:divsChild>
            <w:div w:id="1350524367">
              <w:marLeft w:val="0"/>
              <w:marRight w:val="0"/>
              <w:marTop w:val="0"/>
              <w:marBottom w:val="0"/>
              <w:divBdr>
                <w:top w:val="none" w:sz="0" w:space="0" w:color="auto"/>
                <w:left w:val="none" w:sz="0" w:space="0" w:color="auto"/>
                <w:bottom w:val="none" w:sz="0" w:space="0" w:color="auto"/>
                <w:right w:val="none" w:sz="0" w:space="0" w:color="auto"/>
              </w:divBdr>
            </w:div>
          </w:divsChild>
        </w:div>
        <w:div w:id="1383335189">
          <w:marLeft w:val="0"/>
          <w:marRight w:val="0"/>
          <w:marTop w:val="0"/>
          <w:marBottom w:val="0"/>
          <w:divBdr>
            <w:top w:val="none" w:sz="0" w:space="0" w:color="auto"/>
            <w:left w:val="none" w:sz="0" w:space="0" w:color="auto"/>
            <w:bottom w:val="none" w:sz="0" w:space="0" w:color="auto"/>
            <w:right w:val="none" w:sz="0" w:space="0" w:color="auto"/>
          </w:divBdr>
          <w:divsChild>
            <w:div w:id="1551646867">
              <w:marLeft w:val="0"/>
              <w:marRight w:val="0"/>
              <w:marTop w:val="0"/>
              <w:marBottom w:val="0"/>
              <w:divBdr>
                <w:top w:val="none" w:sz="0" w:space="0" w:color="auto"/>
                <w:left w:val="none" w:sz="0" w:space="0" w:color="auto"/>
                <w:bottom w:val="none" w:sz="0" w:space="0" w:color="auto"/>
                <w:right w:val="none" w:sz="0" w:space="0" w:color="auto"/>
              </w:divBdr>
            </w:div>
          </w:divsChild>
        </w:div>
        <w:div w:id="144396311">
          <w:marLeft w:val="0"/>
          <w:marRight w:val="0"/>
          <w:marTop w:val="0"/>
          <w:marBottom w:val="0"/>
          <w:divBdr>
            <w:top w:val="none" w:sz="0" w:space="0" w:color="auto"/>
            <w:left w:val="none" w:sz="0" w:space="0" w:color="auto"/>
            <w:bottom w:val="none" w:sz="0" w:space="0" w:color="auto"/>
            <w:right w:val="none" w:sz="0" w:space="0" w:color="auto"/>
          </w:divBdr>
          <w:divsChild>
            <w:div w:id="1964729695">
              <w:marLeft w:val="0"/>
              <w:marRight w:val="0"/>
              <w:marTop w:val="0"/>
              <w:marBottom w:val="0"/>
              <w:divBdr>
                <w:top w:val="none" w:sz="0" w:space="0" w:color="auto"/>
                <w:left w:val="none" w:sz="0" w:space="0" w:color="auto"/>
                <w:bottom w:val="none" w:sz="0" w:space="0" w:color="auto"/>
                <w:right w:val="none" w:sz="0" w:space="0" w:color="auto"/>
              </w:divBdr>
            </w:div>
          </w:divsChild>
        </w:div>
        <w:div w:id="1098063900">
          <w:marLeft w:val="0"/>
          <w:marRight w:val="0"/>
          <w:marTop w:val="0"/>
          <w:marBottom w:val="0"/>
          <w:divBdr>
            <w:top w:val="none" w:sz="0" w:space="0" w:color="auto"/>
            <w:left w:val="none" w:sz="0" w:space="0" w:color="auto"/>
            <w:bottom w:val="none" w:sz="0" w:space="0" w:color="auto"/>
            <w:right w:val="none" w:sz="0" w:space="0" w:color="auto"/>
          </w:divBdr>
          <w:divsChild>
            <w:div w:id="354500554">
              <w:marLeft w:val="0"/>
              <w:marRight w:val="0"/>
              <w:marTop w:val="0"/>
              <w:marBottom w:val="0"/>
              <w:divBdr>
                <w:top w:val="none" w:sz="0" w:space="0" w:color="auto"/>
                <w:left w:val="none" w:sz="0" w:space="0" w:color="auto"/>
                <w:bottom w:val="none" w:sz="0" w:space="0" w:color="auto"/>
                <w:right w:val="none" w:sz="0" w:space="0" w:color="auto"/>
              </w:divBdr>
            </w:div>
          </w:divsChild>
        </w:div>
        <w:div w:id="1362701230">
          <w:marLeft w:val="0"/>
          <w:marRight w:val="0"/>
          <w:marTop w:val="0"/>
          <w:marBottom w:val="0"/>
          <w:divBdr>
            <w:top w:val="none" w:sz="0" w:space="0" w:color="auto"/>
            <w:left w:val="none" w:sz="0" w:space="0" w:color="auto"/>
            <w:bottom w:val="none" w:sz="0" w:space="0" w:color="auto"/>
            <w:right w:val="none" w:sz="0" w:space="0" w:color="auto"/>
          </w:divBdr>
          <w:divsChild>
            <w:div w:id="1784954640">
              <w:marLeft w:val="0"/>
              <w:marRight w:val="0"/>
              <w:marTop w:val="0"/>
              <w:marBottom w:val="0"/>
              <w:divBdr>
                <w:top w:val="none" w:sz="0" w:space="0" w:color="auto"/>
                <w:left w:val="none" w:sz="0" w:space="0" w:color="auto"/>
                <w:bottom w:val="none" w:sz="0" w:space="0" w:color="auto"/>
                <w:right w:val="none" w:sz="0" w:space="0" w:color="auto"/>
              </w:divBdr>
            </w:div>
          </w:divsChild>
        </w:div>
        <w:div w:id="238559571">
          <w:marLeft w:val="0"/>
          <w:marRight w:val="0"/>
          <w:marTop w:val="0"/>
          <w:marBottom w:val="0"/>
          <w:divBdr>
            <w:top w:val="none" w:sz="0" w:space="0" w:color="auto"/>
            <w:left w:val="none" w:sz="0" w:space="0" w:color="auto"/>
            <w:bottom w:val="none" w:sz="0" w:space="0" w:color="auto"/>
            <w:right w:val="none" w:sz="0" w:space="0" w:color="auto"/>
          </w:divBdr>
          <w:divsChild>
            <w:div w:id="1258371466">
              <w:marLeft w:val="0"/>
              <w:marRight w:val="0"/>
              <w:marTop w:val="0"/>
              <w:marBottom w:val="0"/>
              <w:divBdr>
                <w:top w:val="none" w:sz="0" w:space="0" w:color="auto"/>
                <w:left w:val="none" w:sz="0" w:space="0" w:color="auto"/>
                <w:bottom w:val="none" w:sz="0" w:space="0" w:color="auto"/>
                <w:right w:val="none" w:sz="0" w:space="0" w:color="auto"/>
              </w:divBdr>
            </w:div>
          </w:divsChild>
        </w:div>
        <w:div w:id="1840000904">
          <w:marLeft w:val="0"/>
          <w:marRight w:val="0"/>
          <w:marTop w:val="0"/>
          <w:marBottom w:val="0"/>
          <w:divBdr>
            <w:top w:val="none" w:sz="0" w:space="0" w:color="auto"/>
            <w:left w:val="none" w:sz="0" w:space="0" w:color="auto"/>
            <w:bottom w:val="none" w:sz="0" w:space="0" w:color="auto"/>
            <w:right w:val="none" w:sz="0" w:space="0" w:color="auto"/>
          </w:divBdr>
          <w:divsChild>
            <w:div w:id="1876655783">
              <w:marLeft w:val="0"/>
              <w:marRight w:val="0"/>
              <w:marTop w:val="0"/>
              <w:marBottom w:val="0"/>
              <w:divBdr>
                <w:top w:val="none" w:sz="0" w:space="0" w:color="auto"/>
                <w:left w:val="none" w:sz="0" w:space="0" w:color="auto"/>
                <w:bottom w:val="none" w:sz="0" w:space="0" w:color="auto"/>
                <w:right w:val="none" w:sz="0" w:space="0" w:color="auto"/>
              </w:divBdr>
            </w:div>
          </w:divsChild>
        </w:div>
        <w:div w:id="444269561">
          <w:marLeft w:val="0"/>
          <w:marRight w:val="0"/>
          <w:marTop w:val="0"/>
          <w:marBottom w:val="0"/>
          <w:divBdr>
            <w:top w:val="none" w:sz="0" w:space="0" w:color="auto"/>
            <w:left w:val="none" w:sz="0" w:space="0" w:color="auto"/>
            <w:bottom w:val="none" w:sz="0" w:space="0" w:color="auto"/>
            <w:right w:val="none" w:sz="0" w:space="0" w:color="auto"/>
          </w:divBdr>
          <w:divsChild>
            <w:div w:id="138309257">
              <w:marLeft w:val="0"/>
              <w:marRight w:val="0"/>
              <w:marTop w:val="0"/>
              <w:marBottom w:val="0"/>
              <w:divBdr>
                <w:top w:val="none" w:sz="0" w:space="0" w:color="auto"/>
                <w:left w:val="none" w:sz="0" w:space="0" w:color="auto"/>
                <w:bottom w:val="none" w:sz="0" w:space="0" w:color="auto"/>
                <w:right w:val="none" w:sz="0" w:space="0" w:color="auto"/>
              </w:divBdr>
            </w:div>
          </w:divsChild>
        </w:div>
        <w:div w:id="254174590">
          <w:marLeft w:val="0"/>
          <w:marRight w:val="0"/>
          <w:marTop w:val="0"/>
          <w:marBottom w:val="0"/>
          <w:divBdr>
            <w:top w:val="none" w:sz="0" w:space="0" w:color="auto"/>
            <w:left w:val="none" w:sz="0" w:space="0" w:color="auto"/>
            <w:bottom w:val="none" w:sz="0" w:space="0" w:color="auto"/>
            <w:right w:val="none" w:sz="0" w:space="0" w:color="auto"/>
          </w:divBdr>
          <w:divsChild>
            <w:div w:id="1832022868">
              <w:marLeft w:val="0"/>
              <w:marRight w:val="0"/>
              <w:marTop w:val="0"/>
              <w:marBottom w:val="0"/>
              <w:divBdr>
                <w:top w:val="none" w:sz="0" w:space="0" w:color="auto"/>
                <w:left w:val="none" w:sz="0" w:space="0" w:color="auto"/>
                <w:bottom w:val="none" w:sz="0" w:space="0" w:color="auto"/>
                <w:right w:val="none" w:sz="0" w:space="0" w:color="auto"/>
              </w:divBdr>
            </w:div>
          </w:divsChild>
        </w:div>
        <w:div w:id="1919559984">
          <w:marLeft w:val="0"/>
          <w:marRight w:val="0"/>
          <w:marTop w:val="0"/>
          <w:marBottom w:val="0"/>
          <w:divBdr>
            <w:top w:val="none" w:sz="0" w:space="0" w:color="auto"/>
            <w:left w:val="none" w:sz="0" w:space="0" w:color="auto"/>
            <w:bottom w:val="none" w:sz="0" w:space="0" w:color="auto"/>
            <w:right w:val="none" w:sz="0" w:space="0" w:color="auto"/>
          </w:divBdr>
          <w:divsChild>
            <w:div w:id="1052536673">
              <w:marLeft w:val="0"/>
              <w:marRight w:val="0"/>
              <w:marTop w:val="0"/>
              <w:marBottom w:val="0"/>
              <w:divBdr>
                <w:top w:val="none" w:sz="0" w:space="0" w:color="auto"/>
                <w:left w:val="none" w:sz="0" w:space="0" w:color="auto"/>
                <w:bottom w:val="none" w:sz="0" w:space="0" w:color="auto"/>
                <w:right w:val="none" w:sz="0" w:space="0" w:color="auto"/>
              </w:divBdr>
            </w:div>
          </w:divsChild>
        </w:div>
        <w:div w:id="1015688137">
          <w:marLeft w:val="0"/>
          <w:marRight w:val="0"/>
          <w:marTop w:val="0"/>
          <w:marBottom w:val="0"/>
          <w:divBdr>
            <w:top w:val="none" w:sz="0" w:space="0" w:color="auto"/>
            <w:left w:val="none" w:sz="0" w:space="0" w:color="auto"/>
            <w:bottom w:val="none" w:sz="0" w:space="0" w:color="auto"/>
            <w:right w:val="none" w:sz="0" w:space="0" w:color="auto"/>
          </w:divBdr>
          <w:divsChild>
            <w:div w:id="880047517">
              <w:marLeft w:val="0"/>
              <w:marRight w:val="0"/>
              <w:marTop w:val="0"/>
              <w:marBottom w:val="0"/>
              <w:divBdr>
                <w:top w:val="none" w:sz="0" w:space="0" w:color="auto"/>
                <w:left w:val="none" w:sz="0" w:space="0" w:color="auto"/>
                <w:bottom w:val="none" w:sz="0" w:space="0" w:color="auto"/>
                <w:right w:val="none" w:sz="0" w:space="0" w:color="auto"/>
              </w:divBdr>
            </w:div>
          </w:divsChild>
        </w:div>
        <w:div w:id="1607809998">
          <w:marLeft w:val="0"/>
          <w:marRight w:val="0"/>
          <w:marTop w:val="0"/>
          <w:marBottom w:val="0"/>
          <w:divBdr>
            <w:top w:val="none" w:sz="0" w:space="0" w:color="auto"/>
            <w:left w:val="none" w:sz="0" w:space="0" w:color="auto"/>
            <w:bottom w:val="none" w:sz="0" w:space="0" w:color="auto"/>
            <w:right w:val="none" w:sz="0" w:space="0" w:color="auto"/>
          </w:divBdr>
          <w:divsChild>
            <w:div w:id="1340422354">
              <w:marLeft w:val="0"/>
              <w:marRight w:val="0"/>
              <w:marTop w:val="0"/>
              <w:marBottom w:val="0"/>
              <w:divBdr>
                <w:top w:val="none" w:sz="0" w:space="0" w:color="auto"/>
                <w:left w:val="none" w:sz="0" w:space="0" w:color="auto"/>
                <w:bottom w:val="none" w:sz="0" w:space="0" w:color="auto"/>
                <w:right w:val="none" w:sz="0" w:space="0" w:color="auto"/>
              </w:divBdr>
            </w:div>
          </w:divsChild>
        </w:div>
        <w:div w:id="306008275">
          <w:marLeft w:val="0"/>
          <w:marRight w:val="0"/>
          <w:marTop w:val="0"/>
          <w:marBottom w:val="0"/>
          <w:divBdr>
            <w:top w:val="none" w:sz="0" w:space="0" w:color="auto"/>
            <w:left w:val="none" w:sz="0" w:space="0" w:color="auto"/>
            <w:bottom w:val="none" w:sz="0" w:space="0" w:color="auto"/>
            <w:right w:val="none" w:sz="0" w:space="0" w:color="auto"/>
          </w:divBdr>
          <w:divsChild>
            <w:div w:id="160113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044346">
      <w:bodyDiv w:val="1"/>
      <w:marLeft w:val="0"/>
      <w:marRight w:val="0"/>
      <w:marTop w:val="0"/>
      <w:marBottom w:val="0"/>
      <w:divBdr>
        <w:top w:val="none" w:sz="0" w:space="0" w:color="auto"/>
        <w:left w:val="none" w:sz="0" w:space="0" w:color="auto"/>
        <w:bottom w:val="none" w:sz="0" w:space="0" w:color="auto"/>
        <w:right w:val="none" w:sz="0" w:space="0" w:color="auto"/>
      </w:divBdr>
    </w:div>
    <w:div w:id="1149634564">
      <w:bodyDiv w:val="1"/>
      <w:marLeft w:val="0"/>
      <w:marRight w:val="0"/>
      <w:marTop w:val="0"/>
      <w:marBottom w:val="0"/>
      <w:divBdr>
        <w:top w:val="none" w:sz="0" w:space="0" w:color="auto"/>
        <w:left w:val="none" w:sz="0" w:space="0" w:color="auto"/>
        <w:bottom w:val="none" w:sz="0" w:space="0" w:color="auto"/>
        <w:right w:val="none" w:sz="0" w:space="0" w:color="auto"/>
      </w:divBdr>
      <w:divsChild>
        <w:div w:id="285895602">
          <w:marLeft w:val="0"/>
          <w:marRight w:val="0"/>
          <w:marTop w:val="100"/>
          <w:marBottom w:val="100"/>
          <w:divBdr>
            <w:top w:val="none" w:sz="0" w:space="0" w:color="auto"/>
            <w:left w:val="none" w:sz="0" w:space="0" w:color="auto"/>
            <w:bottom w:val="none" w:sz="0" w:space="0" w:color="auto"/>
            <w:right w:val="none" w:sz="0" w:space="0" w:color="auto"/>
          </w:divBdr>
          <w:divsChild>
            <w:div w:id="1952663214">
              <w:marLeft w:val="0"/>
              <w:marRight w:val="0"/>
              <w:marTop w:val="150"/>
              <w:marBottom w:val="150"/>
              <w:divBdr>
                <w:top w:val="none" w:sz="0" w:space="0" w:color="auto"/>
                <w:left w:val="none" w:sz="0" w:space="0" w:color="auto"/>
                <w:bottom w:val="none" w:sz="0" w:space="0" w:color="auto"/>
                <w:right w:val="none" w:sz="0" w:space="0" w:color="auto"/>
              </w:divBdr>
              <w:divsChild>
                <w:div w:id="19183199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247229196">
      <w:bodyDiv w:val="1"/>
      <w:marLeft w:val="0"/>
      <w:marRight w:val="0"/>
      <w:marTop w:val="0"/>
      <w:marBottom w:val="0"/>
      <w:divBdr>
        <w:top w:val="none" w:sz="0" w:space="0" w:color="auto"/>
        <w:left w:val="none" w:sz="0" w:space="0" w:color="auto"/>
        <w:bottom w:val="none" w:sz="0" w:space="0" w:color="auto"/>
        <w:right w:val="none" w:sz="0" w:space="0" w:color="auto"/>
      </w:divBdr>
    </w:div>
    <w:div w:id="1569419038">
      <w:bodyDiv w:val="1"/>
      <w:marLeft w:val="0"/>
      <w:marRight w:val="0"/>
      <w:marTop w:val="0"/>
      <w:marBottom w:val="0"/>
      <w:divBdr>
        <w:top w:val="none" w:sz="0" w:space="0" w:color="auto"/>
        <w:left w:val="none" w:sz="0" w:space="0" w:color="auto"/>
        <w:bottom w:val="none" w:sz="0" w:space="0" w:color="auto"/>
        <w:right w:val="none" w:sz="0" w:space="0" w:color="auto"/>
      </w:divBdr>
      <w:divsChild>
        <w:div w:id="1661737147">
          <w:marLeft w:val="0"/>
          <w:marRight w:val="0"/>
          <w:marTop w:val="100"/>
          <w:marBottom w:val="100"/>
          <w:divBdr>
            <w:top w:val="none" w:sz="0" w:space="0" w:color="auto"/>
            <w:left w:val="none" w:sz="0" w:space="0" w:color="auto"/>
            <w:bottom w:val="none" w:sz="0" w:space="0" w:color="auto"/>
            <w:right w:val="none" w:sz="0" w:space="0" w:color="auto"/>
          </w:divBdr>
          <w:divsChild>
            <w:div w:id="1483347835">
              <w:marLeft w:val="0"/>
              <w:marRight w:val="0"/>
              <w:marTop w:val="150"/>
              <w:marBottom w:val="150"/>
              <w:divBdr>
                <w:top w:val="none" w:sz="0" w:space="0" w:color="auto"/>
                <w:left w:val="none" w:sz="0" w:space="0" w:color="auto"/>
                <w:bottom w:val="none" w:sz="0" w:space="0" w:color="auto"/>
                <w:right w:val="none" w:sz="0" w:space="0" w:color="auto"/>
              </w:divBdr>
              <w:divsChild>
                <w:div w:id="105508185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921253967">
      <w:bodyDiv w:val="1"/>
      <w:marLeft w:val="0"/>
      <w:marRight w:val="0"/>
      <w:marTop w:val="0"/>
      <w:marBottom w:val="0"/>
      <w:divBdr>
        <w:top w:val="none" w:sz="0" w:space="0" w:color="auto"/>
        <w:left w:val="none" w:sz="0" w:space="0" w:color="auto"/>
        <w:bottom w:val="none" w:sz="0" w:space="0" w:color="auto"/>
        <w:right w:val="none" w:sz="0" w:space="0" w:color="auto"/>
      </w:divBdr>
      <w:divsChild>
        <w:div w:id="325666237">
          <w:marLeft w:val="0"/>
          <w:marRight w:val="0"/>
          <w:marTop w:val="100"/>
          <w:marBottom w:val="100"/>
          <w:divBdr>
            <w:top w:val="none" w:sz="0" w:space="0" w:color="auto"/>
            <w:left w:val="none" w:sz="0" w:space="0" w:color="auto"/>
            <w:bottom w:val="none" w:sz="0" w:space="0" w:color="auto"/>
            <w:right w:val="none" w:sz="0" w:space="0" w:color="auto"/>
          </w:divBdr>
          <w:divsChild>
            <w:div w:id="1826973667">
              <w:marLeft w:val="0"/>
              <w:marRight w:val="0"/>
              <w:marTop w:val="150"/>
              <w:marBottom w:val="150"/>
              <w:divBdr>
                <w:top w:val="none" w:sz="0" w:space="0" w:color="auto"/>
                <w:left w:val="none" w:sz="0" w:space="0" w:color="auto"/>
                <w:bottom w:val="none" w:sz="0" w:space="0" w:color="auto"/>
                <w:right w:val="none" w:sz="0" w:space="0" w:color="auto"/>
              </w:divBdr>
              <w:divsChild>
                <w:div w:id="9386087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as.ec.europa.eu/ca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file:///Q:\&#1054;&#1090;&#1076;&#1077;&#1083;%202%20&#1052;&#1042;\ARACHNE\ARACHNE%20MANUALS"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hyperlink" Target="http://www.opac.government.bg/opdu/bg" TargetMode="External"/><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C7B7B-114F-4FA7-94AE-C6D3593F4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17</Pages>
  <Words>4220</Words>
  <Characters>26009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30169</CharactersWithSpaces>
  <SharedDoc>false</SharedDoc>
  <HLinks>
    <vt:vector size="30" baseType="variant">
      <vt:variant>
        <vt:i4>6095882</vt:i4>
      </vt:variant>
      <vt:variant>
        <vt:i4>3</vt:i4>
      </vt:variant>
      <vt:variant>
        <vt:i4>0</vt:i4>
      </vt:variant>
      <vt:variant>
        <vt:i4>5</vt:i4>
      </vt:variant>
      <vt:variant>
        <vt:lpwstr>Q:\Отдел 2 МВ\ARACHNE\ARACHNE MANUALS</vt:lpwstr>
      </vt:variant>
      <vt:variant>
        <vt:lpwstr/>
      </vt:variant>
      <vt:variant>
        <vt:i4>3473445</vt:i4>
      </vt:variant>
      <vt:variant>
        <vt:i4>0</vt:i4>
      </vt:variant>
      <vt:variant>
        <vt:i4>0</vt:i4>
      </vt:variant>
      <vt:variant>
        <vt:i4>5</vt:i4>
      </vt:variant>
      <vt:variant>
        <vt:lpwstr>https://ecas.ec.europa.eu/cas/</vt:lpwstr>
      </vt:variant>
      <vt:variant>
        <vt:lpwstr/>
      </vt:variant>
      <vt:variant>
        <vt:i4>5505102</vt:i4>
      </vt:variant>
      <vt:variant>
        <vt:i4>9</vt:i4>
      </vt:variant>
      <vt:variant>
        <vt:i4>0</vt:i4>
      </vt:variant>
      <vt:variant>
        <vt:i4>5</vt:i4>
      </vt:variant>
      <vt:variant>
        <vt:lpwstr>http://www.opac.government.bg/opdu/bg</vt:lpwstr>
      </vt:variant>
      <vt:variant>
        <vt:lpwstr/>
      </vt:variant>
      <vt:variant>
        <vt:i4>5505102</vt:i4>
      </vt:variant>
      <vt:variant>
        <vt:i4>6</vt:i4>
      </vt:variant>
      <vt:variant>
        <vt:i4>0</vt:i4>
      </vt:variant>
      <vt:variant>
        <vt:i4>5</vt:i4>
      </vt:variant>
      <vt:variant>
        <vt:lpwstr>http://www.opac.government.bg/opdu/bg</vt:lpwstr>
      </vt:variant>
      <vt:variant>
        <vt:lpwstr/>
      </vt:variant>
      <vt:variant>
        <vt:i4>5505102</vt:i4>
      </vt:variant>
      <vt:variant>
        <vt:i4>3</vt:i4>
      </vt:variant>
      <vt:variant>
        <vt:i4>0</vt:i4>
      </vt:variant>
      <vt:variant>
        <vt:i4>5</vt:i4>
      </vt:variant>
      <vt:variant>
        <vt:lpwstr>http://www.opac.government.bg/opdu/bg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dc:title>
  <dc:subject/>
  <dc:creator>y.kostadinova</dc:creator>
  <cp:keywords/>
  <dc:description/>
  <cp:lastModifiedBy>Хилми Кушев</cp:lastModifiedBy>
  <cp:revision>31</cp:revision>
  <cp:lastPrinted>2009-02-11T13:15:00Z</cp:lastPrinted>
  <dcterms:created xsi:type="dcterms:W3CDTF">2017-09-18T07:33:00Z</dcterms:created>
  <dcterms:modified xsi:type="dcterms:W3CDTF">2022-07-28T14:14:00Z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000000008D323BBDEE078C48A82BB9EE32EE22E307007E17F19C1893384F8DE4B6D80CF9BFEB000000BBD5A2000067FE69D80F510C4F8C25F50CF04B9F0100013D84B7C50000</vt:lpwstr>
  </property>
  <property fmtid="{D5CDD505-2E9C-101B-9397-08002B2CF9AE}" pid="4" name="_EmailStoreID0">
    <vt:lpwstr>0000000038A1BB1005E5101AA1BB08002B2A56C20000454D534D44422E444C4C00000000000000001B55FA20AA6611CD9BC800AA002FC45A0C0000004D494E46494E2D455832303130002F4F3D4D696E6973747279206F662046696E616E63652F4F553D4D494E46494E2F636E3D526563697069656E74732F636E3D50686B7</vt:lpwstr>
  </property>
  <property fmtid="{D5CDD505-2E9C-101B-9397-08002B2CF9AE}" pid="5" name="_EmailStoreID1">
    <vt:lpwstr>26F756D6F7600</vt:lpwstr>
  </property>
  <property fmtid="{D5CDD505-2E9C-101B-9397-08002B2CF9AE}" pid="6" name="_ReviewingToolsShownOnce">
    <vt:lpwstr/>
  </property>
</Properties>
</file>