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499" w:type="pct"/>
        <w:tblInd w:w="-449" w:type="dxa"/>
        <w:tblBorders>
          <w:top w:val="single" w:sz="18" w:space="0" w:color="808080" w:themeColor="background1" w:themeShade="80"/>
          <w:left w:val="single" w:sz="18" w:space="0" w:color="808080" w:themeColor="background1" w:themeShade="80"/>
          <w:bottom w:val="single" w:sz="18" w:space="0" w:color="808080" w:themeColor="background1" w:themeShade="80"/>
          <w:right w:val="single" w:sz="18" w:space="0" w:color="808080" w:themeColor="background1" w:themeShade="80"/>
          <w:insideH w:val="single" w:sz="18" w:space="0" w:color="808080" w:themeColor="background1" w:themeShade="80"/>
          <w:insideV w:val="single" w:sz="18" w:space="0" w:color="808080" w:themeColor="background1" w:themeShade="80"/>
        </w:tblBorders>
        <w:shd w:val="clear" w:color="auto" w:fill="FFCC99"/>
        <w:tblCellMar>
          <w:left w:w="115" w:type="dxa"/>
          <w:right w:w="115" w:type="dxa"/>
        </w:tblCellMar>
        <w:tblLook w:val="0000" w:firstRow="0" w:lastRow="0" w:firstColumn="0" w:lastColumn="0" w:noHBand="0" w:noVBand="0"/>
      </w:tblPr>
      <w:tblGrid>
        <w:gridCol w:w="2779"/>
        <w:gridCol w:w="7459"/>
      </w:tblGrid>
      <w:tr w:rsidR="00013D9C" w:rsidRPr="000A1186" w14:paraId="57A94DBE" w14:textId="77777777" w:rsidTr="00196909">
        <w:trPr>
          <w:cantSplit/>
        </w:trPr>
        <w:tc>
          <w:tcPr>
            <w:tcW w:w="5000" w:type="pct"/>
            <w:gridSpan w:val="2"/>
            <w:shd w:val="clear" w:color="auto" w:fill="C5E0B3" w:themeFill="accent6" w:themeFillTint="66"/>
          </w:tcPr>
          <w:p w14:paraId="4247CDA7" w14:textId="77777777" w:rsidR="00013D9C" w:rsidRPr="000A1186" w:rsidRDefault="00013D9C" w:rsidP="000A1186">
            <w:pPr>
              <w:spacing w:after="120"/>
              <w:jc w:val="center"/>
              <w:rPr>
                <w:b/>
                <w:bCs/>
                <w:lang w:val="bg-BG"/>
              </w:rPr>
            </w:pPr>
            <w:r w:rsidRPr="000A1186">
              <w:rPr>
                <w:b/>
                <w:lang w:val="bg-BG"/>
              </w:rPr>
              <w:t xml:space="preserve">МЕТАДАННИ ЗА ИНДИКАТОР ЗА КРАЕН ПРОДУКТ: </w:t>
            </w:r>
          </w:p>
        </w:tc>
      </w:tr>
      <w:tr w:rsidR="00013D9C" w:rsidRPr="000A1186" w14:paraId="32C25B4E" w14:textId="77777777" w:rsidTr="00196909">
        <w:trPr>
          <w:cantSplit/>
        </w:trPr>
        <w:tc>
          <w:tcPr>
            <w:tcW w:w="1357" w:type="pct"/>
            <w:shd w:val="clear" w:color="auto" w:fill="C5E0B3" w:themeFill="accent6" w:themeFillTint="66"/>
            <w:vAlign w:val="center"/>
          </w:tcPr>
          <w:p w14:paraId="15185635" w14:textId="77777777" w:rsidR="00013D9C" w:rsidRPr="000A1186" w:rsidRDefault="00013D9C" w:rsidP="000A1186">
            <w:pPr>
              <w:pStyle w:val="NoSpacing"/>
              <w:tabs>
                <w:tab w:val="left" w:pos="3134"/>
              </w:tabs>
              <w:spacing w:after="120"/>
              <w:rPr>
                <w:b/>
                <w:iCs/>
                <w:lang w:val="bg-BG"/>
              </w:rPr>
            </w:pPr>
            <w:r w:rsidRPr="000A1186">
              <w:rPr>
                <w:rStyle w:val="Emphasis"/>
                <w:b/>
                <w:i w:val="0"/>
                <w:smallCaps/>
                <w:lang w:val="bg-BG"/>
              </w:rPr>
              <w:t>Номер на индикатора</w:t>
            </w:r>
            <w:r w:rsidRPr="000A1186">
              <w:rPr>
                <w:rStyle w:val="Emphasis"/>
                <w:i w:val="0"/>
                <w:lang w:val="bg-BG"/>
              </w:rPr>
              <w:t>:</w:t>
            </w:r>
            <w:r w:rsidRPr="000A1186">
              <w:rPr>
                <w:rStyle w:val="Emphasis"/>
                <w:b/>
                <w:i w:val="0"/>
                <w:lang w:val="bg-BG"/>
              </w:rPr>
              <w:t xml:space="preserve">               </w:t>
            </w:r>
          </w:p>
        </w:tc>
        <w:tc>
          <w:tcPr>
            <w:tcW w:w="3643" w:type="pct"/>
            <w:shd w:val="clear" w:color="auto" w:fill="C5E0B3" w:themeFill="accent6" w:themeFillTint="66"/>
            <w:vAlign w:val="center"/>
          </w:tcPr>
          <w:p w14:paraId="61AFDD1C" w14:textId="00D28322" w:rsidR="00013D9C" w:rsidRPr="000A1186" w:rsidRDefault="00013D9C" w:rsidP="000A1186">
            <w:pPr>
              <w:spacing w:after="120"/>
              <w:rPr>
                <w:b/>
                <w:bCs/>
                <w:lang w:val="bg-BG"/>
              </w:rPr>
            </w:pPr>
            <w:r w:rsidRPr="000A1186">
              <w:rPr>
                <w:rStyle w:val="Emphasis"/>
                <w:b/>
                <w:i w:val="0"/>
                <w:lang w:val="bg-BG"/>
              </w:rPr>
              <w:t>О1-10</w:t>
            </w:r>
          </w:p>
        </w:tc>
      </w:tr>
      <w:tr w:rsidR="00013D9C" w:rsidRPr="000A1186" w14:paraId="70E68DB0" w14:textId="77777777" w:rsidTr="00196909">
        <w:trPr>
          <w:cantSplit/>
          <w:trHeight w:val="379"/>
        </w:trPr>
        <w:tc>
          <w:tcPr>
            <w:tcW w:w="1357" w:type="pct"/>
            <w:shd w:val="clear" w:color="auto" w:fill="C5E0B3" w:themeFill="accent6" w:themeFillTint="66"/>
            <w:vAlign w:val="center"/>
          </w:tcPr>
          <w:p w14:paraId="65359AE5" w14:textId="77777777" w:rsidR="00013D9C" w:rsidRPr="000A1186" w:rsidRDefault="00013D9C" w:rsidP="000A1186">
            <w:pPr>
              <w:spacing w:after="120"/>
              <w:rPr>
                <w:b/>
                <w:bCs/>
                <w:lang w:val="bg-BG"/>
              </w:rPr>
            </w:pPr>
            <w:r w:rsidRPr="000A1186">
              <w:rPr>
                <w:rStyle w:val="Emphasis"/>
                <w:b/>
                <w:i w:val="0"/>
                <w:smallCaps/>
                <w:lang w:val="bg-BG"/>
              </w:rPr>
              <w:t>Наименование на индикатор</w:t>
            </w:r>
            <w:r w:rsidRPr="000A1186">
              <w:rPr>
                <w:rStyle w:val="Emphasis"/>
                <w:i w:val="0"/>
                <w:smallCaps/>
                <w:lang w:val="bg-BG"/>
              </w:rPr>
              <w:t>а</w:t>
            </w:r>
            <w:r w:rsidRPr="000A1186">
              <w:rPr>
                <w:rStyle w:val="Emphasis"/>
                <w:i w:val="0"/>
                <w:lang w:val="bg-BG"/>
              </w:rPr>
              <w:t>:</w:t>
            </w:r>
          </w:p>
        </w:tc>
        <w:tc>
          <w:tcPr>
            <w:tcW w:w="3643" w:type="pct"/>
            <w:shd w:val="clear" w:color="auto" w:fill="C5E0B3" w:themeFill="accent6" w:themeFillTint="66"/>
            <w:vAlign w:val="center"/>
          </w:tcPr>
          <w:p w14:paraId="5484420B" w14:textId="51C26153" w:rsidR="00013D9C" w:rsidRPr="000A1186" w:rsidRDefault="00013D9C" w:rsidP="000A1186">
            <w:pPr>
              <w:pStyle w:val="NoSpacing"/>
              <w:spacing w:after="120"/>
              <w:rPr>
                <w:b/>
                <w:iCs/>
                <w:lang w:val="bg-BG"/>
              </w:rPr>
            </w:pPr>
            <w:r w:rsidRPr="000A1186">
              <w:rPr>
                <w:rStyle w:val="Emphasis"/>
                <w:b/>
                <w:i w:val="0"/>
                <w:lang w:val="bg-BG"/>
              </w:rPr>
              <w:t>Служители на Системата, чиито възнаграждения се възстановяват по Програмата (средно претеглена стойност)</w:t>
            </w:r>
          </w:p>
        </w:tc>
      </w:tr>
      <w:tr w:rsidR="00013D9C" w:rsidRPr="000A1186" w14:paraId="7740B261" w14:textId="77777777" w:rsidTr="00196909">
        <w:trPr>
          <w:cantSplit/>
        </w:trPr>
        <w:tc>
          <w:tcPr>
            <w:tcW w:w="1357" w:type="pct"/>
            <w:shd w:val="clear" w:color="auto" w:fill="C5E0B3" w:themeFill="accent6" w:themeFillTint="66"/>
            <w:vAlign w:val="center"/>
          </w:tcPr>
          <w:p w14:paraId="57D69624" w14:textId="77777777" w:rsidR="00013D9C" w:rsidRPr="000A1186" w:rsidRDefault="00013D9C" w:rsidP="000A1186">
            <w:pPr>
              <w:spacing w:after="120"/>
              <w:rPr>
                <w:b/>
                <w:bCs/>
                <w:lang w:val="bg-BG"/>
              </w:rPr>
            </w:pPr>
            <w:r w:rsidRPr="000A1186">
              <w:rPr>
                <w:rStyle w:val="Emphasis"/>
                <w:b/>
                <w:i w:val="0"/>
                <w:smallCaps/>
                <w:lang w:val="bg-BG"/>
              </w:rPr>
              <w:t>Специфична цел</w:t>
            </w:r>
            <w:r w:rsidRPr="000A1186">
              <w:rPr>
                <w:rStyle w:val="Emphasis"/>
                <w:i w:val="0"/>
                <w:lang w:val="bg-BG"/>
              </w:rPr>
              <w:t>:</w:t>
            </w:r>
          </w:p>
        </w:tc>
        <w:tc>
          <w:tcPr>
            <w:tcW w:w="3643" w:type="pct"/>
            <w:shd w:val="clear" w:color="auto" w:fill="C5E0B3" w:themeFill="accent6" w:themeFillTint="66"/>
            <w:vAlign w:val="center"/>
          </w:tcPr>
          <w:p w14:paraId="5E4AD0FF" w14:textId="77777777" w:rsidR="00013D9C" w:rsidRPr="000A1186" w:rsidRDefault="00013D9C" w:rsidP="000A1186">
            <w:pPr>
              <w:pStyle w:val="NoSpacing"/>
              <w:spacing w:after="120"/>
              <w:rPr>
                <w:iCs/>
                <w:lang w:val="bg-BG"/>
              </w:rPr>
            </w:pPr>
            <w:r w:rsidRPr="000A1186">
              <w:rPr>
                <w:bCs/>
                <w:lang w:val="bg-BG"/>
              </w:rPr>
              <w:t>Оптимизиране на средата за изпълнение на Споразумението за партньорство</w:t>
            </w:r>
          </w:p>
        </w:tc>
      </w:tr>
      <w:tr w:rsidR="00013D9C" w:rsidRPr="000A1186" w14:paraId="389F6E51" w14:textId="77777777" w:rsidTr="00196909">
        <w:trPr>
          <w:cantSplit/>
        </w:trPr>
        <w:tc>
          <w:tcPr>
            <w:tcW w:w="1357" w:type="pct"/>
            <w:shd w:val="clear" w:color="auto" w:fill="C5E0B3" w:themeFill="accent6" w:themeFillTint="66"/>
            <w:vAlign w:val="center"/>
          </w:tcPr>
          <w:p w14:paraId="08083B16" w14:textId="77777777" w:rsidR="00013D9C" w:rsidRPr="000A1186" w:rsidRDefault="00013D9C" w:rsidP="000A1186">
            <w:pPr>
              <w:spacing w:after="120"/>
              <w:rPr>
                <w:rStyle w:val="Emphasis"/>
                <w:b/>
                <w:i w:val="0"/>
                <w:smallCaps/>
                <w:lang w:val="bg-BG"/>
              </w:rPr>
            </w:pPr>
            <w:r w:rsidRPr="000A1186">
              <w:rPr>
                <w:rStyle w:val="Emphasis"/>
                <w:b/>
                <w:i w:val="0"/>
                <w:smallCaps/>
                <w:lang w:val="bg-BG"/>
              </w:rPr>
              <w:t>област/код на интервенция</w:t>
            </w:r>
            <w:r w:rsidRPr="000A1186">
              <w:rPr>
                <w:rStyle w:val="Emphasis"/>
                <w:b/>
                <w:i w:val="0"/>
                <w:lang w:val="bg-BG"/>
              </w:rPr>
              <w:t>:</w:t>
            </w:r>
          </w:p>
        </w:tc>
        <w:tc>
          <w:tcPr>
            <w:tcW w:w="3643" w:type="pct"/>
            <w:shd w:val="clear" w:color="auto" w:fill="C5E0B3" w:themeFill="accent6" w:themeFillTint="66"/>
            <w:vAlign w:val="center"/>
          </w:tcPr>
          <w:p w14:paraId="3ECF7A9B" w14:textId="0DC3DB05" w:rsidR="00013D9C" w:rsidRPr="000A1186" w:rsidRDefault="00013D9C" w:rsidP="000A1186">
            <w:pPr>
              <w:pStyle w:val="NoSpacing"/>
              <w:tabs>
                <w:tab w:val="left" w:pos="3081"/>
              </w:tabs>
              <w:spacing w:after="120"/>
              <w:rPr>
                <w:iCs/>
                <w:lang w:val="bg-BG"/>
              </w:rPr>
            </w:pPr>
            <w:r w:rsidRPr="000A1186">
              <w:rPr>
                <w:rStyle w:val="Emphasis"/>
                <w:i w:val="0"/>
                <w:lang w:val="bg-BG"/>
              </w:rPr>
              <w:t>180</w:t>
            </w:r>
          </w:p>
        </w:tc>
      </w:tr>
      <w:tr w:rsidR="00013D9C" w:rsidRPr="000A1186" w14:paraId="61BAE4CA" w14:textId="77777777" w:rsidTr="00196909">
        <w:trPr>
          <w:cantSplit/>
        </w:trPr>
        <w:tc>
          <w:tcPr>
            <w:tcW w:w="5000" w:type="pct"/>
            <w:gridSpan w:val="2"/>
            <w:shd w:val="clear" w:color="auto" w:fill="F7CAAC" w:themeFill="accent2" w:themeFillTint="66"/>
            <w:vAlign w:val="center"/>
          </w:tcPr>
          <w:p w14:paraId="5757E361" w14:textId="77777777" w:rsidR="00013D9C" w:rsidRPr="000A1186" w:rsidRDefault="00013D9C" w:rsidP="000A1186">
            <w:pPr>
              <w:pStyle w:val="NoSpacing"/>
              <w:tabs>
                <w:tab w:val="left" w:pos="3081"/>
              </w:tabs>
              <w:spacing w:after="120"/>
              <w:rPr>
                <w:rStyle w:val="Emphasis"/>
                <w:b/>
                <w:i w:val="0"/>
                <w:lang w:val="bg-BG"/>
              </w:rPr>
            </w:pPr>
            <w:r w:rsidRPr="000A1186">
              <w:rPr>
                <w:b/>
                <w:i/>
                <w:lang w:val="bg-BG"/>
              </w:rPr>
              <w:t xml:space="preserve">1. </w:t>
            </w:r>
            <w:r w:rsidRPr="000A1186">
              <w:rPr>
                <w:rStyle w:val="Emphasis"/>
                <w:b/>
                <w:i w:val="0"/>
                <w:smallCaps/>
                <w:lang w:val="bg-BG"/>
              </w:rPr>
              <w:t>Мерна единица</w:t>
            </w:r>
          </w:p>
        </w:tc>
      </w:tr>
      <w:tr w:rsidR="00013D9C" w:rsidRPr="000A1186" w14:paraId="36CBB0F1" w14:textId="77777777" w:rsidTr="00196909">
        <w:trPr>
          <w:cantSplit/>
        </w:trPr>
        <w:tc>
          <w:tcPr>
            <w:tcW w:w="5000" w:type="pct"/>
            <w:gridSpan w:val="2"/>
            <w:shd w:val="clear" w:color="auto" w:fill="auto"/>
            <w:vAlign w:val="center"/>
          </w:tcPr>
          <w:p w14:paraId="59E81071" w14:textId="77777777" w:rsidR="00013D9C" w:rsidRPr="000A1186" w:rsidRDefault="00013D9C" w:rsidP="000A1186">
            <w:pPr>
              <w:pStyle w:val="NoSpacing"/>
              <w:tabs>
                <w:tab w:val="left" w:pos="3081"/>
              </w:tabs>
              <w:spacing w:after="120"/>
              <w:rPr>
                <w:b/>
                <w:lang w:val="bg-BG"/>
              </w:rPr>
            </w:pPr>
            <w:r w:rsidRPr="000A1186">
              <w:rPr>
                <w:b/>
                <w:lang w:val="bg-BG"/>
              </w:rPr>
              <w:t>брой</w:t>
            </w:r>
          </w:p>
        </w:tc>
      </w:tr>
      <w:tr w:rsidR="00013D9C" w:rsidRPr="000A1186" w14:paraId="77F6B2CA" w14:textId="77777777" w:rsidTr="00196909">
        <w:trPr>
          <w:cantSplit/>
        </w:trPr>
        <w:tc>
          <w:tcPr>
            <w:tcW w:w="5000" w:type="pct"/>
            <w:gridSpan w:val="2"/>
            <w:shd w:val="clear" w:color="auto" w:fill="F7CAAC" w:themeFill="accent2" w:themeFillTint="66"/>
            <w:vAlign w:val="center"/>
          </w:tcPr>
          <w:p w14:paraId="3F4FEAFD" w14:textId="77777777" w:rsidR="00013D9C" w:rsidRPr="000A1186" w:rsidRDefault="00013D9C" w:rsidP="000A1186">
            <w:pPr>
              <w:pStyle w:val="NoSpacing"/>
              <w:tabs>
                <w:tab w:val="left" w:pos="3081"/>
              </w:tabs>
              <w:spacing w:after="120"/>
              <w:rPr>
                <w:b/>
                <w:i/>
                <w:lang w:val="bg-BG"/>
              </w:rPr>
            </w:pPr>
            <w:r w:rsidRPr="000A1186">
              <w:rPr>
                <w:b/>
                <w:i/>
                <w:lang w:val="bg-BG"/>
              </w:rPr>
              <w:t xml:space="preserve">2. </w:t>
            </w:r>
            <w:r w:rsidRPr="000A1186">
              <w:rPr>
                <w:rStyle w:val="Emphasis"/>
                <w:b/>
                <w:i w:val="0"/>
                <w:smallCaps/>
                <w:lang w:val="bg-BG"/>
              </w:rPr>
              <w:t>Стойност</w:t>
            </w:r>
          </w:p>
        </w:tc>
      </w:tr>
      <w:tr w:rsidR="00013D9C" w:rsidRPr="000A1186" w14:paraId="3354B4EC" w14:textId="77777777" w:rsidTr="00196909">
        <w:trPr>
          <w:cantSplit/>
        </w:trPr>
        <w:tc>
          <w:tcPr>
            <w:tcW w:w="1357" w:type="pct"/>
            <w:shd w:val="clear" w:color="auto" w:fill="C5E0B3" w:themeFill="accent6" w:themeFillTint="66"/>
          </w:tcPr>
          <w:p w14:paraId="4E35E924" w14:textId="77777777" w:rsidR="00013D9C" w:rsidRPr="000A1186" w:rsidRDefault="00013D9C" w:rsidP="000A1186">
            <w:pPr>
              <w:pStyle w:val="Xreftext"/>
              <w:numPr>
                <w:ilvl w:val="0"/>
                <w:numId w:val="0"/>
              </w:numPr>
              <w:tabs>
                <w:tab w:val="left" w:pos="315"/>
              </w:tabs>
              <w:spacing w:after="120"/>
              <w:ind w:left="360"/>
              <w:jc w:val="both"/>
              <w:rPr>
                <w:b/>
                <w:iCs/>
                <w:szCs w:val="24"/>
                <w:lang w:val="bg-BG"/>
              </w:rPr>
            </w:pPr>
            <w:r w:rsidRPr="000A1186">
              <w:rPr>
                <w:rStyle w:val="Emphasis"/>
                <w:b/>
                <w:i w:val="0"/>
                <w:smallCaps/>
                <w:szCs w:val="24"/>
                <w:lang w:val="bg-BG"/>
              </w:rPr>
              <w:t>Междинна цел</w:t>
            </w:r>
          </w:p>
        </w:tc>
        <w:tc>
          <w:tcPr>
            <w:tcW w:w="3643" w:type="pct"/>
            <w:shd w:val="clear" w:color="auto" w:fill="C5E0B3" w:themeFill="accent6" w:themeFillTint="66"/>
            <w:vAlign w:val="center"/>
          </w:tcPr>
          <w:p w14:paraId="053DEA5D" w14:textId="67178899" w:rsidR="00013D9C" w:rsidRPr="000A1186" w:rsidRDefault="00013D9C" w:rsidP="000A1186">
            <w:pPr>
              <w:pStyle w:val="Xreftext"/>
              <w:numPr>
                <w:ilvl w:val="0"/>
                <w:numId w:val="0"/>
              </w:numPr>
              <w:tabs>
                <w:tab w:val="left" w:pos="315"/>
              </w:tabs>
              <w:spacing w:after="120"/>
              <w:ind w:left="360" w:hanging="360"/>
              <w:jc w:val="both"/>
              <w:rPr>
                <w:b/>
                <w:iCs/>
                <w:szCs w:val="24"/>
                <w:lang w:val="bg-BG"/>
              </w:rPr>
            </w:pPr>
            <w:r w:rsidRPr="000A1186">
              <w:rPr>
                <w:b/>
                <w:szCs w:val="24"/>
                <w:lang w:val="bg-BG"/>
              </w:rPr>
              <w:t>292,54</w:t>
            </w:r>
            <w:r w:rsidRPr="000A1186">
              <w:rPr>
                <w:b/>
                <w:iCs/>
                <w:szCs w:val="24"/>
                <w:lang w:val="bg-BG"/>
              </w:rPr>
              <w:t xml:space="preserve"> броя</w:t>
            </w:r>
          </w:p>
        </w:tc>
      </w:tr>
      <w:tr w:rsidR="00013D9C" w:rsidRPr="000A1186" w14:paraId="0377484A" w14:textId="77777777" w:rsidTr="00196909">
        <w:trPr>
          <w:cantSplit/>
        </w:trPr>
        <w:tc>
          <w:tcPr>
            <w:tcW w:w="1357" w:type="pct"/>
            <w:shd w:val="clear" w:color="auto" w:fill="C5E0B3" w:themeFill="accent6" w:themeFillTint="66"/>
          </w:tcPr>
          <w:p w14:paraId="53AD91FB" w14:textId="77777777" w:rsidR="00013D9C" w:rsidRPr="000A1186" w:rsidRDefault="00013D9C" w:rsidP="000A1186">
            <w:pPr>
              <w:pStyle w:val="Xreftext"/>
              <w:numPr>
                <w:ilvl w:val="0"/>
                <w:numId w:val="0"/>
              </w:numPr>
              <w:tabs>
                <w:tab w:val="left" w:pos="315"/>
              </w:tabs>
              <w:spacing w:after="120"/>
              <w:ind w:left="360"/>
              <w:jc w:val="both"/>
              <w:rPr>
                <w:b/>
                <w:iCs/>
                <w:szCs w:val="24"/>
                <w:lang w:val="bg-BG"/>
              </w:rPr>
            </w:pPr>
            <w:r w:rsidRPr="000A1186">
              <w:rPr>
                <w:rStyle w:val="Emphasis"/>
                <w:b/>
                <w:i w:val="0"/>
                <w:smallCaps/>
                <w:szCs w:val="24"/>
                <w:lang w:val="bg-BG"/>
              </w:rPr>
              <w:t xml:space="preserve">Целева стойност </w:t>
            </w:r>
          </w:p>
        </w:tc>
        <w:tc>
          <w:tcPr>
            <w:tcW w:w="3643" w:type="pct"/>
            <w:shd w:val="clear" w:color="auto" w:fill="C5E0B3" w:themeFill="accent6" w:themeFillTint="66"/>
            <w:vAlign w:val="center"/>
          </w:tcPr>
          <w:p w14:paraId="44C638A1" w14:textId="2BD23F32" w:rsidR="00013D9C" w:rsidRPr="000A1186" w:rsidRDefault="00013D9C" w:rsidP="000A1186">
            <w:pPr>
              <w:pStyle w:val="Xreftext"/>
              <w:numPr>
                <w:ilvl w:val="0"/>
                <w:numId w:val="0"/>
              </w:numPr>
              <w:tabs>
                <w:tab w:val="left" w:pos="315"/>
              </w:tabs>
              <w:spacing w:after="120"/>
              <w:ind w:left="360" w:hanging="360"/>
              <w:jc w:val="both"/>
              <w:rPr>
                <w:b/>
                <w:iCs/>
                <w:szCs w:val="24"/>
                <w:lang w:val="bg-BG"/>
              </w:rPr>
            </w:pPr>
            <w:r w:rsidRPr="000A1186">
              <w:rPr>
                <w:b/>
                <w:szCs w:val="24"/>
                <w:lang w:val="bg-BG"/>
              </w:rPr>
              <w:t>292,54</w:t>
            </w:r>
            <w:r w:rsidRPr="000A1186">
              <w:rPr>
                <w:b/>
                <w:iCs/>
                <w:szCs w:val="24"/>
                <w:lang w:val="bg-BG"/>
              </w:rPr>
              <w:t xml:space="preserve"> броя</w:t>
            </w:r>
          </w:p>
        </w:tc>
      </w:tr>
      <w:tr w:rsidR="00013D9C" w:rsidRPr="000A1186" w14:paraId="7E1CC77A" w14:textId="77777777" w:rsidTr="00196909">
        <w:trPr>
          <w:cantSplit/>
        </w:trPr>
        <w:tc>
          <w:tcPr>
            <w:tcW w:w="5000" w:type="pct"/>
            <w:gridSpan w:val="2"/>
            <w:shd w:val="clear" w:color="auto" w:fill="F7CAAC" w:themeFill="accent2" w:themeFillTint="66"/>
          </w:tcPr>
          <w:p w14:paraId="121D0385" w14:textId="77777777" w:rsidR="00013D9C" w:rsidRPr="000A1186" w:rsidRDefault="00013D9C" w:rsidP="000A1186">
            <w:pPr>
              <w:pStyle w:val="Xreftext"/>
              <w:numPr>
                <w:ilvl w:val="0"/>
                <w:numId w:val="0"/>
              </w:numPr>
              <w:tabs>
                <w:tab w:val="left" w:pos="315"/>
              </w:tabs>
              <w:spacing w:after="120"/>
              <w:ind w:left="360" w:hanging="360"/>
              <w:jc w:val="both"/>
              <w:rPr>
                <w:b/>
                <w:i/>
                <w:iCs/>
                <w:szCs w:val="24"/>
                <w:lang w:val="bg-BG"/>
              </w:rPr>
            </w:pPr>
            <w:r w:rsidRPr="000A1186">
              <w:rPr>
                <w:b/>
                <w:i/>
                <w:szCs w:val="24"/>
                <w:lang w:val="bg-BG"/>
              </w:rPr>
              <w:t xml:space="preserve">3. </w:t>
            </w:r>
            <w:r w:rsidRPr="000A1186">
              <w:rPr>
                <w:rStyle w:val="Emphasis"/>
                <w:b/>
                <w:i w:val="0"/>
                <w:smallCaps/>
                <w:szCs w:val="24"/>
                <w:lang w:val="bg-BG"/>
              </w:rPr>
              <w:t>Определение</w:t>
            </w:r>
          </w:p>
        </w:tc>
      </w:tr>
      <w:tr w:rsidR="00E2681F" w:rsidRPr="000A1186" w14:paraId="55311787" w14:textId="77777777" w:rsidTr="00E2681F">
        <w:trPr>
          <w:cantSplit/>
        </w:trPr>
        <w:tc>
          <w:tcPr>
            <w:tcW w:w="5000" w:type="pct"/>
            <w:gridSpan w:val="2"/>
            <w:shd w:val="clear" w:color="auto" w:fill="auto"/>
          </w:tcPr>
          <w:p w14:paraId="46FE0458" w14:textId="77777777" w:rsidR="00E2681F" w:rsidRPr="000A1186" w:rsidRDefault="00E2681F" w:rsidP="000A1186">
            <w:pPr>
              <w:tabs>
                <w:tab w:val="left" w:pos="9072"/>
              </w:tabs>
              <w:autoSpaceDE w:val="0"/>
              <w:autoSpaceDN w:val="0"/>
              <w:adjustRightInd w:val="0"/>
              <w:spacing w:after="120"/>
              <w:jc w:val="both"/>
              <w:rPr>
                <w:lang w:val="bg-BG" w:eastAsia="bg-BG"/>
              </w:rPr>
            </w:pPr>
            <w:r w:rsidRPr="000A1186">
              <w:rPr>
                <w:lang w:val="bg-BG" w:eastAsia="bg-BG"/>
              </w:rPr>
              <w:t>Брой служители, чиито възнаграждения и обезщетения, свързани с тях</w:t>
            </w:r>
            <w:r w:rsidRPr="000A1186">
              <w:rPr>
                <w:vertAlign w:val="superscript"/>
                <w:lang w:val="bg-BG"/>
              </w:rPr>
              <w:footnoteReference w:id="2"/>
            </w:r>
            <w:r w:rsidRPr="000A1186">
              <w:rPr>
                <w:vertAlign w:val="superscript"/>
                <w:lang w:val="bg-BG" w:eastAsia="bg-BG"/>
              </w:rPr>
              <w:t>,</w:t>
            </w:r>
            <w:r w:rsidRPr="000A1186">
              <w:rPr>
                <w:lang w:val="bg-BG" w:eastAsia="bg-BG"/>
              </w:rPr>
              <w:t xml:space="preserve"> се възстановяват по Програмата при еквивалент на пълна заетост по ЕСИФ/ЕФСУ, на следните хоризонтални структури/звена:</w:t>
            </w:r>
          </w:p>
          <w:p w14:paraId="19F98082" w14:textId="6F49B9FC" w:rsidR="00E2681F" w:rsidRPr="000A1186" w:rsidRDefault="00E2681F" w:rsidP="000A1186">
            <w:pPr>
              <w:pStyle w:val="ListParagraph"/>
              <w:numPr>
                <w:ilvl w:val="0"/>
                <w:numId w:val="14"/>
              </w:numPr>
              <w:tabs>
                <w:tab w:val="left" w:pos="9072"/>
              </w:tabs>
              <w:autoSpaceDE w:val="0"/>
              <w:autoSpaceDN w:val="0"/>
              <w:adjustRightInd w:val="0"/>
              <w:spacing w:after="120" w:line="240" w:lineRule="auto"/>
              <w:ind w:left="583" w:hanging="284"/>
              <w:contextualSpacing w:val="0"/>
              <w:jc w:val="both"/>
              <w:rPr>
                <w:rFonts w:ascii="Times New Roman" w:hAnsi="Times New Roman" w:cs="Times New Roman"/>
                <w:sz w:val="24"/>
                <w:szCs w:val="24"/>
                <w:lang w:eastAsia="bg-BG"/>
              </w:rPr>
            </w:pPr>
            <w:r w:rsidRPr="000A1186">
              <w:rPr>
                <w:rFonts w:ascii="Times New Roman" w:hAnsi="Times New Roman" w:cs="Times New Roman"/>
                <w:sz w:val="24"/>
                <w:szCs w:val="24"/>
                <w:lang w:eastAsia="bg-BG"/>
              </w:rPr>
              <w:t>Централно координационно звено</w:t>
            </w:r>
            <w:r w:rsidR="00D75CF5" w:rsidRPr="000A1186">
              <w:rPr>
                <w:rFonts w:ascii="Times New Roman" w:hAnsi="Times New Roman" w:cs="Times New Roman"/>
                <w:sz w:val="24"/>
                <w:szCs w:val="24"/>
                <w:lang w:eastAsia="bg-BG"/>
              </w:rPr>
              <w:t>;</w:t>
            </w:r>
          </w:p>
          <w:p w14:paraId="70F8F321" w14:textId="7E326341" w:rsidR="00D75CF5" w:rsidRPr="000A1186" w:rsidRDefault="00E2681F" w:rsidP="000A1186">
            <w:pPr>
              <w:pStyle w:val="ListParagraph"/>
              <w:numPr>
                <w:ilvl w:val="0"/>
                <w:numId w:val="14"/>
              </w:numPr>
              <w:tabs>
                <w:tab w:val="left" w:pos="9072"/>
              </w:tabs>
              <w:autoSpaceDE w:val="0"/>
              <w:autoSpaceDN w:val="0"/>
              <w:adjustRightInd w:val="0"/>
              <w:spacing w:after="120" w:line="240" w:lineRule="auto"/>
              <w:ind w:left="583" w:hanging="284"/>
              <w:contextualSpacing w:val="0"/>
              <w:jc w:val="both"/>
              <w:rPr>
                <w:rFonts w:ascii="Times New Roman" w:hAnsi="Times New Roman" w:cs="Times New Roman"/>
                <w:sz w:val="24"/>
                <w:szCs w:val="24"/>
                <w:lang w:eastAsia="bg-BG"/>
              </w:rPr>
            </w:pPr>
            <w:r w:rsidRPr="000A1186">
              <w:rPr>
                <w:rFonts w:ascii="Times New Roman" w:hAnsi="Times New Roman" w:cs="Times New Roman"/>
                <w:sz w:val="24"/>
                <w:szCs w:val="24"/>
                <w:lang w:eastAsia="bg-BG"/>
              </w:rPr>
              <w:t>Счетоводен орган – за дейности на дирекция „Национален фонд“ в Министерство на</w:t>
            </w:r>
            <w:r w:rsidR="00D75CF5" w:rsidRPr="000A1186">
              <w:rPr>
                <w:rFonts w:ascii="Times New Roman" w:hAnsi="Times New Roman" w:cs="Times New Roman"/>
                <w:sz w:val="24"/>
                <w:szCs w:val="24"/>
                <w:lang w:eastAsia="bg-BG"/>
              </w:rPr>
              <w:t xml:space="preserve"> финансите в качеството ѝ на Сертифициращ орган за програмите, съфинансирани от ЕСИФ и в качеството й на Счетоводен орган за програмите, съфинансирани от ЕФСУ;</w:t>
            </w:r>
          </w:p>
          <w:p w14:paraId="199419F3" w14:textId="6E16B770" w:rsidR="00D75CF5" w:rsidRPr="000A1186" w:rsidRDefault="00D75CF5" w:rsidP="000A1186">
            <w:pPr>
              <w:pStyle w:val="ListParagraph"/>
              <w:numPr>
                <w:ilvl w:val="0"/>
                <w:numId w:val="14"/>
              </w:numPr>
              <w:tabs>
                <w:tab w:val="left" w:pos="9072"/>
              </w:tabs>
              <w:autoSpaceDE w:val="0"/>
              <w:autoSpaceDN w:val="0"/>
              <w:adjustRightInd w:val="0"/>
              <w:spacing w:after="120" w:line="240" w:lineRule="auto"/>
              <w:ind w:left="583" w:hanging="284"/>
              <w:contextualSpacing w:val="0"/>
              <w:jc w:val="both"/>
              <w:rPr>
                <w:rFonts w:ascii="Times New Roman" w:hAnsi="Times New Roman" w:cs="Times New Roman"/>
                <w:sz w:val="24"/>
                <w:szCs w:val="24"/>
                <w:lang w:eastAsia="bg-BG"/>
              </w:rPr>
            </w:pPr>
            <w:r w:rsidRPr="000A1186">
              <w:rPr>
                <w:rFonts w:ascii="Times New Roman" w:hAnsi="Times New Roman" w:cs="Times New Roman"/>
                <w:sz w:val="24"/>
                <w:szCs w:val="24"/>
                <w:lang w:eastAsia="bg-BG"/>
              </w:rPr>
              <w:t>Одитен орган – за дейности на агенцията в качеството ѝ на Одитен орган по ЕСИФ и ЕФСУ;</w:t>
            </w:r>
          </w:p>
          <w:p w14:paraId="61B4348D" w14:textId="77777777" w:rsidR="00D75CF5" w:rsidRPr="000A1186" w:rsidRDefault="00D75CF5" w:rsidP="000A1186">
            <w:pPr>
              <w:pStyle w:val="ListParagraph"/>
              <w:numPr>
                <w:ilvl w:val="0"/>
                <w:numId w:val="14"/>
              </w:numPr>
              <w:tabs>
                <w:tab w:val="left" w:pos="9072"/>
              </w:tabs>
              <w:autoSpaceDE w:val="0"/>
              <w:autoSpaceDN w:val="0"/>
              <w:adjustRightInd w:val="0"/>
              <w:spacing w:after="120" w:line="240" w:lineRule="auto"/>
              <w:ind w:left="583" w:hanging="284"/>
              <w:contextualSpacing w:val="0"/>
              <w:jc w:val="both"/>
              <w:rPr>
                <w:rFonts w:ascii="Times New Roman" w:hAnsi="Times New Roman" w:cs="Times New Roman"/>
                <w:sz w:val="24"/>
                <w:szCs w:val="24"/>
                <w:lang w:eastAsia="bg-BG"/>
              </w:rPr>
            </w:pPr>
            <w:r w:rsidRPr="000A1186">
              <w:rPr>
                <w:rFonts w:ascii="Times New Roman" w:hAnsi="Times New Roman" w:cs="Times New Roman"/>
                <w:sz w:val="24"/>
                <w:szCs w:val="24"/>
                <w:lang w:eastAsia="bg-BG"/>
              </w:rPr>
              <w:t>Управляващ орган на ПТП;</w:t>
            </w:r>
          </w:p>
          <w:p w14:paraId="6C3468FB" w14:textId="68AD1055" w:rsidR="00D75CF5" w:rsidRPr="000A1186" w:rsidRDefault="00D75CF5" w:rsidP="000A1186">
            <w:pPr>
              <w:pStyle w:val="ListParagraph"/>
              <w:numPr>
                <w:ilvl w:val="0"/>
                <w:numId w:val="14"/>
              </w:numPr>
              <w:tabs>
                <w:tab w:val="left" w:pos="9072"/>
              </w:tabs>
              <w:autoSpaceDE w:val="0"/>
              <w:autoSpaceDN w:val="0"/>
              <w:adjustRightInd w:val="0"/>
              <w:spacing w:after="120" w:line="240" w:lineRule="auto"/>
              <w:ind w:left="583" w:hanging="284"/>
              <w:contextualSpacing w:val="0"/>
              <w:jc w:val="both"/>
              <w:rPr>
                <w:rFonts w:ascii="Times New Roman" w:hAnsi="Times New Roman" w:cs="Times New Roman"/>
                <w:sz w:val="24"/>
                <w:szCs w:val="24"/>
                <w:lang w:eastAsia="bg-BG"/>
              </w:rPr>
            </w:pPr>
            <w:r w:rsidRPr="000A1186">
              <w:rPr>
                <w:rFonts w:ascii="Times New Roman" w:hAnsi="Times New Roman" w:cs="Times New Roman"/>
                <w:sz w:val="24"/>
                <w:szCs w:val="24"/>
                <w:lang w:eastAsia="bg-BG"/>
              </w:rPr>
              <w:t xml:space="preserve">Агенция по обществени поръчки – за дейности по предварителен контрол на процедури за възлагане на обществени поръчки по договори, съфинансирани от ЕФСУ; </w:t>
            </w:r>
          </w:p>
          <w:p w14:paraId="5472DA64" w14:textId="7E8CE2E8" w:rsidR="00E2681F" w:rsidRPr="000A1186" w:rsidRDefault="004E2CF8" w:rsidP="000A1186">
            <w:pPr>
              <w:pStyle w:val="ListParagraph"/>
              <w:numPr>
                <w:ilvl w:val="0"/>
                <w:numId w:val="14"/>
              </w:numPr>
              <w:tabs>
                <w:tab w:val="left" w:pos="9072"/>
              </w:tabs>
              <w:autoSpaceDE w:val="0"/>
              <w:autoSpaceDN w:val="0"/>
              <w:adjustRightInd w:val="0"/>
              <w:spacing w:after="120" w:line="240" w:lineRule="auto"/>
              <w:ind w:left="583" w:hanging="284"/>
              <w:contextualSpacing w:val="0"/>
              <w:jc w:val="both"/>
              <w:rPr>
                <w:rFonts w:ascii="Times New Roman" w:hAnsi="Times New Roman" w:cs="Times New Roman"/>
                <w:sz w:val="24"/>
                <w:szCs w:val="24"/>
                <w:lang w:eastAsia="bg-BG"/>
              </w:rPr>
            </w:pPr>
            <w:r>
              <w:rPr>
                <w:rFonts w:ascii="Times New Roman" w:hAnsi="Times New Roman" w:cs="Times New Roman"/>
                <w:sz w:val="24"/>
                <w:szCs w:val="24"/>
                <w:lang w:eastAsia="bg-BG"/>
              </w:rPr>
              <w:t>Областни информационни центрове (</w:t>
            </w:r>
            <w:r w:rsidR="00D75CF5" w:rsidRPr="000A1186">
              <w:rPr>
                <w:rFonts w:ascii="Times New Roman" w:hAnsi="Times New Roman" w:cs="Times New Roman"/>
                <w:sz w:val="24"/>
                <w:szCs w:val="24"/>
                <w:lang w:eastAsia="bg-BG"/>
              </w:rPr>
              <w:t>OИЦ</w:t>
            </w:r>
            <w:r>
              <w:rPr>
                <w:rFonts w:ascii="Times New Roman" w:hAnsi="Times New Roman" w:cs="Times New Roman"/>
                <w:sz w:val="24"/>
                <w:szCs w:val="24"/>
                <w:lang w:eastAsia="bg-BG"/>
              </w:rPr>
              <w:t>)</w:t>
            </w:r>
            <w:r w:rsidR="00D75CF5" w:rsidRPr="000A1186">
              <w:rPr>
                <w:rFonts w:ascii="Times New Roman" w:hAnsi="Times New Roman" w:cs="Times New Roman"/>
                <w:sz w:val="24"/>
                <w:szCs w:val="24"/>
                <w:lang w:eastAsia="bg-BG"/>
              </w:rPr>
              <w:t>.</w:t>
            </w:r>
          </w:p>
        </w:tc>
      </w:tr>
      <w:tr w:rsidR="00013D9C" w:rsidRPr="000A1186" w14:paraId="4F85F701" w14:textId="77777777" w:rsidTr="00196909">
        <w:trPr>
          <w:cantSplit/>
        </w:trPr>
        <w:tc>
          <w:tcPr>
            <w:tcW w:w="5000" w:type="pct"/>
            <w:gridSpan w:val="2"/>
            <w:shd w:val="clear" w:color="auto" w:fill="F7CAAC" w:themeFill="accent2" w:themeFillTint="66"/>
          </w:tcPr>
          <w:p w14:paraId="1AB29189" w14:textId="1D29DA16" w:rsidR="00013D9C" w:rsidRPr="000A1186" w:rsidRDefault="00013D9C" w:rsidP="000A1186">
            <w:pPr>
              <w:pStyle w:val="Xreftext"/>
              <w:numPr>
                <w:ilvl w:val="0"/>
                <w:numId w:val="0"/>
              </w:numPr>
              <w:spacing w:after="120"/>
              <w:jc w:val="both"/>
              <w:rPr>
                <w:i/>
                <w:szCs w:val="24"/>
                <w:lang w:val="bg-BG"/>
              </w:rPr>
            </w:pPr>
            <w:r w:rsidRPr="000A1186">
              <w:rPr>
                <w:b/>
                <w:i/>
                <w:szCs w:val="24"/>
                <w:lang w:val="bg-BG"/>
              </w:rPr>
              <w:t xml:space="preserve">4. </w:t>
            </w:r>
            <w:r w:rsidRPr="000A1186">
              <w:rPr>
                <w:rStyle w:val="Emphasis"/>
                <w:b/>
                <w:i w:val="0"/>
                <w:smallCaps/>
                <w:szCs w:val="24"/>
                <w:lang w:val="bg-BG"/>
              </w:rPr>
              <w:t>Метод на изчисление и източници на информация за доказване</w:t>
            </w:r>
          </w:p>
        </w:tc>
      </w:tr>
      <w:tr w:rsidR="00D427D5" w:rsidRPr="000A1186" w14:paraId="6A521390" w14:textId="77777777" w:rsidTr="00D427D5">
        <w:trPr>
          <w:cantSplit/>
        </w:trPr>
        <w:tc>
          <w:tcPr>
            <w:tcW w:w="5000" w:type="pct"/>
            <w:gridSpan w:val="2"/>
            <w:shd w:val="clear" w:color="auto" w:fill="auto"/>
          </w:tcPr>
          <w:p w14:paraId="4B1B1DC6" w14:textId="15BDB4C3" w:rsidR="00D427D5" w:rsidRPr="000A1186" w:rsidRDefault="00D427D5" w:rsidP="004E2CF8">
            <w:pPr>
              <w:pStyle w:val="Xreftext"/>
              <w:numPr>
                <w:ilvl w:val="0"/>
                <w:numId w:val="0"/>
              </w:numPr>
              <w:spacing w:after="120"/>
              <w:jc w:val="both"/>
              <w:rPr>
                <w:bCs/>
                <w:color w:val="222A35" w:themeColor="text2" w:themeShade="80"/>
                <w:szCs w:val="24"/>
                <w:lang w:val="bg-BG" w:eastAsia="bg-BG"/>
              </w:rPr>
            </w:pPr>
            <w:r w:rsidRPr="000A1186">
              <w:rPr>
                <w:bCs/>
                <w:color w:val="222A35" w:themeColor="text2" w:themeShade="80"/>
                <w:szCs w:val="24"/>
                <w:lang w:val="bg-BG" w:eastAsia="bg-BG"/>
              </w:rPr>
              <w:t>На служителите на Централното координационно звено, Счетоводния орган, Одитния орган, Управляващия орган на ПТП, Агенцията по обществени поръчки и ОИЦ се възстановяват</w:t>
            </w:r>
          </w:p>
        </w:tc>
      </w:tr>
      <w:tr w:rsidR="00D75CF5" w:rsidRPr="000A1186" w14:paraId="5B21DD3B" w14:textId="77777777" w:rsidTr="00D75CF5">
        <w:trPr>
          <w:cantSplit/>
        </w:trPr>
        <w:tc>
          <w:tcPr>
            <w:tcW w:w="5000" w:type="pct"/>
            <w:gridSpan w:val="2"/>
            <w:shd w:val="clear" w:color="auto" w:fill="auto"/>
          </w:tcPr>
          <w:p w14:paraId="192AD188" w14:textId="292351CC" w:rsidR="00D427D5" w:rsidRPr="000A1186" w:rsidRDefault="00D427D5" w:rsidP="000A1186">
            <w:pPr>
              <w:tabs>
                <w:tab w:val="left" w:pos="9072"/>
              </w:tabs>
              <w:spacing w:after="120"/>
              <w:jc w:val="both"/>
              <w:rPr>
                <w:bCs/>
                <w:color w:val="222A35" w:themeColor="text2" w:themeShade="80"/>
                <w:lang w:val="bg-BG" w:eastAsia="bg-BG"/>
              </w:rPr>
            </w:pPr>
            <w:r w:rsidRPr="000A1186">
              <w:rPr>
                <w:bCs/>
                <w:color w:val="222A35" w:themeColor="text2" w:themeShade="80"/>
                <w:lang w:val="bg-BG" w:eastAsia="bg-BG"/>
              </w:rPr>
              <w:lastRenderedPageBreak/>
              <w:t xml:space="preserve">разходите за брутни заплати и възнаграждения, изплатени по служебни или трудови правоотношения, за обезщетения, изплатени от осигурителя за дните на временна неработоспособност съгласно Кодекса за социално осигуряване, както и разходите за задължителни социални и здравни осигурителни вноски за сметка на осигурителя за тези служители и обезщетенията за неизползван платен годишен отпуск, при условие че дейностите са определени в длъжностните характеристики и са в изпълнение на функциите по чл. 9, ал. 5 – 7, чл. 10, ал. 1 и чл. 20, ал. 1 от ЗУСЕФСУ, а за Агенцията по обществени поръчки – за извършване на дейности по предварителен контрол на процедури за възлагане на обществени поръчки по договори, съфинансирани от ЕФСУ. </w:t>
            </w:r>
          </w:p>
          <w:p w14:paraId="1AB50597" w14:textId="77777777" w:rsidR="00D427D5" w:rsidRPr="000A1186" w:rsidRDefault="00D427D5" w:rsidP="000A1186">
            <w:pPr>
              <w:tabs>
                <w:tab w:val="left" w:pos="9072"/>
              </w:tabs>
              <w:spacing w:after="120"/>
              <w:jc w:val="both"/>
              <w:rPr>
                <w:bCs/>
                <w:color w:val="222A35" w:themeColor="text2" w:themeShade="80"/>
                <w:lang w:val="bg-BG" w:eastAsia="bg-BG"/>
              </w:rPr>
            </w:pPr>
            <w:r w:rsidRPr="000A1186">
              <w:rPr>
                <w:bCs/>
                <w:color w:val="222A35" w:themeColor="text2" w:themeShade="80"/>
                <w:lang w:val="bg-BG" w:eastAsia="bg-BG"/>
              </w:rPr>
              <w:t xml:space="preserve">В случаите, когато служители на структурите/звената изпълняват и други дейности извън тези по чл. 9, ал. 5 – 7, чл. 10, ал. 1 и чл. 20, ал. 1 от ЗУСЕФСУ или съответно по ал. 2, разходите за заплати и възнаграждения, за осигурителни вноски и за обезщетенията, изплатени от осигурителя за дните на временна неработоспособност съгласно Кодекса за социално осигуряване, се финансират в размер на процентно съотношение, определено чрез анализ на заетостта на структурата/звеното въз основа на годишното планиране на дейността й/му и при отчитане на утвърдените й/му функции във връзка с </w:t>
            </w:r>
            <w:r w:rsidRPr="000A1186">
              <w:rPr>
                <w:lang w:val="bg-BG"/>
              </w:rPr>
              <w:t xml:space="preserve">управлението, наблюдението, оценката, контрола, координацията, </w:t>
            </w:r>
            <w:r w:rsidRPr="000A1186">
              <w:rPr>
                <w:bdr w:val="none" w:sz="0" w:space="0" w:color="auto" w:frame="1"/>
                <w:shd w:val="clear" w:color="auto" w:fill="FFFFFF"/>
                <w:lang w:val="bg-BG"/>
              </w:rPr>
              <w:t>одита и осигуряването на</w:t>
            </w:r>
            <w:r w:rsidRPr="000A1186">
              <w:rPr>
                <w:lang w:val="bg-BG"/>
              </w:rPr>
              <w:t xml:space="preserve"> </w:t>
            </w:r>
            <w:r w:rsidRPr="000A1186">
              <w:rPr>
                <w:bdr w:val="none" w:sz="0" w:space="0" w:color="auto" w:frame="1"/>
                <w:shd w:val="clear" w:color="auto" w:fill="FFFFFF"/>
                <w:lang w:val="bg-BG"/>
              </w:rPr>
              <w:t>видимост</w:t>
            </w:r>
            <w:r w:rsidRPr="000A1186">
              <w:rPr>
                <w:lang w:val="bg-BG"/>
              </w:rPr>
              <w:t>, прозрачност и комуникация на</w:t>
            </w:r>
            <w:r w:rsidRPr="000A1186">
              <w:rPr>
                <w:bCs/>
                <w:color w:val="222A35" w:themeColor="text2" w:themeShade="80"/>
                <w:lang w:val="bg-BG" w:eastAsia="bg-BG"/>
              </w:rPr>
              <w:t xml:space="preserve"> ЕСИФ/ЕФСУ. Анализът се изготвя по образец, приложение към съответните Условия за изпълнение, на годишна база и се утвърждава от ръководителя на бенефициента, след което се представя на УО. </w:t>
            </w:r>
          </w:p>
          <w:p w14:paraId="2DA43F5F" w14:textId="77777777" w:rsidR="00D427D5" w:rsidRPr="000A1186" w:rsidRDefault="00D427D5" w:rsidP="000A1186">
            <w:pPr>
              <w:tabs>
                <w:tab w:val="left" w:pos="9072"/>
              </w:tabs>
              <w:spacing w:after="120"/>
              <w:jc w:val="both"/>
              <w:rPr>
                <w:bCs/>
                <w:color w:val="222A35" w:themeColor="text2" w:themeShade="80"/>
                <w:lang w:val="bg-BG" w:eastAsia="bg-BG"/>
              </w:rPr>
            </w:pPr>
            <w:r w:rsidRPr="000A1186">
              <w:rPr>
                <w:bCs/>
                <w:color w:val="222A35" w:themeColor="text2" w:themeShade="80"/>
                <w:lang w:val="bg-BG" w:eastAsia="bg-BG"/>
              </w:rPr>
              <w:t xml:space="preserve">Процентното съотношение (средният процент) се изменя при изменение на някой от елементите на анализа, като актуализираната версия на анализа се представя на УО. </w:t>
            </w:r>
            <w:r w:rsidRPr="000A1186">
              <w:rPr>
                <w:lang w:val="bg-BG"/>
              </w:rPr>
              <w:t xml:space="preserve"> </w:t>
            </w:r>
          </w:p>
          <w:p w14:paraId="111FE29D" w14:textId="77777777" w:rsidR="00D427D5" w:rsidRPr="000A1186" w:rsidRDefault="00D427D5" w:rsidP="000A1186">
            <w:pPr>
              <w:tabs>
                <w:tab w:val="left" w:pos="9072"/>
              </w:tabs>
              <w:spacing w:after="120"/>
              <w:jc w:val="both"/>
              <w:rPr>
                <w:bCs/>
                <w:color w:val="222A35" w:themeColor="text2" w:themeShade="80"/>
                <w:lang w:val="bg-BG" w:eastAsia="bg-BG"/>
              </w:rPr>
            </w:pPr>
            <w:r w:rsidRPr="000A1186">
              <w:rPr>
                <w:bCs/>
                <w:color w:val="222A35" w:themeColor="text2" w:themeShade="80"/>
                <w:lang w:val="bg-BG" w:eastAsia="bg-BG"/>
              </w:rPr>
              <w:t xml:space="preserve">Всеки бенефициент представя информация на УО </w:t>
            </w:r>
            <w:r w:rsidRPr="000A1186">
              <w:rPr>
                <w:b/>
                <w:bCs/>
                <w:color w:val="222A35" w:themeColor="text2" w:themeShade="80"/>
                <w:lang w:val="bg-BG" w:eastAsia="bg-BG"/>
              </w:rPr>
              <w:t>на шестмесечна база</w:t>
            </w:r>
            <w:r w:rsidRPr="000A1186">
              <w:rPr>
                <w:bCs/>
                <w:color w:val="222A35" w:themeColor="text2" w:themeShade="80"/>
                <w:lang w:val="bg-BG" w:eastAsia="bg-BG"/>
              </w:rPr>
              <w:t xml:space="preserve"> за средния брой на заетите щатни бройки в структурата/звеното бенефициент. Средният брой на заетите щатни бройки се изчислява, като сборът от броя на назначените служители в края на всеки месец на календарното шестмесечие се раздели на 6. Изключение прави първият отчетен период, който може да не обхваща пълно календарно шестмесечие. В този случай делителят ще е равен на броя на месеците в първия отчетен период.</w:t>
            </w:r>
          </w:p>
          <w:p w14:paraId="0F455A9F" w14:textId="77777777" w:rsidR="00D427D5" w:rsidRPr="000A1186" w:rsidRDefault="00D427D5" w:rsidP="000A1186">
            <w:pPr>
              <w:tabs>
                <w:tab w:val="left" w:pos="9072"/>
              </w:tabs>
              <w:spacing w:after="120"/>
              <w:jc w:val="both"/>
              <w:rPr>
                <w:bCs/>
                <w:color w:val="222A35" w:themeColor="text2" w:themeShade="80"/>
                <w:lang w:val="bg-BG" w:eastAsia="bg-BG"/>
              </w:rPr>
            </w:pPr>
            <w:r w:rsidRPr="000A1186">
              <w:rPr>
                <w:bCs/>
                <w:color w:val="222A35" w:themeColor="text2" w:themeShade="80"/>
                <w:lang w:val="bg-BG" w:eastAsia="bg-BG"/>
              </w:rPr>
              <w:t>Броят на служителите на структурите/звената, чиито възнаграждения, свързани с тях се възстановяват при еквивалент на пълна заетост по ЕСИФ/ЕФСУ, се определя, като се умножи средният брой на заетите щатни бройки през календарното шестмесечие по средния процент на заетост на служителите, изведен от анализа на заетостта. Получената стойност се закръглява надолу до втория знак след десетичната запетая.</w:t>
            </w:r>
          </w:p>
          <w:p w14:paraId="72B23CB8" w14:textId="65F9B931" w:rsidR="00D427D5" w:rsidRPr="000A1186" w:rsidRDefault="00D427D5" w:rsidP="000A1186">
            <w:pPr>
              <w:pStyle w:val="Xreftext"/>
              <w:numPr>
                <w:ilvl w:val="0"/>
                <w:numId w:val="0"/>
              </w:numPr>
              <w:tabs>
                <w:tab w:val="left" w:pos="9072"/>
              </w:tabs>
              <w:spacing w:after="120"/>
              <w:jc w:val="both"/>
              <w:rPr>
                <w:bCs/>
                <w:szCs w:val="24"/>
                <w:lang w:val="bg-BG" w:eastAsia="bg-BG"/>
              </w:rPr>
            </w:pPr>
            <w:r w:rsidRPr="000A1186">
              <w:rPr>
                <w:bCs/>
                <w:color w:val="222A35" w:themeColor="text2" w:themeShade="80"/>
                <w:szCs w:val="24"/>
                <w:lang w:val="bg-BG" w:eastAsia="bg-BG"/>
              </w:rPr>
              <w:t>Междинната цел за 2024 г. и целевата стойност за 2029 г. се отнасят само за броя на служителите, чиито възнаграждения се възстановяват при еквивалент на пълна заетост през второто шестмесечие на съответната календарна година (2024 и 2029 г.).</w:t>
            </w:r>
          </w:p>
          <w:p w14:paraId="3AD054D2" w14:textId="77777777" w:rsidR="00D427D5" w:rsidRPr="000A1186" w:rsidRDefault="00D427D5" w:rsidP="000A1186">
            <w:pPr>
              <w:pStyle w:val="Xreftext"/>
              <w:numPr>
                <w:ilvl w:val="0"/>
                <w:numId w:val="0"/>
              </w:numPr>
              <w:tabs>
                <w:tab w:val="left" w:pos="9072"/>
              </w:tabs>
              <w:spacing w:after="120"/>
              <w:jc w:val="both"/>
              <w:rPr>
                <w:bCs/>
                <w:color w:val="222A35" w:themeColor="text2" w:themeShade="80"/>
                <w:szCs w:val="24"/>
                <w:lang w:val="bg-BG" w:eastAsia="bg-BG"/>
              </w:rPr>
            </w:pPr>
            <w:r w:rsidRPr="000A1186">
              <w:rPr>
                <w:bCs/>
                <w:color w:val="222A35" w:themeColor="text2" w:themeShade="80"/>
                <w:szCs w:val="24"/>
                <w:lang w:val="bg-BG" w:eastAsia="bg-BG"/>
              </w:rPr>
              <w:t xml:space="preserve">Напредъкът по индикатора се отчита с разбивка по категория региони в съотношение 1/6 за „Региони в преход“ и 5/6 за „По-слабо развити региони“. </w:t>
            </w:r>
          </w:p>
          <w:p w14:paraId="02D8A747" w14:textId="779C7ACE" w:rsidR="004051C0" w:rsidRPr="000A1186" w:rsidRDefault="00D427D5" w:rsidP="000A1186">
            <w:pPr>
              <w:pStyle w:val="Xreftext"/>
              <w:numPr>
                <w:ilvl w:val="0"/>
                <w:numId w:val="0"/>
              </w:numPr>
              <w:tabs>
                <w:tab w:val="left" w:pos="9072"/>
              </w:tabs>
              <w:spacing w:after="120"/>
              <w:jc w:val="both"/>
              <w:rPr>
                <w:bCs/>
                <w:color w:val="222A35" w:themeColor="text2" w:themeShade="80"/>
                <w:szCs w:val="24"/>
                <w:lang w:val="bg-BG" w:eastAsia="bg-BG"/>
              </w:rPr>
            </w:pPr>
            <w:r w:rsidRPr="000A1186">
              <w:rPr>
                <w:bCs/>
                <w:color w:val="222A35" w:themeColor="text2" w:themeShade="80"/>
                <w:szCs w:val="24"/>
                <w:lang w:val="bg-BG" w:eastAsia="bg-BG"/>
              </w:rPr>
              <w:t>Отчетната стойност на индикатора по категория „Региони в преход“ се изчислява като 1/6 от общо постигнатия напредък за отчетния период, а остатъкът се отчита по категория „По-слабо развити региони“. Всяка стойност се закръглява до втория знак след десетичната запетая.</w:t>
            </w:r>
          </w:p>
          <w:p w14:paraId="0C4C40D3" w14:textId="77777777" w:rsidR="00D75CF5" w:rsidRPr="000A1186" w:rsidRDefault="00D427D5" w:rsidP="000A1186">
            <w:pPr>
              <w:pStyle w:val="Xreftext"/>
              <w:numPr>
                <w:ilvl w:val="0"/>
                <w:numId w:val="0"/>
              </w:numPr>
              <w:spacing w:after="120"/>
              <w:jc w:val="both"/>
              <w:rPr>
                <w:bCs/>
                <w:szCs w:val="24"/>
                <w:lang w:val="bg-BG" w:eastAsia="bg-BG"/>
              </w:rPr>
            </w:pPr>
            <w:r w:rsidRPr="000A1186">
              <w:rPr>
                <w:bCs/>
                <w:szCs w:val="24"/>
                <w:lang w:val="bg-BG" w:eastAsia="bg-BG"/>
              </w:rPr>
              <w:t>За проектите на ОИЦ напредъкът по индикатора се отчита в категорията регион, където е физическото изпълнение на инвестицията.</w:t>
            </w:r>
          </w:p>
          <w:p w14:paraId="331581D0" w14:textId="5AD8D6E9" w:rsidR="00C27B49" w:rsidRPr="000A1186" w:rsidRDefault="00C27B49" w:rsidP="000A1186">
            <w:pPr>
              <w:pStyle w:val="Xreftext"/>
              <w:numPr>
                <w:ilvl w:val="0"/>
                <w:numId w:val="0"/>
              </w:numPr>
              <w:spacing w:after="120"/>
              <w:jc w:val="both"/>
              <w:rPr>
                <w:b/>
                <w:szCs w:val="24"/>
                <w:lang w:val="bg-BG"/>
              </w:rPr>
            </w:pPr>
            <w:r w:rsidRPr="000A1186">
              <w:rPr>
                <w:szCs w:val="24"/>
                <w:lang w:val="bg-BG"/>
              </w:rPr>
              <w:lastRenderedPageBreak/>
              <w:t xml:space="preserve">Конкретните документи, </w:t>
            </w:r>
            <w:r w:rsidRPr="000A1186">
              <w:rPr>
                <w:bCs/>
                <w:color w:val="000000"/>
                <w:szCs w:val="24"/>
                <w:lang w:val="bg-BG"/>
              </w:rPr>
              <w:t>доказващи</w:t>
            </w:r>
            <w:r w:rsidRPr="000A1186">
              <w:rPr>
                <w:color w:val="000000"/>
                <w:szCs w:val="24"/>
                <w:lang w:val="bg-BG"/>
              </w:rPr>
              <w:t xml:space="preserve"> изпълнението на индикатора, които бенефициентът представя при отчитане, са описани в</w:t>
            </w:r>
            <w:r w:rsidR="004F59F4">
              <w:rPr>
                <w:color w:val="000000"/>
                <w:szCs w:val="24"/>
                <w:lang w:val="bg-BG"/>
              </w:rPr>
              <w:t xml:space="preserve"> </w:t>
            </w:r>
            <w:r w:rsidR="004F59F4" w:rsidRPr="004F59F4">
              <w:rPr>
                <w:color w:val="000000"/>
                <w:szCs w:val="24"/>
                <w:lang w:val="bg-BG"/>
              </w:rPr>
              <w:t xml:space="preserve">приложение към </w:t>
            </w:r>
            <w:r w:rsidRPr="000A1186">
              <w:rPr>
                <w:color w:val="000000"/>
                <w:szCs w:val="24"/>
                <w:lang w:val="bg-BG"/>
              </w:rPr>
              <w:t>Указанията за е-отчитане, приложими за съответната процедура за предоставяне на безвъзмездна финансова помощ.</w:t>
            </w:r>
          </w:p>
        </w:tc>
      </w:tr>
      <w:tr w:rsidR="00013D9C" w:rsidRPr="000A1186" w14:paraId="520770E9" w14:textId="77777777" w:rsidTr="00196909">
        <w:trPr>
          <w:cantSplit/>
        </w:trPr>
        <w:tc>
          <w:tcPr>
            <w:tcW w:w="5000" w:type="pct"/>
            <w:gridSpan w:val="2"/>
            <w:tcBorders>
              <w:bottom w:val="single" w:sz="18" w:space="0" w:color="808080" w:themeColor="background1" w:themeShade="80"/>
            </w:tcBorders>
            <w:shd w:val="clear" w:color="auto" w:fill="F7CAAC" w:themeFill="accent2" w:themeFillTint="66"/>
          </w:tcPr>
          <w:p w14:paraId="6365C36F" w14:textId="77777777" w:rsidR="00013D9C" w:rsidRPr="000A1186" w:rsidRDefault="00013D9C" w:rsidP="000A1186">
            <w:pPr>
              <w:pStyle w:val="Xreftext"/>
              <w:numPr>
                <w:ilvl w:val="0"/>
                <w:numId w:val="0"/>
              </w:numPr>
              <w:spacing w:after="120"/>
              <w:jc w:val="both"/>
              <w:rPr>
                <w:bCs/>
                <w:i/>
                <w:szCs w:val="24"/>
                <w:lang w:val="bg-BG" w:eastAsia="bg-BG"/>
              </w:rPr>
            </w:pPr>
            <w:r w:rsidRPr="000A1186">
              <w:rPr>
                <w:b/>
                <w:i/>
                <w:szCs w:val="24"/>
                <w:lang w:val="bg-BG"/>
              </w:rPr>
              <w:lastRenderedPageBreak/>
              <w:t xml:space="preserve">5. </w:t>
            </w:r>
            <w:r w:rsidRPr="000A1186">
              <w:rPr>
                <w:rStyle w:val="Emphasis"/>
                <w:b/>
                <w:i w:val="0"/>
                <w:smallCaps/>
                <w:szCs w:val="24"/>
                <w:lang w:val="bg-BG"/>
              </w:rPr>
              <w:t>Периодичност на докладване на напредъка от бенефициентите</w:t>
            </w:r>
          </w:p>
        </w:tc>
      </w:tr>
      <w:tr w:rsidR="00013D9C" w:rsidRPr="000A1186" w14:paraId="1DC979D5" w14:textId="77777777" w:rsidTr="00656A2E">
        <w:trPr>
          <w:cantSplit/>
          <w:trHeight w:val="4615"/>
        </w:trPr>
        <w:tc>
          <w:tcPr>
            <w:tcW w:w="5000" w:type="pct"/>
            <w:gridSpan w:val="2"/>
            <w:shd w:val="clear" w:color="auto" w:fill="FFFFFF" w:themeFill="background1"/>
          </w:tcPr>
          <w:p w14:paraId="2D1EF7A0" w14:textId="77777777" w:rsidR="00DC713E" w:rsidRPr="000A1186" w:rsidRDefault="00DC713E" w:rsidP="000A1186">
            <w:pPr>
              <w:pStyle w:val="Xreftext"/>
              <w:numPr>
                <w:ilvl w:val="0"/>
                <w:numId w:val="0"/>
              </w:numPr>
              <w:spacing w:after="120"/>
              <w:ind w:firstLine="33"/>
              <w:jc w:val="both"/>
              <w:rPr>
                <w:szCs w:val="24"/>
                <w:lang w:val="bg-BG"/>
              </w:rPr>
            </w:pPr>
            <w:r w:rsidRPr="000A1186">
              <w:rPr>
                <w:bCs/>
                <w:szCs w:val="24"/>
                <w:lang w:val="bg-BG" w:eastAsia="bg-BG"/>
              </w:rPr>
              <w:t>Бенефициентът</w:t>
            </w:r>
            <w:r w:rsidRPr="000A1186">
              <w:rPr>
                <w:szCs w:val="24"/>
                <w:lang w:val="bg-BG"/>
              </w:rPr>
              <w:t xml:space="preserve"> докладва напредъка по постигането на договорените междинна цел и целева стойност на индикатора </w:t>
            </w:r>
            <w:r w:rsidRPr="000A1186">
              <w:rPr>
                <w:b/>
                <w:szCs w:val="24"/>
                <w:lang w:val="bg-BG"/>
              </w:rPr>
              <w:t>най-малко в сроковете и за периодите, както следва:</w:t>
            </w:r>
            <w:r w:rsidRPr="000A1186">
              <w:rPr>
                <w:szCs w:val="24"/>
                <w:lang w:val="bg-BG"/>
              </w:rPr>
              <w:t xml:space="preserve"> </w:t>
            </w:r>
          </w:p>
          <w:tbl>
            <w:tblPr>
              <w:tblStyle w:val="TableGrid"/>
              <w:tblW w:w="5000" w:type="pct"/>
              <w:tblLook w:val="04A0" w:firstRow="1" w:lastRow="0" w:firstColumn="1" w:lastColumn="0" w:noHBand="0" w:noVBand="1"/>
            </w:tblPr>
            <w:tblGrid>
              <w:gridCol w:w="5555"/>
              <w:gridCol w:w="4443"/>
            </w:tblGrid>
            <w:tr w:rsidR="00656A2E" w:rsidRPr="000A1186" w14:paraId="7132AFE0" w14:textId="77777777" w:rsidTr="004E2CF8">
              <w:tc>
                <w:tcPr>
                  <w:tcW w:w="2778" w:type="pct"/>
                  <w:shd w:val="clear" w:color="auto" w:fill="D9D9D9" w:themeFill="background1" w:themeFillShade="D9"/>
                </w:tcPr>
                <w:p w14:paraId="5687EFF4" w14:textId="1982D6EC" w:rsidR="00656A2E" w:rsidRPr="000A1186" w:rsidRDefault="00656A2E" w:rsidP="000A1186">
                  <w:pPr>
                    <w:tabs>
                      <w:tab w:val="left" w:pos="9072"/>
                    </w:tabs>
                    <w:spacing w:after="120"/>
                    <w:jc w:val="center"/>
                    <w:rPr>
                      <w:rFonts w:ascii="Times New Roman" w:hAnsi="Times New Roman" w:cs="Times New Roman"/>
                      <w:b/>
                      <w:bCs/>
                      <w:color w:val="222A35" w:themeColor="text2" w:themeShade="80"/>
                      <w:lang w:val="bg-BG" w:eastAsia="bg-BG"/>
                    </w:rPr>
                  </w:pPr>
                  <w:r w:rsidRPr="000A1186">
                    <w:rPr>
                      <w:rFonts w:ascii="Times New Roman" w:hAnsi="Times New Roman" w:cs="Times New Roman"/>
                      <w:b/>
                      <w:bCs/>
                      <w:smallCaps/>
                      <w:lang w:val="bg-BG" w:eastAsia="bg-BG"/>
                    </w:rPr>
                    <w:t xml:space="preserve">Срок за докладване пред управляващия орган </w:t>
                  </w:r>
                </w:p>
              </w:tc>
              <w:tc>
                <w:tcPr>
                  <w:tcW w:w="2222" w:type="pct"/>
                  <w:shd w:val="clear" w:color="auto" w:fill="D9D9D9" w:themeFill="background1" w:themeFillShade="D9"/>
                </w:tcPr>
                <w:p w14:paraId="380D4C3E" w14:textId="4B7BDEA5" w:rsidR="00656A2E" w:rsidRPr="000A1186" w:rsidRDefault="00656A2E" w:rsidP="000A1186">
                  <w:pPr>
                    <w:tabs>
                      <w:tab w:val="left" w:pos="9072"/>
                    </w:tabs>
                    <w:spacing w:after="120"/>
                    <w:jc w:val="center"/>
                    <w:rPr>
                      <w:rFonts w:ascii="Times New Roman" w:hAnsi="Times New Roman" w:cs="Times New Roman"/>
                      <w:b/>
                      <w:bCs/>
                      <w:color w:val="222A35" w:themeColor="text2" w:themeShade="80"/>
                      <w:lang w:val="bg-BG" w:eastAsia="bg-BG"/>
                    </w:rPr>
                  </w:pPr>
                  <w:r w:rsidRPr="000A1186">
                    <w:rPr>
                      <w:rFonts w:ascii="Times New Roman" w:hAnsi="Times New Roman" w:cs="Times New Roman"/>
                      <w:b/>
                      <w:bCs/>
                      <w:smallCaps/>
                      <w:lang w:val="bg-BG" w:eastAsia="bg-BG"/>
                    </w:rPr>
                    <w:t>Отчетен период</w:t>
                  </w:r>
                </w:p>
              </w:tc>
            </w:tr>
            <w:tr w:rsidR="00DC713E" w:rsidRPr="000A1186" w14:paraId="5BB16F1B" w14:textId="77777777" w:rsidTr="004E2CF8">
              <w:tc>
                <w:tcPr>
                  <w:tcW w:w="2778" w:type="pct"/>
                </w:tcPr>
                <w:p w14:paraId="2C1D7168" w14:textId="4687FA62" w:rsidR="00DC713E" w:rsidRPr="000A1186" w:rsidRDefault="00DC713E"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30.04.2024 г.</w:t>
                  </w:r>
                </w:p>
              </w:tc>
              <w:tc>
                <w:tcPr>
                  <w:tcW w:w="2222" w:type="pct"/>
                </w:tcPr>
                <w:p w14:paraId="00947DF9" w14:textId="699D6C13" w:rsidR="00DC713E" w:rsidRPr="000A1186" w:rsidRDefault="00DC713E"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Начало на срока на изпълнение на БЛ – 31.12.2023 г.</w:t>
                  </w:r>
                </w:p>
              </w:tc>
            </w:tr>
            <w:tr w:rsidR="00DC713E" w:rsidRPr="000A1186" w14:paraId="40D9B937" w14:textId="77777777" w:rsidTr="004E2CF8">
              <w:tc>
                <w:tcPr>
                  <w:tcW w:w="2778" w:type="pct"/>
                </w:tcPr>
                <w:p w14:paraId="63EF365B" w14:textId="00C7DFE4" w:rsidR="00DC713E" w:rsidRPr="000A1186" w:rsidRDefault="00DC713E"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31.10.2024</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2025</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2026</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2027</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2028</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2029 г.</w:t>
                  </w:r>
                </w:p>
              </w:tc>
              <w:tc>
                <w:tcPr>
                  <w:tcW w:w="2222" w:type="pct"/>
                </w:tcPr>
                <w:p w14:paraId="6B052E9A" w14:textId="7E429952" w:rsidR="00DC713E" w:rsidRPr="000A1186" w:rsidRDefault="00DC713E"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01.01 – 30.06 на текущата година</w:t>
                  </w:r>
                </w:p>
              </w:tc>
            </w:tr>
            <w:tr w:rsidR="00DC713E" w:rsidRPr="000A1186" w14:paraId="21272F5E" w14:textId="77777777" w:rsidTr="004E2CF8">
              <w:tc>
                <w:tcPr>
                  <w:tcW w:w="2778" w:type="pct"/>
                </w:tcPr>
                <w:p w14:paraId="1A0B5051" w14:textId="5C00D9D2" w:rsidR="00DC713E" w:rsidRPr="000A1186" w:rsidRDefault="00DC713E"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15.01.2025 г.</w:t>
                  </w:r>
                </w:p>
              </w:tc>
              <w:tc>
                <w:tcPr>
                  <w:tcW w:w="2222" w:type="pct"/>
                </w:tcPr>
                <w:p w14:paraId="3F14EF25" w14:textId="27B13105" w:rsidR="00DC713E" w:rsidRPr="000A1186" w:rsidRDefault="00DC713E"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01.07 – 31.12.2024 г.</w:t>
                  </w:r>
                </w:p>
              </w:tc>
            </w:tr>
            <w:tr w:rsidR="00E2681F" w:rsidRPr="000A1186" w14:paraId="7A9B55B7" w14:textId="77777777" w:rsidTr="004E2CF8">
              <w:tc>
                <w:tcPr>
                  <w:tcW w:w="2778" w:type="pct"/>
                </w:tcPr>
                <w:p w14:paraId="29E0A619" w14:textId="1D4E2017" w:rsidR="00E2681F" w:rsidRPr="000A1186" w:rsidRDefault="00E2681F"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30.04.2026</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2027</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2028</w:t>
                  </w:r>
                  <w:r w:rsidR="00CE2660" w:rsidRPr="000A1186">
                    <w:rPr>
                      <w:rFonts w:ascii="Times New Roman" w:hAnsi="Times New Roman" w:cs="Times New Roman"/>
                      <w:bCs/>
                      <w:color w:val="222A35" w:themeColor="text2" w:themeShade="80"/>
                      <w:lang w:val="bg-BG" w:eastAsia="bg-BG"/>
                    </w:rPr>
                    <w:t xml:space="preserve"> г.</w:t>
                  </w:r>
                  <w:r w:rsidRPr="000A1186">
                    <w:rPr>
                      <w:rFonts w:ascii="Times New Roman" w:hAnsi="Times New Roman" w:cs="Times New Roman"/>
                      <w:bCs/>
                      <w:color w:val="222A35" w:themeColor="text2" w:themeShade="80"/>
                      <w:lang w:val="bg-BG" w:eastAsia="bg-BG"/>
                    </w:rPr>
                    <w:t xml:space="preserve"> и 2029 г.</w:t>
                  </w:r>
                </w:p>
              </w:tc>
              <w:tc>
                <w:tcPr>
                  <w:tcW w:w="2222" w:type="pct"/>
                </w:tcPr>
                <w:p w14:paraId="2A50D8D6" w14:textId="77777777" w:rsidR="00E2681F" w:rsidRPr="000A1186" w:rsidRDefault="00E2681F"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01.07 – 31.12 на предходната година</w:t>
                  </w:r>
                </w:p>
              </w:tc>
            </w:tr>
            <w:tr w:rsidR="00E2681F" w:rsidRPr="000A1186" w14:paraId="4EAE7FDE" w14:textId="77777777" w:rsidTr="004E2CF8">
              <w:tc>
                <w:tcPr>
                  <w:tcW w:w="2778" w:type="pct"/>
                </w:tcPr>
                <w:p w14:paraId="343454BA" w14:textId="77777777" w:rsidR="00E2681F" w:rsidRPr="000A1186" w:rsidRDefault="00E2681F" w:rsidP="000A1186">
                  <w:pPr>
                    <w:tabs>
                      <w:tab w:val="left" w:pos="9072"/>
                    </w:tabs>
                    <w:spacing w:after="120"/>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Срок, определен за окончателно отчитане в Условията за изпълнение</w:t>
                  </w:r>
                </w:p>
              </w:tc>
              <w:tc>
                <w:tcPr>
                  <w:tcW w:w="2222" w:type="pct"/>
                </w:tcPr>
                <w:p w14:paraId="56A3382A" w14:textId="77777777" w:rsidR="00E2681F" w:rsidRPr="000A1186" w:rsidRDefault="00E2681F" w:rsidP="000A1186">
                  <w:pPr>
                    <w:tabs>
                      <w:tab w:val="left" w:pos="9072"/>
                    </w:tabs>
                    <w:spacing w:after="120"/>
                    <w:jc w:val="both"/>
                    <w:rPr>
                      <w:rFonts w:ascii="Times New Roman" w:hAnsi="Times New Roman" w:cs="Times New Roman"/>
                      <w:bCs/>
                      <w:color w:val="222A35" w:themeColor="text2" w:themeShade="80"/>
                      <w:lang w:val="bg-BG" w:eastAsia="bg-BG"/>
                    </w:rPr>
                  </w:pPr>
                  <w:r w:rsidRPr="000A1186">
                    <w:rPr>
                      <w:rFonts w:ascii="Times New Roman" w:hAnsi="Times New Roman" w:cs="Times New Roman"/>
                      <w:bCs/>
                      <w:color w:val="222A35" w:themeColor="text2" w:themeShade="80"/>
                      <w:lang w:val="bg-BG" w:eastAsia="bg-BG"/>
                    </w:rPr>
                    <w:t>01.07 – 31.12.2029 г.</w:t>
                  </w:r>
                </w:p>
              </w:tc>
            </w:tr>
          </w:tbl>
          <w:p w14:paraId="13171716" w14:textId="0FF70DD4" w:rsidR="00E2681F" w:rsidRPr="000A1186" w:rsidRDefault="00700B03" w:rsidP="000A1186">
            <w:pPr>
              <w:pStyle w:val="Xreftext"/>
              <w:numPr>
                <w:ilvl w:val="0"/>
                <w:numId w:val="0"/>
              </w:numPr>
              <w:spacing w:after="120"/>
              <w:ind w:left="15"/>
              <w:jc w:val="both"/>
              <w:rPr>
                <w:szCs w:val="24"/>
                <w:lang w:val="bg-BG"/>
              </w:rPr>
            </w:pPr>
            <w:r w:rsidRPr="000A1186">
              <w:rPr>
                <w:szCs w:val="24"/>
                <w:lang w:val="bg-BG"/>
              </w:rPr>
              <w:t>В случай на отчитане на по-кратки периоди от посочените в таблицата</w:t>
            </w:r>
            <w:r w:rsidR="00EB27E5" w:rsidRPr="000A1186">
              <w:rPr>
                <w:szCs w:val="24"/>
                <w:lang w:val="bg-BG"/>
              </w:rPr>
              <w:t xml:space="preserve"> срокове</w:t>
            </w:r>
            <w:r w:rsidRPr="000A1186">
              <w:rPr>
                <w:szCs w:val="24"/>
                <w:lang w:val="bg-BG"/>
              </w:rPr>
              <w:t>, като напредък по този индикатор се въвежда</w:t>
            </w:r>
            <w:r w:rsidR="0063071F" w:rsidRPr="000A1186">
              <w:rPr>
                <w:szCs w:val="24"/>
                <w:lang w:val="bg-BG"/>
              </w:rPr>
              <w:t>т</w:t>
            </w:r>
            <w:r w:rsidRPr="000A1186">
              <w:rPr>
                <w:szCs w:val="24"/>
                <w:lang w:val="bg-BG"/>
              </w:rPr>
              <w:t xml:space="preserve"> постигнатите стойности за последното изтекло шестмесечие (януари-юни или юли-декември). </w:t>
            </w:r>
          </w:p>
          <w:p w14:paraId="07E32D65" w14:textId="07278B49" w:rsidR="00013D9C" w:rsidRPr="000A1186" w:rsidRDefault="00013D9C" w:rsidP="000A1186">
            <w:pPr>
              <w:pStyle w:val="Xreftext"/>
              <w:numPr>
                <w:ilvl w:val="0"/>
                <w:numId w:val="0"/>
              </w:numPr>
              <w:spacing w:after="120"/>
              <w:ind w:left="15"/>
              <w:jc w:val="both"/>
              <w:rPr>
                <w:szCs w:val="24"/>
                <w:lang w:val="bg-BG"/>
              </w:rPr>
            </w:pPr>
            <w:r w:rsidRPr="000A1186">
              <w:rPr>
                <w:szCs w:val="24"/>
                <w:lang w:val="bg-BG"/>
              </w:rPr>
              <w:t>Бенефициентът следва да достигне стойността на договорената междинна цел</w:t>
            </w:r>
            <w:r w:rsidRPr="000A1186">
              <w:rPr>
                <w:b/>
                <w:szCs w:val="24"/>
                <w:lang w:val="bg-BG"/>
              </w:rPr>
              <w:t xml:space="preserve"> най-късно до 31.12.2024 г.</w:t>
            </w:r>
          </w:p>
          <w:p w14:paraId="31513C0E" w14:textId="595B925F" w:rsidR="00013D9C" w:rsidRPr="000A1186" w:rsidRDefault="00013D9C" w:rsidP="000A1186">
            <w:pPr>
              <w:pStyle w:val="Xreftext"/>
              <w:numPr>
                <w:ilvl w:val="0"/>
                <w:numId w:val="0"/>
              </w:numPr>
              <w:spacing w:after="120"/>
              <w:jc w:val="both"/>
              <w:rPr>
                <w:szCs w:val="24"/>
                <w:lang w:val="bg-BG"/>
              </w:rPr>
            </w:pPr>
            <w:r w:rsidRPr="000A1186">
              <w:rPr>
                <w:szCs w:val="24"/>
                <w:lang w:val="bg-BG"/>
              </w:rPr>
              <w:t>Бенефициентът следва да достигне договорената целева стойност на индикатора до изтичане на договорения срок.</w:t>
            </w:r>
          </w:p>
          <w:p w14:paraId="1479C00D" w14:textId="445A50B7" w:rsidR="00013D9C" w:rsidRPr="000A1186" w:rsidRDefault="00013D9C" w:rsidP="000A1186">
            <w:pPr>
              <w:pStyle w:val="Xreftext"/>
              <w:numPr>
                <w:ilvl w:val="0"/>
                <w:numId w:val="0"/>
              </w:numPr>
              <w:spacing w:after="120"/>
              <w:jc w:val="both"/>
              <w:rPr>
                <w:b/>
                <w:szCs w:val="24"/>
                <w:lang w:val="bg-BG"/>
              </w:rPr>
            </w:pPr>
            <w:r w:rsidRPr="000A1186">
              <w:rPr>
                <w:szCs w:val="24"/>
                <w:lang w:val="bg-BG"/>
              </w:rPr>
              <w:t>В случай че дого</w:t>
            </w:r>
            <w:r w:rsidR="002D5F1A" w:rsidRPr="000A1186">
              <w:rPr>
                <w:szCs w:val="24"/>
                <w:lang w:val="bg-BG"/>
              </w:rPr>
              <w:t>во</w:t>
            </w:r>
            <w:r w:rsidRPr="000A1186">
              <w:rPr>
                <w:szCs w:val="24"/>
                <w:lang w:val="bg-BG"/>
              </w:rPr>
              <w:t>реният срок за изпълнение предполага различни от посочените в таблицата срокове и периоди, те се определят в административния договор за предоставяне на безвъзмездна финансова помощ.</w:t>
            </w:r>
          </w:p>
        </w:tc>
      </w:tr>
    </w:tbl>
    <w:p w14:paraId="16778916" w14:textId="3E75F55D" w:rsidR="00013D9C" w:rsidRPr="000A1186" w:rsidRDefault="00013D9C" w:rsidP="000A1186">
      <w:pPr>
        <w:pStyle w:val="Xreftext"/>
        <w:numPr>
          <w:ilvl w:val="0"/>
          <w:numId w:val="0"/>
        </w:numPr>
        <w:tabs>
          <w:tab w:val="left" w:pos="315"/>
        </w:tabs>
        <w:spacing w:after="120"/>
        <w:ind w:left="360" w:hanging="360"/>
        <w:jc w:val="both"/>
        <w:rPr>
          <w:szCs w:val="24"/>
          <w:lang w:val="bg-BG"/>
        </w:rPr>
      </w:pPr>
    </w:p>
    <w:p w14:paraId="37E8BE17" w14:textId="78882338" w:rsidR="008870E1" w:rsidRPr="000A1186" w:rsidRDefault="008870E1" w:rsidP="000A1186">
      <w:pPr>
        <w:pStyle w:val="Xreftext"/>
        <w:numPr>
          <w:ilvl w:val="0"/>
          <w:numId w:val="0"/>
        </w:numPr>
        <w:tabs>
          <w:tab w:val="left" w:pos="0"/>
          <w:tab w:val="left" w:pos="142"/>
        </w:tabs>
        <w:spacing w:after="120"/>
        <w:ind w:hanging="426"/>
        <w:jc w:val="both"/>
        <w:rPr>
          <w:szCs w:val="24"/>
          <w:lang w:val="bg-BG"/>
        </w:rPr>
      </w:pPr>
      <w:r w:rsidRPr="000A1186">
        <w:rPr>
          <w:szCs w:val="24"/>
          <w:lang w:val="bg-BG"/>
        </w:rPr>
        <w:t xml:space="preserve">Вариант на документа: </w:t>
      </w:r>
      <w:r w:rsidR="004F59F4">
        <w:rPr>
          <w:szCs w:val="24"/>
          <w:lang w:val="bg-BG"/>
        </w:rPr>
        <w:t>3</w:t>
      </w:r>
    </w:p>
    <w:sectPr w:rsidR="008870E1" w:rsidRPr="000A1186" w:rsidSect="004E2CF8">
      <w:headerReference w:type="default" r:id="rId8"/>
      <w:footerReference w:type="default" r:id="rId9"/>
      <w:pgSz w:w="11906" w:h="16838"/>
      <w:pgMar w:top="1892" w:right="1133"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6AF193" w14:textId="77777777" w:rsidR="00705FFC" w:rsidRPr="00753C8C" w:rsidRDefault="00705FFC" w:rsidP="00753C8C">
      <w:pPr>
        <w:pStyle w:val="Xreftext"/>
        <w:rPr>
          <w:szCs w:val="24"/>
          <w:lang w:val="en-GB"/>
        </w:rPr>
      </w:pPr>
      <w:r>
        <w:separator/>
      </w:r>
    </w:p>
  </w:endnote>
  <w:endnote w:type="continuationSeparator" w:id="0">
    <w:p w14:paraId="31130282" w14:textId="77777777" w:rsidR="00705FFC" w:rsidRPr="00753C8C" w:rsidRDefault="00705FFC" w:rsidP="00753C8C">
      <w:pPr>
        <w:pStyle w:val="Xreftext"/>
        <w:rPr>
          <w:szCs w:val="24"/>
          <w:lang w:val="en-GB"/>
        </w:rPr>
      </w:pPr>
      <w:r>
        <w:continuationSeparator/>
      </w:r>
    </w:p>
  </w:endnote>
  <w:endnote w:type="continuationNotice" w:id="1">
    <w:p w14:paraId="40E2E7EA" w14:textId="77777777" w:rsidR="00705FFC" w:rsidRDefault="00705F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9692B" w14:textId="19BC0BF7" w:rsidR="00BB456D" w:rsidRPr="00D6725F" w:rsidRDefault="000A3DD0" w:rsidP="008C5F1E">
    <w:pPr>
      <w:pStyle w:val="Footer"/>
      <w:ind w:hanging="567"/>
      <w:rPr>
        <w:i/>
      </w:rPr>
    </w:pPr>
    <w:r w:rsidRPr="008C5F1E">
      <w:rPr>
        <w:i/>
        <w:lang w:val="bg-BG" w:eastAsia="en-GB"/>
      </w:rPr>
      <w:t>Версия</w:t>
    </w:r>
    <w:r w:rsidRPr="000A3DD0">
      <w:rPr>
        <w:i/>
        <w:lang w:val="en-GB" w:eastAsia="en-GB"/>
      </w:rPr>
      <w:t xml:space="preserve"> № </w:t>
    </w:r>
    <w:r w:rsidR="00151302">
      <w:rPr>
        <w:i/>
        <w:lang w:val="bg-BG" w:eastAsia="en-GB"/>
      </w:rPr>
      <w:t>4</w:t>
    </w:r>
    <w:r w:rsidR="0054436A">
      <w:rPr>
        <w:i/>
        <w:lang w:val="bg-BG" w:eastAsia="en-GB"/>
      </w:rPr>
      <w:t>, 202</w:t>
    </w:r>
    <w:r w:rsidR="007F1D30">
      <w:rPr>
        <w:i/>
        <w:lang w:val="bg-BG" w:eastAsia="en-GB"/>
      </w:rPr>
      <w:t>5</w:t>
    </w:r>
    <w:r w:rsidR="00ED73D4">
      <w:rPr>
        <w:i/>
        <w:lang w:val="bg-BG" w:eastAsia="en-GB"/>
      </w:rPr>
      <w:t xml:space="preserve"> г.</w:t>
    </w:r>
    <w:r w:rsidRPr="000A3DD0">
      <w:rPr>
        <w:i/>
        <w:lang w:val="en-GB" w:eastAsia="en-GB"/>
      </w:rPr>
      <w:t xml:space="preserve">                   </w:t>
    </w:r>
    <w:r w:rsidR="003B450C">
      <w:rPr>
        <w:i/>
        <w:lang w:val="en-GB" w:eastAsia="en-GB"/>
      </w:rPr>
      <w:tab/>
    </w:r>
    <w:r w:rsidR="003B450C">
      <w:rPr>
        <w:i/>
        <w:lang w:val="en-GB" w:eastAsia="en-GB"/>
      </w:rPr>
      <w:tab/>
    </w:r>
    <w:r w:rsidRPr="000A3DD0">
      <w:rPr>
        <w:i/>
        <w:lang w:val="en-GB" w:eastAsia="en-GB"/>
      </w:rPr>
      <w:t xml:space="preserve">  </w:t>
    </w:r>
    <w:r w:rsidR="00BB456D" w:rsidRPr="00D6725F">
      <w:rPr>
        <w:i/>
      </w:rPr>
      <w:fldChar w:fldCharType="begin"/>
    </w:r>
    <w:r w:rsidR="00BB456D" w:rsidRPr="00D6725F">
      <w:rPr>
        <w:i/>
      </w:rPr>
      <w:instrText xml:space="preserve"> PAGE   \* MERGEFORMAT </w:instrText>
    </w:r>
    <w:r w:rsidR="00BB456D" w:rsidRPr="00D6725F">
      <w:rPr>
        <w:i/>
      </w:rPr>
      <w:fldChar w:fldCharType="separate"/>
    </w:r>
    <w:r w:rsidR="00151302">
      <w:rPr>
        <w:i/>
        <w:noProof/>
      </w:rPr>
      <w:t>2</w:t>
    </w:r>
    <w:r w:rsidR="00BB456D" w:rsidRPr="00D6725F">
      <w:rPr>
        <w: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A139BD" w14:textId="77777777" w:rsidR="00705FFC" w:rsidRPr="00753C8C" w:rsidRDefault="00705FFC" w:rsidP="00753C8C">
      <w:pPr>
        <w:pStyle w:val="Xreftext"/>
        <w:rPr>
          <w:szCs w:val="24"/>
          <w:lang w:val="en-GB"/>
        </w:rPr>
      </w:pPr>
      <w:r>
        <w:separator/>
      </w:r>
    </w:p>
  </w:footnote>
  <w:footnote w:type="continuationSeparator" w:id="0">
    <w:p w14:paraId="2CE11B61" w14:textId="77777777" w:rsidR="00705FFC" w:rsidRPr="00753C8C" w:rsidRDefault="00705FFC" w:rsidP="00753C8C">
      <w:pPr>
        <w:pStyle w:val="Xreftext"/>
        <w:rPr>
          <w:szCs w:val="24"/>
          <w:lang w:val="en-GB"/>
        </w:rPr>
      </w:pPr>
      <w:r>
        <w:continuationSeparator/>
      </w:r>
    </w:p>
  </w:footnote>
  <w:footnote w:type="continuationNotice" w:id="1">
    <w:p w14:paraId="24F47DA9" w14:textId="77777777" w:rsidR="00705FFC" w:rsidRDefault="00705FFC"/>
  </w:footnote>
  <w:footnote w:id="2">
    <w:p w14:paraId="56F20B77" w14:textId="77777777" w:rsidR="00E2681F" w:rsidRPr="00B9309F" w:rsidRDefault="00E2681F" w:rsidP="00E2681F">
      <w:pPr>
        <w:pStyle w:val="FootnoteText"/>
        <w:ind w:left="-426" w:right="-1"/>
        <w:jc w:val="both"/>
        <w:rPr>
          <w:lang w:val="bg-BG"/>
        </w:rPr>
      </w:pPr>
      <w:r>
        <w:rPr>
          <w:rStyle w:val="FootnoteReference"/>
        </w:rPr>
        <w:footnoteRef/>
      </w:r>
      <w:r>
        <w:t xml:space="preserve"> </w:t>
      </w:r>
      <w:r w:rsidRPr="00673FEA">
        <w:rPr>
          <w:lang w:val="bg-BG"/>
        </w:rPr>
        <w:t>По смисъла на Постановление № 86 на МС от 1.06.2023 г. за определяне на национални правила за допустимост на разходите по програмите, финансирани от Европейските фондове при споделено управление, за програмен период 2021 – 2027 г.</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8195CC" w14:textId="2831177F" w:rsidR="0054436A" w:rsidRDefault="0054436A" w:rsidP="003B450C">
    <w:pPr>
      <w:pStyle w:val="Header"/>
      <w:tabs>
        <w:tab w:val="clear" w:pos="9026"/>
      </w:tabs>
      <w:ind w:right="-711" w:hanging="426"/>
      <w:rPr>
        <w:noProof/>
        <w:lang w:val="bg-BG" w:eastAsia="bg-BG"/>
      </w:rPr>
    </w:pPr>
    <w:r>
      <w:rPr>
        <w:noProof/>
        <w:lang w:val="bg-BG" w:eastAsia="bg-BG"/>
      </w:rPr>
      <w:drawing>
        <wp:inline distT="0" distB="0" distL="0" distR="0" wp14:anchorId="451AAB19" wp14:editId="2B22C5B6">
          <wp:extent cx="2013623" cy="426582"/>
          <wp:effectExtent l="0" t="0" r="5715" b="0"/>
          <wp:docPr id="13" name="Picture 13" descr="BG Съфинансирано от Европейския съюз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G Съфинансирано от Европейския съюз_P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8273" cy="444515"/>
                  </a:xfrm>
                  <a:prstGeom prst="rect">
                    <a:avLst/>
                  </a:prstGeom>
                  <a:noFill/>
                  <a:ln>
                    <a:noFill/>
                  </a:ln>
                </pic:spPr>
              </pic:pic>
            </a:graphicData>
          </a:graphic>
        </wp:inline>
      </w:drawing>
    </w:r>
    <w:r>
      <w:rPr>
        <w:lang w:val="bg-BG"/>
      </w:rPr>
      <w:t xml:space="preserve">           </w:t>
    </w:r>
    <w:r w:rsidR="003144BB">
      <w:rPr>
        <w:lang w:val="bg-BG"/>
      </w:rPr>
      <w:t xml:space="preserve"> </w:t>
    </w:r>
    <w:r>
      <w:rPr>
        <w:lang w:val="bg-BG"/>
      </w:rPr>
      <w:t xml:space="preserve"> </w:t>
    </w:r>
    <w:r w:rsidR="003B450C">
      <w:rPr>
        <w:lang w:val="bg-BG"/>
      </w:rPr>
      <w:tab/>
    </w:r>
    <w:r>
      <w:rPr>
        <w:lang w:val="bg-BG"/>
      </w:rPr>
      <w:t xml:space="preserve">                        </w:t>
    </w:r>
    <w:r>
      <w:rPr>
        <w:noProof/>
        <w:lang w:val="bg-BG" w:eastAsia="bg-BG"/>
      </w:rPr>
      <w:t xml:space="preserve">   </w:t>
    </w:r>
    <w:r w:rsidR="003B450C">
      <w:rPr>
        <w:noProof/>
        <w:lang w:val="bg-BG" w:eastAsia="bg-BG"/>
      </w:rPr>
      <w:tab/>
    </w:r>
    <w:r>
      <w:rPr>
        <w:noProof/>
        <w:lang w:val="bg-BG" w:eastAsia="bg-BG"/>
      </w:rPr>
      <w:t xml:space="preserve">    </w:t>
    </w:r>
    <w:r>
      <w:rPr>
        <w:noProof/>
        <w:lang w:val="bg-BG" w:eastAsia="bg-BG"/>
      </w:rPr>
      <w:drawing>
        <wp:inline distT="0" distB="0" distL="0" distR="0" wp14:anchorId="66E04195" wp14:editId="4440CDBE">
          <wp:extent cx="1645092" cy="548640"/>
          <wp:effectExtent l="0" t="0" r="0" b="3810"/>
          <wp:docPr id="14" name="Picture 14" descr="C:\Users\e.gerdjikova\AppData\Local\Microsoft\Windows\INetCache\Content.Word\800x300 h ПТП-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e.gerdjikova\AppData\Local\Microsoft\Windows\INetCache\Content.Word\800x300 h ПТП-01.png"/>
                  <pic:cNvPicPr>
                    <a:picLocks noChangeAspect="1" noChangeArrowheads="1"/>
                  </pic:cNvPicPr>
                </pic:nvPicPr>
                <pic:blipFill rotWithShape="1">
                  <a:blip r:embed="rId2">
                    <a:extLst>
                      <a:ext uri="{28A0092B-C50C-407E-A947-70E740481C1C}">
                        <a14:useLocalDpi xmlns:a14="http://schemas.microsoft.com/office/drawing/2010/main" val="0"/>
                      </a:ext>
                    </a:extLst>
                  </a:blip>
                  <a:srcRect b="11334"/>
                  <a:stretch/>
                </pic:blipFill>
                <pic:spPr bwMode="auto">
                  <a:xfrm>
                    <a:off x="0" y="0"/>
                    <a:ext cx="1671113" cy="557318"/>
                  </a:xfrm>
                  <a:prstGeom prst="rect">
                    <a:avLst/>
                  </a:prstGeom>
                  <a:noFill/>
                  <a:ln>
                    <a:noFill/>
                  </a:ln>
                  <a:extLst>
                    <a:ext uri="{53640926-AAD7-44D8-BBD7-CCE9431645EC}">
                      <a14:shadowObscured xmlns:a14="http://schemas.microsoft.com/office/drawing/2010/main"/>
                    </a:ext>
                  </a:extLst>
                </pic:spPr>
              </pic:pic>
            </a:graphicData>
          </a:graphic>
        </wp:inline>
      </w:drawing>
    </w:r>
  </w:p>
  <w:p w14:paraId="7E5F26A5" w14:textId="77777777" w:rsidR="008C5F1E" w:rsidRPr="0054436A" w:rsidRDefault="008C5F1E" w:rsidP="003B450C">
    <w:pPr>
      <w:pStyle w:val="Header"/>
      <w:tabs>
        <w:tab w:val="clear" w:pos="9026"/>
      </w:tabs>
      <w:ind w:right="-711" w:hanging="426"/>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295"/>
    <w:multiLevelType w:val="hybridMultilevel"/>
    <w:tmpl w:val="18DCEF78"/>
    <w:lvl w:ilvl="0" w:tplc="04020001">
      <w:start w:val="1"/>
      <w:numFmt w:val="bullet"/>
      <w:lvlText w:val=""/>
      <w:lvlJc w:val="left"/>
      <w:pPr>
        <w:ind w:left="1077" w:hanging="360"/>
      </w:pPr>
      <w:rPr>
        <w:rFonts w:ascii="Symbol" w:hAnsi="Symbol" w:hint="default"/>
      </w:rPr>
    </w:lvl>
    <w:lvl w:ilvl="1" w:tplc="04020003" w:tentative="1">
      <w:start w:val="1"/>
      <w:numFmt w:val="bullet"/>
      <w:lvlText w:val="o"/>
      <w:lvlJc w:val="left"/>
      <w:pPr>
        <w:ind w:left="1797" w:hanging="360"/>
      </w:pPr>
      <w:rPr>
        <w:rFonts w:ascii="Courier New" w:hAnsi="Courier New" w:cs="Courier New" w:hint="default"/>
      </w:rPr>
    </w:lvl>
    <w:lvl w:ilvl="2" w:tplc="04020005" w:tentative="1">
      <w:start w:val="1"/>
      <w:numFmt w:val="bullet"/>
      <w:lvlText w:val=""/>
      <w:lvlJc w:val="left"/>
      <w:pPr>
        <w:ind w:left="2517" w:hanging="360"/>
      </w:pPr>
      <w:rPr>
        <w:rFonts w:ascii="Wingdings" w:hAnsi="Wingdings" w:hint="default"/>
      </w:rPr>
    </w:lvl>
    <w:lvl w:ilvl="3" w:tplc="04020001" w:tentative="1">
      <w:start w:val="1"/>
      <w:numFmt w:val="bullet"/>
      <w:lvlText w:val=""/>
      <w:lvlJc w:val="left"/>
      <w:pPr>
        <w:ind w:left="3237" w:hanging="360"/>
      </w:pPr>
      <w:rPr>
        <w:rFonts w:ascii="Symbol" w:hAnsi="Symbol" w:hint="default"/>
      </w:rPr>
    </w:lvl>
    <w:lvl w:ilvl="4" w:tplc="04020003" w:tentative="1">
      <w:start w:val="1"/>
      <w:numFmt w:val="bullet"/>
      <w:lvlText w:val="o"/>
      <w:lvlJc w:val="left"/>
      <w:pPr>
        <w:ind w:left="3957" w:hanging="360"/>
      </w:pPr>
      <w:rPr>
        <w:rFonts w:ascii="Courier New" w:hAnsi="Courier New" w:cs="Courier New" w:hint="default"/>
      </w:rPr>
    </w:lvl>
    <w:lvl w:ilvl="5" w:tplc="04020005" w:tentative="1">
      <w:start w:val="1"/>
      <w:numFmt w:val="bullet"/>
      <w:lvlText w:val=""/>
      <w:lvlJc w:val="left"/>
      <w:pPr>
        <w:ind w:left="4677" w:hanging="360"/>
      </w:pPr>
      <w:rPr>
        <w:rFonts w:ascii="Wingdings" w:hAnsi="Wingdings" w:hint="default"/>
      </w:rPr>
    </w:lvl>
    <w:lvl w:ilvl="6" w:tplc="04020001" w:tentative="1">
      <w:start w:val="1"/>
      <w:numFmt w:val="bullet"/>
      <w:lvlText w:val=""/>
      <w:lvlJc w:val="left"/>
      <w:pPr>
        <w:ind w:left="5397" w:hanging="360"/>
      </w:pPr>
      <w:rPr>
        <w:rFonts w:ascii="Symbol" w:hAnsi="Symbol" w:hint="default"/>
      </w:rPr>
    </w:lvl>
    <w:lvl w:ilvl="7" w:tplc="04020003" w:tentative="1">
      <w:start w:val="1"/>
      <w:numFmt w:val="bullet"/>
      <w:lvlText w:val="o"/>
      <w:lvlJc w:val="left"/>
      <w:pPr>
        <w:ind w:left="6117" w:hanging="360"/>
      </w:pPr>
      <w:rPr>
        <w:rFonts w:ascii="Courier New" w:hAnsi="Courier New" w:cs="Courier New" w:hint="default"/>
      </w:rPr>
    </w:lvl>
    <w:lvl w:ilvl="8" w:tplc="04020005" w:tentative="1">
      <w:start w:val="1"/>
      <w:numFmt w:val="bullet"/>
      <w:lvlText w:val=""/>
      <w:lvlJc w:val="left"/>
      <w:pPr>
        <w:ind w:left="6837" w:hanging="360"/>
      </w:pPr>
      <w:rPr>
        <w:rFonts w:ascii="Wingdings" w:hAnsi="Wingdings" w:hint="default"/>
      </w:rPr>
    </w:lvl>
  </w:abstractNum>
  <w:abstractNum w:abstractNumId="1" w15:restartNumberingAfterBreak="0">
    <w:nsid w:val="043E702B"/>
    <w:multiLevelType w:val="hybridMultilevel"/>
    <w:tmpl w:val="53D44EAC"/>
    <w:lvl w:ilvl="0" w:tplc="A970D69A">
      <w:start w:val="1"/>
      <w:numFmt w:val="decimal"/>
      <w:lvlText w:val="%1."/>
      <w:lvlJc w:val="left"/>
      <w:pPr>
        <w:tabs>
          <w:tab w:val="num" w:pos="720"/>
        </w:tabs>
        <w:ind w:left="720" w:hanging="360"/>
      </w:pPr>
      <w:rPr>
        <w:rFonts w:ascii="Arial" w:hAnsi="Arial" w:hint="default"/>
        <w:sz w:val="24"/>
      </w:rPr>
    </w:lvl>
    <w:lvl w:ilvl="1" w:tplc="E748643C">
      <w:start w:val="1"/>
      <w:numFmt w:val="decimal"/>
      <w:lvlText w:val="1.%2"/>
      <w:lvlJc w:val="left"/>
      <w:pPr>
        <w:tabs>
          <w:tab w:val="num" w:pos="0"/>
        </w:tabs>
        <w:ind w:left="0" w:firstLine="0"/>
      </w:pPr>
      <w:rPr>
        <w:rFonts w:ascii="Arial" w:hAnsi="Arial" w:hint="default"/>
        <w:sz w:val="20"/>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15:restartNumberingAfterBreak="0">
    <w:nsid w:val="0B7B0FFD"/>
    <w:multiLevelType w:val="singleLevel"/>
    <w:tmpl w:val="A95802F2"/>
    <w:lvl w:ilvl="0">
      <w:start w:val="1"/>
      <w:numFmt w:val="bullet"/>
      <w:pStyle w:val="Xreftext"/>
      <w:lvlText w:val=""/>
      <w:lvlJc w:val="left"/>
      <w:pPr>
        <w:tabs>
          <w:tab w:val="num" w:pos="360"/>
        </w:tabs>
        <w:ind w:left="360" w:hanging="360"/>
      </w:pPr>
      <w:rPr>
        <w:rFonts w:ascii="Symbol" w:hAnsi="Symbol" w:hint="default"/>
      </w:rPr>
    </w:lvl>
  </w:abstractNum>
  <w:abstractNum w:abstractNumId="3" w15:restartNumberingAfterBreak="0">
    <w:nsid w:val="29380CCC"/>
    <w:multiLevelType w:val="hybridMultilevel"/>
    <w:tmpl w:val="4E5EFBC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30056028"/>
    <w:multiLevelType w:val="hybridMultilevel"/>
    <w:tmpl w:val="7264FC08"/>
    <w:lvl w:ilvl="0" w:tplc="AD2608E4">
      <w:start w:val="1"/>
      <w:numFmt w:val="bullet"/>
      <w:lvlText w:val=""/>
      <w:lvlJc w:val="left"/>
      <w:pPr>
        <w:ind w:left="720" w:hanging="360"/>
      </w:pPr>
      <w:rPr>
        <w:rFonts w:ascii="Symbol" w:hAnsi="Symbol"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36EA7C0A"/>
    <w:multiLevelType w:val="hybridMultilevel"/>
    <w:tmpl w:val="11E4CD7C"/>
    <w:lvl w:ilvl="0" w:tplc="04020001">
      <w:start w:val="1"/>
      <w:numFmt w:val="bullet"/>
      <w:lvlText w:val=""/>
      <w:lvlJc w:val="left"/>
      <w:pPr>
        <w:ind w:left="739" w:hanging="360"/>
      </w:pPr>
      <w:rPr>
        <w:rFonts w:ascii="Symbol" w:hAnsi="Symbol" w:hint="default"/>
      </w:rPr>
    </w:lvl>
    <w:lvl w:ilvl="1" w:tplc="04020003" w:tentative="1">
      <w:start w:val="1"/>
      <w:numFmt w:val="bullet"/>
      <w:lvlText w:val="o"/>
      <w:lvlJc w:val="left"/>
      <w:pPr>
        <w:ind w:left="1459" w:hanging="360"/>
      </w:pPr>
      <w:rPr>
        <w:rFonts w:ascii="Courier New" w:hAnsi="Courier New" w:cs="Courier New" w:hint="default"/>
      </w:rPr>
    </w:lvl>
    <w:lvl w:ilvl="2" w:tplc="04020005" w:tentative="1">
      <w:start w:val="1"/>
      <w:numFmt w:val="bullet"/>
      <w:lvlText w:val=""/>
      <w:lvlJc w:val="left"/>
      <w:pPr>
        <w:ind w:left="2179" w:hanging="360"/>
      </w:pPr>
      <w:rPr>
        <w:rFonts w:ascii="Wingdings" w:hAnsi="Wingdings" w:hint="default"/>
      </w:rPr>
    </w:lvl>
    <w:lvl w:ilvl="3" w:tplc="04020001" w:tentative="1">
      <w:start w:val="1"/>
      <w:numFmt w:val="bullet"/>
      <w:lvlText w:val=""/>
      <w:lvlJc w:val="left"/>
      <w:pPr>
        <w:ind w:left="2899" w:hanging="360"/>
      </w:pPr>
      <w:rPr>
        <w:rFonts w:ascii="Symbol" w:hAnsi="Symbol" w:hint="default"/>
      </w:rPr>
    </w:lvl>
    <w:lvl w:ilvl="4" w:tplc="04020003" w:tentative="1">
      <w:start w:val="1"/>
      <w:numFmt w:val="bullet"/>
      <w:lvlText w:val="o"/>
      <w:lvlJc w:val="left"/>
      <w:pPr>
        <w:ind w:left="3619" w:hanging="360"/>
      </w:pPr>
      <w:rPr>
        <w:rFonts w:ascii="Courier New" w:hAnsi="Courier New" w:cs="Courier New" w:hint="default"/>
      </w:rPr>
    </w:lvl>
    <w:lvl w:ilvl="5" w:tplc="04020005" w:tentative="1">
      <w:start w:val="1"/>
      <w:numFmt w:val="bullet"/>
      <w:lvlText w:val=""/>
      <w:lvlJc w:val="left"/>
      <w:pPr>
        <w:ind w:left="4339" w:hanging="360"/>
      </w:pPr>
      <w:rPr>
        <w:rFonts w:ascii="Wingdings" w:hAnsi="Wingdings" w:hint="default"/>
      </w:rPr>
    </w:lvl>
    <w:lvl w:ilvl="6" w:tplc="04020001" w:tentative="1">
      <w:start w:val="1"/>
      <w:numFmt w:val="bullet"/>
      <w:lvlText w:val=""/>
      <w:lvlJc w:val="left"/>
      <w:pPr>
        <w:ind w:left="5059" w:hanging="360"/>
      </w:pPr>
      <w:rPr>
        <w:rFonts w:ascii="Symbol" w:hAnsi="Symbol" w:hint="default"/>
      </w:rPr>
    </w:lvl>
    <w:lvl w:ilvl="7" w:tplc="04020003" w:tentative="1">
      <w:start w:val="1"/>
      <w:numFmt w:val="bullet"/>
      <w:lvlText w:val="o"/>
      <w:lvlJc w:val="left"/>
      <w:pPr>
        <w:ind w:left="5779" w:hanging="360"/>
      </w:pPr>
      <w:rPr>
        <w:rFonts w:ascii="Courier New" w:hAnsi="Courier New" w:cs="Courier New" w:hint="default"/>
      </w:rPr>
    </w:lvl>
    <w:lvl w:ilvl="8" w:tplc="04020005" w:tentative="1">
      <w:start w:val="1"/>
      <w:numFmt w:val="bullet"/>
      <w:lvlText w:val=""/>
      <w:lvlJc w:val="left"/>
      <w:pPr>
        <w:ind w:left="6499" w:hanging="360"/>
      </w:pPr>
      <w:rPr>
        <w:rFonts w:ascii="Wingdings" w:hAnsi="Wingdings" w:hint="default"/>
      </w:rPr>
    </w:lvl>
  </w:abstractNum>
  <w:abstractNum w:abstractNumId="6" w15:restartNumberingAfterBreak="0">
    <w:nsid w:val="4B9670E7"/>
    <w:multiLevelType w:val="hybridMultilevel"/>
    <w:tmpl w:val="455E738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63EB6F7F"/>
    <w:multiLevelType w:val="hybridMultilevel"/>
    <w:tmpl w:val="6324BB2C"/>
    <w:lvl w:ilvl="0" w:tplc="04B0401A">
      <w:start w:val="1"/>
      <w:numFmt w:val="decimal"/>
      <w:lvlText w:val="%1."/>
      <w:lvlJc w:val="left"/>
      <w:pPr>
        <w:ind w:left="786" w:hanging="360"/>
      </w:pPr>
      <w:rPr>
        <w:i/>
      </w:rPr>
    </w:lvl>
    <w:lvl w:ilvl="1" w:tplc="04020019" w:tentative="1">
      <w:start w:val="1"/>
      <w:numFmt w:val="lowerLetter"/>
      <w:lvlText w:val="%2."/>
      <w:lvlJc w:val="left"/>
      <w:pPr>
        <w:ind w:left="1759" w:hanging="360"/>
      </w:pPr>
    </w:lvl>
    <w:lvl w:ilvl="2" w:tplc="0402001B" w:tentative="1">
      <w:start w:val="1"/>
      <w:numFmt w:val="lowerRoman"/>
      <w:lvlText w:val="%3."/>
      <w:lvlJc w:val="right"/>
      <w:pPr>
        <w:ind w:left="2479" w:hanging="180"/>
      </w:pPr>
    </w:lvl>
    <w:lvl w:ilvl="3" w:tplc="0402000F" w:tentative="1">
      <w:start w:val="1"/>
      <w:numFmt w:val="decimal"/>
      <w:lvlText w:val="%4."/>
      <w:lvlJc w:val="left"/>
      <w:pPr>
        <w:ind w:left="3199" w:hanging="360"/>
      </w:pPr>
    </w:lvl>
    <w:lvl w:ilvl="4" w:tplc="04020019" w:tentative="1">
      <w:start w:val="1"/>
      <w:numFmt w:val="lowerLetter"/>
      <w:lvlText w:val="%5."/>
      <w:lvlJc w:val="left"/>
      <w:pPr>
        <w:ind w:left="3919" w:hanging="360"/>
      </w:pPr>
    </w:lvl>
    <w:lvl w:ilvl="5" w:tplc="0402001B" w:tentative="1">
      <w:start w:val="1"/>
      <w:numFmt w:val="lowerRoman"/>
      <w:lvlText w:val="%6."/>
      <w:lvlJc w:val="right"/>
      <w:pPr>
        <w:ind w:left="4639" w:hanging="180"/>
      </w:pPr>
    </w:lvl>
    <w:lvl w:ilvl="6" w:tplc="0402000F" w:tentative="1">
      <w:start w:val="1"/>
      <w:numFmt w:val="decimal"/>
      <w:lvlText w:val="%7."/>
      <w:lvlJc w:val="left"/>
      <w:pPr>
        <w:ind w:left="5359" w:hanging="360"/>
      </w:pPr>
    </w:lvl>
    <w:lvl w:ilvl="7" w:tplc="04020019" w:tentative="1">
      <w:start w:val="1"/>
      <w:numFmt w:val="lowerLetter"/>
      <w:lvlText w:val="%8."/>
      <w:lvlJc w:val="left"/>
      <w:pPr>
        <w:ind w:left="6079" w:hanging="360"/>
      </w:pPr>
    </w:lvl>
    <w:lvl w:ilvl="8" w:tplc="0402001B" w:tentative="1">
      <w:start w:val="1"/>
      <w:numFmt w:val="lowerRoman"/>
      <w:lvlText w:val="%9."/>
      <w:lvlJc w:val="right"/>
      <w:pPr>
        <w:ind w:left="6799" w:hanging="180"/>
      </w:pPr>
    </w:lvl>
  </w:abstractNum>
  <w:abstractNum w:abstractNumId="8" w15:restartNumberingAfterBreak="0">
    <w:nsid w:val="70694C80"/>
    <w:multiLevelType w:val="hybridMultilevel"/>
    <w:tmpl w:val="2A02EAC2"/>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16cid:durableId="1808083803">
    <w:abstractNumId w:val="2"/>
  </w:num>
  <w:num w:numId="2" w16cid:durableId="1064252937">
    <w:abstractNumId w:val="1"/>
  </w:num>
  <w:num w:numId="3" w16cid:durableId="595285103">
    <w:abstractNumId w:val="5"/>
  </w:num>
  <w:num w:numId="4" w16cid:durableId="1375159842">
    <w:abstractNumId w:val="4"/>
  </w:num>
  <w:num w:numId="5" w16cid:durableId="1373531238">
    <w:abstractNumId w:val="2"/>
  </w:num>
  <w:num w:numId="6" w16cid:durableId="1083064158">
    <w:abstractNumId w:val="2"/>
  </w:num>
  <w:num w:numId="7" w16cid:durableId="1773356247">
    <w:abstractNumId w:val="2"/>
  </w:num>
  <w:num w:numId="8" w16cid:durableId="1725179256">
    <w:abstractNumId w:val="3"/>
  </w:num>
  <w:num w:numId="9" w16cid:durableId="654992716">
    <w:abstractNumId w:val="6"/>
  </w:num>
  <w:num w:numId="10" w16cid:durableId="1529640647">
    <w:abstractNumId w:val="2"/>
  </w:num>
  <w:num w:numId="11" w16cid:durableId="1309893637">
    <w:abstractNumId w:val="7"/>
  </w:num>
  <w:num w:numId="12" w16cid:durableId="1220049784">
    <w:abstractNumId w:val="2"/>
  </w:num>
  <w:num w:numId="13" w16cid:durableId="744298158">
    <w:abstractNumId w:val="8"/>
  </w:num>
  <w:num w:numId="14" w16cid:durableId="1676108469">
    <w:abstractNumId w:val="0"/>
  </w:num>
  <w:num w:numId="15" w16cid:durableId="1605111929">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397"/>
  <w:hyphenationZone w:val="425"/>
  <w:noPunctuationKerning/>
  <w:characterSpacingControl w:val="doNotCompress"/>
  <w:saveInvalidXml/>
  <w:ignoreMixedContent/>
  <w:saveXmlDataOnly/>
  <w:hdrShapeDefaults>
    <o:shapedefaults v:ext="edit" spidmax="11878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NORMAL"/>
  </w:docVars>
  <w:rsids>
    <w:rsidRoot w:val="00F23705"/>
    <w:rsid w:val="00001AC2"/>
    <w:rsid w:val="00004707"/>
    <w:rsid w:val="0000632D"/>
    <w:rsid w:val="0001044B"/>
    <w:rsid w:val="00010C1C"/>
    <w:rsid w:val="0001151D"/>
    <w:rsid w:val="00013D9C"/>
    <w:rsid w:val="0001749C"/>
    <w:rsid w:val="00017590"/>
    <w:rsid w:val="0002600E"/>
    <w:rsid w:val="000279D5"/>
    <w:rsid w:val="00031D92"/>
    <w:rsid w:val="00032F2A"/>
    <w:rsid w:val="00042285"/>
    <w:rsid w:val="00043837"/>
    <w:rsid w:val="00045166"/>
    <w:rsid w:val="00045F31"/>
    <w:rsid w:val="00047F09"/>
    <w:rsid w:val="000615D4"/>
    <w:rsid w:val="000711A1"/>
    <w:rsid w:val="00072CD7"/>
    <w:rsid w:val="00073AD2"/>
    <w:rsid w:val="000803EA"/>
    <w:rsid w:val="00086261"/>
    <w:rsid w:val="00090B6A"/>
    <w:rsid w:val="000A1186"/>
    <w:rsid w:val="000A37A9"/>
    <w:rsid w:val="000A3DD0"/>
    <w:rsid w:val="000A57D5"/>
    <w:rsid w:val="000A68B3"/>
    <w:rsid w:val="000A6AB3"/>
    <w:rsid w:val="000B4087"/>
    <w:rsid w:val="000C20DF"/>
    <w:rsid w:val="000C7E30"/>
    <w:rsid w:val="000D52FD"/>
    <w:rsid w:val="000E1F0F"/>
    <w:rsid w:val="000E1F7D"/>
    <w:rsid w:val="000E38D3"/>
    <w:rsid w:val="000F36DC"/>
    <w:rsid w:val="000F3C8B"/>
    <w:rsid w:val="000F633F"/>
    <w:rsid w:val="000F6446"/>
    <w:rsid w:val="000F781C"/>
    <w:rsid w:val="00104203"/>
    <w:rsid w:val="0011051B"/>
    <w:rsid w:val="0011243A"/>
    <w:rsid w:val="001127C5"/>
    <w:rsid w:val="00114E7A"/>
    <w:rsid w:val="00122A59"/>
    <w:rsid w:val="00122CC6"/>
    <w:rsid w:val="00124097"/>
    <w:rsid w:val="00131BBE"/>
    <w:rsid w:val="00142FB6"/>
    <w:rsid w:val="00147CD5"/>
    <w:rsid w:val="00150301"/>
    <w:rsid w:val="00151302"/>
    <w:rsid w:val="0015599A"/>
    <w:rsid w:val="0016196A"/>
    <w:rsid w:val="00186AC2"/>
    <w:rsid w:val="00192D80"/>
    <w:rsid w:val="001A1E0A"/>
    <w:rsid w:val="001A227A"/>
    <w:rsid w:val="001B0102"/>
    <w:rsid w:val="001C002E"/>
    <w:rsid w:val="001D2346"/>
    <w:rsid w:val="001D5A3B"/>
    <w:rsid w:val="001E29A5"/>
    <w:rsid w:val="001E2C14"/>
    <w:rsid w:val="001F22A9"/>
    <w:rsid w:val="001F25DE"/>
    <w:rsid w:val="002005D1"/>
    <w:rsid w:val="00203221"/>
    <w:rsid w:val="0020346B"/>
    <w:rsid w:val="002111A1"/>
    <w:rsid w:val="00211D34"/>
    <w:rsid w:val="00212943"/>
    <w:rsid w:val="00214733"/>
    <w:rsid w:val="002263FF"/>
    <w:rsid w:val="00233226"/>
    <w:rsid w:val="00234731"/>
    <w:rsid w:val="0023676C"/>
    <w:rsid w:val="00240F23"/>
    <w:rsid w:val="002448BC"/>
    <w:rsid w:val="0024677F"/>
    <w:rsid w:val="00247438"/>
    <w:rsid w:val="00250142"/>
    <w:rsid w:val="00271E46"/>
    <w:rsid w:val="002756A2"/>
    <w:rsid w:val="002757DD"/>
    <w:rsid w:val="00275ED9"/>
    <w:rsid w:val="00275F71"/>
    <w:rsid w:val="00277539"/>
    <w:rsid w:val="0028519F"/>
    <w:rsid w:val="00296BDA"/>
    <w:rsid w:val="002978FA"/>
    <w:rsid w:val="002A0C24"/>
    <w:rsid w:val="002A2B4A"/>
    <w:rsid w:val="002A5B8F"/>
    <w:rsid w:val="002B1C6D"/>
    <w:rsid w:val="002B411B"/>
    <w:rsid w:val="002C1EA8"/>
    <w:rsid w:val="002C2A03"/>
    <w:rsid w:val="002D0F3D"/>
    <w:rsid w:val="002D1E7A"/>
    <w:rsid w:val="002D24FB"/>
    <w:rsid w:val="002D4C72"/>
    <w:rsid w:val="002D5F1A"/>
    <w:rsid w:val="002D71B2"/>
    <w:rsid w:val="002D760B"/>
    <w:rsid w:val="002F53B1"/>
    <w:rsid w:val="00301EF7"/>
    <w:rsid w:val="00313BDF"/>
    <w:rsid w:val="0031431C"/>
    <w:rsid w:val="003144BB"/>
    <w:rsid w:val="00322BC6"/>
    <w:rsid w:val="0032317F"/>
    <w:rsid w:val="00324F35"/>
    <w:rsid w:val="003317F0"/>
    <w:rsid w:val="00332E97"/>
    <w:rsid w:val="00337998"/>
    <w:rsid w:val="003428A3"/>
    <w:rsid w:val="00346D8F"/>
    <w:rsid w:val="00350D16"/>
    <w:rsid w:val="00356372"/>
    <w:rsid w:val="00372266"/>
    <w:rsid w:val="00372CEE"/>
    <w:rsid w:val="00373828"/>
    <w:rsid w:val="0037503E"/>
    <w:rsid w:val="003834BA"/>
    <w:rsid w:val="003845C7"/>
    <w:rsid w:val="00387F03"/>
    <w:rsid w:val="003966D5"/>
    <w:rsid w:val="003A2193"/>
    <w:rsid w:val="003A4D8A"/>
    <w:rsid w:val="003B1353"/>
    <w:rsid w:val="003B32C3"/>
    <w:rsid w:val="003B43D0"/>
    <w:rsid w:val="003B450C"/>
    <w:rsid w:val="003C41C8"/>
    <w:rsid w:val="003C5EE8"/>
    <w:rsid w:val="003C60CF"/>
    <w:rsid w:val="003C6DE4"/>
    <w:rsid w:val="003D3346"/>
    <w:rsid w:val="003D3CB1"/>
    <w:rsid w:val="003D43E8"/>
    <w:rsid w:val="003E392D"/>
    <w:rsid w:val="003E6C8F"/>
    <w:rsid w:val="003F60FB"/>
    <w:rsid w:val="00402A8D"/>
    <w:rsid w:val="004051C0"/>
    <w:rsid w:val="00412C02"/>
    <w:rsid w:val="00417AD4"/>
    <w:rsid w:val="00417F16"/>
    <w:rsid w:val="00430135"/>
    <w:rsid w:val="00431A97"/>
    <w:rsid w:val="00435ABA"/>
    <w:rsid w:val="00444B75"/>
    <w:rsid w:val="00451226"/>
    <w:rsid w:val="00451B29"/>
    <w:rsid w:val="004545AF"/>
    <w:rsid w:val="00457971"/>
    <w:rsid w:val="00457985"/>
    <w:rsid w:val="00472327"/>
    <w:rsid w:val="004737FC"/>
    <w:rsid w:val="00473EA6"/>
    <w:rsid w:val="0047448B"/>
    <w:rsid w:val="0047531A"/>
    <w:rsid w:val="00480125"/>
    <w:rsid w:val="00480C47"/>
    <w:rsid w:val="00480FEF"/>
    <w:rsid w:val="00484D26"/>
    <w:rsid w:val="00486B32"/>
    <w:rsid w:val="004909DE"/>
    <w:rsid w:val="004932AA"/>
    <w:rsid w:val="004938B0"/>
    <w:rsid w:val="004A0A1D"/>
    <w:rsid w:val="004A606E"/>
    <w:rsid w:val="004A73A4"/>
    <w:rsid w:val="004B4263"/>
    <w:rsid w:val="004C4E1C"/>
    <w:rsid w:val="004C531F"/>
    <w:rsid w:val="004C72D3"/>
    <w:rsid w:val="004D40BB"/>
    <w:rsid w:val="004D4AE3"/>
    <w:rsid w:val="004E2CF8"/>
    <w:rsid w:val="004E54A3"/>
    <w:rsid w:val="004F0D39"/>
    <w:rsid w:val="004F1025"/>
    <w:rsid w:val="004F5070"/>
    <w:rsid w:val="004F59F4"/>
    <w:rsid w:val="004F6153"/>
    <w:rsid w:val="00500CC2"/>
    <w:rsid w:val="00502D8E"/>
    <w:rsid w:val="00505219"/>
    <w:rsid w:val="005076D8"/>
    <w:rsid w:val="005121A2"/>
    <w:rsid w:val="00516360"/>
    <w:rsid w:val="005205F1"/>
    <w:rsid w:val="005250B3"/>
    <w:rsid w:val="005264EF"/>
    <w:rsid w:val="0053253A"/>
    <w:rsid w:val="00533C12"/>
    <w:rsid w:val="00536D60"/>
    <w:rsid w:val="0054436A"/>
    <w:rsid w:val="005458B3"/>
    <w:rsid w:val="00553A2F"/>
    <w:rsid w:val="00553E9A"/>
    <w:rsid w:val="00561CD5"/>
    <w:rsid w:val="00564910"/>
    <w:rsid w:val="00575615"/>
    <w:rsid w:val="005800CD"/>
    <w:rsid w:val="00584348"/>
    <w:rsid w:val="00592EB3"/>
    <w:rsid w:val="00593042"/>
    <w:rsid w:val="0059322A"/>
    <w:rsid w:val="00594D71"/>
    <w:rsid w:val="00595560"/>
    <w:rsid w:val="005A24F6"/>
    <w:rsid w:val="005A639F"/>
    <w:rsid w:val="005A6406"/>
    <w:rsid w:val="005A6E5A"/>
    <w:rsid w:val="005A7F00"/>
    <w:rsid w:val="005B797F"/>
    <w:rsid w:val="005C223C"/>
    <w:rsid w:val="005C6CD3"/>
    <w:rsid w:val="005D2E72"/>
    <w:rsid w:val="005E3A13"/>
    <w:rsid w:val="005E412C"/>
    <w:rsid w:val="005E6434"/>
    <w:rsid w:val="005E69B5"/>
    <w:rsid w:val="005E7A5B"/>
    <w:rsid w:val="005F2C65"/>
    <w:rsid w:val="005F3284"/>
    <w:rsid w:val="005F4094"/>
    <w:rsid w:val="005F6B9E"/>
    <w:rsid w:val="005F6BB2"/>
    <w:rsid w:val="005F75C7"/>
    <w:rsid w:val="0061425B"/>
    <w:rsid w:val="00615246"/>
    <w:rsid w:val="00615650"/>
    <w:rsid w:val="006169BF"/>
    <w:rsid w:val="0062024B"/>
    <w:rsid w:val="00625624"/>
    <w:rsid w:val="00626E8D"/>
    <w:rsid w:val="00627607"/>
    <w:rsid w:val="0063071F"/>
    <w:rsid w:val="00634BC6"/>
    <w:rsid w:val="00637426"/>
    <w:rsid w:val="006417C7"/>
    <w:rsid w:val="006420D7"/>
    <w:rsid w:val="00647F17"/>
    <w:rsid w:val="00651CA0"/>
    <w:rsid w:val="00656A2E"/>
    <w:rsid w:val="00661090"/>
    <w:rsid w:val="00665330"/>
    <w:rsid w:val="00665B09"/>
    <w:rsid w:val="0066608E"/>
    <w:rsid w:val="0067071B"/>
    <w:rsid w:val="00671DFE"/>
    <w:rsid w:val="00673FEA"/>
    <w:rsid w:val="00674115"/>
    <w:rsid w:val="006743A2"/>
    <w:rsid w:val="0068472E"/>
    <w:rsid w:val="00691119"/>
    <w:rsid w:val="0069319F"/>
    <w:rsid w:val="00695802"/>
    <w:rsid w:val="006B4C14"/>
    <w:rsid w:val="006C4E7D"/>
    <w:rsid w:val="006E4A86"/>
    <w:rsid w:val="006E6DCF"/>
    <w:rsid w:val="006F0562"/>
    <w:rsid w:val="006F4F94"/>
    <w:rsid w:val="006F6ED0"/>
    <w:rsid w:val="006F7269"/>
    <w:rsid w:val="00700B03"/>
    <w:rsid w:val="00705FFC"/>
    <w:rsid w:val="00710B17"/>
    <w:rsid w:val="00711DE2"/>
    <w:rsid w:val="007123D1"/>
    <w:rsid w:val="0072107B"/>
    <w:rsid w:val="00722809"/>
    <w:rsid w:val="00727955"/>
    <w:rsid w:val="00730121"/>
    <w:rsid w:val="0073457D"/>
    <w:rsid w:val="00737823"/>
    <w:rsid w:val="007407D6"/>
    <w:rsid w:val="0075200E"/>
    <w:rsid w:val="00753C8C"/>
    <w:rsid w:val="00757ACC"/>
    <w:rsid w:val="0076197C"/>
    <w:rsid w:val="0076349B"/>
    <w:rsid w:val="007635DB"/>
    <w:rsid w:val="00770441"/>
    <w:rsid w:val="007740B6"/>
    <w:rsid w:val="00780471"/>
    <w:rsid w:val="0079092E"/>
    <w:rsid w:val="00791849"/>
    <w:rsid w:val="007B0B92"/>
    <w:rsid w:val="007B3E24"/>
    <w:rsid w:val="007B53BE"/>
    <w:rsid w:val="007B546B"/>
    <w:rsid w:val="007D1D2B"/>
    <w:rsid w:val="007D35B4"/>
    <w:rsid w:val="007D39BF"/>
    <w:rsid w:val="007D3DDD"/>
    <w:rsid w:val="007D53E3"/>
    <w:rsid w:val="007D5560"/>
    <w:rsid w:val="007D561F"/>
    <w:rsid w:val="007E030B"/>
    <w:rsid w:val="007E2EEF"/>
    <w:rsid w:val="007F012B"/>
    <w:rsid w:val="007F0741"/>
    <w:rsid w:val="007F1D30"/>
    <w:rsid w:val="007F6D9A"/>
    <w:rsid w:val="007F6DEC"/>
    <w:rsid w:val="00800C61"/>
    <w:rsid w:val="00801849"/>
    <w:rsid w:val="00802C8E"/>
    <w:rsid w:val="0081394E"/>
    <w:rsid w:val="00816726"/>
    <w:rsid w:val="0081771D"/>
    <w:rsid w:val="00823A73"/>
    <w:rsid w:val="00824AE7"/>
    <w:rsid w:val="00824C5F"/>
    <w:rsid w:val="0083029F"/>
    <w:rsid w:val="00832DF3"/>
    <w:rsid w:val="00835619"/>
    <w:rsid w:val="0084659B"/>
    <w:rsid w:val="00847940"/>
    <w:rsid w:val="00850FDC"/>
    <w:rsid w:val="00856E1F"/>
    <w:rsid w:val="0086489B"/>
    <w:rsid w:val="0086601C"/>
    <w:rsid w:val="00867958"/>
    <w:rsid w:val="00870808"/>
    <w:rsid w:val="00874C4C"/>
    <w:rsid w:val="00876256"/>
    <w:rsid w:val="008870E1"/>
    <w:rsid w:val="008908D3"/>
    <w:rsid w:val="008A221F"/>
    <w:rsid w:val="008A6EEF"/>
    <w:rsid w:val="008B0287"/>
    <w:rsid w:val="008B5ECC"/>
    <w:rsid w:val="008B6E68"/>
    <w:rsid w:val="008C5F1E"/>
    <w:rsid w:val="008C6A80"/>
    <w:rsid w:val="008C6AFE"/>
    <w:rsid w:val="008D05A6"/>
    <w:rsid w:val="008D206F"/>
    <w:rsid w:val="008D3B76"/>
    <w:rsid w:val="008D5A70"/>
    <w:rsid w:val="008E09AF"/>
    <w:rsid w:val="008E31C8"/>
    <w:rsid w:val="008E4C30"/>
    <w:rsid w:val="008F1630"/>
    <w:rsid w:val="008F38B6"/>
    <w:rsid w:val="008F7A86"/>
    <w:rsid w:val="0090021F"/>
    <w:rsid w:val="0090315C"/>
    <w:rsid w:val="0090712B"/>
    <w:rsid w:val="00907400"/>
    <w:rsid w:val="00913C56"/>
    <w:rsid w:val="00916F0E"/>
    <w:rsid w:val="00920BDF"/>
    <w:rsid w:val="009224EB"/>
    <w:rsid w:val="00927AB6"/>
    <w:rsid w:val="00935DE9"/>
    <w:rsid w:val="00937B89"/>
    <w:rsid w:val="0094443D"/>
    <w:rsid w:val="00944AE8"/>
    <w:rsid w:val="00950355"/>
    <w:rsid w:val="00954B99"/>
    <w:rsid w:val="00957398"/>
    <w:rsid w:val="0096356D"/>
    <w:rsid w:val="00965898"/>
    <w:rsid w:val="00973C89"/>
    <w:rsid w:val="00976916"/>
    <w:rsid w:val="00985865"/>
    <w:rsid w:val="00994DCE"/>
    <w:rsid w:val="00995C2C"/>
    <w:rsid w:val="009B1755"/>
    <w:rsid w:val="009B50C4"/>
    <w:rsid w:val="009B5B73"/>
    <w:rsid w:val="009C14A9"/>
    <w:rsid w:val="009C65C8"/>
    <w:rsid w:val="009C701A"/>
    <w:rsid w:val="009D5E72"/>
    <w:rsid w:val="009E4C04"/>
    <w:rsid w:val="009F024A"/>
    <w:rsid w:val="009F2ACD"/>
    <w:rsid w:val="00A006F6"/>
    <w:rsid w:val="00A04708"/>
    <w:rsid w:val="00A06BFA"/>
    <w:rsid w:val="00A20AC9"/>
    <w:rsid w:val="00A23486"/>
    <w:rsid w:val="00A26648"/>
    <w:rsid w:val="00A42773"/>
    <w:rsid w:val="00A504BD"/>
    <w:rsid w:val="00A66499"/>
    <w:rsid w:val="00A7314F"/>
    <w:rsid w:val="00A758EC"/>
    <w:rsid w:val="00A766FD"/>
    <w:rsid w:val="00A77C72"/>
    <w:rsid w:val="00A803D4"/>
    <w:rsid w:val="00A81193"/>
    <w:rsid w:val="00A8158C"/>
    <w:rsid w:val="00A93460"/>
    <w:rsid w:val="00AA2EE5"/>
    <w:rsid w:val="00AA531F"/>
    <w:rsid w:val="00AB0674"/>
    <w:rsid w:val="00AB497D"/>
    <w:rsid w:val="00AC7D42"/>
    <w:rsid w:val="00AD05DB"/>
    <w:rsid w:val="00AD0D49"/>
    <w:rsid w:val="00AD4057"/>
    <w:rsid w:val="00AD4388"/>
    <w:rsid w:val="00AD55A8"/>
    <w:rsid w:val="00AE7B1E"/>
    <w:rsid w:val="00AF4A4F"/>
    <w:rsid w:val="00AF7CEF"/>
    <w:rsid w:val="00B038C4"/>
    <w:rsid w:val="00B053D0"/>
    <w:rsid w:val="00B0742A"/>
    <w:rsid w:val="00B07D93"/>
    <w:rsid w:val="00B100E0"/>
    <w:rsid w:val="00B1086B"/>
    <w:rsid w:val="00B136A9"/>
    <w:rsid w:val="00B15D24"/>
    <w:rsid w:val="00B166D1"/>
    <w:rsid w:val="00B20560"/>
    <w:rsid w:val="00B2165F"/>
    <w:rsid w:val="00B23658"/>
    <w:rsid w:val="00B25512"/>
    <w:rsid w:val="00B26F83"/>
    <w:rsid w:val="00B32E56"/>
    <w:rsid w:val="00B3502C"/>
    <w:rsid w:val="00B36612"/>
    <w:rsid w:val="00B376FD"/>
    <w:rsid w:val="00B37D76"/>
    <w:rsid w:val="00B454A1"/>
    <w:rsid w:val="00B510BA"/>
    <w:rsid w:val="00B5424F"/>
    <w:rsid w:val="00B54523"/>
    <w:rsid w:val="00B55924"/>
    <w:rsid w:val="00B55C92"/>
    <w:rsid w:val="00B62550"/>
    <w:rsid w:val="00B62B10"/>
    <w:rsid w:val="00B63A85"/>
    <w:rsid w:val="00B71A9B"/>
    <w:rsid w:val="00B72F12"/>
    <w:rsid w:val="00B7330F"/>
    <w:rsid w:val="00B81C9A"/>
    <w:rsid w:val="00B85CF8"/>
    <w:rsid w:val="00B87C27"/>
    <w:rsid w:val="00B908A2"/>
    <w:rsid w:val="00B9309F"/>
    <w:rsid w:val="00B973BE"/>
    <w:rsid w:val="00BA3F66"/>
    <w:rsid w:val="00BA4498"/>
    <w:rsid w:val="00BB456D"/>
    <w:rsid w:val="00BB61D9"/>
    <w:rsid w:val="00BB7180"/>
    <w:rsid w:val="00BC6488"/>
    <w:rsid w:val="00BD1259"/>
    <w:rsid w:val="00BD1DAC"/>
    <w:rsid w:val="00BD54AB"/>
    <w:rsid w:val="00BD7FD3"/>
    <w:rsid w:val="00BE6E7C"/>
    <w:rsid w:val="00BE7CE2"/>
    <w:rsid w:val="00BF0523"/>
    <w:rsid w:val="00BF4EC6"/>
    <w:rsid w:val="00C0176F"/>
    <w:rsid w:val="00C07A20"/>
    <w:rsid w:val="00C120E2"/>
    <w:rsid w:val="00C24879"/>
    <w:rsid w:val="00C26FB5"/>
    <w:rsid w:val="00C274E3"/>
    <w:rsid w:val="00C27B49"/>
    <w:rsid w:val="00C3069E"/>
    <w:rsid w:val="00C32AE2"/>
    <w:rsid w:val="00C34A73"/>
    <w:rsid w:val="00C425C7"/>
    <w:rsid w:val="00C46204"/>
    <w:rsid w:val="00C5220A"/>
    <w:rsid w:val="00C5680C"/>
    <w:rsid w:val="00C56DB2"/>
    <w:rsid w:val="00C56DCC"/>
    <w:rsid w:val="00C624EC"/>
    <w:rsid w:val="00C62AF5"/>
    <w:rsid w:val="00C65FA5"/>
    <w:rsid w:val="00C717DD"/>
    <w:rsid w:val="00C757EA"/>
    <w:rsid w:val="00C91FA8"/>
    <w:rsid w:val="00C94A40"/>
    <w:rsid w:val="00CA16C6"/>
    <w:rsid w:val="00CA5DB6"/>
    <w:rsid w:val="00CA68A9"/>
    <w:rsid w:val="00CA74E2"/>
    <w:rsid w:val="00CB2D5E"/>
    <w:rsid w:val="00CB7298"/>
    <w:rsid w:val="00CC217A"/>
    <w:rsid w:val="00CC5BE0"/>
    <w:rsid w:val="00CD27B8"/>
    <w:rsid w:val="00CD3E3F"/>
    <w:rsid w:val="00CE21BD"/>
    <w:rsid w:val="00CE2660"/>
    <w:rsid w:val="00CE664C"/>
    <w:rsid w:val="00CF72BE"/>
    <w:rsid w:val="00CF72C1"/>
    <w:rsid w:val="00D001EA"/>
    <w:rsid w:val="00D014AF"/>
    <w:rsid w:val="00D130D6"/>
    <w:rsid w:val="00D14CFC"/>
    <w:rsid w:val="00D17322"/>
    <w:rsid w:val="00D25F5B"/>
    <w:rsid w:val="00D269C7"/>
    <w:rsid w:val="00D3122A"/>
    <w:rsid w:val="00D3315F"/>
    <w:rsid w:val="00D41EEB"/>
    <w:rsid w:val="00D427D5"/>
    <w:rsid w:val="00D4714F"/>
    <w:rsid w:val="00D507D8"/>
    <w:rsid w:val="00D519CB"/>
    <w:rsid w:val="00D6010C"/>
    <w:rsid w:val="00D65A73"/>
    <w:rsid w:val="00D6703C"/>
    <w:rsid w:val="00D6725F"/>
    <w:rsid w:val="00D6787E"/>
    <w:rsid w:val="00D6789D"/>
    <w:rsid w:val="00D70EC9"/>
    <w:rsid w:val="00D75CF5"/>
    <w:rsid w:val="00D77DDA"/>
    <w:rsid w:val="00D90796"/>
    <w:rsid w:val="00D92086"/>
    <w:rsid w:val="00D9518F"/>
    <w:rsid w:val="00D97164"/>
    <w:rsid w:val="00D978BA"/>
    <w:rsid w:val="00DA200F"/>
    <w:rsid w:val="00DB04D6"/>
    <w:rsid w:val="00DB11B1"/>
    <w:rsid w:val="00DB2EC6"/>
    <w:rsid w:val="00DB7B3B"/>
    <w:rsid w:val="00DC0088"/>
    <w:rsid w:val="00DC3977"/>
    <w:rsid w:val="00DC713E"/>
    <w:rsid w:val="00DD1AF5"/>
    <w:rsid w:val="00DD501A"/>
    <w:rsid w:val="00DE025B"/>
    <w:rsid w:val="00DE0DFC"/>
    <w:rsid w:val="00DE34EC"/>
    <w:rsid w:val="00DE4AA1"/>
    <w:rsid w:val="00DE7EAB"/>
    <w:rsid w:val="00DF647C"/>
    <w:rsid w:val="00E059A0"/>
    <w:rsid w:val="00E0655C"/>
    <w:rsid w:val="00E10824"/>
    <w:rsid w:val="00E11D03"/>
    <w:rsid w:val="00E16FC2"/>
    <w:rsid w:val="00E2598E"/>
    <w:rsid w:val="00E2681F"/>
    <w:rsid w:val="00E31D36"/>
    <w:rsid w:val="00E31F13"/>
    <w:rsid w:val="00E34528"/>
    <w:rsid w:val="00E35B38"/>
    <w:rsid w:val="00E404F0"/>
    <w:rsid w:val="00E4421B"/>
    <w:rsid w:val="00E45C8A"/>
    <w:rsid w:val="00E46CD7"/>
    <w:rsid w:val="00E46DAD"/>
    <w:rsid w:val="00E50612"/>
    <w:rsid w:val="00E5078E"/>
    <w:rsid w:val="00E61774"/>
    <w:rsid w:val="00E63310"/>
    <w:rsid w:val="00E636F4"/>
    <w:rsid w:val="00E649D3"/>
    <w:rsid w:val="00E65338"/>
    <w:rsid w:val="00E71E53"/>
    <w:rsid w:val="00E7608A"/>
    <w:rsid w:val="00E84386"/>
    <w:rsid w:val="00E84BB7"/>
    <w:rsid w:val="00E9113D"/>
    <w:rsid w:val="00E933B1"/>
    <w:rsid w:val="00E933F9"/>
    <w:rsid w:val="00E97325"/>
    <w:rsid w:val="00EB27E5"/>
    <w:rsid w:val="00EB2ED1"/>
    <w:rsid w:val="00EB51B6"/>
    <w:rsid w:val="00EB76C2"/>
    <w:rsid w:val="00EC436E"/>
    <w:rsid w:val="00EC7B83"/>
    <w:rsid w:val="00ED1327"/>
    <w:rsid w:val="00ED6A96"/>
    <w:rsid w:val="00ED71B4"/>
    <w:rsid w:val="00ED73D4"/>
    <w:rsid w:val="00EF0C99"/>
    <w:rsid w:val="00F00F7F"/>
    <w:rsid w:val="00F0102B"/>
    <w:rsid w:val="00F10473"/>
    <w:rsid w:val="00F1107E"/>
    <w:rsid w:val="00F23705"/>
    <w:rsid w:val="00F32252"/>
    <w:rsid w:val="00F32DE6"/>
    <w:rsid w:val="00F33FDE"/>
    <w:rsid w:val="00F349E5"/>
    <w:rsid w:val="00F40FE9"/>
    <w:rsid w:val="00F43BF2"/>
    <w:rsid w:val="00F459F9"/>
    <w:rsid w:val="00F46FF8"/>
    <w:rsid w:val="00F5417A"/>
    <w:rsid w:val="00F57728"/>
    <w:rsid w:val="00F64C63"/>
    <w:rsid w:val="00F653A9"/>
    <w:rsid w:val="00F66B3C"/>
    <w:rsid w:val="00F7226F"/>
    <w:rsid w:val="00F735A4"/>
    <w:rsid w:val="00F76C0B"/>
    <w:rsid w:val="00F82728"/>
    <w:rsid w:val="00F82F2E"/>
    <w:rsid w:val="00F836C4"/>
    <w:rsid w:val="00F87792"/>
    <w:rsid w:val="00F92550"/>
    <w:rsid w:val="00F96AD3"/>
    <w:rsid w:val="00FA0FDF"/>
    <w:rsid w:val="00FA2AD8"/>
    <w:rsid w:val="00FA6409"/>
    <w:rsid w:val="00FA7997"/>
    <w:rsid w:val="00FB0D8E"/>
    <w:rsid w:val="00FB7A9F"/>
    <w:rsid w:val="00FC0408"/>
    <w:rsid w:val="00FC22FE"/>
    <w:rsid w:val="00FC34C0"/>
    <w:rsid w:val="00FD392F"/>
    <w:rsid w:val="00FD44F0"/>
    <w:rsid w:val="00FE602C"/>
    <w:rsid w:val="00FE61F4"/>
    <w:rsid w:val="00FE6503"/>
    <w:rsid w:val="00FF43F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8785"/>
    <o:shapelayout v:ext="edit">
      <o:idmap v:ext="edit" data="1"/>
    </o:shapelayout>
  </w:shapeDefaults>
  <w:decimalSymbol w:val=","/>
  <w:listSeparator w:val=";"/>
  <w14:docId w14:val="695FDFB3"/>
  <w15:chartTrackingRefBased/>
  <w15:docId w15:val="{35B0E827-8DE4-48F6-A492-427AF825A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uiPriority="99"/>
    <w:lsdException w:name="footer" w:uiPriority="99"/>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1F7D"/>
    <w:rPr>
      <w:sz w:val="24"/>
      <w:szCs w:val="24"/>
      <w:lang w:val="en-GB" w:eastAsia="en-GB"/>
    </w:rPr>
  </w:style>
  <w:style w:type="paragraph" w:styleId="Heading1">
    <w:name w:val="heading 1"/>
    <w:basedOn w:val="Normal"/>
    <w:next w:val="Normal"/>
    <w:link w:val="Heading1Char"/>
    <w:qFormat/>
    <w:rsid w:val="00147CD5"/>
    <w:pPr>
      <w:keepNext/>
      <w:spacing w:before="240" w:after="60"/>
      <w:outlineLvl w:val="0"/>
    </w:pPr>
    <w:rPr>
      <w:rFonts w:ascii="Cambria"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A7314F"/>
    <w:rPr>
      <w:color w:val="0000FF"/>
      <w:u w:val="single"/>
    </w:rPr>
  </w:style>
  <w:style w:type="paragraph" w:customStyle="1" w:styleId="Xreftext">
    <w:name w:val="X ref text"/>
    <w:basedOn w:val="Normal"/>
    <w:rsid w:val="00A7314F"/>
    <w:pPr>
      <w:numPr>
        <w:numId w:val="1"/>
      </w:numPr>
    </w:pPr>
    <w:rPr>
      <w:szCs w:val="20"/>
      <w:lang w:val="fr-FR"/>
    </w:rPr>
  </w:style>
  <w:style w:type="character" w:styleId="FollowedHyperlink">
    <w:name w:val="FollowedHyperlink"/>
    <w:rsid w:val="00B7330F"/>
    <w:rPr>
      <w:color w:val="606420"/>
      <w:u w:val="single"/>
    </w:rPr>
  </w:style>
  <w:style w:type="paragraph" w:styleId="BalloonText">
    <w:name w:val="Balloon Text"/>
    <w:basedOn w:val="Normal"/>
    <w:semiHidden/>
    <w:rsid w:val="00A06BFA"/>
    <w:rPr>
      <w:rFonts w:ascii="Tahoma" w:hAnsi="Tahoma" w:cs="Tahoma"/>
      <w:sz w:val="16"/>
      <w:szCs w:val="16"/>
    </w:rPr>
  </w:style>
  <w:style w:type="paragraph" w:styleId="Header">
    <w:name w:val="header"/>
    <w:basedOn w:val="Normal"/>
    <w:link w:val="HeaderChar"/>
    <w:uiPriority w:val="99"/>
    <w:rsid w:val="00753C8C"/>
    <w:pPr>
      <w:tabs>
        <w:tab w:val="center" w:pos="4513"/>
        <w:tab w:val="right" w:pos="9026"/>
      </w:tabs>
    </w:pPr>
    <w:rPr>
      <w:lang w:val="x-none" w:eastAsia="x-none"/>
    </w:rPr>
  </w:style>
  <w:style w:type="character" w:customStyle="1" w:styleId="HeaderChar">
    <w:name w:val="Header Char"/>
    <w:link w:val="Header"/>
    <w:uiPriority w:val="99"/>
    <w:rsid w:val="00753C8C"/>
    <w:rPr>
      <w:sz w:val="24"/>
      <w:szCs w:val="24"/>
    </w:rPr>
  </w:style>
  <w:style w:type="paragraph" w:styleId="Footer">
    <w:name w:val="footer"/>
    <w:basedOn w:val="Normal"/>
    <w:link w:val="FooterChar"/>
    <w:uiPriority w:val="99"/>
    <w:rsid w:val="00753C8C"/>
    <w:pPr>
      <w:tabs>
        <w:tab w:val="center" w:pos="4513"/>
        <w:tab w:val="right" w:pos="9026"/>
      </w:tabs>
    </w:pPr>
    <w:rPr>
      <w:lang w:val="x-none" w:eastAsia="x-none"/>
    </w:rPr>
  </w:style>
  <w:style w:type="character" w:customStyle="1" w:styleId="FooterChar">
    <w:name w:val="Footer Char"/>
    <w:link w:val="Footer"/>
    <w:uiPriority w:val="99"/>
    <w:rsid w:val="00753C8C"/>
    <w:rPr>
      <w:sz w:val="24"/>
      <w:szCs w:val="24"/>
    </w:rPr>
  </w:style>
  <w:style w:type="paragraph" w:styleId="NormalWeb">
    <w:name w:val="Normal (Web)"/>
    <w:basedOn w:val="Normal"/>
    <w:rsid w:val="00561CD5"/>
    <w:pPr>
      <w:spacing w:before="100" w:beforeAutospacing="1" w:after="100" w:afterAutospacing="1"/>
    </w:pPr>
  </w:style>
  <w:style w:type="character" w:customStyle="1" w:styleId="hps">
    <w:name w:val="hps"/>
    <w:rsid w:val="00634BC6"/>
  </w:style>
  <w:style w:type="character" w:styleId="Strong">
    <w:name w:val="Strong"/>
    <w:qFormat/>
    <w:rsid w:val="00147CD5"/>
    <w:rPr>
      <w:b/>
      <w:bCs/>
    </w:rPr>
  </w:style>
  <w:style w:type="character" w:customStyle="1" w:styleId="Heading1Char">
    <w:name w:val="Heading 1 Char"/>
    <w:link w:val="Heading1"/>
    <w:rsid w:val="00147CD5"/>
    <w:rPr>
      <w:rFonts w:ascii="Cambria" w:eastAsia="Times New Roman" w:hAnsi="Cambria" w:cs="Times New Roman"/>
      <w:b/>
      <w:bCs/>
      <w:kern w:val="32"/>
      <w:sz w:val="32"/>
      <w:szCs w:val="32"/>
      <w:lang w:val="en-GB" w:eastAsia="en-GB"/>
    </w:rPr>
  </w:style>
  <w:style w:type="character" w:styleId="Emphasis">
    <w:name w:val="Emphasis"/>
    <w:qFormat/>
    <w:rsid w:val="00147CD5"/>
    <w:rPr>
      <w:i/>
      <w:iCs/>
    </w:rPr>
  </w:style>
  <w:style w:type="paragraph" w:styleId="NoSpacing">
    <w:name w:val="No Spacing"/>
    <w:uiPriority w:val="1"/>
    <w:qFormat/>
    <w:rsid w:val="00147CD5"/>
    <w:rPr>
      <w:sz w:val="24"/>
      <w:szCs w:val="24"/>
      <w:lang w:val="en-GB" w:eastAsia="en-GB"/>
    </w:rPr>
  </w:style>
  <w:style w:type="character" w:styleId="CommentReference">
    <w:name w:val="annotation reference"/>
    <w:rsid w:val="000F633F"/>
    <w:rPr>
      <w:sz w:val="16"/>
      <w:szCs w:val="16"/>
    </w:rPr>
  </w:style>
  <w:style w:type="paragraph" w:styleId="CommentText">
    <w:name w:val="annotation text"/>
    <w:basedOn w:val="Normal"/>
    <w:link w:val="CommentTextChar"/>
    <w:uiPriority w:val="99"/>
    <w:rsid w:val="000F633F"/>
    <w:rPr>
      <w:sz w:val="20"/>
      <w:szCs w:val="20"/>
    </w:rPr>
  </w:style>
  <w:style w:type="character" w:customStyle="1" w:styleId="CommentTextChar">
    <w:name w:val="Comment Text Char"/>
    <w:link w:val="CommentText"/>
    <w:uiPriority w:val="99"/>
    <w:rsid w:val="000F633F"/>
    <w:rPr>
      <w:lang w:val="en-GB" w:eastAsia="en-GB"/>
    </w:rPr>
  </w:style>
  <w:style w:type="paragraph" w:styleId="CommentSubject">
    <w:name w:val="annotation subject"/>
    <w:basedOn w:val="CommentText"/>
    <w:next w:val="CommentText"/>
    <w:link w:val="CommentSubjectChar"/>
    <w:rsid w:val="000F633F"/>
    <w:rPr>
      <w:b/>
      <w:bCs/>
    </w:rPr>
  </w:style>
  <w:style w:type="character" w:customStyle="1" w:styleId="CommentSubjectChar">
    <w:name w:val="Comment Subject Char"/>
    <w:link w:val="CommentSubject"/>
    <w:rsid w:val="000F633F"/>
    <w:rPr>
      <w:b/>
      <w:bCs/>
      <w:lang w:val="en-GB" w:eastAsia="en-GB"/>
    </w:rPr>
  </w:style>
  <w:style w:type="paragraph" w:styleId="FootnoteText">
    <w:name w:val="footnote text"/>
    <w:basedOn w:val="Normal"/>
    <w:link w:val="FootnoteTextChar"/>
    <w:rsid w:val="005F4094"/>
    <w:rPr>
      <w:sz w:val="20"/>
      <w:szCs w:val="20"/>
    </w:rPr>
  </w:style>
  <w:style w:type="character" w:customStyle="1" w:styleId="FootnoteTextChar">
    <w:name w:val="Footnote Text Char"/>
    <w:link w:val="FootnoteText"/>
    <w:rsid w:val="005F4094"/>
    <w:rPr>
      <w:lang w:val="en-GB" w:eastAsia="en-GB"/>
    </w:rPr>
  </w:style>
  <w:style w:type="character" w:styleId="FootnoteReference">
    <w:name w:val="footnote reference"/>
    <w:rsid w:val="005F4094"/>
    <w:rPr>
      <w:vertAlign w:val="superscript"/>
    </w:rPr>
  </w:style>
  <w:style w:type="paragraph" w:styleId="ListParagraph">
    <w:name w:val="List Paragraph"/>
    <w:basedOn w:val="Normal"/>
    <w:link w:val="ListParagraphChar"/>
    <w:uiPriority w:val="34"/>
    <w:qFormat/>
    <w:rsid w:val="00F00F7F"/>
    <w:pPr>
      <w:spacing w:after="160" w:line="259" w:lineRule="auto"/>
      <w:ind w:left="720"/>
      <w:contextualSpacing/>
    </w:pPr>
    <w:rPr>
      <w:rFonts w:asciiTheme="minorHAnsi" w:eastAsiaTheme="minorHAnsi" w:hAnsiTheme="minorHAnsi" w:cstheme="minorBidi"/>
      <w:sz w:val="22"/>
      <w:szCs w:val="22"/>
      <w:lang w:val="bg-BG" w:eastAsia="en-US"/>
    </w:rPr>
  </w:style>
  <w:style w:type="character" w:customStyle="1" w:styleId="ListParagraphChar">
    <w:name w:val="List Paragraph Char"/>
    <w:basedOn w:val="DefaultParagraphFont"/>
    <w:link w:val="ListParagraph"/>
    <w:uiPriority w:val="34"/>
    <w:rsid w:val="00F00F7F"/>
    <w:rPr>
      <w:rFonts w:asciiTheme="minorHAnsi" w:eastAsiaTheme="minorHAnsi" w:hAnsiTheme="minorHAnsi" w:cstheme="minorBidi"/>
      <w:sz w:val="22"/>
      <w:szCs w:val="22"/>
      <w:lang w:eastAsia="en-US"/>
    </w:rPr>
  </w:style>
  <w:style w:type="paragraph" w:customStyle="1" w:styleId="Title1">
    <w:name w:val="Title1"/>
    <w:basedOn w:val="Normal"/>
    <w:rsid w:val="005D2E72"/>
    <w:pPr>
      <w:spacing w:before="100" w:beforeAutospacing="1" w:after="100" w:afterAutospacing="1"/>
    </w:pPr>
    <w:rPr>
      <w:lang w:val="bg-BG" w:eastAsia="bg-BG"/>
    </w:rPr>
  </w:style>
  <w:style w:type="character" w:customStyle="1" w:styleId="samedocreference">
    <w:name w:val="samedocreference"/>
    <w:basedOn w:val="DefaultParagraphFont"/>
    <w:rsid w:val="005D2E72"/>
  </w:style>
  <w:style w:type="character" w:customStyle="1" w:styleId="newdocreference">
    <w:name w:val="newdocreference"/>
    <w:basedOn w:val="DefaultParagraphFont"/>
    <w:rsid w:val="005D2E72"/>
  </w:style>
  <w:style w:type="paragraph" w:styleId="Revision">
    <w:name w:val="Revision"/>
    <w:hidden/>
    <w:uiPriority w:val="99"/>
    <w:semiHidden/>
    <w:rsid w:val="00C65FA5"/>
    <w:rPr>
      <w:sz w:val="24"/>
      <w:szCs w:val="24"/>
      <w:lang w:val="en-GB" w:eastAsia="en-GB"/>
    </w:rPr>
  </w:style>
  <w:style w:type="table" w:styleId="TableGrid">
    <w:name w:val="Table Grid"/>
    <w:basedOn w:val="TableNormal"/>
    <w:uiPriority w:val="39"/>
    <w:rsid w:val="0050521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390505">
      <w:bodyDiv w:val="1"/>
      <w:marLeft w:val="0"/>
      <w:marRight w:val="0"/>
      <w:marTop w:val="0"/>
      <w:marBottom w:val="0"/>
      <w:divBdr>
        <w:top w:val="none" w:sz="0" w:space="0" w:color="auto"/>
        <w:left w:val="none" w:sz="0" w:space="0" w:color="auto"/>
        <w:bottom w:val="none" w:sz="0" w:space="0" w:color="auto"/>
        <w:right w:val="none" w:sz="0" w:space="0" w:color="auto"/>
      </w:divBdr>
    </w:div>
    <w:div w:id="327638393">
      <w:bodyDiv w:val="1"/>
      <w:marLeft w:val="0"/>
      <w:marRight w:val="0"/>
      <w:marTop w:val="0"/>
      <w:marBottom w:val="0"/>
      <w:divBdr>
        <w:top w:val="none" w:sz="0" w:space="0" w:color="auto"/>
        <w:left w:val="none" w:sz="0" w:space="0" w:color="auto"/>
        <w:bottom w:val="none" w:sz="0" w:space="0" w:color="auto"/>
        <w:right w:val="none" w:sz="0" w:space="0" w:color="auto"/>
      </w:divBdr>
    </w:div>
    <w:div w:id="1178498434">
      <w:bodyDiv w:val="1"/>
      <w:marLeft w:val="0"/>
      <w:marRight w:val="0"/>
      <w:marTop w:val="0"/>
      <w:marBottom w:val="0"/>
      <w:divBdr>
        <w:top w:val="none" w:sz="0" w:space="0" w:color="auto"/>
        <w:left w:val="none" w:sz="0" w:space="0" w:color="auto"/>
        <w:bottom w:val="none" w:sz="0" w:space="0" w:color="auto"/>
        <w:right w:val="none" w:sz="0" w:space="0" w:color="auto"/>
      </w:divBdr>
      <w:divsChild>
        <w:div w:id="2106874769">
          <w:marLeft w:val="0"/>
          <w:marRight w:val="0"/>
          <w:marTop w:val="0"/>
          <w:marBottom w:val="0"/>
          <w:divBdr>
            <w:top w:val="none" w:sz="0" w:space="0" w:color="auto"/>
            <w:left w:val="none" w:sz="0" w:space="0" w:color="auto"/>
            <w:bottom w:val="none" w:sz="0" w:space="0" w:color="auto"/>
            <w:right w:val="none" w:sz="0" w:space="0" w:color="auto"/>
          </w:divBdr>
        </w:div>
        <w:div w:id="1812483067">
          <w:marLeft w:val="0"/>
          <w:marRight w:val="0"/>
          <w:marTop w:val="0"/>
          <w:marBottom w:val="0"/>
          <w:divBdr>
            <w:top w:val="none" w:sz="0" w:space="0" w:color="auto"/>
            <w:left w:val="none" w:sz="0" w:space="0" w:color="auto"/>
            <w:bottom w:val="none" w:sz="0" w:space="0" w:color="auto"/>
            <w:right w:val="none" w:sz="0" w:space="0" w:color="auto"/>
          </w:divBdr>
        </w:div>
        <w:div w:id="2020425423">
          <w:marLeft w:val="0"/>
          <w:marRight w:val="0"/>
          <w:marTop w:val="0"/>
          <w:marBottom w:val="0"/>
          <w:divBdr>
            <w:top w:val="none" w:sz="0" w:space="0" w:color="auto"/>
            <w:left w:val="none" w:sz="0" w:space="0" w:color="auto"/>
            <w:bottom w:val="none" w:sz="0" w:space="0" w:color="auto"/>
            <w:right w:val="none" w:sz="0" w:space="0" w:color="auto"/>
          </w:divBdr>
        </w:div>
        <w:div w:id="914432564">
          <w:marLeft w:val="0"/>
          <w:marRight w:val="0"/>
          <w:marTop w:val="0"/>
          <w:marBottom w:val="0"/>
          <w:divBdr>
            <w:top w:val="none" w:sz="0" w:space="0" w:color="auto"/>
            <w:left w:val="none" w:sz="0" w:space="0" w:color="auto"/>
            <w:bottom w:val="none" w:sz="0" w:space="0" w:color="auto"/>
            <w:right w:val="none" w:sz="0" w:space="0" w:color="auto"/>
          </w:divBdr>
          <w:divsChild>
            <w:div w:id="801070144">
              <w:marLeft w:val="0"/>
              <w:marRight w:val="0"/>
              <w:marTop w:val="0"/>
              <w:marBottom w:val="0"/>
              <w:divBdr>
                <w:top w:val="none" w:sz="0" w:space="0" w:color="auto"/>
                <w:left w:val="none" w:sz="0" w:space="0" w:color="auto"/>
                <w:bottom w:val="none" w:sz="0" w:space="0" w:color="auto"/>
                <w:right w:val="none" w:sz="0" w:space="0" w:color="auto"/>
              </w:divBdr>
            </w:div>
            <w:div w:id="541677725">
              <w:marLeft w:val="0"/>
              <w:marRight w:val="0"/>
              <w:marTop w:val="0"/>
              <w:marBottom w:val="0"/>
              <w:divBdr>
                <w:top w:val="none" w:sz="0" w:space="0" w:color="auto"/>
                <w:left w:val="none" w:sz="0" w:space="0" w:color="auto"/>
                <w:bottom w:val="none" w:sz="0" w:space="0" w:color="auto"/>
                <w:right w:val="none" w:sz="0" w:space="0" w:color="auto"/>
              </w:divBdr>
            </w:div>
            <w:div w:id="779180003">
              <w:marLeft w:val="0"/>
              <w:marRight w:val="0"/>
              <w:marTop w:val="0"/>
              <w:marBottom w:val="0"/>
              <w:divBdr>
                <w:top w:val="none" w:sz="0" w:space="0" w:color="auto"/>
                <w:left w:val="none" w:sz="0" w:space="0" w:color="auto"/>
                <w:bottom w:val="none" w:sz="0" w:space="0" w:color="auto"/>
                <w:right w:val="none" w:sz="0" w:space="0" w:color="auto"/>
              </w:divBdr>
            </w:div>
            <w:div w:id="905191621">
              <w:marLeft w:val="0"/>
              <w:marRight w:val="0"/>
              <w:marTop w:val="0"/>
              <w:marBottom w:val="0"/>
              <w:divBdr>
                <w:top w:val="none" w:sz="0" w:space="0" w:color="auto"/>
                <w:left w:val="none" w:sz="0" w:space="0" w:color="auto"/>
                <w:bottom w:val="none" w:sz="0" w:space="0" w:color="auto"/>
                <w:right w:val="none" w:sz="0" w:space="0" w:color="auto"/>
              </w:divBdr>
            </w:div>
            <w:div w:id="751001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351565">
      <w:bodyDiv w:val="1"/>
      <w:marLeft w:val="0"/>
      <w:marRight w:val="0"/>
      <w:marTop w:val="0"/>
      <w:marBottom w:val="0"/>
      <w:divBdr>
        <w:top w:val="none" w:sz="0" w:space="0" w:color="auto"/>
        <w:left w:val="none" w:sz="0" w:space="0" w:color="auto"/>
        <w:bottom w:val="none" w:sz="0" w:space="0" w:color="auto"/>
        <w:right w:val="none" w:sz="0" w:space="0" w:color="auto"/>
      </w:divBdr>
    </w:div>
    <w:div w:id="1817138038">
      <w:bodyDiv w:val="1"/>
      <w:marLeft w:val="0"/>
      <w:marRight w:val="0"/>
      <w:marTop w:val="0"/>
      <w:marBottom w:val="0"/>
      <w:divBdr>
        <w:top w:val="none" w:sz="0" w:space="0" w:color="auto"/>
        <w:left w:val="none" w:sz="0" w:space="0" w:color="auto"/>
        <w:bottom w:val="none" w:sz="0" w:space="0" w:color="auto"/>
        <w:right w:val="none" w:sz="0" w:space="0" w:color="auto"/>
      </w:divBdr>
    </w:div>
    <w:div w:id="2064982722">
      <w:bodyDiv w:val="1"/>
      <w:marLeft w:val="0"/>
      <w:marRight w:val="0"/>
      <w:marTop w:val="0"/>
      <w:marBottom w:val="0"/>
      <w:divBdr>
        <w:top w:val="none" w:sz="0" w:space="0" w:color="auto"/>
        <w:left w:val="none" w:sz="0" w:space="0" w:color="auto"/>
        <w:bottom w:val="none" w:sz="0" w:space="0" w:color="auto"/>
        <w:right w:val="none" w:sz="0" w:space="0" w:color="auto"/>
      </w:divBdr>
    </w:div>
    <w:div w:id="21012900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w3r\LOCALS~1\Temp\Attachment%20B_BG_488520090619051027-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5E72B3-82C3-4C22-B748-E13930E1C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Attachment B_BG_488520090619051027-1</Template>
  <TotalTime>288</TotalTime>
  <Pages>3</Pages>
  <Words>920</Words>
  <Characters>5520</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Eurostat Reference Metadata</vt:lpstr>
    </vt:vector>
  </TitlesOfParts>
  <Company>Eurostat</Company>
  <LinksUpToDate>false</LinksUpToDate>
  <CharactersWithSpaces>6428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Eurostat Reference Metadata</dc:title>
  <dc:subject/>
  <dc:creator>Iliana Iskrenova</dc:creator>
  <cp:keywords/>
  <cp:lastModifiedBy>Лора Бусарова</cp:lastModifiedBy>
  <cp:revision>107</cp:revision>
  <cp:lastPrinted>2016-08-18T10:38:00Z</cp:lastPrinted>
  <dcterms:created xsi:type="dcterms:W3CDTF">2023-04-05T11:03:00Z</dcterms:created>
  <dcterms:modified xsi:type="dcterms:W3CDTF">2025-09-04T08:29:00Z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d7c844b6eb42a1d19d1125fd0a94b4a4853ad7a0e944c24d51718036fb694b3c</vt:lpwstr>
  </property>
</Properties>
</file>