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85F" w:rsidRPr="00A17158" w:rsidRDefault="003B1E0D" w:rsidP="00D4785F">
      <w:pPr>
        <w:spacing w:before="450" w:after="100" w:afterAutospacing="1" w:line="240" w:lineRule="auto"/>
        <w:jc w:val="right"/>
        <w:outlineLvl w:val="2"/>
        <w:rPr>
          <w:rFonts w:ascii="Verdana" w:eastAsia="Times New Roman" w:hAnsi="Verdana" w:cs="Times New Roman"/>
          <w:b/>
          <w:bCs/>
          <w:i/>
          <w:color w:val="000000"/>
          <w:sz w:val="20"/>
          <w:szCs w:val="20"/>
          <w:lang w:val="en-US" w:eastAsia="bg-BG"/>
        </w:rPr>
      </w:pPr>
      <w:r>
        <w:rPr>
          <w:rFonts w:ascii="Verdana" w:eastAsia="Times New Roman" w:hAnsi="Verdana" w:cs="Times New Roman"/>
          <w:b/>
          <w:bCs/>
          <w:i/>
          <w:color w:val="000000"/>
          <w:sz w:val="20"/>
          <w:szCs w:val="20"/>
          <w:lang w:eastAsia="bg-BG"/>
        </w:rPr>
        <w:t xml:space="preserve">Приложение </w:t>
      </w:r>
      <w:r w:rsidR="00A17158">
        <w:rPr>
          <w:rFonts w:ascii="Verdana" w:eastAsia="Times New Roman" w:hAnsi="Verdana" w:cs="Times New Roman"/>
          <w:b/>
          <w:bCs/>
          <w:i/>
          <w:color w:val="000000"/>
          <w:sz w:val="20"/>
          <w:szCs w:val="20"/>
          <w:lang w:val="en-US" w:eastAsia="bg-BG"/>
        </w:rPr>
        <w:t>O</w:t>
      </w: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084723" w:rsidRPr="00AF1339" w:rsidTr="00072438">
        <w:trPr>
          <w:trHeight w:val="684"/>
        </w:trPr>
        <w:tc>
          <w:tcPr>
            <w:tcW w:w="3276" w:type="dxa"/>
          </w:tcPr>
          <w:p w:rsidR="00084723" w:rsidRPr="00AF1339" w:rsidRDefault="00084723" w:rsidP="00072438">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val="en-US"/>
              </w:rPr>
              <w:drawing>
                <wp:anchor distT="0" distB="0" distL="114300" distR="114300" simplePos="0" relativeHeight="251659264" behindDoc="0" locked="0" layoutInCell="1" allowOverlap="1" wp14:anchorId="0A77056C" wp14:editId="1317AB19">
                  <wp:simplePos x="0" y="0"/>
                  <wp:positionH relativeFrom="column">
                    <wp:posOffset>445770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4" cstate="print">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4723" w:rsidRPr="00AF1339" w:rsidRDefault="00084723" w:rsidP="00072438">
            <w:pPr>
              <w:spacing w:after="160" w:line="259" w:lineRule="auto"/>
              <w:jc w:val="center"/>
              <w:rPr>
                <w:rFonts w:ascii="Calibri" w:eastAsia="Calibri" w:hAnsi="Calibri" w:cs="Times New Roman"/>
                <w:b/>
                <w:sz w:val="14"/>
                <w:szCs w:val="14"/>
              </w:rPr>
            </w:pPr>
          </w:p>
          <w:p w:rsidR="00084723" w:rsidRPr="00AF1339" w:rsidRDefault="00084723" w:rsidP="00072438">
            <w:pPr>
              <w:spacing w:after="160" w:line="259" w:lineRule="auto"/>
              <w:jc w:val="center"/>
              <w:rPr>
                <w:rFonts w:ascii="Calibri" w:eastAsia="Calibri" w:hAnsi="Calibri" w:cs="Times New Roman"/>
                <w:b/>
                <w:sz w:val="14"/>
                <w:szCs w:val="14"/>
              </w:rPr>
            </w:pPr>
          </w:p>
          <w:p w:rsidR="00084723" w:rsidRPr="00AF1339" w:rsidRDefault="00084723" w:rsidP="00072438">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rsidR="00084723" w:rsidRPr="00AF1339" w:rsidRDefault="00084723" w:rsidP="00072438">
            <w:pPr>
              <w:spacing w:after="160" w:line="259" w:lineRule="auto"/>
              <w:jc w:val="center"/>
              <w:rPr>
                <w:rFonts w:ascii="Calibri" w:eastAsia="Calibri" w:hAnsi="Calibri" w:cs="Times New Roman"/>
              </w:rPr>
            </w:pPr>
          </w:p>
          <w:p w:rsidR="00084723" w:rsidRPr="00AF1339" w:rsidRDefault="00084723" w:rsidP="00072438">
            <w:pPr>
              <w:spacing w:after="160" w:line="259" w:lineRule="auto"/>
              <w:jc w:val="center"/>
              <w:rPr>
                <w:rFonts w:ascii="Calibri" w:eastAsia="Calibri" w:hAnsi="Calibri" w:cs="Times New Roman"/>
              </w:rPr>
            </w:pPr>
          </w:p>
          <w:p w:rsidR="00084723" w:rsidRPr="00AF1339" w:rsidRDefault="00084723" w:rsidP="00072438">
            <w:pPr>
              <w:spacing w:after="160" w:line="259" w:lineRule="auto"/>
              <w:jc w:val="center"/>
              <w:rPr>
                <w:rFonts w:ascii="Calibri" w:eastAsia="Calibri" w:hAnsi="Calibri" w:cs="Times New Roman"/>
              </w:rPr>
            </w:pPr>
          </w:p>
        </w:tc>
        <w:tc>
          <w:tcPr>
            <w:tcW w:w="3354" w:type="dxa"/>
          </w:tcPr>
          <w:p w:rsidR="00084723" w:rsidRPr="00AF1339" w:rsidRDefault="00084723" w:rsidP="00072438">
            <w:pPr>
              <w:spacing w:after="160" w:line="259" w:lineRule="auto"/>
              <w:jc w:val="center"/>
              <w:rPr>
                <w:rFonts w:ascii="Calibri" w:eastAsia="Calibri" w:hAnsi="Calibri" w:cs="Times New Roman"/>
              </w:rPr>
            </w:pPr>
            <w:r w:rsidRPr="00AF1339">
              <w:rPr>
                <w:rFonts w:ascii="Calibri" w:eastAsia="Calibri" w:hAnsi="Calibri" w:cs="Times New Roman"/>
                <w:noProof/>
                <w:lang w:val="en-US"/>
              </w:rPr>
              <w:drawing>
                <wp:inline distT="0" distB="0" distL="0" distR="0" wp14:anchorId="0E0B8DAA" wp14:editId="6C467358">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084723" w:rsidRDefault="00084723" w:rsidP="00084723">
      <w:pPr>
        <w:spacing w:before="450" w:after="100" w:afterAutospacing="1" w:line="240" w:lineRule="auto"/>
        <w:outlineLvl w:val="2"/>
        <w:rPr>
          <w:rFonts w:ascii="Verdana" w:eastAsia="Times New Roman" w:hAnsi="Verdana" w:cs="Times New Roman"/>
          <w:b/>
          <w:bCs/>
          <w:color w:val="000000"/>
          <w:sz w:val="20"/>
          <w:szCs w:val="20"/>
          <w:lang w:eastAsia="bg-BG"/>
        </w:rPr>
      </w:pPr>
    </w:p>
    <w:p w:rsidR="00D4785F" w:rsidRPr="00D4785F" w:rsidRDefault="00812932"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Pr>
          <w:rFonts w:ascii="Verdana" w:eastAsia="Times New Roman" w:hAnsi="Verdana" w:cs="Times New Roman"/>
          <w:b/>
          <w:bCs/>
          <w:color w:val="000000"/>
          <w:sz w:val="20"/>
          <w:szCs w:val="20"/>
          <w:lang w:eastAsia="bg-BG"/>
        </w:rPr>
        <w:t>ПРИЛОЖЕНИЕ</w:t>
      </w:r>
      <w:r w:rsidR="00D4785F" w:rsidRPr="00D4785F">
        <w:rPr>
          <w:rFonts w:ascii="Verdana" w:eastAsia="Times New Roman" w:hAnsi="Verdana" w:cs="Times New Roman"/>
          <w:b/>
          <w:bCs/>
          <w:color w:val="000000"/>
          <w:sz w:val="20"/>
          <w:szCs w:val="20"/>
          <w:lang w:eastAsia="bg-BG"/>
        </w:rPr>
        <w:t xml:space="preserve"> I</w:t>
      </w:r>
      <w:r>
        <w:rPr>
          <w:rFonts w:ascii="Verdana" w:eastAsia="Times New Roman" w:hAnsi="Verdana" w:cs="Times New Roman"/>
          <w:b/>
          <w:bCs/>
          <w:color w:val="000000"/>
          <w:sz w:val="20"/>
          <w:szCs w:val="20"/>
          <w:lang w:eastAsia="bg-BG"/>
        </w:rPr>
        <w:t xml:space="preserve"> КЪМ</w:t>
      </w:r>
      <w:r w:rsidR="00D4785F" w:rsidRPr="00D4785F">
        <w:rPr>
          <w:b/>
        </w:rPr>
        <w:t xml:space="preserve">  </w:t>
      </w:r>
      <w:r w:rsidR="00D4785F" w:rsidRPr="00D4785F">
        <w:rPr>
          <w:rFonts w:ascii="Verdana" w:eastAsia="Times New Roman" w:hAnsi="Verdana" w:cs="Times New Roman"/>
          <w:b/>
          <w:bCs/>
          <w:color w:val="000000"/>
          <w:sz w:val="20"/>
          <w:szCs w:val="20"/>
          <w:lang w:eastAsia="bg-BG"/>
        </w:rPr>
        <w:t>ДИРЕКТИВА 2003/87/ЕО НА ЕВРОПЕЙСКИЯ ПАРЛАМЕНТ И НА СЪВЕТА</w:t>
      </w:r>
    </w:p>
    <w:p w:rsidR="00D4785F" w:rsidRPr="00D4785F" w:rsidRDefault="00D4785F"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sidRPr="00D4785F">
        <w:rPr>
          <w:rFonts w:ascii="Verdana" w:eastAsia="Times New Roman" w:hAnsi="Verdana" w:cs="Times New Roman"/>
          <w:b/>
          <w:bCs/>
          <w:color w:val="000000"/>
          <w:sz w:val="20"/>
          <w:szCs w:val="20"/>
          <w:lang w:eastAsia="bg-BG"/>
        </w:rPr>
        <w:t>от 13 октомври 2003 година</w:t>
      </w:r>
    </w:p>
    <w:p w:rsidR="00D4785F" w:rsidRPr="00D4785F" w:rsidRDefault="00D4785F" w:rsidP="00D4785F">
      <w:pPr>
        <w:spacing w:before="450" w:after="100" w:afterAutospacing="1" w:line="240" w:lineRule="auto"/>
        <w:jc w:val="center"/>
        <w:outlineLvl w:val="2"/>
        <w:rPr>
          <w:rFonts w:ascii="Verdana" w:eastAsia="Times New Roman" w:hAnsi="Verdana" w:cs="Times New Roman"/>
          <w:b/>
          <w:bCs/>
          <w:color w:val="000000"/>
          <w:sz w:val="20"/>
          <w:szCs w:val="20"/>
          <w:lang w:eastAsia="bg-BG"/>
        </w:rPr>
      </w:pPr>
      <w:r w:rsidRPr="00D4785F">
        <w:rPr>
          <w:rFonts w:ascii="Verdana" w:eastAsia="Times New Roman" w:hAnsi="Verdana" w:cs="Times New Roman"/>
          <w:b/>
          <w:bCs/>
          <w:color w:val="000000"/>
          <w:sz w:val="20"/>
          <w:szCs w:val="20"/>
          <w:lang w:eastAsia="bg-BG"/>
        </w:rPr>
        <w:t>за установяване на схема за търговия с квоти за емисии на парникови газове в рамките на Общността и за изменение на Директива 96/61/ЕО на Съвета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bookmarkStart w:id="0" w:name="to_paragraph_id5761870"/>
      <w:bookmarkEnd w:id="0"/>
      <w:r w:rsidRPr="00D4785F">
        <w:rPr>
          <w:rFonts w:ascii="Verdana" w:eastAsia="Times New Roman" w:hAnsi="Verdana" w:cs="Times New Roman"/>
          <w:bCs/>
          <w:color w:val="000000"/>
          <w:sz w:val="20"/>
          <w:szCs w:val="20"/>
          <w:lang w:eastAsia="bg-BG"/>
        </w:rPr>
        <w:t>КАТЕГОРИИ ДЕЙНОСТИ, ЗА КОИТО СЕ ПРИЛАГА НАСТОЯЩАТА ДИРЕКТИВА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1. Инсталациите или частите от инсталации, които се използват за изследване, разработване и изпитване на нови продукти и процеси, и инсталации, които използват изключително биомаса, не влизат в приложното поле на настоящата директива.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 xml:space="preserve">3. Когато се изчислява общата номинална топлинна мощност на инсталация, за да се вземе решение дали да бъде включена в схемата на Общността, се сумират номиналните топлинни мощности на всички технически съоръжения, които са част от нея и в които горивата се изгарят в инсталацията. Тези съоръжения биха могли да включват всички видове парни котли, факелни тръби, турбини, нагреватели, топилни, </w:t>
      </w:r>
      <w:proofErr w:type="spellStart"/>
      <w:r w:rsidRPr="00D4785F">
        <w:rPr>
          <w:rFonts w:ascii="Verdana" w:eastAsia="Times New Roman" w:hAnsi="Verdana" w:cs="Times New Roman"/>
          <w:color w:val="000000"/>
          <w:sz w:val="20"/>
          <w:szCs w:val="20"/>
          <w:lang w:eastAsia="bg-BG"/>
        </w:rPr>
        <w:t>инсинератори</w:t>
      </w:r>
      <w:proofErr w:type="spellEnd"/>
      <w:r w:rsidRPr="00D4785F">
        <w:rPr>
          <w:rFonts w:ascii="Verdana" w:eastAsia="Times New Roman" w:hAnsi="Verdana" w:cs="Times New Roman"/>
          <w:color w:val="000000"/>
          <w:sz w:val="20"/>
          <w:szCs w:val="20"/>
          <w:lang w:eastAsia="bg-BG"/>
        </w:rPr>
        <w:t>, пещи за калциниране, пещи за изпичане, пещи, сушилни, двигатели, горивни клетки, съоръжения за циклично химическо изгаряне, запалителни устройства и термични или каталитични съоръжения за доизгаряне. Съоръжения с обща номинална топлинна мощност под 3 MW и съоръжения, които използват изключително биомаса, не се вземат предвид за целите на настоящото изчисление. „Съоръжения, които използват изключително биомаса" включват съоръжения, които използват изкопаеми горива само при пускане или спиране на съоръжението.</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схемата на Общността.</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r w:rsidRPr="00D4785F">
        <w:rPr>
          <w:rFonts w:ascii="Verdana" w:eastAsia="Times New Roman" w:hAnsi="Verdana" w:cs="Times New Roman"/>
          <w:color w:val="000000"/>
          <w:sz w:val="20"/>
          <w:szCs w:val="20"/>
          <w:lang w:eastAsia="bg-BG"/>
        </w:rPr>
        <w:lastRenderedPageBreak/>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D4785F" w:rsidRPr="00D4785F" w:rsidRDefault="00D4785F" w:rsidP="00D4785F">
      <w:pPr>
        <w:spacing w:after="0" w:line="240" w:lineRule="auto"/>
        <w:ind w:firstLine="990"/>
        <w:jc w:val="both"/>
        <w:rPr>
          <w:rFonts w:ascii="Verdana" w:eastAsia="Times New Roman" w:hAnsi="Verdana" w:cs="Times New Roman"/>
          <w:color w:val="000000"/>
          <w:sz w:val="20"/>
          <w:szCs w:val="20"/>
          <w:lang w:eastAsia="bg-BG"/>
        </w:rPr>
      </w:pPr>
    </w:p>
    <w:tbl>
      <w:tblPr>
        <w:tblW w:w="10204" w:type="dxa"/>
        <w:tblCellMar>
          <w:left w:w="0" w:type="dxa"/>
          <w:right w:w="0" w:type="dxa"/>
        </w:tblCellMar>
        <w:tblLook w:val="04A0" w:firstRow="1" w:lastRow="0" w:firstColumn="1" w:lastColumn="0" w:noHBand="0" w:noVBand="1"/>
      </w:tblPr>
      <w:tblGrid>
        <w:gridCol w:w="7695"/>
        <w:gridCol w:w="2509"/>
      </w:tblGrid>
      <w:tr w:rsidR="00D4785F" w:rsidRPr="00D4785F" w:rsidTr="00D4785F">
        <w:trPr>
          <w:trHeight w:val="23"/>
        </w:trPr>
        <w:tc>
          <w:tcPr>
            <w:tcW w:w="7695"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Дейности</w:t>
            </w:r>
          </w:p>
        </w:tc>
        <w:tc>
          <w:tcPr>
            <w:tcW w:w="2509"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Парникови газове</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Изгаряне на горива в инсталации с обща номинална топлинна мощност,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превишаваща 20 MW (с изключение на изгарянето в инсталации за изгаряне на опасни или твърди битови отпадъци)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Рафиниране на минерални масла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кокс</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Пържене и агломерация, включително гранулиране, на метална руда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(включително </w:t>
            </w:r>
            <w:proofErr w:type="spellStart"/>
            <w:r w:rsidRPr="00D4785F">
              <w:rPr>
                <w:rFonts w:ascii="Verdana" w:eastAsia="Times New Roman" w:hAnsi="Verdana" w:cs="Times New Roman"/>
                <w:color w:val="000000"/>
                <w:sz w:val="18"/>
                <w:szCs w:val="18"/>
                <w:lang w:eastAsia="bg-BG"/>
              </w:rPr>
              <w:t>сулфидна</w:t>
            </w:r>
            <w:proofErr w:type="spellEnd"/>
            <w:r w:rsidRPr="00D4785F">
              <w:rPr>
                <w:rFonts w:ascii="Verdana" w:eastAsia="Times New Roman" w:hAnsi="Verdana" w:cs="Times New Roman"/>
                <w:color w:val="000000"/>
                <w:sz w:val="18"/>
                <w:szCs w:val="18"/>
                <w:lang w:eastAsia="bg-BG"/>
              </w:rPr>
              <w:t xml:space="preserve"> руда)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чугун или стомана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(първично или вторично стапяне), включително непрекъснато леене с капацитет, превишаващ 2,5 тона за час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или преработка на черни метали (включително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proofErr w:type="spellStart"/>
            <w:r w:rsidRPr="00D4785F">
              <w:rPr>
                <w:rFonts w:ascii="Verdana" w:eastAsia="Times New Roman" w:hAnsi="Verdana" w:cs="Times New Roman"/>
                <w:color w:val="000000"/>
                <w:sz w:val="18"/>
                <w:szCs w:val="18"/>
                <w:lang w:eastAsia="bg-BG"/>
              </w:rPr>
              <w:t>феросплави</w:t>
            </w:r>
            <w:proofErr w:type="spellEnd"/>
            <w:r w:rsidRPr="00D4785F">
              <w:rPr>
                <w:rFonts w:ascii="Verdana" w:eastAsia="Times New Roman" w:hAnsi="Verdana" w:cs="Times New Roman"/>
                <w:color w:val="000000"/>
                <w:sz w:val="18"/>
                <w:szCs w:val="18"/>
                <w:lang w:eastAsia="bg-BG"/>
              </w:rPr>
              <w:t xml:space="preserve">) в случай на използване на горивни съоръжения с обща номинална топлинна мощност, превишаваща 20 MW. Преработката включва, </w:t>
            </w:r>
            <w:proofErr w:type="spellStart"/>
            <w:r w:rsidRPr="00D4785F">
              <w:rPr>
                <w:rFonts w:ascii="Verdana" w:eastAsia="Times New Roman" w:hAnsi="Verdana" w:cs="Times New Roman"/>
                <w:i/>
                <w:iCs/>
                <w:color w:val="000000"/>
                <w:sz w:val="18"/>
                <w:szCs w:val="18"/>
                <w:lang w:eastAsia="bg-BG"/>
              </w:rPr>
              <w:t>inter</w:t>
            </w:r>
            <w:proofErr w:type="spellEnd"/>
            <w:r w:rsidRPr="00D4785F">
              <w:rPr>
                <w:rFonts w:ascii="Verdana" w:eastAsia="Times New Roman" w:hAnsi="Verdana" w:cs="Times New Roman"/>
                <w:i/>
                <w:iCs/>
                <w:color w:val="000000"/>
                <w:sz w:val="18"/>
                <w:szCs w:val="18"/>
                <w:lang w:eastAsia="bg-BG"/>
              </w:rPr>
              <w:t xml:space="preserve"> </w:t>
            </w:r>
            <w:proofErr w:type="spellStart"/>
            <w:r w:rsidRPr="00D4785F">
              <w:rPr>
                <w:rFonts w:ascii="Verdana" w:eastAsia="Times New Roman" w:hAnsi="Verdana" w:cs="Times New Roman"/>
                <w:i/>
                <w:iCs/>
                <w:color w:val="000000"/>
                <w:sz w:val="18"/>
                <w:szCs w:val="18"/>
                <w:lang w:eastAsia="bg-BG"/>
              </w:rPr>
              <w:t>alia</w:t>
            </w:r>
            <w:proofErr w:type="spellEnd"/>
            <w:r w:rsidRPr="00D4785F">
              <w:rPr>
                <w:rFonts w:ascii="Verdana" w:eastAsia="Times New Roman" w:hAnsi="Verdana" w:cs="Times New Roman"/>
                <w:color w:val="000000"/>
                <w:sz w:val="18"/>
                <w:szCs w:val="18"/>
                <w:lang w:eastAsia="bg-BG"/>
              </w:rPr>
              <w:t xml:space="preserve">, прокатни станове, междинни </w:t>
            </w:r>
            <w:proofErr w:type="spellStart"/>
            <w:r w:rsidRPr="00D4785F">
              <w:rPr>
                <w:rFonts w:ascii="Verdana" w:eastAsia="Times New Roman" w:hAnsi="Verdana" w:cs="Times New Roman"/>
                <w:color w:val="000000"/>
                <w:sz w:val="18"/>
                <w:szCs w:val="18"/>
                <w:lang w:eastAsia="bg-BG"/>
              </w:rPr>
              <w:t>подгреватели</w:t>
            </w:r>
            <w:proofErr w:type="spellEnd"/>
            <w:r w:rsidRPr="00D4785F">
              <w:rPr>
                <w:rFonts w:ascii="Verdana" w:eastAsia="Times New Roman" w:hAnsi="Verdana" w:cs="Times New Roman"/>
                <w:color w:val="000000"/>
                <w:sz w:val="18"/>
                <w:szCs w:val="18"/>
                <w:lang w:eastAsia="bg-BG"/>
              </w:rPr>
              <w:t>, пещи за отвръщане, ковашки цехове, леярни, цехове за нанасяне на покритие и байцване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първичен алуминий</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Въглероден диоксид и </w:t>
            </w:r>
            <w:proofErr w:type="spellStart"/>
            <w:r w:rsidRPr="00D4785F">
              <w:rPr>
                <w:rFonts w:ascii="Verdana" w:eastAsia="Times New Roman" w:hAnsi="Verdana" w:cs="Times New Roman"/>
                <w:color w:val="000000"/>
                <w:sz w:val="18"/>
                <w:szCs w:val="18"/>
                <w:lang w:eastAsia="bg-BG"/>
              </w:rPr>
              <w:t>перфлуоровъглероди</w:t>
            </w:r>
            <w:proofErr w:type="spellEnd"/>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вторичен алуминий при използването на горивни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съоръжения с обща номинална топлинна мощност, превишаваща 20 MW</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или преработка на цветни метали, включително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циментен </w:t>
            </w:r>
            <w:proofErr w:type="spellStart"/>
            <w:r w:rsidRPr="00D4785F">
              <w:rPr>
                <w:rFonts w:ascii="Verdana" w:eastAsia="Times New Roman" w:hAnsi="Verdana" w:cs="Times New Roman"/>
                <w:color w:val="000000"/>
                <w:sz w:val="18"/>
                <w:szCs w:val="18"/>
                <w:lang w:eastAsia="bg-BG"/>
              </w:rPr>
              <w:t>клинкер</w:t>
            </w:r>
            <w:proofErr w:type="spellEnd"/>
            <w:r w:rsidRPr="00D4785F">
              <w:rPr>
                <w:rFonts w:ascii="Verdana" w:eastAsia="Times New Roman" w:hAnsi="Verdana" w:cs="Times New Roman"/>
                <w:color w:val="000000"/>
                <w:sz w:val="18"/>
                <w:szCs w:val="18"/>
                <w:lang w:eastAsia="bg-BG"/>
              </w:rPr>
              <w:t xml:space="preserve"> в ротационни пещи 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производствен капацитет над 500 тона дневно или в други пещи с производствен капацитет над 50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варовик или калциниране на доломит и магнезит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 ротационни пещи за изпичане или в други пещи с производствен капацитет над 50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стъкло, включително стъклени влакна, с</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топилен капацитет 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Изработване на керамични продукти чрез изпичане, по-конкретно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покривни керемиди, тухли, огнеупорни тухли, плочи, </w:t>
            </w:r>
            <w:proofErr w:type="spellStart"/>
            <w:r w:rsidRPr="00D4785F">
              <w:rPr>
                <w:rFonts w:ascii="Verdana" w:eastAsia="Times New Roman" w:hAnsi="Verdana" w:cs="Times New Roman"/>
                <w:color w:val="000000"/>
                <w:sz w:val="18"/>
                <w:szCs w:val="18"/>
                <w:lang w:eastAsia="bg-BG"/>
              </w:rPr>
              <w:t>каменинови</w:t>
            </w:r>
            <w:proofErr w:type="spellEnd"/>
            <w:r w:rsidRPr="00D4785F">
              <w:rPr>
                <w:rFonts w:ascii="Verdana" w:eastAsia="Times New Roman" w:hAnsi="Verdana" w:cs="Times New Roman"/>
                <w:color w:val="000000"/>
                <w:sz w:val="18"/>
                <w:szCs w:val="18"/>
                <w:lang w:eastAsia="bg-BG"/>
              </w:rPr>
              <w:t xml:space="preserve"> или порцеланови изделия, с производствен капацитет над 75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изолационни материали от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минерална вата с използване на стъкло, камък или шлака, с капацитет на топене 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Сушене или калциниране на гипс или производство на гипсови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плоскости и други продукти от гипс, в случай на използване на горивни съоръжения с обща номинална топлинна мощност, превишаваща 20 MW</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целулозен пулп от дървесина или сходни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влакнести материали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хартия или картон с производствен капацитет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над 20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сажди с карбонизиране на органични вещества. като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масла, катран, остатъци от крекинг и дестилация, в случай на използване на съоръжения с обща номинална топлинна мощност, превишаваща 20 MW</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азотна киселина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w:t>
            </w:r>
            <w:proofErr w:type="spellStart"/>
            <w:r w:rsidRPr="00D4785F">
              <w:rPr>
                <w:rFonts w:ascii="Verdana" w:eastAsia="Times New Roman" w:hAnsi="Verdana" w:cs="Times New Roman"/>
                <w:color w:val="000000"/>
                <w:sz w:val="18"/>
                <w:szCs w:val="18"/>
                <w:lang w:eastAsia="bg-BG"/>
              </w:rPr>
              <w:t>адипинова</w:t>
            </w:r>
            <w:proofErr w:type="spellEnd"/>
            <w:r w:rsidRPr="00D4785F">
              <w:rPr>
                <w:rFonts w:ascii="Verdana" w:eastAsia="Times New Roman" w:hAnsi="Verdana" w:cs="Times New Roman"/>
                <w:color w:val="000000"/>
                <w:sz w:val="18"/>
                <w:szCs w:val="18"/>
                <w:lang w:eastAsia="bg-BG"/>
              </w:rPr>
              <w:t xml:space="preserve"> киселина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Производство на </w:t>
            </w:r>
            <w:proofErr w:type="spellStart"/>
            <w:r w:rsidRPr="00D4785F">
              <w:rPr>
                <w:rFonts w:ascii="Verdana" w:eastAsia="Times New Roman" w:hAnsi="Verdana" w:cs="Times New Roman"/>
                <w:color w:val="000000"/>
                <w:sz w:val="18"/>
                <w:szCs w:val="18"/>
                <w:lang w:eastAsia="bg-BG"/>
              </w:rPr>
              <w:t>глиоксалова</w:t>
            </w:r>
            <w:proofErr w:type="spellEnd"/>
            <w:r w:rsidRPr="00D4785F">
              <w:rPr>
                <w:rFonts w:ascii="Verdana" w:eastAsia="Times New Roman" w:hAnsi="Verdana" w:cs="Times New Roman"/>
                <w:color w:val="000000"/>
                <w:sz w:val="18"/>
                <w:szCs w:val="18"/>
                <w:lang w:eastAsia="bg-BG"/>
              </w:rPr>
              <w:t xml:space="preserve"> и </w:t>
            </w:r>
            <w:proofErr w:type="spellStart"/>
            <w:r w:rsidRPr="00D4785F">
              <w:rPr>
                <w:rFonts w:ascii="Verdana" w:eastAsia="Times New Roman" w:hAnsi="Verdana" w:cs="Times New Roman"/>
                <w:color w:val="000000"/>
                <w:sz w:val="18"/>
                <w:szCs w:val="18"/>
                <w:lang w:eastAsia="bg-BG"/>
              </w:rPr>
              <w:t>глиоксилова</w:t>
            </w:r>
            <w:proofErr w:type="spellEnd"/>
            <w:r w:rsidRPr="00D4785F">
              <w:rPr>
                <w:rFonts w:ascii="Verdana" w:eastAsia="Times New Roman" w:hAnsi="Verdana" w:cs="Times New Roman"/>
                <w:color w:val="000000"/>
                <w:sz w:val="18"/>
                <w:szCs w:val="18"/>
                <w:lang w:eastAsia="bg-BG"/>
              </w:rPr>
              <w:t xml:space="preserve"> киселина</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 и азотен 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амоняк</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органични химически вещества в насипно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наливно състояние чрез крекинг, </w:t>
            </w:r>
            <w:proofErr w:type="spellStart"/>
            <w:r w:rsidRPr="00D4785F">
              <w:rPr>
                <w:rFonts w:ascii="Verdana" w:eastAsia="Times New Roman" w:hAnsi="Verdana" w:cs="Times New Roman"/>
                <w:color w:val="000000"/>
                <w:sz w:val="18"/>
                <w:szCs w:val="18"/>
                <w:lang w:eastAsia="bg-BG"/>
              </w:rPr>
              <w:t>реформинг</w:t>
            </w:r>
            <w:proofErr w:type="spellEnd"/>
            <w:r w:rsidRPr="00D4785F">
              <w:rPr>
                <w:rFonts w:ascii="Verdana" w:eastAsia="Times New Roman" w:hAnsi="Verdana" w:cs="Times New Roman"/>
                <w:color w:val="000000"/>
                <w:sz w:val="18"/>
                <w:szCs w:val="18"/>
                <w:lang w:eastAsia="bg-BG"/>
              </w:rPr>
              <w:t xml:space="preserve">, частично или пълно окисляване или чрез подобни процеси, с производствен капацитет, превишаващ 100 тона </w:t>
            </w:r>
            <w:r w:rsidRPr="00D4785F">
              <w:rPr>
                <w:rFonts w:ascii="Verdana" w:eastAsia="Times New Roman" w:hAnsi="Verdana" w:cs="Times New Roman"/>
                <w:color w:val="000000"/>
                <w:sz w:val="18"/>
                <w:szCs w:val="18"/>
                <w:lang w:eastAsia="bg-BG"/>
              </w:rPr>
              <w:lastRenderedPageBreak/>
              <w:t>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lastRenderedPageBreak/>
              <w:t>Производство на водород (H</w:t>
            </w:r>
            <w:r w:rsidRPr="00D4785F">
              <w:rPr>
                <w:rFonts w:ascii="Verdana" w:eastAsia="Times New Roman" w:hAnsi="Verdana" w:cs="Times New Roman"/>
                <w:color w:val="000000"/>
                <w:sz w:val="18"/>
                <w:szCs w:val="18"/>
                <w:vertAlign w:val="subscript"/>
                <w:lang w:eastAsia="bg-BG"/>
              </w:rPr>
              <w:t>2</w:t>
            </w:r>
            <w:r w:rsidRPr="00D4785F">
              <w:rPr>
                <w:rFonts w:ascii="Verdana" w:eastAsia="Times New Roman" w:hAnsi="Verdana" w:cs="Times New Roman"/>
                <w:color w:val="000000"/>
                <w:sz w:val="18"/>
                <w:szCs w:val="18"/>
                <w:lang w:eastAsia="bg-BG"/>
              </w:rPr>
              <w:t xml:space="preserve">) и синтетичен газ чрез </w:t>
            </w:r>
            <w:proofErr w:type="spellStart"/>
            <w:r w:rsidRPr="00D4785F">
              <w:rPr>
                <w:rFonts w:ascii="Verdana" w:eastAsia="Times New Roman" w:hAnsi="Verdana" w:cs="Times New Roman"/>
                <w:color w:val="000000"/>
                <w:sz w:val="18"/>
                <w:szCs w:val="18"/>
                <w:lang w:eastAsia="bg-BG"/>
              </w:rPr>
              <w:t>реформинг</w:t>
            </w:r>
            <w:proofErr w:type="spellEnd"/>
            <w:r w:rsidRPr="00D4785F">
              <w:rPr>
                <w:rFonts w:ascii="Verdana" w:eastAsia="Times New Roman" w:hAnsi="Verdana" w:cs="Times New Roman"/>
                <w:color w:val="000000"/>
                <w:sz w:val="18"/>
                <w:szCs w:val="18"/>
                <w:lang w:eastAsia="bg-BG"/>
              </w:rPr>
              <w:t xml:space="preserve">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частично окисляване, с производствен капацитет, превишаващ 25 тона дневно</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Производство на калцинирана сода(Na</w:t>
            </w:r>
            <w:r w:rsidRPr="00D4785F">
              <w:rPr>
                <w:rFonts w:ascii="Verdana" w:eastAsia="Times New Roman" w:hAnsi="Verdana" w:cs="Times New Roman"/>
                <w:color w:val="000000"/>
                <w:sz w:val="18"/>
                <w:szCs w:val="18"/>
                <w:vertAlign w:val="subscript"/>
                <w:lang w:eastAsia="bg-BG"/>
              </w:rPr>
              <w:t>2</w:t>
            </w:r>
            <w:r w:rsidRPr="00D4785F">
              <w:rPr>
                <w:rFonts w:ascii="Verdana" w:eastAsia="Times New Roman" w:hAnsi="Verdana" w:cs="Times New Roman"/>
                <w:color w:val="000000"/>
                <w:sz w:val="18"/>
                <w:szCs w:val="18"/>
                <w:lang w:eastAsia="bg-BG"/>
              </w:rPr>
              <w:t>CO</w:t>
            </w:r>
            <w:r w:rsidRPr="00D4785F">
              <w:rPr>
                <w:rFonts w:ascii="Verdana" w:eastAsia="Times New Roman" w:hAnsi="Verdana" w:cs="Times New Roman"/>
                <w:color w:val="000000"/>
                <w:sz w:val="18"/>
                <w:szCs w:val="18"/>
                <w:vertAlign w:val="subscript"/>
                <w:lang w:eastAsia="bg-BG"/>
              </w:rPr>
              <w:t>3</w:t>
            </w:r>
            <w:r w:rsidRPr="00D4785F">
              <w:rPr>
                <w:rFonts w:ascii="Verdana" w:eastAsia="Times New Roman" w:hAnsi="Verdana" w:cs="Times New Roman"/>
                <w:color w:val="000000"/>
                <w:sz w:val="18"/>
                <w:szCs w:val="18"/>
                <w:lang w:eastAsia="bg-BG"/>
              </w:rPr>
              <w:t>) и на натриев</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бикарбонат (NaHCO</w:t>
            </w:r>
            <w:r w:rsidRPr="00D4785F">
              <w:rPr>
                <w:rFonts w:ascii="Verdana" w:eastAsia="Times New Roman" w:hAnsi="Verdana" w:cs="Times New Roman"/>
                <w:color w:val="000000"/>
                <w:sz w:val="18"/>
                <w:szCs w:val="18"/>
                <w:vertAlign w:val="subscript"/>
                <w:lang w:eastAsia="bg-BG"/>
              </w:rPr>
              <w:t>3</w:t>
            </w:r>
            <w:r w:rsidRPr="00D4785F">
              <w:rPr>
                <w:rFonts w:ascii="Verdana" w:eastAsia="Times New Roman" w:hAnsi="Verdana" w:cs="Times New Roman"/>
                <w:color w:val="000000"/>
                <w:sz w:val="18"/>
                <w:szCs w:val="18"/>
                <w:lang w:eastAsia="bg-BG"/>
              </w:rPr>
              <w:t>)</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Улавяне на парникови газове от инсталации, попадащи в приложното </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w:t>
            </w:r>
            <w:hyperlink r:id="rId6"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Пренос на парникови газове чрез тръбопроводи с цел съхранение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 геоложки формации на места за съхранение, за които е издадено разрешение за това в съответствие с </w:t>
            </w:r>
            <w:hyperlink r:id="rId7"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Съхранение на парникови газове в геоложки формации на места за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съхранение, за които е издадено разрешение за това в съответствие с </w:t>
            </w:r>
            <w:hyperlink r:id="rId8" w:history="1">
              <w:r w:rsidRPr="00D4785F">
                <w:rPr>
                  <w:rFonts w:ascii="Verdana" w:eastAsia="Times New Roman" w:hAnsi="Verdana" w:cs="Times New Roman"/>
                  <w:color w:val="000000"/>
                  <w:sz w:val="18"/>
                  <w:szCs w:val="18"/>
                  <w:lang w:eastAsia="bg-BG"/>
                </w:rPr>
                <w:t>Директива 2009/31/ЕО</w:t>
              </w:r>
            </w:hyperlink>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Въздухоплаване</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Въглероден диоксид</w:t>
            </w: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Полети, които заминават от или пристигат на летище, разположено на територията на държава-членка, за която се прилага Договорът.</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Тази дейност не включва: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б) военни полети, извършвани от военни въздухоплавателни средства, и полети на митническите и полицейските служби;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в) полети, свързани с </w:t>
            </w:r>
            <w:proofErr w:type="spellStart"/>
            <w:r w:rsidRPr="00D4785F">
              <w:rPr>
                <w:rFonts w:ascii="Verdana" w:eastAsia="Times New Roman" w:hAnsi="Verdana" w:cs="Times New Roman"/>
                <w:color w:val="000000"/>
                <w:sz w:val="18"/>
                <w:szCs w:val="18"/>
                <w:lang w:eastAsia="bg-BG"/>
              </w:rPr>
              <w:t>издирвателни</w:t>
            </w:r>
            <w:proofErr w:type="spellEnd"/>
            <w:r w:rsidRPr="00D4785F">
              <w:rPr>
                <w:rFonts w:ascii="Verdana" w:eastAsia="Times New Roman" w:hAnsi="Verdana" w:cs="Times New Roman"/>
                <w:color w:val="000000"/>
                <w:sz w:val="18"/>
                <w:szCs w:val="18"/>
                <w:lang w:eastAsia="bg-BG"/>
              </w:rPr>
              <w:t xml:space="preserve">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г) всички полети, извършвани изключително по правилата за визуални полети, както са определени в </w:t>
            </w:r>
            <w:hyperlink r:id="rId9" w:history="1">
              <w:r w:rsidRPr="00D4785F">
                <w:rPr>
                  <w:rFonts w:ascii="Verdana" w:eastAsia="Times New Roman" w:hAnsi="Verdana" w:cs="Times New Roman"/>
                  <w:color w:val="000000"/>
                  <w:sz w:val="18"/>
                  <w:szCs w:val="18"/>
                  <w:lang w:eastAsia="bg-BG"/>
                </w:rPr>
                <w:t>приложение 2 към Чикагската конвенция;</w:t>
              </w:r>
            </w:hyperlink>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д) полети, завършващи на летището, от което е излетяло въздухоплавателното средство, и по време на които не са извършвани междинни кацания;</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tc>
        <w:tc>
          <w:tcPr>
            <w:tcW w:w="2509" w:type="dxa"/>
            <w:tcBorders>
              <w:top w:val="single" w:sz="8" w:space="0" w:color="auto"/>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з) полети, извършвани от въздухоплавателни средства с удостоверено максимално тегло при излитане, по-малко от 5 700 </w:t>
            </w:r>
            <w:proofErr w:type="spellStart"/>
            <w:r w:rsidRPr="00D4785F">
              <w:rPr>
                <w:rFonts w:ascii="Verdana" w:eastAsia="Times New Roman" w:hAnsi="Verdana" w:cs="Times New Roman"/>
                <w:color w:val="000000"/>
                <w:sz w:val="18"/>
                <w:szCs w:val="18"/>
                <w:lang w:eastAsia="bg-BG"/>
              </w:rPr>
              <w:t>kg</w:t>
            </w:r>
            <w:proofErr w:type="spellEnd"/>
            <w:r w:rsidRPr="00D4785F">
              <w:rPr>
                <w:rFonts w:ascii="Verdana" w:eastAsia="Times New Roman" w:hAnsi="Verdana" w:cs="Times New Roman"/>
                <w:color w:val="000000"/>
                <w:sz w:val="18"/>
                <w:szCs w:val="18"/>
                <w:lang w:eastAsia="bg-BG"/>
              </w:rPr>
              <w:t>;</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и) полети, извършвани в рамките на задължения за предоставяне на обществени услуги, наложени в съответствие с </w:t>
            </w:r>
            <w:hyperlink r:id="rId10" w:history="1">
              <w:r w:rsidRPr="00D4785F">
                <w:rPr>
                  <w:rFonts w:ascii="Verdana" w:eastAsia="Times New Roman" w:hAnsi="Verdana" w:cs="Times New Roman"/>
                  <w:color w:val="000000"/>
                  <w:sz w:val="18"/>
                  <w:szCs w:val="18"/>
                  <w:lang w:eastAsia="bg-BG"/>
                </w:rPr>
                <w:t>Регламент (ЕИО) № 2408/92</w:t>
              </w:r>
            </w:hyperlink>
            <w:r w:rsidRPr="00D4785F">
              <w:rPr>
                <w:rFonts w:ascii="Verdana" w:eastAsia="Times New Roman" w:hAnsi="Verdana" w:cs="Times New Roman"/>
                <w:color w:val="000000"/>
                <w:sz w:val="18"/>
                <w:szCs w:val="18"/>
                <w:lang w:eastAsia="bg-BG"/>
              </w:rPr>
              <w:t xml:space="preserve">, по маршрути в най-отдалечените региони, определени в </w:t>
            </w:r>
            <w:hyperlink r:id="rId11" w:history="1">
              <w:r w:rsidRPr="00D4785F">
                <w:rPr>
                  <w:rFonts w:ascii="Verdana" w:eastAsia="Times New Roman" w:hAnsi="Verdana" w:cs="Times New Roman"/>
                  <w:color w:val="000000"/>
                  <w:sz w:val="18"/>
                  <w:szCs w:val="18"/>
                  <w:lang w:eastAsia="bg-BG"/>
                </w:rPr>
                <w:t>член 299, параграф 2 от Договора</w:t>
              </w:r>
            </w:hyperlink>
            <w:r w:rsidRPr="00D4785F">
              <w:rPr>
                <w:rFonts w:ascii="Verdana" w:eastAsia="Times New Roman" w:hAnsi="Verdana" w:cs="Times New Roman"/>
                <w:color w:val="000000"/>
                <w:sz w:val="18"/>
                <w:szCs w:val="18"/>
                <w:lang w:eastAsia="bg-BG"/>
              </w:rPr>
              <w:t>, или по маршрути, при които предложеният капацитет не надвишава 30 000 места на година;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по-малко от 243 полета за период от три последователни четиримесечия, или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полети с общи годишни емисии под 10 000 тона на година.</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Полетите, извършвани единствено за превозване по официален повод на управляващ монарх и най-близките му роднини, на държавни ръководители, правителствени ръководители и министри на държави-членки, не могат да бъдат изключени по настоящата буква; и</w:t>
            </w:r>
          </w:p>
        </w:tc>
        <w:tc>
          <w:tcPr>
            <w:tcW w:w="2509" w:type="dxa"/>
            <w:tcBorders>
              <w:top w:val="nil"/>
              <w:left w:val="nil"/>
              <w:bottom w:val="nil"/>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r w:rsidR="00D4785F" w:rsidRPr="00D4785F" w:rsidTr="00D4785F">
        <w:trPr>
          <w:trHeight w:val="23"/>
        </w:trPr>
        <w:tc>
          <w:tcPr>
            <w:tcW w:w="769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3" w:lineRule="atLeast"/>
              <w:rPr>
                <w:rFonts w:ascii="Verdana" w:eastAsia="Times New Roman" w:hAnsi="Verdana" w:cs="Times New Roman"/>
                <w:color w:val="000000"/>
                <w:sz w:val="18"/>
                <w:szCs w:val="18"/>
                <w:lang w:eastAsia="bg-BG"/>
              </w:rPr>
            </w:pPr>
            <w:r w:rsidRPr="00D4785F">
              <w:rPr>
                <w:rFonts w:ascii="Verdana" w:eastAsia="Times New Roman" w:hAnsi="Verdana" w:cs="Times New Roman"/>
                <w:color w:val="000000"/>
                <w:sz w:val="18"/>
                <w:szCs w:val="18"/>
                <w:lang w:eastAsia="bg-BG"/>
              </w:rPr>
              <w:t xml:space="preserve">к) от 1 януари 2013 г. до 31 декември 2020 г. полети, които при отсъствие на настоящата буква биха попаднали в тази дейност и които се извършват от нетърговски оператор на въздухоплавателни средства, извършващ полети с общи годишни емисии под 1 000 тона на година. </w:t>
            </w:r>
          </w:p>
        </w:tc>
        <w:tc>
          <w:tcPr>
            <w:tcW w:w="250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D4785F" w:rsidRPr="00D4785F" w:rsidRDefault="00D4785F" w:rsidP="00D4785F">
            <w:pPr>
              <w:spacing w:after="0" w:line="240" w:lineRule="auto"/>
              <w:rPr>
                <w:rFonts w:ascii="Verdana" w:eastAsia="Times New Roman" w:hAnsi="Verdana" w:cs="Times New Roman"/>
                <w:color w:val="000000"/>
                <w:sz w:val="2"/>
                <w:szCs w:val="18"/>
                <w:lang w:eastAsia="bg-BG"/>
              </w:rPr>
            </w:pPr>
          </w:p>
        </w:tc>
      </w:tr>
    </w:tbl>
    <w:p w:rsidR="00D4785F" w:rsidRPr="00D4785F" w:rsidRDefault="00D4785F" w:rsidP="00801D5B">
      <w:pPr>
        <w:spacing w:after="0" w:line="240" w:lineRule="auto"/>
        <w:jc w:val="both"/>
        <w:rPr>
          <w:rFonts w:ascii="Verdana" w:eastAsia="Times New Roman" w:hAnsi="Verdana" w:cs="Times New Roman"/>
          <w:color w:val="000000"/>
          <w:sz w:val="24"/>
          <w:szCs w:val="24"/>
          <w:lang w:eastAsia="bg-BG"/>
        </w:rPr>
      </w:pPr>
      <w:bookmarkStart w:id="1" w:name="_GoBack"/>
      <w:bookmarkEnd w:id="1"/>
    </w:p>
    <w:p w:rsidR="009757DB" w:rsidRDefault="00801D5B"/>
    <w:sectPr w:rsidR="009757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972"/>
    <w:rsid w:val="00084723"/>
    <w:rsid w:val="003B1E0D"/>
    <w:rsid w:val="00683972"/>
    <w:rsid w:val="007C5123"/>
    <w:rsid w:val="00801D5B"/>
    <w:rsid w:val="00812932"/>
    <w:rsid w:val="00A17158"/>
    <w:rsid w:val="00A30F00"/>
    <w:rsid w:val="00C03145"/>
    <w:rsid w:val="00D478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A4190"/>
  <w15:docId w15:val="{AD8C9834-AF04-4CF9-9457-75FE74FCD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47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7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4454032">
      <w:bodyDiv w:val="1"/>
      <w:marLeft w:val="0"/>
      <w:marRight w:val="0"/>
      <w:marTop w:val="0"/>
      <w:marBottom w:val="0"/>
      <w:divBdr>
        <w:top w:val="none" w:sz="0" w:space="0" w:color="auto"/>
        <w:left w:val="none" w:sz="0" w:space="0" w:color="auto"/>
        <w:bottom w:val="none" w:sz="0" w:space="0" w:color="auto"/>
        <w:right w:val="none" w:sz="0" w:space="0" w:color="auto"/>
      </w:divBdr>
      <w:divsChild>
        <w:div w:id="1582522177">
          <w:marLeft w:val="0"/>
          <w:marRight w:val="0"/>
          <w:marTop w:val="150"/>
          <w:marBottom w:val="0"/>
          <w:divBdr>
            <w:top w:val="single" w:sz="6" w:space="0" w:color="FFFFFF"/>
            <w:left w:val="single" w:sz="6" w:space="0" w:color="FFFFFF"/>
            <w:bottom w:val="single" w:sz="6" w:space="0" w:color="FFFFFF"/>
            <w:right w:val="single" w:sz="6" w:space="0" w:color="FFFFFF"/>
          </w:divBdr>
        </w:div>
        <w:div w:id="496503065">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09L0031&amp;Type=20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apis://Base=APEV&amp;CELEX=32009L0031&amp;Type=20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pis://Base=APEV&amp;CELEX=32009L0031&amp;Type=201/" TargetMode="External"/><Relationship Id="rId11" Type="http://schemas.openxmlformats.org/officeDocument/2006/relationships/hyperlink" Target="apis://Base=APEV&amp;CELEX=11957E&amp;ToPar=Art299_Par2&amp;Type=201/" TargetMode="External"/><Relationship Id="rId5" Type="http://schemas.openxmlformats.org/officeDocument/2006/relationships/image" Target="media/image2.jpeg"/><Relationship Id="rId10" Type="http://schemas.openxmlformats.org/officeDocument/2006/relationships/hyperlink" Target="apis://Base=APEV&amp;CELEX=31992R2408&amp;Type=201/" TargetMode="External"/><Relationship Id="rId4" Type="http://schemas.openxmlformats.org/officeDocument/2006/relationships/image" Target="media/image1.jpeg"/><Relationship Id="rId9" Type="http://schemas.openxmlformats.org/officeDocument/2006/relationships/hyperlink" Target="apis://Base=NARH&amp;DocCode=21028&amp;ToPar=Ann2&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1517</Words>
  <Characters>8650</Characters>
  <Application>Microsoft Office Word</Application>
  <DocSecurity>0</DocSecurity>
  <Lines>72</Lines>
  <Paragraphs>20</Paragraphs>
  <ScaleCrop>false</ScaleCrop>
  <Company/>
  <LinksUpToDate>false</LinksUpToDate>
  <CharactersWithSpaces>10147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MI</cp:lastModifiedBy>
  <cp:revision>9</cp:revision>
  <dcterms:created xsi:type="dcterms:W3CDTF">2016-02-02T10:18:00Z</dcterms:created>
  <dcterms:modified xsi:type="dcterms:W3CDTF">2018-10-22T12:46:00Z</dcterms:modified>
</cp:coreProperties>
</file>