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8F9763" w14:textId="77777777" w:rsidR="00C1144B" w:rsidRPr="00AF1CEF" w:rsidRDefault="00F06A3C" w:rsidP="007F4E6D">
      <w:pPr>
        <w:tabs>
          <w:tab w:val="center" w:pos="4536"/>
          <w:tab w:val="right" w:pos="9072"/>
        </w:tabs>
        <w:spacing w:after="0" w:line="240" w:lineRule="auto"/>
        <w:jc w:val="right"/>
        <w:rPr>
          <w:rFonts w:ascii="Calibri" w:eastAsia="Calibri" w:hAnsi="Calibri" w:cs="Times New Roman"/>
          <w:b/>
          <w:i/>
        </w:rPr>
      </w:pPr>
      <w:r>
        <w:rPr>
          <w:rFonts w:ascii="Calibri" w:eastAsia="Calibri" w:hAnsi="Calibri" w:cs="Times New Roman"/>
          <w:b/>
          <w:i/>
        </w:rPr>
        <w:t xml:space="preserve">Приложение </w:t>
      </w:r>
      <w:r w:rsidR="00AF1CEF">
        <w:rPr>
          <w:rFonts w:ascii="Calibri" w:eastAsia="Calibri" w:hAnsi="Calibri" w:cs="Times New Roman"/>
          <w:b/>
          <w:i/>
        </w:rPr>
        <w:t>О</w:t>
      </w:r>
    </w:p>
    <w:p w14:paraId="20AF97FE" w14:textId="77777777" w:rsidR="00045584" w:rsidRDefault="00045584" w:rsidP="00C1144B">
      <w:pPr>
        <w:spacing w:after="0" w:line="240" w:lineRule="auto"/>
        <w:rPr>
          <w:rFonts w:eastAsia="Times New Roman" w:cstheme="minorHAnsi"/>
          <w:b/>
          <w:snapToGrid w:val="0"/>
          <w:kern w:val="28"/>
          <w:sz w:val="24"/>
          <w:szCs w:val="24"/>
        </w:rPr>
      </w:pPr>
    </w:p>
    <w:p w14:paraId="0B66BBD3" w14:textId="77777777" w:rsidR="00C1144B" w:rsidRPr="008E4D35" w:rsidRDefault="007F4E6D" w:rsidP="00C1144B">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 </w:t>
      </w:r>
      <w:r w:rsidR="00C1144B" w:rsidRPr="008E4D35">
        <w:rPr>
          <w:rFonts w:eastAsia="Times New Roman" w:cstheme="minorHAnsi"/>
          <w:b/>
          <w:snapToGrid w:val="0"/>
          <w:kern w:val="28"/>
          <w:sz w:val="24"/>
          <w:szCs w:val="24"/>
        </w:rPr>
        <w:t>ИЗПОЛЗВАНИ СЪКРАЩЕНИЯ</w:t>
      </w:r>
    </w:p>
    <w:p w14:paraId="7F404B3D" w14:textId="77777777" w:rsidR="00C1144B" w:rsidRPr="008E4D35" w:rsidRDefault="00C1144B" w:rsidP="00C1144B">
      <w:pPr>
        <w:spacing w:after="0" w:line="240" w:lineRule="auto"/>
        <w:rPr>
          <w:rFonts w:eastAsia="Times New Roman" w:cstheme="minorHAnsi"/>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067DCB" w:rsidRPr="008E4D35" w14:paraId="7CC4747C" w14:textId="77777777" w:rsidTr="00F14642">
        <w:tc>
          <w:tcPr>
            <w:tcW w:w="1124" w:type="pct"/>
            <w:shd w:val="clear" w:color="auto" w:fill="D9D9D9"/>
          </w:tcPr>
          <w:p w14:paraId="60936F33" w14:textId="77777777" w:rsidR="00067DCB" w:rsidRPr="008E4D35" w:rsidRDefault="00067DCB"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БВП</w:t>
            </w:r>
          </w:p>
        </w:tc>
        <w:tc>
          <w:tcPr>
            <w:tcW w:w="3876" w:type="pct"/>
            <w:shd w:val="clear" w:color="auto" w:fill="F3F3F3"/>
          </w:tcPr>
          <w:p w14:paraId="131DE41A" w14:textId="77777777" w:rsidR="00067DCB" w:rsidRPr="008E4D35" w:rsidRDefault="00067DCB"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Брутен вътрешен продукт</w:t>
            </w:r>
          </w:p>
        </w:tc>
      </w:tr>
      <w:tr w:rsidR="00F25879" w:rsidRPr="008E4D35" w14:paraId="5EBE408F" w14:textId="77777777" w:rsidTr="00F14642">
        <w:tc>
          <w:tcPr>
            <w:tcW w:w="1124" w:type="pct"/>
            <w:shd w:val="clear" w:color="auto" w:fill="D9D9D9"/>
          </w:tcPr>
          <w:p w14:paraId="17B5BE59" w14:textId="77777777" w:rsidR="00F25879" w:rsidRPr="008E4D35" w:rsidRDefault="00F25879"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БНБ</w:t>
            </w:r>
          </w:p>
        </w:tc>
        <w:tc>
          <w:tcPr>
            <w:tcW w:w="3876" w:type="pct"/>
            <w:shd w:val="clear" w:color="auto" w:fill="F3F3F3"/>
          </w:tcPr>
          <w:p w14:paraId="32541534" w14:textId="77777777" w:rsidR="00F25879" w:rsidRPr="008E4D35" w:rsidRDefault="00F25879"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Българска народна банка</w:t>
            </w:r>
          </w:p>
        </w:tc>
      </w:tr>
      <w:tr w:rsidR="00C1144B" w:rsidRPr="008E4D35" w14:paraId="2FEE1243" w14:textId="77777777" w:rsidTr="00F14642">
        <w:tc>
          <w:tcPr>
            <w:tcW w:w="1124" w:type="pct"/>
            <w:shd w:val="clear" w:color="auto" w:fill="D9D9D9"/>
          </w:tcPr>
          <w:p w14:paraId="43BF9187"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ГД</w:t>
            </w:r>
          </w:p>
        </w:tc>
        <w:tc>
          <w:tcPr>
            <w:tcW w:w="3876" w:type="pct"/>
            <w:shd w:val="clear" w:color="auto" w:fill="F3F3F3"/>
          </w:tcPr>
          <w:p w14:paraId="273ED13E"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Главна дирекция</w:t>
            </w:r>
          </w:p>
        </w:tc>
      </w:tr>
      <w:tr w:rsidR="00C1144B" w:rsidRPr="008E4D35" w14:paraId="169EFCDA" w14:textId="77777777" w:rsidTr="00F14642">
        <w:tc>
          <w:tcPr>
            <w:tcW w:w="1124" w:type="pct"/>
            <w:shd w:val="clear" w:color="auto" w:fill="D9D9D9"/>
          </w:tcPr>
          <w:p w14:paraId="5B3F6CE7"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ДДС</w:t>
            </w:r>
          </w:p>
        </w:tc>
        <w:tc>
          <w:tcPr>
            <w:tcW w:w="3876" w:type="pct"/>
            <w:shd w:val="clear" w:color="auto" w:fill="F3F3F3"/>
          </w:tcPr>
          <w:p w14:paraId="2B41CE95"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Данък добавена стойност</w:t>
            </w:r>
          </w:p>
        </w:tc>
      </w:tr>
      <w:tr w:rsidR="00C1144B" w:rsidRPr="008E4D35" w14:paraId="2E784C55" w14:textId="77777777" w:rsidTr="00F14642">
        <w:tc>
          <w:tcPr>
            <w:tcW w:w="1124" w:type="pct"/>
            <w:shd w:val="clear" w:color="auto" w:fill="D9D9D9"/>
          </w:tcPr>
          <w:p w14:paraId="6C56FF0D"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ДМА</w:t>
            </w:r>
          </w:p>
        </w:tc>
        <w:tc>
          <w:tcPr>
            <w:tcW w:w="3876" w:type="pct"/>
            <w:shd w:val="clear" w:color="auto" w:fill="F3F3F3"/>
          </w:tcPr>
          <w:p w14:paraId="608376FA"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Дълготрайни материални активи</w:t>
            </w:r>
          </w:p>
        </w:tc>
      </w:tr>
      <w:tr w:rsidR="00C1144B" w:rsidRPr="008E4D35" w14:paraId="1E513D33" w14:textId="77777777" w:rsidTr="00F14642">
        <w:tc>
          <w:tcPr>
            <w:tcW w:w="1124" w:type="pct"/>
            <w:shd w:val="clear" w:color="auto" w:fill="D9D9D9"/>
          </w:tcPr>
          <w:p w14:paraId="581527DA"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ДНА</w:t>
            </w:r>
          </w:p>
        </w:tc>
        <w:tc>
          <w:tcPr>
            <w:tcW w:w="3876" w:type="pct"/>
            <w:shd w:val="clear" w:color="auto" w:fill="F3F3F3"/>
          </w:tcPr>
          <w:p w14:paraId="3EA6C145"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Дълготрайни нематериални активи</w:t>
            </w:r>
          </w:p>
        </w:tc>
      </w:tr>
      <w:tr w:rsidR="00C1144B" w:rsidRPr="008E4D35" w14:paraId="41F1A5D1" w14:textId="77777777" w:rsidTr="00F14642">
        <w:tc>
          <w:tcPr>
            <w:tcW w:w="1124" w:type="pct"/>
            <w:shd w:val="clear" w:color="auto" w:fill="D9D9D9"/>
          </w:tcPr>
          <w:p w14:paraId="2DA58BCB"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ДНФ</w:t>
            </w:r>
          </w:p>
        </w:tc>
        <w:tc>
          <w:tcPr>
            <w:tcW w:w="3876" w:type="pct"/>
            <w:shd w:val="clear" w:color="auto" w:fill="F3F3F3"/>
          </w:tcPr>
          <w:p w14:paraId="42F0C26A" w14:textId="77777777" w:rsidR="00C1144B" w:rsidRPr="008E4D35" w:rsidRDefault="00C1144B" w:rsidP="00C1144B">
            <w:pPr>
              <w:spacing w:before="120" w:after="0" w:line="120" w:lineRule="auto"/>
              <w:ind w:left="289" w:right="289"/>
              <w:rPr>
                <w:rFonts w:eastAsia="Times New Roman" w:cstheme="minorHAnsi"/>
                <w:b/>
                <w:snapToGrid w:val="0"/>
                <w:sz w:val="24"/>
                <w:szCs w:val="24"/>
              </w:rPr>
            </w:pPr>
            <w:r w:rsidRPr="008E4D35">
              <w:rPr>
                <w:rFonts w:eastAsia="Times New Roman" w:cstheme="minorHAnsi"/>
                <w:b/>
                <w:snapToGrid w:val="0"/>
                <w:sz w:val="24"/>
                <w:szCs w:val="24"/>
              </w:rPr>
              <w:t xml:space="preserve">Дирекция „Национален фонд”, Министерство на </w:t>
            </w:r>
          </w:p>
          <w:p w14:paraId="295F23EB" w14:textId="77777777" w:rsidR="00C1144B" w:rsidRPr="008E4D35" w:rsidRDefault="00C1144B" w:rsidP="00C1144B">
            <w:pPr>
              <w:spacing w:before="120" w:after="0" w:line="120" w:lineRule="auto"/>
              <w:ind w:left="289" w:right="289"/>
              <w:rPr>
                <w:rFonts w:eastAsia="Times New Roman" w:cstheme="minorHAnsi"/>
                <w:b/>
                <w:snapToGrid w:val="0"/>
                <w:sz w:val="24"/>
                <w:szCs w:val="24"/>
              </w:rPr>
            </w:pPr>
            <w:r w:rsidRPr="008E4D35">
              <w:rPr>
                <w:rFonts w:eastAsia="Times New Roman" w:cstheme="minorHAnsi"/>
                <w:b/>
                <w:snapToGrid w:val="0"/>
                <w:sz w:val="24"/>
                <w:szCs w:val="24"/>
              </w:rPr>
              <w:t xml:space="preserve">финансите </w:t>
            </w:r>
          </w:p>
        </w:tc>
      </w:tr>
      <w:tr w:rsidR="00D55DC2" w:rsidRPr="008E4D35" w14:paraId="26FE87BD" w14:textId="77777777" w:rsidTr="00F14642">
        <w:tc>
          <w:tcPr>
            <w:tcW w:w="1124" w:type="pct"/>
            <w:shd w:val="clear" w:color="auto" w:fill="D9D9D9"/>
          </w:tcPr>
          <w:p w14:paraId="6E732CA6" w14:textId="77777777" w:rsidR="00D55DC2" w:rsidRPr="008E4D35" w:rsidRDefault="00D55DC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ДОПК</w:t>
            </w:r>
          </w:p>
        </w:tc>
        <w:tc>
          <w:tcPr>
            <w:tcW w:w="3876" w:type="pct"/>
            <w:shd w:val="clear" w:color="auto" w:fill="F3F3F3"/>
          </w:tcPr>
          <w:p w14:paraId="5384C175" w14:textId="77777777" w:rsidR="00D55DC2" w:rsidRPr="008E4D35" w:rsidRDefault="000D040C" w:rsidP="00C1144B">
            <w:pPr>
              <w:spacing w:before="120" w:after="0" w:line="120" w:lineRule="auto"/>
              <w:ind w:left="289" w:right="289"/>
              <w:rPr>
                <w:rFonts w:eastAsia="Times New Roman" w:cstheme="minorHAnsi"/>
                <w:b/>
                <w:snapToGrid w:val="0"/>
                <w:sz w:val="24"/>
                <w:szCs w:val="24"/>
              </w:rPr>
            </w:pPr>
            <w:r>
              <w:rPr>
                <w:rFonts w:eastAsia="Times New Roman" w:cstheme="minorHAnsi"/>
                <w:b/>
                <w:snapToGrid w:val="0"/>
                <w:sz w:val="24"/>
                <w:szCs w:val="24"/>
              </w:rPr>
              <w:t>Данъчно-осигурител</w:t>
            </w:r>
            <w:r w:rsidR="00754A3A">
              <w:rPr>
                <w:rFonts w:eastAsia="Times New Roman" w:cstheme="minorHAnsi"/>
                <w:b/>
                <w:snapToGrid w:val="0"/>
                <w:sz w:val="24"/>
                <w:szCs w:val="24"/>
                <w:lang w:val="en-US"/>
              </w:rPr>
              <w:t>e</w:t>
            </w:r>
            <w:r w:rsidR="00754A3A">
              <w:rPr>
                <w:rFonts w:eastAsia="Times New Roman" w:cstheme="minorHAnsi"/>
                <w:b/>
                <w:snapToGrid w:val="0"/>
                <w:sz w:val="24"/>
                <w:szCs w:val="24"/>
              </w:rPr>
              <w:t>н</w:t>
            </w:r>
            <w:r w:rsidR="00D55DC2" w:rsidRPr="008E4D35">
              <w:rPr>
                <w:rFonts w:eastAsia="Times New Roman" w:cstheme="minorHAnsi"/>
                <w:b/>
                <w:snapToGrid w:val="0"/>
                <w:sz w:val="24"/>
                <w:szCs w:val="24"/>
              </w:rPr>
              <w:t xml:space="preserve"> процесуален кодекс</w:t>
            </w:r>
          </w:p>
        </w:tc>
      </w:tr>
      <w:tr w:rsidR="00C1144B" w:rsidRPr="008E4D35" w14:paraId="738D8F07" w14:textId="77777777" w:rsidTr="00F14642">
        <w:tc>
          <w:tcPr>
            <w:tcW w:w="1124" w:type="pct"/>
            <w:shd w:val="clear" w:color="auto" w:fill="D9D9D9"/>
          </w:tcPr>
          <w:p w14:paraId="0DAA1629"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ЕК</w:t>
            </w:r>
          </w:p>
        </w:tc>
        <w:tc>
          <w:tcPr>
            <w:tcW w:w="3876" w:type="pct"/>
            <w:shd w:val="clear" w:color="auto" w:fill="F3F3F3"/>
          </w:tcPr>
          <w:p w14:paraId="5120D4B9"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Европейска комисия</w:t>
            </w:r>
            <w:bookmarkStart w:id="0" w:name="_GoBack"/>
            <w:bookmarkEnd w:id="0"/>
          </w:p>
        </w:tc>
      </w:tr>
      <w:tr w:rsidR="00C1144B" w:rsidRPr="008E4D35" w14:paraId="63F3E902" w14:textId="77777777" w:rsidTr="00F14642">
        <w:tc>
          <w:tcPr>
            <w:tcW w:w="1124" w:type="pct"/>
            <w:shd w:val="clear" w:color="auto" w:fill="D9D9D9"/>
          </w:tcPr>
          <w:p w14:paraId="18B4E6DF"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ЕО</w:t>
            </w:r>
          </w:p>
        </w:tc>
        <w:tc>
          <w:tcPr>
            <w:tcW w:w="3876" w:type="pct"/>
            <w:shd w:val="clear" w:color="auto" w:fill="F3F3F3"/>
          </w:tcPr>
          <w:p w14:paraId="6F09BF11"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Европейска общност</w:t>
            </w:r>
          </w:p>
        </w:tc>
      </w:tr>
      <w:tr w:rsidR="00C1144B" w:rsidRPr="008E4D35" w14:paraId="7A1DE30A" w14:textId="77777777" w:rsidTr="00F14642">
        <w:tc>
          <w:tcPr>
            <w:tcW w:w="1124" w:type="pct"/>
            <w:shd w:val="clear" w:color="auto" w:fill="D9D9D9"/>
          </w:tcPr>
          <w:p w14:paraId="1F3ED90E"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w:t>
            </w:r>
          </w:p>
        </w:tc>
        <w:tc>
          <w:tcPr>
            <w:tcW w:w="3876" w:type="pct"/>
            <w:shd w:val="clear" w:color="auto" w:fill="F3F3F3"/>
          </w:tcPr>
          <w:p w14:paraId="4919B412"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съюз</w:t>
            </w:r>
          </w:p>
        </w:tc>
      </w:tr>
      <w:tr w:rsidR="00924D9B" w:rsidRPr="008E4D35" w14:paraId="7D71F166" w14:textId="77777777" w:rsidTr="00F14642">
        <w:tc>
          <w:tcPr>
            <w:tcW w:w="1124" w:type="pct"/>
            <w:shd w:val="clear" w:color="auto" w:fill="D9D9D9"/>
          </w:tcPr>
          <w:p w14:paraId="679BE1EE" w14:textId="77777777" w:rsidR="00924D9B" w:rsidRPr="008E4D35" w:rsidRDefault="00924D9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ЕСИФ</w:t>
            </w:r>
          </w:p>
        </w:tc>
        <w:tc>
          <w:tcPr>
            <w:tcW w:w="3876" w:type="pct"/>
            <w:shd w:val="clear" w:color="auto" w:fill="F3F3F3"/>
          </w:tcPr>
          <w:p w14:paraId="6237457F" w14:textId="77777777" w:rsidR="00924D9B" w:rsidRPr="008E4D35" w:rsidRDefault="00924D9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структурни и инвестиционни фондове</w:t>
            </w:r>
          </w:p>
        </w:tc>
      </w:tr>
      <w:tr w:rsidR="00B50A28" w:rsidRPr="008E4D35" w14:paraId="06089619" w14:textId="77777777" w:rsidTr="00F14642">
        <w:tc>
          <w:tcPr>
            <w:tcW w:w="1124" w:type="pct"/>
            <w:shd w:val="clear" w:color="auto" w:fill="D9D9D9"/>
          </w:tcPr>
          <w:p w14:paraId="1746D536" w14:textId="77777777" w:rsidR="00B50A28" w:rsidRPr="008E4D35" w:rsidRDefault="00B50A28"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ЕСФ</w:t>
            </w:r>
          </w:p>
        </w:tc>
        <w:tc>
          <w:tcPr>
            <w:tcW w:w="3876" w:type="pct"/>
            <w:shd w:val="clear" w:color="auto" w:fill="F3F3F3"/>
          </w:tcPr>
          <w:p w14:paraId="136E3589" w14:textId="77777777" w:rsidR="00B50A28" w:rsidRPr="008E4D35" w:rsidRDefault="00B50A28"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социален фонд</w:t>
            </w:r>
          </w:p>
        </w:tc>
      </w:tr>
      <w:tr w:rsidR="00741F45" w:rsidRPr="008E4D35" w14:paraId="632DF6C8" w14:textId="77777777" w:rsidTr="00F14642">
        <w:tc>
          <w:tcPr>
            <w:tcW w:w="1124" w:type="pct"/>
            <w:shd w:val="clear" w:color="auto" w:fill="D9D9D9"/>
          </w:tcPr>
          <w:p w14:paraId="127301F2" w14:textId="77777777" w:rsidR="00741F45" w:rsidRPr="008E4D35" w:rsidRDefault="00741F4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ЕФРР</w:t>
            </w:r>
          </w:p>
        </w:tc>
        <w:tc>
          <w:tcPr>
            <w:tcW w:w="3876" w:type="pct"/>
            <w:shd w:val="clear" w:color="auto" w:fill="F3F3F3"/>
          </w:tcPr>
          <w:p w14:paraId="611E519E" w14:textId="77777777" w:rsidR="00741F45" w:rsidRPr="008E4D35" w:rsidRDefault="00741F4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фонд за регионално развитие</w:t>
            </w:r>
          </w:p>
        </w:tc>
      </w:tr>
      <w:tr w:rsidR="00C1144B" w:rsidRPr="008E4D35" w14:paraId="474C4FC3" w14:textId="77777777" w:rsidTr="00F14642">
        <w:tc>
          <w:tcPr>
            <w:tcW w:w="1124" w:type="pct"/>
            <w:shd w:val="clear" w:color="auto" w:fill="D9D9D9"/>
          </w:tcPr>
          <w:p w14:paraId="7561556F"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ЗЗД</w:t>
            </w:r>
          </w:p>
        </w:tc>
        <w:tc>
          <w:tcPr>
            <w:tcW w:w="3876" w:type="pct"/>
            <w:shd w:val="clear" w:color="auto" w:fill="F3F3F3"/>
          </w:tcPr>
          <w:p w14:paraId="32176A0D"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задълженията и договорите</w:t>
            </w:r>
          </w:p>
        </w:tc>
      </w:tr>
      <w:tr w:rsidR="00015702" w:rsidRPr="008E4D35" w14:paraId="0D8047A9" w14:textId="77777777" w:rsidTr="00F14642">
        <w:tc>
          <w:tcPr>
            <w:tcW w:w="1124" w:type="pct"/>
            <w:shd w:val="clear" w:color="auto" w:fill="D9D9D9"/>
          </w:tcPr>
          <w:p w14:paraId="559CB9EA" w14:textId="77777777" w:rsidR="00015702" w:rsidRPr="008E4D35" w:rsidRDefault="0001570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ЗКПО</w:t>
            </w:r>
          </w:p>
        </w:tc>
        <w:tc>
          <w:tcPr>
            <w:tcW w:w="3876" w:type="pct"/>
            <w:shd w:val="clear" w:color="auto" w:fill="F3F3F3"/>
          </w:tcPr>
          <w:p w14:paraId="78952A2F" w14:textId="77777777" w:rsidR="00015702" w:rsidRPr="008E4D35" w:rsidRDefault="0001570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корпоративното</w:t>
            </w:r>
            <w:r w:rsidR="004E15B4" w:rsidRPr="008E4D35">
              <w:rPr>
                <w:rFonts w:eastAsia="Times New Roman" w:cstheme="minorHAnsi"/>
                <w:b/>
                <w:snapToGrid w:val="0"/>
                <w:sz w:val="24"/>
                <w:szCs w:val="24"/>
              </w:rPr>
              <w:t xml:space="preserve"> подоходно облагане</w:t>
            </w:r>
          </w:p>
        </w:tc>
      </w:tr>
      <w:tr w:rsidR="00C1144B" w:rsidRPr="008E4D35" w14:paraId="6437B6C7" w14:textId="77777777" w:rsidTr="00F14642">
        <w:tc>
          <w:tcPr>
            <w:tcW w:w="1124" w:type="pct"/>
            <w:shd w:val="clear" w:color="auto" w:fill="D9D9D9"/>
          </w:tcPr>
          <w:p w14:paraId="0D49D82B"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ЗМСП</w:t>
            </w:r>
          </w:p>
        </w:tc>
        <w:tc>
          <w:tcPr>
            <w:tcW w:w="3876" w:type="pct"/>
            <w:shd w:val="clear" w:color="auto" w:fill="F3F3F3"/>
          </w:tcPr>
          <w:p w14:paraId="64F69ED1"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малките и средните предприятия</w:t>
            </w:r>
          </w:p>
        </w:tc>
      </w:tr>
      <w:tr w:rsidR="00C1144B" w:rsidRPr="008E4D35" w14:paraId="66F2F898" w14:textId="77777777" w:rsidTr="00F14642">
        <w:tc>
          <w:tcPr>
            <w:tcW w:w="1124" w:type="pct"/>
            <w:shd w:val="clear" w:color="auto" w:fill="D9D9D9"/>
          </w:tcPr>
          <w:p w14:paraId="486BDDFD"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ЗОП</w:t>
            </w:r>
          </w:p>
        </w:tc>
        <w:tc>
          <w:tcPr>
            <w:tcW w:w="3876" w:type="pct"/>
            <w:shd w:val="clear" w:color="auto" w:fill="F3F3F3"/>
          </w:tcPr>
          <w:p w14:paraId="6D3009C0"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обществените поръчки</w:t>
            </w:r>
          </w:p>
        </w:tc>
      </w:tr>
      <w:tr w:rsidR="00C1144B" w:rsidRPr="008E4D35" w14:paraId="651B2478" w14:textId="77777777" w:rsidTr="00F14642">
        <w:tc>
          <w:tcPr>
            <w:tcW w:w="1124" w:type="pct"/>
            <w:shd w:val="clear" w:color="auto" w:fill="D9D9D9"/>
          </w:tcPr>
          <w:p w14:paraId="1237C426"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ЗТР</w:t>
            </w:r>
          </w:p>
        </w:tc>
        <w:tc>
          <w:tcPr>
            <w:tcW w:w="3876" w:type="pct"/>
            <w:shd w:val="clear" w:color="auto" w:fill="F3F3F3"/>
          </w:tcPr>
          <w:p w14:paraId="006CB2FC"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търговския регистър</w:t>
            </w:r>
          </w:p>
        </w:tc>
      </w:tr>
      <w:tr w:rsidR="00764CC7" w:rsidRPr="008E4D35" w14:paraId="1AE1C643" w14:textId="77777777" w:rsidTr="00F14642">
        <w:tc>
          <w:tcPr>
            <w:tcW w:w="1124" w:type="pct"/>
            <w:shd w:val="clear" w:color="auto" w:fill="D9D9D9"/>
          </w:tcPr>
          <w:p w14:paraId="5D52EEE7" w14:textId="77777777" w:rsidR="00764CC7" w:rsidRPr="00764CC7" w:rsidRDefault="00764CC7"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ЗУСЕСИФ</w:t>
            </w:r>
          </w:p>
        </w:tc>
        <w:tc>
          <w:tcPr>
            <w:tcW w:w="3876" w:type="pct"/>
            <w:shd w:val="clear" w:color="auto" w:fill="F3F3F3"/>
          </w:tcPr>
          <w:p w14:paraId="51A3FB05" w14:textId="77777777" w:rsidR="00764CC7" w:rsidRPr="008E4D35" w:rsidRDefault="00764CC7"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Закон за управление на средствата от европейските структурни и инвестиционни фондове</w:t>
            </w:r>
          </w:p>
        </w:tc>
      </w:tr>
      <w:tr w:rsidR="00A061D6" w:rsidRPr="008E4D35" w14:paraId="1A476065" w14:textId="77777777" w:rsidTr="00F14642">
        <w:tc>
          <w:tcPr>
            <w:tcW w:w="1124" w:type="pct"/>
            <w:shd w:val="clear" w:color="auto" w:fill="D9D9D9"/>
          </w:tcPr>
          <w:p w14:paraId="627FAAD7" w14:textId="77777777" w:rsidR="00A061D6" w:rsidRDefault="00A061D6"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ИКТ</w:t>
            </w:r>
          </w:p>
        </w:tc>
        <w:tc>
          <w:tcPr>
            <w:tcW w:w="3876" w:type="pct"/>
            <w:shd w:val="clear" w:color="auto" w:fill="F3F3F3"/>
          </w:tcPr>
          <w:p w14:paraId="56C9E447" w14:textId="77777777" w:rsidR="00A061D6" w:rsidRDefault="00A061D6"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И</w:t>
            </w:r>
            <w:r w:rsidRPr="00A061D6">
              <w:rPr>
                <w:rFonts w:eastAsia="Times New Roman" w:cstheme="minorHAnsi"/>
                <w:b/>
                <w:snapToGrid w:val="0"/>
                <w:sz w:val="24"/>
                <w:szCs w:val="24"/>
              </w:rPr>
              <w:t>нформационни и комуникационни технологии</w:t>
            </w:r>
          </w:p>
        </w:tc>
      </w:tr>
      <w:tr w:rsidR="00A061D6" w:rsidRPr="008E4D35" w14:paraId="7B981BB5" w14:textId="77777777" w:rsidTr="00F14642">
        <w:tc>
          <w:tcPr>
            <w:tcW w:w="1124" w:type="pct"/>
            <w:shd w:val="clear" w:color="auto" w:fill="D9D9D9"/>
          </w:tcPr>
          <w:p w14:paraId="3F49CC0C" w14:textId="77777777" w:rsidR="00A061D6" w:rsidRDefault="00A061D6"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ИСИС</w:t>
            </w:r>
          </w:p>
        </w:tc>
        <w:tc>
          <w:tcPr>
            <w:tcW w:w="3876" w:type="pct"/>
            <w:shd w:val="clear" w:color="auto" w:fill="F3F3F3"/>
          </w:tcPr>
          <w:p w14:paraId="0D25BB89" w14:textId="77777777" w:rsidR="00A061D6" w:rsidRDefault="00A061D6"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Иновационна</w:t>
            </w:r>
            <w:r w:rsidRPr="00A061D6">
              <w:rPr>
                <w:rFonts w:eastAsia="Times New Roman" w:cstheme="minorHAnsi"/>
                <w:b/>
                <w:snapToGrid w:val="0"/>
                <w:sz w:val="24"/>
                <w:szCs w:val="24"/>
              </w:rPr>
              <w:t xml:space="preserve"> стратегия за интелигентна специализация</w:t>
            </w:r>
          </w:p>
        </w:tc>
      </w:tr>
      <w:tr w:rsidR="00C83BE5" w:rsidRPr="008E4D35" w14:paraId="673F7F7E" w14:textId="77777777" w:rsidTr="00F14642">
        <w:tc>
          <w:tcPr>
            <w:tcW w:w="1124" w:type="pct"/>
            <w:shd w:val="clear" w:color="auto" w:fill="D9D9D9"/>
          </w:tcPr>
          <w:p w14:paraId="156BDDA7" w14:textId="77777777" w:rsidR="00C83BE5" w:rsidRPr="008E4D35" w:rsidRDefault="00C83BE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ИСУН</w:t>
            </w:r>
          </w:p>
        </w:tc>
        <w:tc>
          <w:tcPr>
            <w:tcW w:w="3876" w:type="pct"/>
            <w:shd w:val="clear" w:color="auto" w:fill="F3F3F3"/>
          </w:tcPr>
          <w:p w14:paraId="6622FC8C" w14:textId="77777777" w:rsidR="00C83BE5" w:rsidRPr="008E4D35" w:rsidRDefault="00C83BE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Информационна система за управление и наблюдение</w:t>
            </w:r>
          </w:p>
        </w:tc>
      </w:tr>
      <w:tr w:rsidR="009228BD" w:rsidRPr="008E4D35" w14:paraId="4103BA6F" w14:textId="77777777" w:rsidTr="00F14642">
        <w:tc>
          <w:tcPr>
            <w:tcW w:w="1124" w:type="pct"/>
            <w:shd w:val="clear" w:color="auto" w:fill="D9D9D9"/>
          </w:tcPr>
          <w:p w14:paraId="0A0AEF8D" w14:textId="77777777" w:rsidR="009228BD" w:rsidRPr="008E4D35" w:rsidRDefault="009228BD"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КЕП</w:t>
            </w:r>
          </w:p>
        </w:tc>
        <w:tc>
          <w:tcPr>
            <w:tcW w:w="3876" w:type="pct"/>
            <w:shd w:val="clear" w:color="auto" w:fill="F3F3F3"/>
          </w:tcPr>
          <w:p w14:paraId="6094A17A" w14:textId="77777777" w:rsidR="009228BD" w:rsidRPr="008E4D35" w:rsidRDefault="009228BD"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Квалифициран електронен подпис</w:t>
            </w:r>
          </w:p>
        </w:tc>
      </w:tr>
      <w:tr w:rsidR="00C1144B" w:rsidRPr="008E4D35" w14:paraId="3AE46935" w14:textId="77777777" w:rsidTr="00F14642">
        <w:tc>
          <w:tcPr>
            <w:tcW w:w="1124" w:type="pct"/>
            <w:shd w:val="clear" w:color="auto" w:fill="D9D9D9"/>
          </w:tcPr>
          <w:p w14:paraId="47140A7E"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КН</w:t>
            </w:r>
          </w:p>
        </w:tc>
        <w:tc>
          <w:tcPr>
            <w:tcW w:w="3876" w:type="pct"/>
            <w:shd w:val="clear" w:color="auto" w:fill="F3F3F3"/>
          </w:tcPr>
          <w:p w14:paraId="66E35944"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Комитет за наблюдение</w:t>
            </w:r>
          </w:p>
        </w:tc>
      </w:tr>
      <w:tr w:rsidR="00C1144B" w:rsidRPr="008E4D35" w14:paraId="544D1B79" w14:textId="77777777" w:rsidTr="00F14642">
        <w:tc>
          <w:tcPr>
            <w:tcW w:w="1124" w:type="pct"/>
            <w:shd w:val="clear" w:color="auto" w:fill="D9D9D9"/>
          </w:tcPr>
          <w:p w14:paraId="67A4F87C"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КИД 2008</w:t>
            </w:r>
          </w:p>
        </w:tc>
        <w:tc>
          <w:tcPr>
            <w:tcW w:w="3876" w:type="pct"/>
            <w:shd w:val="clear" w:color="auto" w:fill="F3F3F3"/>
          </w:tcPr>
          <w:p w14:paraId="3EDD8BE8"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Класификация на икономическите дейности 2008</w:t>
            </w:r>
          </w:p>
        </w:tc>
      </w:tr>
      <w:tr w:rsidR="00C1144B" w:rsidRPr="008E4D35" w14:paraId="666D20BE" w14:textId="77777777" w:rsidTr="00F14642">
        <w:tc>
          <w:tcPr>
            <w:tcW w:w="1124" w:type="pct"/>
            <w:shd w:val="clear" w:color="auto" w:fill="D9D9D9"/>
          </w:tcPr>
          <w:p w14:paraId="2D23C2C8"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w:t>
            </w:r>
          </w:p>
        </w:tc>
        <w:tc>
          <w:tcPr>
            <w:tcW w:w="3876" w:type="pct"/>
            <w:shd w:val="clear" w:color="auto" w:fill="F3F3F3"/>
          </w:tcPr>
          <w:p w14:paraId="4FF4339E"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Министерство на икономиката</w:t>
            </w:r>
          </w:p>
        </w:tc>
      </w:tr>
      <w:tr w:rsidR="00C1144B" w:rsidRPr="008E4D35" w14:paraId="50568CE0" w14:textId="77777777" w:rsidTr="00F14642">
        <w:tc>
          <w:tcPr>
            <w:tcW w:w="1124" w:type="pct"/>
            <w:shd w:val="clear" w:color="auto" w:fill="D9D9D9"/>
          </w:tcPr>
          <w:p w14:paraId="038E0BE4"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w:t>
            </w:r>
          </w:p>
        </w:tc>
        <w:tc>
          <w:tcPr>
            <w:tcW w:w="3876" w:type="pct"/>
            <w:shd w:val="clear" w:color="auto" w:fill="F3F3F3"/>
          </w:tcPr>
          <w:p w14:paraId="7B6AEEC2"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Министерски съвет</w:t>
            </w:r>
          </w:p>
        </w:tc>
      </w:tr>
      <w:tr w:rsidR="00C1144B" w:rsidRPr="008E4D35" w14:paraId="7907CC3E" w14:textId="77777777" w:rsidTr="00F14642">
        <w:tc>
          <w:tcPr>
            <w:tcW w:w="1124" w:type="pct"/>
            <w:shd w:val="clear" w:color="auto" w:fill="D9D9D9"/>
          </w:tcPr>
          <w:p w14:paraId="236745B8"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lastRenderedPageBreak/>
              <w:t>МСП</w:t>
            </w:r>
          </w:p>
        </w:tc>
        <w:tc>
          <w:tcPr>
            <w:tcW w:w="3876" w:type="pct"/>
            <w:shd w:val="clear" w:color="auto" w:fill="F3F3F3"/>
          </w:tcPr>
          <w:p w14:paraId="4BEA5D3D"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Малки и средни предприятия</w:t>
            </w:r>
          </w:p>
        </w:tc>
      </w:tr>
      <w:tr w:rsidR="00444FE2" w:rsidRPr="008E4D35" w14:paraId="32AA0CCC" w14:textId="77777777" w:rsidTr="00F14642">
        <w:tc>
          <w:tcPr>
            <w:tcW w:w="1124" w:type="pct"/>
            <w:shd w:val="clear" w:color="auto" w:fill="D9D9D9"/>
          </w:tcPr>
          <w:p w14:paraId="3B33539F" w14:textId="77777777" w:rsidR="00444FE2" w:rsidRPr="008E4D35" w:rsidRDefault="00444FE2"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НИРД</w:t>
            </w:r>
          </w:p>
        </w:tc>
        <w:tc>
          <w:tcPr>
            <w:tcW w:w="3876" w:type="pct"/>
            <w:shd w:val="clear" w:color="auto" w:fill="F3F3F3"/>
          </w:tcPr>
          <w:p w14:paraId="3B1BC039" w14:textId="77777777" w:rsidR="00444FE2" w:rsidRPr="008E4D35" w:rsidRDefault="00DA0A28"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Н</w:t>
            </w:r>
            <w:r w:rsidRPr="00DA0A28">
              <w:rPr>
                <w:rFonts w:eastAsia="Times New Roman" w:cstheme="minorHAnsi"/>
                <w:b/>
                <w:snapToGrid w:val="0"/>
                <w:sz w:val="24"/>
                <w:szCs w:val="24"/>
              </w:rPr>
              <w:t>аучноизследователска и развойна дейност</w:t>
            </w:r>
          </w:p>
        </w:tc>
      </w:tr>
      <w:tr w:rsidR="00C1144B" w:rsidRPr="008E4D35" w14:paraId="59F2020E" w14:textId="77777777" w:rsidTr="00F14642">
        <w:tc>
          <w:tcPr>
            <w:tcW w:w="1124" w:type="pct"/>
            <w:shd w:val="clear" w:color="auto" w:fill="D9D9D9"/>
          </w:tcPr>
          <w:p w14:paraId="40B9A987"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НСИ</w:t>
            </w:r>
          </w:p>
        </w:tc>
        <w:tc>
          <w:tcPr>
            <w:tcW w:w="3876" w:type="pct"/>
            <w:shd w:val="clear" w:color="auto" w:fill="F3F3F3"/>
          </w:tcPr>
          <w:p w14:paraId="2DA97B75"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Национален статистически институт</w:t>
            </w:r>
          </w:p>
        </w:tc>
      </w:tr>
      <w:tr w:rsidR="00C1144B" w:rsidRPr="008E4D35" w14:paraId="002C68F5" w14:textId="77777777" w:rsidTr="00F14642">
        <w:tc>
          <w:tcPr>
            <w:tcW w:w="1124" w:type="pct"/>
            <w:shd w:val="clear" w:color="auto" w:fill="D9D9D9"/>
          </w:tcPr>
          <w:p w14:paraId="3445C906"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w:t>
            </w:r>
          </w:p>
        </w:tc>
        <w:tc>
          <w:tcPr>
            <w:tcW w:w="3876" w:type="pct"/>
            <w:shd w:val="clear" w:color="auto" w:fill="F3F3F3"/>
          </w:tcPr>
          <w:p w14:paraId="743DC145"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Оперативна програма</w:t>
            </w:r>
          </w:p>
        </w:tc>
      </w:tr>
      <w:tr w:rsidR="00734B42" w:rsidRPr="008E4D35" w14:paraId="30BD28B8" w14:textId="77777777" w:rsidTr="00F14642">
        <w:tc>
          <w:tcPr>
            <w:tcW w:w="1124" w:type="pct"/>
            <w:shd w:val="clear" w:color="auto" w:fill="D9D9D9"/>
          </w:tcPr>
          <w:p w14:paraId="42C34044" w14:textId="77777777" w:rsidR="00734B42" w:rsidRPr="008E4D35" w:rsidRDefault="00734B4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ОПИК</w:t>
            </w:r>
          </w:p>
        </w:tc>
        <w:tc>
          <w:tcPr>
            <w:tcW w:w="3876" w:type="pct"/>
            <w:shd w:val="clear" w:color="auto" w:fill="F3F3F3"/>
          </w:tcPr>
          <w:p w14:paraId="5785528F" w14:textId="77777777" w:rsidR="00734B42" w:rsidRPr="008E4D35" w:rsidRDefault="00734B42" w:rsidP="00D31E18">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Оперативна програма „</w:t>
            </w:r>
            <w:r w:rsidR="001375DA" w:rsidRPr="008E4D35">
              <w:rPr>
                <w:rFonts w:eastAsia="Times New Roman" w:cstheme="minorHAnsi"/>
                <w:b/>
                <w:snapToGrid w:val="0"/>
                <w:sz w:val="24"/>
                <w:szCs w:val="24"/>
              </w:rPr>
              <w:t xml:space="preserve">Иновации и </w:t>
            </w:r>
            <w:r w:rsidR="00D31E18">
              <w:rPr>
                <w:rFonts w:eastAsia="Times New Roman" w:cstheme="minorHAnsi"/>
                <w:b/>
                <w:snapToGrid w:val="0"/>
                <w:sz w:val="24"/>
                <w:szCs w:val="24"/>
              </w:rPr>
              <w:t>к</w:t>
            </w:r>
            <w:r w:rsidRPr="008E4D35">
              <w:rPr>
                <w:rFonts w:eastAsia="Times New Roman" w:cstheme="minorHAnsi"/>
                <w:b/>
                <w:snapToGrid w:val="0"/>
                <w:sz w:val="24"/>
                <w:szCs w:val="24"/>
              </w:rPr>
              <w:t>онкурентоспособност“</w:t>
            </w:r>
          </w:p>
        </w:tc>
      </w:tr>
      <w:tr w:rsidR="003B3B41" w:rsidRPr="008E4D35" w14:paraId="127A4298" w14:textId="77777777" w:rsidTr="00F14642">
        <w:tc>
          <w:tcPr>
            <w:tcW w:w="1124" w:type="pct"/>
            <w:shd w:val="clear" w:color="auto" w:fill="D9D9D9"/>
          </w:tcPr>
          <w:p w14:paraId="63CFDC7B" w14:textId="77777777" w:rsidR="003B3B41" w:rsidRPr="008E4D35" w:rsidRDefault="003B3B41" w:rsidP="003B3B41">
            <w:pPr>
              <w:spacing w:before="120" w:after="120" w:line="168" w:lineRule="auto"/>
              <w:ind w:left="289" w:right="289"/>
              <w:rPr>
                <w:rFonts w:eastAsia="Times New Roman" w:cstheme="minorHAnsi"/>
                <w:b/>
                <w:snapToGrid w:val="0"/>
                <w:sz w:val="24"/>
                <w:szCs w:val="24"/>
              </w:rPr>
            </w:pPr>
            <w:r>
              <w:rPr>
                <w:rFonts w:eastAsia="Times New Roman" w:cstheme="minorHAnsi"/>
                <w:b/>
                <w:snapToGrid w:val="0"/>
                <w:sz w:val="24"/>
                <w:szCs w:val="24"/>
              </w:rPr>
              <w:t>ОПНОИР</w:t>
            </w:r>
          </w:p>
        </w:tc>
        <w:tc>
          <w:tcPr>
            <w:tcW w:w="3876" w:type="pct"/>
            <w:shd w:val="clear" w:color="auto" w:fill="F3F3F3"/>
          </w:tcPr>
          <w:p w14:paraId="384A3905" w14:textId="77777777" w:rsidR="003B3B41" w:rsidRPr="00A27B15" w:rsidRDefault="003B3B41" w:rsidP="003B3B41">
            <w:pPr>
              <w:spacing w:before="120" w:after="120" w:line="168" w:lineRule="auto"/>
              <w:ind w:left="289" w:right="289"/>
              <w:rPr>
                <w:rFonts w:eastAsia="Times New Roman" w:cstheme="minorHAnsi"/>
                <w:b/>
                <w:snapToGrid w:val="0"/>
                <w:sz w:val="24"/>
                <w:szCs w:val="24"/>
              </w:rPr>
            </w:pPr>
            <w:r w:rsidRPr="00A27B15">
              <w:rPr>
                <w:rFonts w:eastAsia="Times New Roman" w:cstheme="minorHAnsi"/>
                <w:b/>
                <w:snapToGrid w:val="0"/>
                <w:sz w:val="24"/>
                <w:szCs w:val="24"/>
              </w:rPr>
              <w:t>Оперативна програма „Наука и образование за интелигентен растеж”</w:t>
            </w:r>
          </w:p>
        </w:tc>
      </w:tr>
      <w:tr w:rsidR="00C470C9" w:rsidRPr="008E4D35" w14:paraId="29ACAB73" w14:textId="77777777" w:rsidTr="00F14642">
        <w:tc>
          <w:tcPr>
            <w:tcW w:w="1124" w:type="pct"/>
            <w:shd w:val="clear" w:color="auto" w:fill="D9D9D9"/>
          </w:tcPr>
          <w:p w14:paraId="77598986" w14:textId="77777777" w:rsidR="00C470C9" w:rsidRPr="008E4D35" w:rsidRDefault="000B6360" w:rsidP="000B6360">
            <w:pPr>
              <w:spacing w:before="120" w:after="120" w:line="120" w:lineRule="auto"/>
              <w:ind w:right="288"/>
              <w:rPr>
                <w:rFonts w:eastAsia="Times New Roman" w:cstheme="minorHAnsi"/>
                <w:b/>
                <w:snapToGrid w:val="0"/>
                <w:sz w:val="24"/>
                <w:szCs w:val="24"/>
              </w:rPr>
            </w:pPr>
            <w:r w:rsidRPr="008E4D35">
              <w:rPr>
                <w:rFonts w:eastAsia="Times New Roman" w:cstheme="minorHAnsi"/>
                <w:b/>
                <w:snapToGrid w:val="0"/>
                <w:sz w:val="24"/>
                <w:szCs w:val="24"/>
              </w:rPr>
              <w:t xml:space="preserve">    </w:t>
            </w:r>
            <w:r w:rsidR="00487B87" w:rsidRPr="008E4D35">
              <w:rPr>
                <w:rFonts w:eastAsia="Times New Roman" w:cstheme="minorHAnsi"/>
                <w:b/>
                <w:snapToGrid w:val="0"/>
                <w:sz w:val="24"/>
                <w:szCs w:val="24"/>
              </w:rPr>
              <w:t xml:space="preserve"> </w:t>
            </w:r>
            <w:r w:rsidR="00C470C9" w:rsidRPr="008E4D35">
              <w:rPr>
                <w:rFonts w:eastAsia="Times New Roman" w:cstheme="minorHAnsi"/>
                <w:b/>
                <w:snapToGrid w:val="0"/>
                <w:sz w:val="24"/>
                <w:szCs w:val="24"/>
              </w:rPr>
              <w:t>ОПРКБИ</w:t>
            </w:r>
          </w:p>
        </w:tc>
        <w:tc>
          <w:tcPr>
            <w:tcW w:w="3876" w:type="pct"/>
            <w:shd w:val="clear" w:color="auto" w:fill="F3F3F3"/>
          </w:tcPr>
          <w:p w14:paraId="40FDBE62" w14:textId="77777777" w:rsidR="00D012AB" w:rsidRPr="008E4D35" w:rsidRDefault="00590097" w:rsidP="00D012A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 xml:space="preserve">Оперативна програма „Развитие на </w:t>
            </w:r>
          </w:p>
          <w:p w14:paraId="617D943C" w14:textId="77777777" w:rsidR="00C470C9" w:rsidRPr="008E4D35" w:rsidRDefault="00D012AB" w:rsidP="005E3244">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 xml:space="preserve">конкурентоспособността на </w:t>
            </w:r>
            <w:r w:rsidR="005E3244">
              <w:rPr>
                <w:rFonts w:eastAsia="Times New Roman" w:cstheme="minorHAnsi"/>
                <w:b/>
                <w:snapToGrid w:val="0"/>
                <w:sz w:val="24"/>
                <w:szCs w:val="24"/>
              </w:rPr>
              <w:t>б</w:t>
            </w:r>
            <w:r w:rsidR="00590097" w:rsidRPr="008E4D35">
              <w:rPr>
                <w:rFonts w:eastAsia="Times New Roman" w:cstheme="minorHAnsi"/>
                <w:b/>
                <w:snapToGrid w:val="0"/>
                <w:sz w:val="24"/>
                <w:szCs w:val="24"/>
              </w:rPr>
              <w:t>ългарската икономика“</w:t>
            </w:r>
          </w:p>
        </w:tc>
      </w:tr>
      <w:tr w:rsidR="00C1144B" w:rsidRPr="008E4D35" w14:paraId="2362B892" w14:textId="77777777" w:rsidTr="00F14642">
        <w:tc>
          <w:tcPr>
            <w:tcW w:w="1124" w:type="pct"/>
            <w:shd w:val="clear" w:color="auto" w:fill="D9D9D9"/>
          </w:tcPr>
          <w:p w14:paraId="603A1299"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ПМС</w:t>
            </w:r>
          </w:p>
        </w:tc>
        <w:tc>
          <w:tcPr>
            <w:tcW w:w="3876" w:type="pct"/>
            <w:shd w:val="clear" w:color="auto" w:fill="F3F3F3"/>
          </w:tcPr>
          <w:p w14:paraId="2EE85DC9"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Постановление на Министерски съвет</w:t>
            </w:r>
          </w:p>
        </w:tc>
      </w:tr>
      <w:tr w:rsidR="00C1144B" w:rsidRPr="008E4D35" w14:paraId="2DEC0BC1" w14:textId="77777777" w:rsidTr="00F14642">
        <w:tc>
          <w:tcPr>
            <w:tcW w:w="1124" w:type="pct"/>
            <w:shd w:val="clear" w:color="auto" w:fill="D9D9D9"/>
          </w:tcPr>
          <w:p w14:paraId="1D4F76A2"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СМР</w:t>
            </w:r>
          </w:p>
        </w:tc>
        <w:tc>
          <w:tcPr>
            <w:tcW w:w="3876" w:type="pct"/>
            <w:shd w:val="clear" w:color="auto" w:fill="F3F3F3"/>
          </w:tcPr>
          <w:p w14:paraId="0C86E42B"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Строително-монтажни работи</w:t>
            </w:r>
          </w:p>
        </w:tc>
      </w:tr>
      <w:tr w:rsidR="00C1144B" w:rsidRPr="008E4D35" w14:paraId="4739A394" w14:textId="77777777" w:rsidTr="00F14642">
        <w:tc>
          <w:tcPr>
            <w:tcW w:w="1124" w:type="pct"/>
            <w:shd w:val="clear" w:color="auto" w:fill="D9D9D9"/>
          </w:tcPr>
          <w:p w14:paraId="538BC58D"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УО</w:t>
            </w:r>
          </w:p>
        </w:tc>
        <w:tc>
          <w:tcPr>
            <w:tcW w:w="3876" w:type="pct"/>
            <w:shd w:val="clear" w:color="auto" w:fill="F3F3F3"/>
          </w:tcPr>
          <w:p w14:paraId="34269547" w14:textId="77777777"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Управляващ орган</w:t>
            </w:r>
          </w:p>
        </w:tc>
      </w:tr>
      <w:tr w:rsidR="00413F4A" w:rsidRPr="008E4D35" w14:paraId="6F6E9225" w14:textId="77777777" w:rsidTr="00F14642">
        <w:tc>
          <w:tcPr>
            <w:tcW w:w="1124" w:type="pct"/>
            <w:shd w:val="clear" w:color="auto" w:fill="D9D9D9"/>
          </w:tcPr>
          <w:p w14:paraId="094535FE" w14:textId="77777777" w:rsidR="00413F4A" w:rsidRPr="008E4D35" w:rsidRDefault="00413F4A"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ФК</w:t>
            </w:r>
          </w:p>
        </w:tc>
        <w:tc>
          <w:tcPr>
            <w:tcW w:w="3876" w:type="pct"/>
            <w:shd w:val="clear" w:color="auto" w:fill="F3F3F3"/>
          </w:tcPr>
          <w:p w14:paraId="3F3500DA" w14:textId="77777777" w:rsidR="00413F4A" w:rsidRPr="008E4D35" w:rsidRDefault="00413F4A"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Формуляр за кандидатстване</w:t>
            </w:r>
          </w:p>
        </w:tc>
      </w:tr>
    </w:tbl>
    <w:p w14:paraId="7FE9854E" w14:textId="77777777" w:rsidR="00DA3619" w:rsidRPr="008E4D35" w:rsidRDefault="00DA3619">
      <w:pPr>
        <w:rPr>
          <w:rFonts w:cstheme="minorHAnsi"/>
          <w:sz w:val="24"/>
          <w:szCs w:val="24"/>
        </w:rPr>
      </w:pPr>
    </w:p>
    <w:p w14:paraId="3CAC08E2" w14:textId="77777777" w:rsidR="00F56BC0" w:rsidRDefault="007F4E6D" w:rsidP="00F56BC0">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II. </w:t>
      </w:r>
      <w:r w:rsidR="00DF094A" w:rsidRPr="008E4D35">
        <w:rPr>
          <w:rFonts w:eastAsia="Times New Roman" w:cstheme="minorHAnsi"/>
          <w:b/>
          <w:snapToGrid w:val="0"/>
          <w:kern w:val="28"/>
          <w:sz w:val="24"/>
          <w:szCs w:val="24"/>
        </w:rPr>
        <w:t>ОСНОВНИ ДЕФИНИЦИИ</w:t>
      </w:r>
    </w:p>
    <w:p w14:paraId="2EDD9035" w14:textId="77777777" w:rsidR="00E12165" w:rsidRPr="008E4D35" w:rsidRDefault="00E12165" w:rsidP="00F56BC0">
      <w:pPr>
        <w:spacing w:after="0" w:line="240" w:lineRule="auto"/>
        <w:rPr>
          <w:rFonts w:eastAsia="Times New Roman" w:cstheme="minorHAnsi"/>
          <w:b/>
          <w:snapToGrid w:val="0"/>
          <w:kern w:val="28"/>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5"/>
        <w:gridCol w:w="6543"/>
      </w:tblGrid>
      <w:tr w:rsidR="001172F3" w:rsidRPr="008E4D35" w14:paraId="507ED8BA" w14:textId="77777777" w:rsidTr="00305D58">
        <w:tc>
          <w:tcPr>
            <w:tcW w:w="2745" w:type="dxa"/>
            <w:shd w:val="clear" w:color="auto" w:fill="E6E6E6"/>
          </w:tcPr>
          <w:p w14:paraId="04F20D63" w14:textId="77777777" w:rsidR="001172F3" w:rsidRPr="008E4D35" w:rsidRDefault="001172F3" w:rsidP="001172F3">
            <w:pPr>
              <w:spacing w:before="100" w:beforeAutospacing="1" w:after="100" w:afterAutospacing="1" w:line="240" w:lineRule="auto"/>
              <w:rPr>
                <w:rFonts w:eastAsia="Times New Roman" w:cstheme="minorHAnsi"/>
                <w:b/>
                <w:snapToGrid w:val="0"/>
                <w:sz w:val="24"/>
                <w:szCs w:val="24"/>
              </w:rPr>
            </w:pPr>
            <w:r w:rsidRPr="00D31E18">
              <w:rPr>
                <w:rFonts w:eastAsia="Times New Roman" w:cstheme="minorHAnsi"/>
                <w:b/>
                <w:snapToGrid w:val="0"/>
                <w:sz w:val="24"/>
                <w:szCs w:val="24"/>
              </w:rPr>
              <w:t>Административен договор за безвъзмездна финансова помощ</w:t>
            </w:r>
          </w:p>
        </w:tc>
        <w:tc>
          <w:tcPr>
            <w:tcW w:w="6543" w:type="dxa"/>
            <w:shd w:val="clear" w:color="auto" w:fill="F3F3F3"/>
          </w:tcPr>
          <w:p w14:paraId="54F8310E" w14:textId="77777777" w:rsidR="001172F3" w:rsidRPr="008E4D35" w:rsidRDefault="001172F3" w:rsidP="001172F3">
            <w:pPr>
              <w:spacing w:before="100" w:beforeAutospacing="1" w:after="100" w:afterAutospacing="1" w:line="240" w:lineRule="auto"/>
              <w:jc w:val="both"/>
              <w:rPr>
                <w:rFonts w:eastAsia="Times New Roman" w:cstheme="minorHAnsi"/>
                <w:snapToGrid w:val="0"/>
                <w:sz w:val="24"/>
                <w:szCs w:val="24"/>
              </w:rPr>
            </w:pPr>
            <w:r w:rsidRPr="00D31E18">
              <w:rPr>
                <w:rFonts w:eastAsia="Times New Roman" w:cstheme="minorHAnsi"/>
                <w:snapToGrid w:val="0"/>
                <w:sz w:val="24"/>
                <w:szCs w:val="24"/>
              </w:rPr>
              <w:t xml:space="preserve">Административен договор </w:t>
            </w:r>
            <w:r w:rsidRPr="00D31E18">
              <w:rPr>
                <w:rFonts w:eastAsia="Times New Roman" w:cstheme="minorHAnsi"/>
                <w:snapToGrid w:val="0"/>
                <w:sz w:val="24"/>
                <w:szCs w:val="24"/>
                <w:lang w:val="x-none"/>
              </w:rPr>
              <w:t xml:space="preserve">е изрично волеизявление на ръководителя на </w:t>
            </w:r>
            <w:r w:rsidRPr="00D31E18">
              <w:rPr>
                <w:rFonts w:eastAsia="Times New Roman" w:cstheme="minorHAnsi"/>
                <w:snapToGrid w:val="0"/>
                <w:sz w:val="24"/>
                <w:szCs w:val="24"/>
              </w:rPr>
              <w:t>У</w:t>
            </w:r>
            <w:r w:rsidRPr="00D31E18">
              <w:rPr>
                <w:rFonts w:eastAsia="Times New Roman" w:cstheme="minorHAnsi"/>
                <w:snapToGrid w:val="0"/>
                <w:sz w:val="24"/>
                <w:szCs w:val="24"/>
                <w:lang w:val="x-none"/>
              </w:rPr>
              <w:t xml:space="preserve">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w:t>
            </w:r>
            <w:r w:rsidRPr="00D31E18">
              <w:rPr>
                <w:rFonts w:eastAsia="Times New Roman" w:cstheme="minorHAnsi"/>
                <w:snapToGrid w:val="0"/>
                <w:sz w:val="24"/>
                <w:szCs w:val="24"/>
              </w:rPr>
              <w:t>У</w:t>
            </w:r>
            <w:r w:rsidRPr="00D31E18">
              <w:rPr>
                <w:rFonts w:eastAsia="Times New Roman" w:cstheme="minorHAnsi"/>
                <w:snapToGrid w:val="0"/>
                <w:sz w:val="24"/>
                <w:szCs w:val="24"/>
                <w:lang w:val="x-none"/>
              </w:rPr>
              <w:t>правляващия орган и бенефициента, заместващо издаването на административен акт.</w:t>
            </w:r>
          </w:p>
        </w:tc>
      </w:tr>
      <w:tr w:rsidR="00D5547E" w:rsidRPr="008E4D35" w14:paraId="7E9AD657" w14:textId="77777777" w:rsidTr="00305D58">
        <w:tc>
          <w:tcPr>
            <w:tcW w:w="2745" w:type="dxa"/>
            <w:shd w:val="clear" w:color="auto" w:fill="E6E6E6"/>
          </w:tcPr>
          <w:p w14:paraId="2D4D2DF7" w14:textId="77777777" w:rsidR="00D5547E" w:rsidRPr="00B54D6C" w:rsidRDefault="008A1CD0" w:rsidP="001172F3">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Асоциирани па</w:t>
            </w:r>
            <w:r w:rsidR="00D5547E">
              <w:rPr>
                <w:rFonts w:eastAsia="Times New Roman" w:cstheme="minorHAnsi"/>
                <w:b/>
                <w:snapToGrid w:val="0"/>
                <w:sz w:val="24"/>
                <w:szCs w:val="24"/>
              </w:rPr>
              <w:t>ртньори</w:t>
            </w:r>
          </w:p>
        </w:tc>
        <w:tc>
          <w:tcPr>
            <w:tcW w:w="6543" w:type="dxa"/>
            <w:shd w:val="clear" w:color="auto" w:fill="F3F3F3"/>
          </w:tcPr>
          <w:p w14:paraId="04E920C5" w14:textId="77777777" w:rsidR="00D5547E" w:rsidRDefault="008A1CD0" w:rsidP="001172F3">
            <w:pPr>
              <w:spacing w:before="100" w:beforeAutospacing="1" w:after="100" w:afterAutospacing="1" w:line="240" w:lineRule="auto"/>
              <w:jc w:val="both"/>
              <w:rPr>
                <w:rFonts w:eastAsia="Times New Roman" w:cstheme="minorHAnsi"/>
                <w:snapToGrid w:val="0"/>
                <w:sz w:val="24"/>
                <w:szCs w:val="24"/>
              </w:rPr>
            </w:pPr>
            <w:r w:rsidRPr="008A1CD0">
              <w:rPr>
                <w:rFonts w:eastAsia="Times New Roman" w:cstheme="minorHAnsi"/>
                <w:snapToGrid w:val="0"/>
                <w:sz w:val="24"/>
                <w:szCs w:val="24"/>
              </w:rPr>
              <w:t>По смисъла на ПМС 162/2016 "асоциирани партньори на кандидатите за БФП са всички физически и юридически лица и техни обединения, които са заинтересовани от реализирането на проекта и участват в изпълнението на дейностите по него, но не разходват средства от БФП“.</w:t>
            </w:r>
          </w:p>
        </w:tc>
      </w:tr>
      <w:tr w:rsidR="001172F3" w:rsidRPr="008E4D35" w14:paraId="3A1F8942" w14:textId="77777777" w:rsidTr="00305D58">
        <w:tc>
          <w:tcPr>
            <w:tcW w:w="2745" w:type="dxa"/>
            <w:shd w:val="clear" w:color="auto" w:fill="E6E6E6"/>
          </w:tcPr>
          <w:p w14:paraId="151DD154" w14:textId="77777777" w:rsidR="001172F3" w:rsidRPr="008E4D35" w:rsidRDefault="001172F3" w:rsidP="001172F3">
            <w:pPr>
              <w:spacing w:before="100" w:beforeAutospacing="1" w:after="100" w:afterAutospacing="1" w:line="240" w:lineRule="auto"/>
              <w:rPr>
                <w:rFonts w:eastAsia="Times New Roman" w:cstheme="minorHAnsi"/>
                <w:b/>
                <w:snapToGrid w:val="0"/>
                <w:sz w:val="24"/>
                <w:szCs w:val="24"/>
              </w:rPr>
            </w:pPr>
            <w:r w:rsidRPr="00B54D6C">
              <w:rPr>
                <w:rFonts w:eastAsia="Times New Roman" w:cstheme="minorHAnsi"/>
                <w:b/>
                <w:snapToGrid w:val="0"/>
                <w:sz w:val="24"/>
                <w:szCs w:val="24"/>
              </w:rPr>
              <w:t>Безвъзмездна финансова помощ</w:t>
            </w:r>
          </w:p>
        </w:tc>
        <w:tc>
          <w:tcPr>
            <w:tcW w:w="6543" w:type="dxa"/>
            <w:shd w:val="clear" w:color="auto" w:fill="F3F3F3"/>
          </w:tcPr>
          <w:p w14:paraId="33F43199" w14:textId="77777777" w:rsidR="001172F3" w:rsidRPr="008E4D35" w:rsidRDefault="001172F3" w:rsidP="001172F3">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w:t>
            </w:r>
            <w:r w:rsidRPr="008E4D35">
              <w:rPr>
                <w:rFonts w:eastAsia="Times New Roman" w:cstheme="minorHAnsi"/>
                <w:snapToGrid w:val="0"/>
                <w:sz w:val="24"/>
                <w:szCs w:val="24"/>
              </w:rPr>
              <w:t>редства, предоставени от ОП</w:t>
            </w:r>
            <w:r>
              <w:rPr>
                <w:rFonts w:eastAsia="Times New Roman" w:cstheme="minorHAnsi"/>
                <w:snapToGrid w:val="0"/>
                <w:sz w:val="24"/>
                <w:szCs w:val="24"/>
              </w:rPr>
              <w:t>ИК</w:t>
            </w:r>
            <w:r w:rsidRPr="008E4D35">
              <w:rPr>
                <w:rFonts w:eastAsia="Times New Roman" w:cstheme="minorHAnsi"/>
                <w:snapToGrid w:val="0"/>
                <w:sz w:val="24"/>
                <w:szCs w:val="24"/>
              </w:rPr>
              <w:t>, включително съответното национално съфинансиране, с цел изпълнението на одобрен проект, насочен към постигане на определени резултати.</w:t>
            </w:r>
          </w:p>
        </w:tc>
      </w:tr>
      <w:tr w:rsidR="00F56BC0" w:rsidRPr="008E4D35" w14:paraId="1E58D380" w14:textId="77777777" w:rsidTr="00305D58">
        <w:tc>
          <w:tcPr>
            <w:tcW w:w="2745" w:type="dxa"/>
            <w:shd w:val="clear" w:color="auto" w:fill="E6E6E6"/>
          </w:tcPr>
          <w:p w14:paraId="66E1782C" w14:textId="77777777" w:rsidR="00F56BC0" w:rsidRPr="008E4D35" w:rsidRDefault="00F56BC0" w:rsidP="00021DCF">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Бенефициент на безвъзмездна финансова помощ</w:t>
            </w:r>
          </w:p>
        </w:tc>
        <w:tc>
          <w:tcPr>
            <w:tcW w:w="6543" w:type="dxa"/>
            <w:shd w:val="clear" w:color="auto" w:fill="F3F3F3"/>
          </w:tcPr>
          <w:p w14:paraId="72CC2FF6" w14:textId="77777777" w:rsidR="00F56BC0" w:rsidRPr="008E4D35" w:rsidRDefault="00177AF4" w:rsidP="00B54D6C">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 xml:space="preserve">Лицата, посочени в чл. 2, пар. 10 от Регламент (ЕО) </w:t>
            </w:r>
            <w:r w:rsidR="000C6413" w:rsidRPr="000C6413">
              <w:rPr>
                <w:rFonts w:eastAsia="Times New Roman" w:cstheme="minorHAnsi"/>
                <w:snapToGrid w:val="0"/>
                <w:sz w:val="24"/>
                <w:szCs w:val="24"/>
              </w:rPr>
              <w:t xml:space="preserve">№ </w:t>
            </w:r>
            <w:r>
              <w:rPr>
                <w:rFonts w:eastAsia="Times New Roman" w:cstheme="minorHAnsi"/>
                <w:snapToGrid w:val="0"/>
                <w:sz w:val="24"/>
                <w:szCs w:val="24"/>
              </w:rPr>
              <w:t>1</w:t>
            </w:r>
            <w:r w:rsidR="00F56BC0" w:rsidRPr="008E4D35">
              <w:rPr>
                <w:rFonts w:eastAsia="Times New Roman" w:cstheme="minorHAnsi"/>
                <w:snapToGrid w:val="0"/>
                <w:sz w:val="24"/>
                <w:szCs w:val="24"/>
              </w:rPr>
              <w:t>3</w:t>
            </w:r>
            <w:r>
              <w:rPr>
                <w:rFonts w:eastAsia="Times New Roman" w:cstheme="minorHAnsi"/>
                <w:snapToGrid w:val="0"/>
                <w:sz w:val="24"/>
                <w:szCs w:val="24"/>
              </w:rPr>
              <w:t>03/2013</w:t>
            </w:r>
            <w:r w:rsidR="00B54D6C">
              <w:rPr>
                <w:rFonts w:eastAsia="Times New Roman" w:cstheme="minorHAnsi"/>
                <w:snapToGrid w:val="0"/>
                <w:sz w:val="24"/>
                <w:szCs w:val="24"/>
              </w:rPr>
              <w:t xml:space="preserve"> - </w:t>
            </w:r>
            <w:r w:rsidRPr="00177AF4">
              <w:rPr>
                <w:rFonts w:eastAsia="Times New Roman" w:cstheme="minorHAnsi"/>
                <w:snapToGrid w:val="0"/>
                <w:sz w:val="24"/>
                <w:szCs w:val="24"/>
              </w:rPr>
              <w:t>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w:t>
            </w:r>
            <w:r w:rsidR="000C2A46">
              <w:rPr>
                <w:rFonts w:eastAsia="Times New Roman" w:cstheme="minorHAnsi"/>
                <w:snapToGrid w:val="0"/>
                <w:sz w:val="24"/>
                <w:szCs w:val="24"/>
              </w:rPr>
              <w:t>то и изпълнението на операции.</w:t>
            </w:r>
            <w:r w:rsidRPr="00177AF4">
              <w:rPr>
                <w:rFonts w:eastAsia="Times New Roman" w:cstheme="minorHAnsi"/>
                <w:snapToGrid w:val="0"/>
                <w:sz w:val="24"/>
                <w:szCs w:val="24"/>
              </w:rPr>
              <w:t xml:space="preserve"> </w:t>
            </w:r>
            <w:r w:rsidR="00F56BC0" w:rsidRPr="008E4D35">
              <w:rPr>
                <w:rFonts w:eastAsia="Times New Roman" w:cstheme="minorHAnsi"/>
                <w:snapToGrid w:val="0"/>
                <w:sz w:val="24"/>
                <w:szCs w:val="24"/>
              </w:rPr>
              <w:t xml:space="preserve">В рамките на </w:t>
            </w:r>
            <w:r w:rsidR="00F56BC0" w:rsidRPr="008E4D35">
              <w:rPr>
                <w:rFonts w:eastAsia="Times New Roman" w:cstheme="minorHAnsi"/>
                <w:snapToGrid w:val="0"/>
                <w:sz w:val="24"/>
                <w:szCs w:val="24"/>
              </w:rPr>
              <w:lastRenderedPageBreak/>
              <w:t xml:space="preserve">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6932EA" w:rsidRPr="008E4D35" w14:paraId="1877DCB5" w14:textId="77777777" w:rsidTr="00305D58">
        <w:tc>
          <w:tcPr>
            <w:tcW w:w="2745" w:type="dxa"/>
            <w:shd w:val="clear" w:color="auto" w:fill="E6E6E6"/>
          </w:tcPr>
          <w:p w14:paraId="50B694F7" w14:textId="77777777" w:rsidR="006932EA" w:rsidRPr="009200B0" w:rsidRDefault="006932EA"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lastRenderedPageBreak/>
              <w:t>Горски продукт</w:t>
            </w:r>
          </w:p>
        </w:tc>
        <w:tc>
          <w:tcPr>
            <w:tcW w:w="6543" w:type="dxa"/>
            <w:shd w:val="clear" w:color="auto" w:fill="F3F3F3"/>
          </w:tcPr>
          <w:p w14:paraId="077D9BCE" w14:textId="77777777" w:rsidR="006932EA" w:rsidRDefault="006932EA" w:rsidP="00F14642">
            <w:pPr>
              <w:spacing w:line="240" w:lineRule="auto"/>
              <w:jc w:val="both"/>
              <w:rPr>
                <w:rFonts w:eastAsia="Times New Roman" w:cstheme="minorHAnsi"/>
                <w:snapToGrid w:val="0"/>
                <w:sz w:val="24"/>
                <w:szCs w:val="24"/>
              </w:rPr>
            </w:pPr>
            <w:r>
              <w:rPr>
                <w:rFonts w:eastAsia="Times New Roman" w:cstheme="minorHAnsi"/>
                <w:snapToGrid w:val="0"/>
                <w:sz w:val="24"/>
                <w:szCs w:val="24"/>
              </w:rPr>
              <w:t>Дървесина и недървесни горски продукти. „</w:t>
            </w:r>
            <w:r w:rsidRPr="0003699C">
              <w:rPr>
                <w:rFonts w:eastAsia="Times New Roman" w:cstheme="minorHAnsi"/>
                <w:snapToGrid w:val="0"/>
                <w:sz w:val="24"/>
                <w:szCs w:val="24"/>
              </w:rPr>
              <w:t>Недървесни горски продукти" са смола, борина, сено, кори, лико, семена, гъби, лечебни и ароматни растения или части от тях, лишеи, мъхове, горски плодове, зеленина, коледни елхи, листников фураж, животни, които не са дивеч</w:t>
            </w:r>
            <w:r>
              <w:rPr>
                <w:rFonts w:eastAsia="Times New Roman" w:cstheme="minorHAnsi"/>
                <w:snapToGrid w:val="0"/>
                <w:sz w:val="24"/>
                <w:szCs w:val="24"/>
              </w:rPr>
              <w:t>.</w:t>
            </w:r>
          </w:p>
          <w:p w14:paraId="78CED9AA" w14:textId="77777777" w:rsidR="006932EA" w:rsidRPr="00E42994" w:rsidRDefault="006932EA" w:rsidP="00F14642">
            <w:pPr>
              <w:spacing w:after="240"/>
              <w:rPr>
                <w:rFonts w:eastAsia="Times New Roman" w:cstheme="minorHAnsi"/>
                <w:snapToGrid w:val="0"/>
                <w:sz w:val="24"/>
                <w:szCs w:val="24"/>
              </w:rPr>
            </w:pPr>
            <w:r w:rsidRPr="00E42994">
              <w:rPr>
                <w:rFonts w:eastAsia="Times New Roman" w:cstheme="minorHAnsi"/>
                <w:snapToGrid w:val="0"/>
                <w:sz w:val="24"/>
                <w:szCs w:val="24"/>
              </w:rPr>
              <w:t>Дефиницията включва и продукти от следните производства преди индустриалната преработка на дървесината</w:t>
            </w:r>
            <w:r w:rsidR="00B978A0">
              <w:rPr>
                <w:rFonts w:eastAsia="Times New Roman" w:cstheme="minorHAnsi"/>
                <w:snapToGrid w:val="0"/>
                <w:sz w:val="24"/>
                <w:szCs w:val="24"/>
              </w:rPr>
              <w:t>:</w:t>
            </w:r>
            <w:r w:rsidRPr="00E42994">
              <w:rPr>
                <w:rFonts w:eastAsia="Times New Roman" w:cstheme="minorHAnsi"/>
                <w:snapToGrid w:val="0"/>
                <w:sz w:val="24"/>
                <w:szCs w:val="24"/>
              </w:rPr>
              <w:t xml:space="preserve"> </w:t>
            </w:r>
          </w:p>
          <w:p w14:paraId="328158ED" w14:textId="77777777" w:rsidR="006932EA" w:rsidRPr="00E42994" w:rsidRDefault="006932EA" w:rsidP="0048471A">
            <w:pPr>
              <w:numPr>
                <w:ilvl w:val="0"/>
                <w:numId w:val="2"/>
              </w:numPr>
              <w:spacing w:before="240"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Машинно обработване на дървен материал чрез бичене, фрезоване, комбинирано или рязане или развиване; </w:t>
            </w:r>
          </w:p>
          <w:p w14:paraId="273D53D7" w14:textId="77777777"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Нарязване, сортиране, рендосване, профилиране, окрайчване, фасониране и шлайфане; </w:t>
            </w:r>
          </w:p>
          <w:p w14:paraId="76C62D7A" w14:textId="77777777"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Сушене и импрегниране на дървен материал; </w:t>
            </w:r>
          </w:p>
          <w:p w14:paraId="2BCBA160" w14:textId="77777777"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Производство</w:t>
            </w:r>
            <w:r w:rsidRPr="00E42994">
              <w:rPr>
                <w:rFonts w:ascii="Calibri" w:eastAsia="Times New Roman" w:hAnsi="Calibri" w:cs="Calibri"/>
                <w:i/>
                <w:iCs/>
              </w:rPr>
              <w:t xml:space="preserve"> </w:t>
            </w:r>
            <w:r w:rsidRPr="00E42994">
              <w:rPr>
                <w:rFonts w:eastAsia="Times New Roman" w:cstheme="minorHAnsi"/>
                <w:snapToGrid w:val="0"/>
                <w:sz w:val="24"/>
                <w:szCs w:val="24"/>
              </w:rPr>
              <w:t xml:space="preserve">на дървесен талаш, дървесно брашно, технологични трески, дървесни пелети и брикети от необработени дървени материали, вършина и други дървесни отпадъци; </w:t>
            </w:r>
          </w:p>
          <w:p w14:paraId="3DFAA3B0" w14:textId="77777777"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Производство на колове или колчета: белене, цепене, заостряне, пакетиране; </w:t>
            </w:r>
          </w:p>
          <w:p w14:paraId="5366592C" w14:textId="77777777" w:rsidR="006932EA" w:rsidRPr="00880021" w:rsidRDefault="006932EA" w:rsidP="0048471A">
            <w:pPr>
              <w:numPr>
                <w:ilvl w:val="0"/>
                <w:numId w:val="2"/>
              </w:numPr>
              <w:spacing w:after="0" w:line="240" w:lineRule="auto"/>
              <w:ind w:left="317" w:hanging="317"/>
              <w:jc w:val="both"/>
              <w:rPr>
                <w:rFonts w:eastAsia="Times New Roman" w:cstheme="minorHAnsi"/>
                <w:snapToGrid w:val="0"/>
                <w:sz w:val="24"/>
                <w:szCs w:val="24"/>
                <w:lang w:val="en-US"/>
              </w:rPr>
            </w:pPr>
            <w:r w:rsidRPr="00E42994">
              <w:rPr>
                <w:rFonts w:eastAsia="Times New Roman" w:cstheme="minorHAnsi"/>
                <w:snapToGrid w:val="0"/>
                <w:sz w:val="24"/>
                <w:szCs w:val="24"/>
              </w:rPr>
              <w:t>Производство на дърва за горене: рязане, цепене</w:t>
            </w:r>
            <w:r w:rsidRPr="00E42994">
              <w:rPr>
                <w:rFonts w:ascii="Calibri" w:eastAsia="Times New Roman" w:hAnsi="Calibri" w:cs="Calibri"/>
                <w:i/>
                <w:iCs/>
              </w:rPr>
              <w:t xml:space="preserve">, </w:t>
            </w:r>
            <w:r w:rsidRPr="00E42994">
              <w:rPr>
                <w:rFonts w:eastAsia="Times New Roman" w:cstheme="minorHAnsi"/>
                <w:snapToGrid w:val="0"/>
                <w:sz w:val="24"/>
                <w:szCs w:val="24"/>
              </w:rPr>
              <w:t>пакетиране;</w:t>
            </w:r>
          </w:p>
        </w:tc>
      </w:tr>
      <w:tr w:rsidR="00655AB9" w:rsidRPr="008E4D35" w14:paraId="6ACD70ED" w14:textId="77777777" w:rsidTr="00305D58">
        <w:tc>
          <w:tcPr>
            <w:tcW w:w="2745" w:type="dxa"/>
            <w:shd w:val="clear" w:color="auto" w:fill="E6E6E6"/>
          </w:tcPr>
          <w:p w14:paraId="495AB890" w14:textId="77777777" w:rsidR="00655AB9" w:rsidRPr="008E4D35" w:rsidRDefault="00655AB9" w:rsidP="00021DCF">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Група предприятия</w:t>
            </w:r>
          </w:p>
        </w:tc>
        <w:tc>
          <w:tcPr>
            <w:tcW w:w="6543" w:type="dxa"/>
            <w:shd w:val="clear" w:color="auto" w:fill="F3F3F3"/>
          </w:tcPr>
          <w:p w14:paraId="3867379E" w14:textId="77777777" w:rsidR="00655AB9" w:rsidRDefault="00655AB9" w:rsidP="00655A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„Г</w:t>
            </w:r>
            <w:r w:rsidRPr="00655AB9">
              <w:rPr>
                <w:rFonts w:eastAsia="Times New Roman" w:cstheme="minorHAnsi"/>
                <w:snapToGrid w:val="0"/>
                <w:sz w:val="24"/>
                <w:szCs w:val="24"/>
              </w:rPr>
              <w:t>рупа" означава предприятие майка и всички не</w:t>
            </w:r>
            <w:r>
              <w:rPr>
                <w:rFonts w:eastAsia="Times New Roman" w:cstheme="minorHAnsi"/>
                <w:snapToGrid w:val="0"/>
                <w:sz w:val="24"/>
                <w:szCs w:val="24"/>
              </w:rPr>
              <w:t xml:space="preserve">гови дъщерни предприятия, като: </w:t>
            </w:r>
            <w:r w:rsidRPr="00655AB9">
              <w:rPr>
                <w:rFonts w:eastAsia="Times New Roman" w:cstheme="minorHAnsi"/>
                <w:snapToGrid w:val="0"/>
                <w:sz w:val="24"/>
                <w:szCs w:val="24"/>
              </w:rPr>
              <w:t>"предприятие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r>
              <w:rPr>
                <w:rFonts w:eastAsia="Times New Roman" w:cstheme="minorHAnsi"/>
                <w:snapToGrid w:val="0"/>
                <w:sz w:val="24"/>
                <w:szCs w:val="24"/>
              </w:rPr>
              <w:t>.</w:t>
            </w:r>
          </w:p>
        </w:tc>
      </w:tr>
      <w:tr w:rsidR="0019069B" w:rsidRPr="008E4D35" w14:paraId="345DEFD3" w14:textId="77777777" w:rsidTr="00305D58">
        <w:tc>
          <w:tcPr>
            <w:tcW w:w="2745" w:type="dxa"/>
            <w:shd w:val="clear" w:color="auto" w:fill="E6E6E6"/>
          </w:tcPr>
          <w:p w14:paraId="66722DB4" w14:textId="77777777" w:rsidR="0019069B" w:rsidRPr="008E4D35" w:rsidRDefault="0019069B" w:rsidP="00F14642">
            <w:pPr>
              <w:spacing w:before="100" w:beforeAutospacing="1" w:after="100" w:afterAutospacing="1" w:line="240" w:lineRule="auto"/>
              <w:rPr>
                <w:rFonts w:eastAsia="Times New Roman" w:cstheme="minorHAnsi"/>
                <w:b/>
                <w:snapToGrid w:val="0"/>
                <w:sz w:val="24"/>
                <w:szCs w:val="24"/>
              </w:rPr>
            </w:pPr>
            <w:r w:rsidRPr="009944A0">
              <w:rPr>
                <w:rFonts w:eastAsia="Times New Roman" w:cstheme="minorHAnsi"/>
                <w:b/>
                <w:snapToGrid w:val="0"/>
                <w:sz w:val="24"/>
                <w:szCs w:val="24"/>
              </w:rPr>
              <w:t>Дата на започване на работата</w:t>
            </w:r>
          </w:p>
        </w:tc>
        <w:tc>
          <w:tcPr>
            <w:tcW w:w="6543" w:type="dxa"/>
            <w:shd w:val="clear" w:color="auto" w:fill="F3F3F3"/>
          </w:tcPr>
          <w:p w14:paraId="45504B1A" w14:textId="77777777" w:rsidR="0019069B" w:rsidRPr="008E4D35" w:rsidRDefault="009944A0" w:rsidP="00F14642">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О</w:t>
            </w:r>
            <w:r w:rsidRPr="009944A0">
              <w:rPr>
                <w:rFonts w:eastAsia="Times New Roman" w:cstheme="minorHAnsi"/>
                <w:snapToGrid w:val="0"/>
                <w:sz w:val="24"/>
                <w:szCs w:val="24"/>
              </w:rPr>
              <w:t xml:space="preserve">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w:t>
            </w:r>
            <w:r w:rsidRPr="009944A0">
              <w:rPr>
                <w:rFonts w:eastAsia="Times New Roman" w:cstheme="minorHAnsi"/>
                <w:snapToGrid w:val="0"/>
                <w:sz w:val="24"/>
                <w:szCs w:val="24"/>
              </w:rPr>
              <w:lastRenderedPageBreak/>
              <w:t>работите по проекта“ означава момента на придобиване на активите, пряко свързани с придобития стопански обект.</w:t>
            </w:r>
          </w:p>
        </w:tc>
      </w:tr>
      <w:tr w:rsidR="0019069B" w:rsidRPr="008E4D35" w14:paraId="504EC3E4" w14:textId="77777777" w:rsidTr="00305D58">
        <w:tc>
          <w:tcPr>
            <w:tcW w:w="2745" w:type="dxa"/>
            <w:shd w:val="clear" w:color="auto" w:fill="E6E6E6"/>
          </w:tcPr>
          <w:p w14:paraId="12C64128" w14:textId="77777777" w:rsidR="0019069B" w:rsidRPr="008E4D35" w:rsidRDefault="0019069B"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lastRenderedPageBreak/>
              <w:t>Дейност</w:t>
            </w:r>
          </w:p>
        </w:tc>
        <w:tc>
          <w:tcPr>
            <w:tcW w:w="6543" w:type="dxa"/>
            <w:shd w:val="clear" w:color="auto" w:fill="F3F3F3"/>
          </w:tcPr>
          <w:p w14:paraId="5ABE444A" w14:textId="77777777" w:rsidR="0019069B" w:rsidRPr="008E4D35" w:rsidRDefault="0019069B" w:rsidP="00F14642">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301649" w:rsidRPr="008E4D35" w14:paraId="552EE364" w14:textId="77777777" w:rsidTr="00305D58">
        <w:tc>
          <w:tcPr>
            <w:tcW w:w="2745" w:type="dxa"/>
            <w:shd w:val="clear" w:color="auto" w:fill="E6E6E6"/>
          </w:tcPr>
          <w:p w14:paraId="78BDE914" w14:textId="77777777" w:rsidR="00301649" w:rsidRPr="008E4D35" w:rsidRDefault="00301649" w:rsidP="001172F3">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Е</w:t>
            </w:r>
            <w:r w:rsidRPr="004A221D">
              <w:rPr>
                <w:rFonts w:eastAsia="Times New Roman" w:cstheme="minorHAnsi"/>
                <w:b/>
                <w:snapToGrid w:val="0"/>
                <w:sz w:val="24"/>
                <w:szCs w:val="24"/>
              </w:rPr>
              <w:t>дно и също предприятие</w:t>
            </w:r>
          </w:p>
        </w:tc>
        <w:tc>
          <w:tcPr>
            <w:tcW w:w="6543" w:type="dxa"/>
            <w:shd w:val="clear" w:color="auto" w:fill="F3F3F3"/>
          </w:tcPr>
          <w:p w14:paraId="28A389A5" w14:textId="77777777" w:rsidR="00301649" w:rsidRPr="004A221D" w:rsidRDefault="00301649" w:rsidP="001172F3">
            <w:pPr>
              <w:spacing w:before="60" w:after="60" w:line="240" w:lineRule="auto"/>
              <w:jc w:val="both"/>
              <w:rPr>
                <w:rFonts w:eastAsia="Times New Roman" w:cstheme="minorHAnsi"/>
                <w:snapToGrid w:val="0"/>
                <w:sz w:val="24"/>
                <w:szCs w:val="24"/>
              </w:rPr>
            </w:pPr>
            <w:r>
              <w:rPr>
                <w:rFonts w:ascii="Calibri" w:eastAsia="Calibri" w:hAnsi="Calibri" w:cs="Times New Roman"/>
                <w:bCs/>
                <w:sz w:val="24"/>
                <w:szCs w:val="24"/>
              </w:rPr>
              <w:t xml:space="preserve">Съгласно </w:t>
            </w:r>
            <w:r w:rsidRPr="00954573">
              <w:rPr>
                <w:rFonts w:ascii="Calibri" w:eastAsia="Calibri" w:hAnsi="Calibri" w:cs="Times New Roman"/>
                <w:bCs/>
                <w:sz w:val="24"/>
                <w:szCs w:val="24"/>
              </w:rPr>
              <w:t>чл. 2, пар. 2 на Регламент (ЕС) № 1407/2013</w:t>
            </w:r>
            <w:r>
              <w:rPr>
                <w:rFonts w:ascii="Calibri" w:eastAsia="Calibri" w:hAnsi="Calibri" w:cs="Times New Roman"/>
                <w:bCs/>
                <w:sz w:val="24"/>
                <w:szCs w:val="24"/>
              </w:rPr>
              <w:t xml:space="preserve"> </w:t>
            </w:r>
            <w:r>
              <w:rPr>
                <w:rFonts w:eastAsia="Times New Roman" w:cstheme="minorHAnsi"/>
                <w:snapToGrid w:val="0"/>
                <w:sz w:val="24"/>
                <w:szCs w:val="24"/>
              </w:rPr>
              <w:t xml:space="preserve">„едно и също предприятие“ </w:t>
            </w:r>
            <w:r w:rsidRPr="004A221D">
              <w:rPr>
                <w:rFonts w:eastAsia="Times New Roman" w:cstheme="minorHAnsi"/>
                <w:snapToGrid w:val="0"/>
                <w:sz w:val="24"/>
                <w:szCs w:val="24"/>
              </w:rPr>
              <w:t xml:space="preserve">означава всички предприятия, които поддържат помежду си поне един вид от следните взаимоотношения: </w:t>
            </w:r>
          </w:p>
          <w:p w14:paraId="24E44FA4" w14:textId="77777777" w:rsidR="00301649" w:rsidRPr="004A221D" w:rsidRDefault="00301649" w:rsidP="001172F3">
            <w:pPr>
              <w:spacing w:before="60" w:after="60" w:line="240" w:lineRule="auto"/>
              <w:jc w:val="both"/>
              <w:rPr>
                <w:rFonts w:eastAsia="Times New Roman" w:cstheme="minorHAnsi"/>
                <w:snapToGrid w:val="0"/>
                <w:sz w:val="24"/>
                <w:szCs w:val="24"/>
              </w:rPr>
            </w:pPr>
            <w:r w:rsidRPr="004A221D">
              <w:rPr>
                <w:rFonts w:eastAsia="Times New Roman" w:cstheme="minorHAnsi"/>
                <w:snapToGrid w:val="0"/>
                <w:sz w:val="24"/>
                <w:szCs w:val="24"/>
              </w:rPr>
              <w:t xml:space="preserve">а) дадено предприятие притежава мнозинството от гласовете на акционерите или съдружниците в друго предприятие; </w:t>
            </w:r>
          </w:p>
          <w:p w14:paraId="65D0121B" w14:textId="77777777" w:rsidR="00301649" w:rsidRPr="004A221D" w:rsidRDefault="00301649" w:rsidP="001172F3">
            <w:pPr>
              <w:spacing w:before="60" w:after="60" w:line="240" w:lineRule="auto"/>
              <w:jc w:val="both"/>
              <w:rPr>
                <w:rFonts w:eastAsia="Times New Roman" w:cstheme="minorHAnsi"/>
                <w:snapToGrid w:val="0"/>
                <w:sz w:val="24"/>
                <w:szCs w:val="24"/>
              </w:rPr>
            </w:pPr>
            <w:r w:rsidRPr="004A221D">
              <w:rPr>
                <w:rFonts w:eastAsia="Times New Roman" w:cstheme="minorHAnsi"/>
                <w:snapToGrid w:val="0"/>
                <w:sz w:val="24"/>
                <w:szCs w:val="24"/>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14:paraId="7A53733E" w14:textId="77777777" w:rsidR="00301649" w:rsidRPr="004A221D" w:rsidRDefault="00301649" w:rsidP="001172F3">
            <w:pPr>
              <w:spacing w:before="60" w:after="60" w:line="240" w:lineRule="auto"/>
              <w:jc w:val="both"/>
              <w:rPr>
                <w:rFonts w:eastAsia="Times New Roman" w:cstheme="minorHAnsi"/>
                <w:snapToGrid w:val="0"/>
                <w:sz w:val="24"/>
                <w:szCs w:val="24"/>
              </w:rPr>
            </w:pPr>
            <w:r w:rsidRPr="004A221D">
              <w:rPr>
                <w:rFonts w:eastAsia="Times New Roman" w:cstheme="minorHAnsi"/>
                <w:snapToGrid w:val="0"/>
                <w:sz w:val="24"/>
                <w:szCs w:val="24"/>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14:paraId="6E78FEC4" w14:textId="77777777" w:rsidR="00301649" w:rsidRDefault="00301649" w:rsidP="001172F3">
            <w:pPr>
              <w:spacing w:before="60" w:after="60" w:line="240" w:lineRule="auto"/>
              <w:jc w:val="both"/>
              <w:rPr>
                <w:rFonts w:eastAsia="Times New Roman" w:cstheme="minorHAnsi"/>
                <w:snapToGrid w:val="0"/>
                <w:sz w:val="24"/>
                <w:szCs w:val="24"/>
              </w:rPr>
            </w:pPr>
            <w:r w:rsidRPr="004A221D">
              <w:rPr>
                <w:rFonts w:eastAsia="Times New Roman" w:cstheme="minorHAnsi"/>
                <w:snapToGrid w:val="0"/>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 </w:t>
            </w:r>
          </w:p>
          <w:p w14:paraId="32D29F1D" w14:textId="77777777" w:rsidR="00301649" w:rsidRPr="008E4D35" w:rsidRDefault="00301649" w:rsidP="001172F3">
            <w:pPr>
              <w:spacing w:before="60" w:after="60" w:line="240" w:lineRule="auto"/>
              <w:jc w:val="both"/>
              <w:rPr>
                <w:rFonts w:eastAsia="Times New Roman" w:cstheme="minorHAnsi"/>
                <w:snapToGrid w:val="0"/>
                <w:sz w:val="24"/>
                <w:szCs w:val="24"/>
              </w:rPr>
            </w:pPr>
            <w:r w:rsidRPr="004A221D">
              <w:rPr>
                <w:rFonts w:eastAsia="Times New Roman" w:cstheme="minorHAnsi"/>
                <w:snapToGrid w:val="0"/>
                <w:sz w:val="24"/>
                <w:szCs w:val="24"/>
              </w:rPr>
              <w:t>Предприятия, поддър</w:t>
            </w:r>
            <w:r>
              <w:rPr>
                <w:rFonts w:eastAsia="Times New Roman" w:cstheme="minorHAnsi"/>
                <w:snapToGrid w:val="0"/>
                <w:sz w:val="24"/>
                <w:szCs w:val="24"/>
              </w:rPr>
              <w:t>жащи едно от взаимоотношенията по букви а) - г)</w:t>
            </w:r>
            <w:r w:rsidRPr="004A221D">
              <w:rPr>
                <w:rFonts w:eastAsia="Times New Roman" w:cstheme="minorHAnsi"/>
                <w:snapToGrid w:val="0"/>
                <w:sz w:val="24"/>
                <w:szCs w:val="24"/>
              </w:rPr>
              <w:t xml:space="preserve"> посредством едно или</w:t>
            </w:r>
            <w:r>
              <w:rPr>
                <w:rFonts w:eastAsia="Times New Roman" w:cstheme="minorHAnsi"/>
                <w:snapToGrid w:val="0"/>
                <w:sz w:val="24"/>
                <w:szCs w:val="24"/>
              </w:rPr>
              <w:t xml:space="preserve"> </w:t>
            </w:r>
            <w:r w:rsidRPr="00D47C85">
              <w:rPr>
                <w:rFonts w:eastAsia="Times New Roman" w:cstheme="minorHAnsi"/>
                <w:snapToGrid w:val="0"/>
                <w:sz w:val="24"/>
                <w:szCs w:val="24"/>
              </w:rPr>
              <w:t>няколко други предприятия, също се разглеждат като едно и също предприятие.</w:t>
            </w:r>
          </w:p>
        </w:tc>
      </w:tr>
      <w:tr w:rsidR="00207A2E" w:rsidRPr="008E4D35" w14:paraId="565FD5D0" w14:textId="77777777" w:rsidTr="00305D58">
        <w:tc>
          <w:tcPr>
            <w:tcW w:w="2745" w:type="dxa"/>
            <w:shd w:val="clear" w:color="auto" w:fill="E6E6E6"/>
          </w:tcPr>
          <w:p w14:paraId="02D65497" w14:textId="77777777" w:rsidR="00207A2E" w:rsidRPr="00862EEE" w:rsidRDefault="00207A2E" w:rsidP="00021DCF">
            <w:pPr>
              <w:spacing w:before="100" w:beforeAutospacing="1" w:after="100" w:afterAutospacing="1" w:line="240" w:lineRule="auto"/>
              <w:rPr>
                <w:rFonts w:eastAsia="Times New Roman" w:cstheme="minorHAnsi"/>
                <w:b/>
                <w:snapToGrid w:val="0"/>
                <w:sz w:val="24"/>
                <w:szCs w:val="24"/>
              </w:rPr>
            </w:pPr>
            <w:r w:rsidRPr="00862EEE">
              <w:rPr>
                <w:rFonts w:eastAsia="Times New Roman" w:cstheme="minorHAnsi"/>
                <w:b/>
                <w:snapToGrid w:val="0"/>
                <w:sz w:val="24"/>
                <w:szCs w:val="24"/>
              </w:rPr>
              <w:t xml:space="preserve">Изпълнител, определен от страна на бенефициента </w:t>
            </w:r>
          </w:p>
        </w:tc>
        <w:tc>
          <w:tcPr>
            <w:tcW w:w="6543" w:type="dxa"/>
            <w:shd w:val="clear" w:color="auto" w:fill="F3F3F3"/>
          </w:tcPr>
          <w:p w14:paraId="7377CF7D" w14:textId="77777777" w:rsidR="00207A2E" w:rsidRPr="00862EEE" w:rsidRDefault="00207A2E" w:rsidP="008F2DBC">
            <w:pPr>
              <w:spacing w:before="100" w:beforeAutospacing="1" w:after="100" w:afterAutospacing="1" w:line="240" w:lineRule="auto"/>
              <w:jc w:val="both"/>
              <w:rPr>
                <w:rFonts w:eastAsia="Times New Roman" w:cstheme="minorHAnsi"/>
                <w:snapToGrid w:val="0"/>
                <w:sz w:val="24"/>
                <w:szCs w:val="24"/>
              </w:rPr>
            </w:pPr>
            <w:r w:rsidRPr="00862EEE">
              <w:rPr>
                <w:rFonts w:eastAsia="Times New Roman" w:cstheme="minorHAnsi"/>
                <w:snapToGrid w:val="0"/>
                <w:sz w:val="24"/>
                <w:szCs w:val="24"/>
              </w:rPr>
              <w:t>Изпълнители на дейности по проекта, възложени им от бенефициентите на безвъзмездна финансова помощ.</w:t>
            </w:r>
            <w:r w:rsidR="00045584" w:rsidRPr="00862EEE">
              <w:rPr>
                <w:rFonts w:eastAsia="Times New Roman" w:cstheme="minorHAnsi"/>
                <w:snapToGrid w:val="0"/>
                <w:sz w:val="24"/>
                <w:szCs w:val="24"/>
              </w:rPr>
              <w:t xml:space="preserve"> </w:t>
            </w:r>
            <w:r w:rsidR="00D31E18" w:rsidRPr="00862EEE">
              <w:rPr>
                <w:rFonts w:eastAsia="Times New Roman" w:cstheme="minorHAnsi"/>
                <w:snapToGrid w:val="0"/>
                <w:sz w:val="24"/>
                <w:szCs w:val="24"/>
              </w:rPr>
              <w:t>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ЕСИФ,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ОПИК 2014-2020.</w:t>
            </w:r>
          </w:p>
        </w:tc>
      </w:tr>
      <w:tr w:rsidR="00D559FA" w:rsidRPr="008E4D35" w14:paraId="32D03494" w14:textId="77777777" w:rsidTr="00305D58">
        <w:tc>
          <w:tcPr>
            <w:tcW w:w="2745" w:type="dxa"/>
            <w:shd w:val="clear" w:color="auto" w:fill="E6E6E6"/>
          </w:tcPr>
          <w:p w14:paraId="48376F6C" w14:textId="787DE828" w:rsidR="00D559FA" w:rsidRPr="00862EEE" w:rsidRDefault="00D559FA" w:rsidP="00021DCF">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Иновативен продукт/процес</w:t>
            </w:r>
          </w:p>
        </w:tc>
        <w:tc>
          <w:tcPr>
            <w:tcW w:w="6543" w:type="dxa"/>
            <w:shd w:val="clear" w:color="auto" w:fill="F3F3F3"/>
          </w:tcPr>
          <w:p w14:paraId="0D5C5327" w14:textId="77777777" w:rsidR="00D559FA" w:rsidRDefault="00D559FA" w:rsidP="007651D1">
            <w:pPr>
              <w:spacing w:after="120" w:line="240" w:lineRule="auto"/>
              <w:jc w:val="both"/>
              <w:rPr>
                <w:rFonts w:eastAsia="Times New Roman" w:cstheme="minorHAnsi"/>
                <w:snapToGrid w:val="0"/>
                <w:sz w:val="24"/>
                <w:szCs w:val="24"/>
              </w:rPr>
            </w:pPr>
            <w:r w:rsidRPr="00D559FA">
              <w:rPr>
                <w:rFonts w:eastAsia="Times New Roman" w:cstheme="minorHAnsi"/>
                <w:snapToGrid w:val="0"/>
                <w:sz w:val="24"/>
                <w:szCs w:val="24"/>
              </w:rPr>
              <w:t xml:space="preserve">На база на Наръчника от Осло (Oslo Manual 2018, 4th Edition © OECD/EUROPEAN COMMUNITIES 2018) и за целите на </w:t>
            </w:r>
            <w:r w:rsidRPr="00D559FA">
              <w:rPr>
                <w:rFonts w:eastAsia="Times New Roman" w:cstheme="minorHAnsi"/>
                <w:snapToGrid w:val="0"/>
                <w:sz w:val="24"/>
                <w:szCs w:val="24"/>
              </w:rPr>
              <w:lastRenderedPageBreak/>
              <w:t>настоящата процедура:</w:t>
            </w:r>
          </w:p>
          <w:p w14:paraId="75E5D7C5" w14:textId="2FF84FE8" w:rsidR="007651D1" w:rsidRPr="00107C51" w:rsidRDefault="007651D1" w:rsidP="007651D1">
            <w:pPr>
              <w:spacing w:after="120" w:line="240" w:lineRule="auto"/>
              <w:jc w:val="both"/>
              <w:rPr>
                <w:rFonts w:eastAsia="Times New Roman" w:cstheme="minorHAnsi"/>
                <w:snapToGrid w:val="0"/>
                <w:sz w:val="24"/>
                <w:szCs w:val="24"/>
              </w:rPr>
            </w:pPr>
            <w:r w:rsidRPr="00107C51">
              <w:rPr>
                <w:rFonts w:eastAsia="Times New Roman" w:cstheme="minorHAnsi"/>
                <w:snapToGrid w:val="0"/>
                <w:sz w:val="24"/>
                <w:szCs w:val="24"/>
              </w:rPr>
              <w:t xml:space="preserve">- продуктова иновация е нова или подобрена стока или услуга, която значително се различава от предишните стоки или услуги на предприятието (РИЦ) и е въведена на пазара; </w:t>
            </w:r>
          </w:p>
          <w:p w14:paraId="33B6541C" w14:textId="77777777" w:rsidR="00D559FA" w:rsidRDefault="007651D1" w:rsidP="007651D1">
            <w:pPr>
              <w:spacing w:after="120" w:line="240" w:lineRule="auto"/>
              <w:jc w:val="both"/>
              <w:rPr>
                <w:rFonts w:eastAsia="Times New Roman" w:cstheme="minorHAnsi"/>
                <w:snapToGrid w:val="0"/>
                <w:sz w:val="24"/>
                <w:szCs w:val="24"/>
              </w:rPr>
            </w:pPr>
            <w:r w:rsidRPr="00107C51">
              <w:rPr>
                <w:rFonts w:eastAsia="Times New Roman" w:cstheme="minorHAnsi"/>
                <w:snapToGrid w:val="0"/>
                <w:sz w:val="24"/>
                <w:szCs w:val="24"/>
              </w:rPr>
              <w:t xml:space="preserve">- иновация в бизнес процесите е нов или подобрен бизнес процес или една или повече от една функции, които значително се различават от предишните бизнес процеси на предприятието </w:t>
            </w:r>
            <w:r w:rsidR="00107C51" w:rsidRPr="00107C51">
              <w:rPr>
                <w:rFonts w:eastAsia="Times New Roman" w:cstheme="minorHAnsi"/>
                <w:snapToGrid w:val="0"/>
                <w:sz w:val="24"/>
                <w:szCs w:val="24"/>
              </w:rPr>
              <w:t>(РИЦ</w:t>
            </w:r>
            <w:r w:rsidR="00107C51">
              <w:rPr>
                <w:rFonts w:eastAsia="Times New Roman" w:cstheme="minorHAnsi"/>
                <w:snapToGrid w:val="0"/>
                <w:sz w:val="24"/>
                <w:szCs w:val="24"/>
              </w:rPr>
              <w:t xml:space="preserve">) </w:t>
            </w:r>
            <w:r w:rsidRPr="007651D1">
              <w:rPr>
                <w:rFonts w:eastAsia="Times New Roman" w:cstheme="minorHAnsi"/>
                <w:snapToGrid w:val="0"/>
                <w:sz w:val="24"/>
                <w:szCs w:val="24"/>
              </w:rPr>
              <w:t xml:space="preserve">и са въведени в употреба от предприятието. </w:t>
            </w:r>
          </w:p>
          <w:p w14:paraId="2BC0F0F9" w14:textId="467F52BF" w:rsidR="00886E64" w:rsidRPr="00886E64" w:rsidRDefault="00886E64" w:rsidP="00886E64">
            <w:pPr>
              <w:spacing w:after="120" w:line="240" w:lineRule="auto"/>
              <w:jc w:val="both"/>
              <w:rPr>
                <w:rFonts w:eastAsia="Times New Roman" w:cstheme="minorHAnsi"/>
                <w:snapToGrid w:val="0"/>
                <w:sz w:val="24"/>
                <w:szCs w:val="24"/>
              </w:rPr>
            </w:pPr>
            <w:r w:rsidRPr="00886E64">
              <w:rPr>
                <w:rFonts w:eastAsia="Times New Roman" w:cstheme="minorHAnsi"/>
                <w:snapToGrid w:val="0"/>
                <w:sz w:val="24"/>
                <w:szCs w:val="24"/>
              </w:rPr>
              <w:t xml:space="preserve">Съгласно </w:t>
            </w:r>
            <w:r>
              <w:rPr>
                <w:rFonts w:eastAsia="Times New Roman" w:cstheme="minorHAnsi"/>
                <w:snapToGrid w:val="0"/>
                <w:sz w:val="24"/>
                <w:szCs w:val="24"/>
              </w:rPr>
              <w:t xml:space="preserve">Наръчника от Осло </w:t>
            </w:r>
            <w:r w:rsidRPr="00886E64">
              <w:rPr>
                <w:rFonts w:eastAsia="Times New Roman" w:cstheme="minorHAnsi"/>
                <w:snapToGrid w:val="0"/>
                <w:sz w:val="24"/>
                <w:szCs w:val="24"/>
              </w:rPr>
              <w:t>могат да се разграничат шест типа бизнес процеси:</w:t>
            </w:r>
          </w:p>
          <w:p w14:paraId="23E942EC" w14:textId="77777777" w:rsidR="00886E64" w:rsidRPr="00886E64" w:rsidRDefault="00886E64" w:rsidP="00886E64">
            <w:pPr>
              <w:spacing w:after="120" w:line="240" w:lineRule="auto"/>
              <w:jc w:val="both"/>
              <w:rPr>
                <w:rFonts w:eastAsia="Times New Roman" w:cstheme="minorHAnsi"/>
                <w:snapToGrid w:val="0"/>
                <w:sz w:val="24"/>
                <w:szCs w:val="24"/>
              </w:rPr>
            </w:pPr>
            <w:r w:rsidRPr="00886E64">
              <w:rPr>
                <w:rFonts w:eastAsia="Times New Roman" w:cstheme="minorHAnsi"/>
                <w:snapToGrid w:val="0"/>
                <w:sz w:val="24"/>
                <w:szCs w:val="24"/>
              </w:rPr>
              <w:t>1. Производство на стоки и предоставяне на услуги.</w:t>
            </w:r>
          </w:p>
          <w:p w14:paraId="46B90FA1" w14:textId="77777777" w:rsidR="00886E64" w:rsidRPr="00886E64" w:rsidRDefault="00886E64" w:rsidP="00886E64">
            <w:pPr>
              <w:spacing w:after="120" w:line="240" w:lineRule="auto"/>
              <w:jc w:val="both"/>
              <w:rPr>
                <w:rFonts w:eastAsia="Times New Roman" w:cstheme="minorHAnsi"/>
                <w:snapToGrid w:val="0"/>
                <w:sz w:val="24"/>
                <w:szCs w:val="24"/>
              </w:rPr>
            </w:pPr>
            <w:r w:rsidRPr="00886E64">
              <w:rPr>
                <w:rFonts w:eastAsia="Times New Roman" w:cstheme="minorHAnsi"/>
                <w:snapToGrid w:val="0"/>
                <w:sz w:val="24"/>
                <w:szCs w:val="24"/>
              </w:rPr>
              <w:t>2. Разпространение и логистика.</w:t>
            </w:r>
          </w:p>
          <w:p w14:paraId="449980A9" w14:textId="77777777" w:rsidR="00886E64" w:rsidRPr="00886E64" w:rsidRDefault="00886E64" w:rsidP="00886E64">
            <w:pPr>
              <w:spacing w:after="120" w:line="240" w:lineRule="auto"/>
              <w:jc w:val="both"/>
              <w:rPr>
                <w:rFonts w:eastAsia="Times New Roman" w:cstheme="minorHAnsi"/>
                <w:snapToGrid w:val="0"/>
                <w:sz w:val="24"/>
                <w:szCs w:val="24"/>
              </w:rPr>
            </w:pPr>
            <w:r w:rsidRPr="00886E64">
              <w:rPr>
                <w:rFonts w:eastAsia="Times New Roman" w:cstheme="minorHAnsi"/>
                <w:snapToGrid w:val="0"/>
                <w:sz w:val="24"/>
                <w:szCs w:val="24"/>
              </w:rPr>
              <w:t>3. Маркетинг и продажби.</w:t>
            </w:r>
          </w:p>
          <w:p w14:paraId="4FE99FD2" w14:textId="77777777" w:rsidR="00886E64" w:rsidRPr="00886E64" w:rsidRDefault="00886E64" w:rsidP="00886E64">
            <w:pPr>
              <w:spacing w:after="120" w:line="240" w:lineRule="auto"/>
              <w:jc w:val="both"/>
              <w:rPr>
                <w:rFonts w:eastAsia="Times New Roman" w:cstheme="minorHAnsi"/>
                <w:snapToGrid w:val="0"/>
                <w:sz w:val="24"/>
                <w:szCs w:val="24"/>
              </w:rPr>
            </w:pPr>
            <w:r w:rsidRPr="00886E64">
              <w:rPr>
                <w:rFonts w:eastAsia="Times New Roman" w:cstheme="minorHAnsi"/>
                <w:snapToGrid w:val="0"/>
                <w:sz w:val="24"/>
                <w:szCs w:val="24"/>
              </w:rPr>
              <w:t>4. Информационни и комуникационни системи.</w:t>
            </w:r>
          </w:p>
          <w:p w14:paraId="50A51F9E" w14:textId="77777777" w:rsidR="00886E64" w:rsidRPr="00886E64" w:rsidRDefault="00886E64" w:rsidP="00886E64">
            <w:pPr>
              <w:spacing w:after="120" w:line="240" w:lineRule="auto"/>
              <w:jc w:val="both"/>
              <w:rPr>
                <w:rFonts w:eastAsia="Times New Roman" w:cstheme="minorHAnsi"/>
                <w:snapToGrid w:val="0"/>
                <w:sz w:val="24"/>
                <w:szCs w:val="24"/>
              </w:rPr>
            </w:pPr>
            <w:r w:rsidRPr="00886E64">
              <w:rPr>
                <w:rFonts w:eastAsia="Times New Roman" w:cstheme="minorHAnsi"/>
                <w:snapToGrid w:val="0"/>
                <w:sz w:val="24"/>
                <w:szCs w:val="24"/>
              </w:rPr>
              <w:t>5. Администрация и управление.</w:t>
            </w:r>
          </w:p>
          <w:p w14:paraId="11BA4AB1" w14:textId="49A41059" w:rsidR="00886E64" w:rsidRPr="00862EEE" w:rsidRDefault="00886E64" w:rsidP="007651D1">
            <w:pPr>
              <w:spacing w:after="120" w:line="240" w:lineRule="auto"/>
              <w:jc w:val="both"/>
              <w:rPr>
                <w:rFonts w:eastAsia="Times New Roman" w:cstheme="minorHAnsi"/>
                <w:snapToGrid w:val="0"/>
                <w:sz w:val="24"/>
                <w:szCs w:val="24"/>
              </w:rPr>
            </w:pPr>
            <w:r w:rsidRPr="00886E64">
              <w:rPr>
                <w:rFonts w:eastAsia="Times New Roman" w:cstheme="minorHAnsi"/>
                <w:snapToGrid w:val="0"/>
                <w:sz w:val="24"/>
                <w:szCs w:val="24"/>
              </w:rPr>
              <w:t>6. Разработване на продукти и бизнес процеси.</w:t>
            </w:r>
          </w:p>
        </w:tc>
      </w:tr>
      <w:tr w:rsidR="00502F9C" w:rsidRPr="008E4D35" w14:paraId="68EA3FDF" w14:textId="77777777" w:rsidTr="00305D58">
        <w:tc>
          <w:tcPr>
            <w:tcW w:w="2745" w:type="dxa"/>
            <w:shd w:val="clear" w:color="auto" w:fill="E6E6E6"/>
          </w:tcPr>
          <w:p w14:paraId="359A7098" w14:textId="77777777" w:rsidR="00502F9C" w:rsidRPr="008E4D35" w:rsidRDefault="00502F9C"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lastRenderedPageBreak/>
              <w:t>Кандидати</w:t>
            </w:r>
          </w:p>
        </w:tc>
        <w:tc>
          <w:tcPr>
            <w:tcW w:w="6543" w:type="dxa"/>
            <w:shd w:val="clear" w:color="auto" w:fill="F3F3F3"/>
          </w:tcPr>
          <w:p w14:paraId="00DE3D81" w14:textId="77777777" w:rsidR="00502F9C" w:rsidRPr="008E4D35" w:rsidRDefault="00502F9C" w:rsidP="00F14642">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380C77" w:rsidRPr="008E4D35" w14:paraId="64D5DF3C" w14:textId="77777777" w:rsidTr="00305D58">
        <w:tc>
          <w:tcPr>
            <w:tcW w:w="2745" w:type="dxa"/>
            <w:shd w:val="clear" w:color="auto" w:fill="E6E6E6"/>
          </w:tcPr>
          <w:p w14:paraId="6DB91694" w14:textId="77777777" w:rsidR="00380C77" w:rsidRPr="008E4D35" w:rsidRDefault="00380C77"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Коригиран размер на помощта</w:t>
            </w:r>
          </w:p>
        </w:tc>
        <w:tc>
          <w:tcPr>
            <w:tcW w:w="6543" w:type="dxa"/>
            <w:shd w:val="clear" w:color="auto" w:fill="F3F3F3"/>
          </w:tcPr>
          <w:p w14:paraId="70A4296B" w14:textId="77777777" w:rsidR="00380C77" w:rsidRPr="008E4D35" w:rsidRDefault="00666644" w:rsidP="00666644">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Съгласно чл. 2, пар. 20 от Регламент (ЕО) № 651/2014, к</w:t>
            </w:r>
            <w:r w:rsidR="00380C77" w:rsidRPr="00380C77">
              <w:rPr>
                <w:rFonts w:eastAsia="Times New Roman" w:cstheme="minorHAnsi"/>
                <w:snapToGrid w:val="0"/>
                <w:sz w:val="24"/>
                <w:szCs w:val="24"/>
              </w:rPr>
              <w:t>оригираният размер на помощта се изчислява както следва: максимален размер на помощта = R × (A + 0,50 × B + 0 × С), където: R е максималният интензитет на помощта (25% за проекти изпълнявани в ЮЗР и 50% за проекти изпълнявани извън ЮЗР); А са първоначалните допустими разходи от 50 млн. евро, B е частта от допустимите разходи между 50 и 100 млн. евро; C е частта от допустимите разходи над 100 млн. евро.</w:t>
            </w:r>
          </w:p>
        </w:tc>
      </w:tr>
      <w:tr w:rsidR="00502F9C" w:rsidRPr="008E4D35" w14:paraId="6F431BB6" w14:textId="77777777" w:rsidTr="00305D58">
        <w:tc>
          <w:tcPr>
            <w:tcW w:w="2745" w:type="dxa"/>
            <w:shd w:val="clear" w:color="auto" w:fill="E6E6E6"/>
          </w:tcPr>
          <w:p w14:paraId="7BE1FA41" w14:textId="77777777" w:rsidR="00502F9C" w:rsidRPr="008E4D35" w:rsidRDefault="00502F9C"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Материални активи</w:t>
            </w:r>
          </w:p>
        </w:tc>
        <w:tc>
          <w:tcPr>
            <w:tcW w:w="6543" w:type="dxa"/>
            <w:shd w:val="clear" w:color="auto" w:fill="F3F3F3"/>
          </w:tcPr>
          <w:p w14:paraId="274A7A50" w14:textId="77777777" w:rsidR="00311D57" w:rsidRPr="008E4D35" w:rsidRDefault="00502F9C" w:rsidP="00311D57">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П</w:t>
            </w:r>
            <w:r w:rsidR="00D73B92">
              <w:rPr>
                <w:rFonts w:eastAsia="Times New Roman" w:cstheme="minorHAnsi"/>
                <w:snapToGrid w:val="0"/>
                <w:sz w:val="24"/>
                <w:szCs w:val="24"/>
              </w:rPr>
              <w:t xml:space="preserve">о смисъла на </w:t>
            </w:r>
            <w:r w:rsidR="00884591">
              <w:rPr>
                <w:rFonts w:eastAsia="Times New Roman" w:cstheme="minorHAnsi"/>
                <w:snapToGrid w:val="0"/>
                <w:sz w:val="24"/>
                <w:szCs w:val="24"/>
              </w:rPr>
              <w:t xml:space="preserve">чл. 2, пар. 29 от </w:t>
            </w:r>
            <w:r w:rsidR="00D73B92">
              <w:rPr>
                <w:rFonts w:eastAsia="Times New Roman" w:cstheme="minorHAnsi"/>
                <w:snapToGrid w:val="0"/>
                <w:sz w:val="24"/>
                <w:szCs w:val="24"/>
              </w:rPr>
              <w:t>Регламент (ЕО) № 651/20</w:t>
            </w:r>
            <w:r w:rsidR="0062729B">
              <w:rPr>
                <w:rFonts w:eastAsia="Times New Roman" w:cstheme="minorHAnsi"/>
                <w:snapToGrid w:val="0"/>
                <w:sz w:val="24"/>
                <w:szCs w:val="24"/>
              </w:rPr>
              <w:t>14</w:t>
            </w:r>
            <w:r w:rsidR="00311D57">
              <w:rPr>
                <w:rFonts w:eastAsia="Times New Roman" w:cstheme="minorHAnsi"/>
                <w:snapToGrid w:val="0"/>
                <w:sz w:val="24"/>
                <w:szCs w:val="24"/>
              </w:rPr>
              <w:t xml:space="preserve"> </w:t>
            </w:r>
            <w:r w:rsidR="00311D57" w:rsidRPr="00311D57">
              <w:rPr>
                <w:rFonts w:eastAsia="Times New Roman" w:cstheme="minorHAnsi"/>
                <w:snapToGrid w:val="0"/>
                <w:sz w:val="24"/>
                <w:szCs w:val="24"/>
              </w:rPr>
              <w:t xml:space="preserve">„материални активи" означава активи, състоящи се от земя, сгради, </w:t>
            </w:r>
            <w:r w:rsidR="00311D57">
              <w:rPr>
                <w:rFonts w:eastAsia="Times New Roman" w:cstheme="minorHAnsi"/>
                <w:snapToGrid w:val="0"/>
                <w:sz w:val="24"/>
                <w:szCs w:val="24"/>
              </w:rPr>
              <w:t>съоръжения, машини и оборудване.</w:t>
            </w:r>
          </w:p>
        </w:tc>
      </w:tr>
      <w:tr w:rsidR="00E80306" w:rsidRPr="008E4D35" w14:paraId="40651C3E" w14:textId="77777777" w:rsidTr="00305D58">
        <w:tc>
          <w:tcPr>
            <w:tcW w:w="2745" w:type="dxa"/>
            <w:shd w:val="clear" w:color="auto" w:fill="E6E6E6"/>
          </w:tcPr>
          <w:p w14:paraId="7C8B0E59" w14:textId="77777777" w:rsidR="00E80306" w:rsidRDefault="00E80306"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 xml:space="preserve">Място на изпълнение на проекта </w:t>
            </w:r>
          </w:p>
        </w:tc>
        <w:tc>
          <w:tcPr>
            <w:tcW w:w="6543" w:type="dxa"/>
            <w:shd w:val="clear" w:color="auto" w:fill="F3F3F3"/>
          </w:tcPr>
          <w:p w14:paraId="7DB268A2" w14:textId="77777777" w:rsidR="00E80306" w:rsidRDefault="00E80306" w:rsidP="00F14642">
            <w:pPr>
              <w:spacing w:line="240" w:lineRule="auto"/>
              <w:jc w:val="both"/>
              <w:rPr>
                <w:rFonts w:eastAsia="Times New Roman" w:cstheme="minorHAnsi"/>
                <w:snapToGrid w:val="0"/>
                <w:sz w:val="24"/>
                <w:szCs w:val="24"/>
              </w:rPr>
            </w:pPr>
            <w:r>
              <w:rPr>
                <w:rFonts w:eastAsia="Times New Roman" w:cstheme="minorHAnsi"/>
                <w:snapToGrid w:val="0"/>
                <w:sz w:val="24"/>
                <w:szCs w:val="24"/>
              </w:rPr>
              <w:t>Мястото на физическото осъществяване на инвестицията.</w:t>
            </w:r>
          </w:p>
        </w:tc>
      </w:tr>
      <w:tr w:rsidR="00C433C3" w:rsidRPr="008E4D35" w14:paraId="4F310474" w14:textId="77777777" w:rsidTr="00305D58">
        <w:tc>
          <w:tcPr>
            <w:tcW w:w="2745" w:type="dxa"/>
            <w:shd w:val="clear" w:color="auto" w:fill="E6E6E6"/>
          </w:tcPr>
          <w:p w14:paraId="01F94713" w14:textId="77777777" w:rsidR="00C433C3" w:rsidRPr="008E4D35" w:rsidRDefault="00C433C3"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Н</w:t>
            </w:r>
            <w:r w:rsidRPr="00C433C3">
              <w:rPr>
                <w:rFonts w:eastAsia="Times New Roman" w:cstheme="minorHAnsi"/>
                <w:b/>
                <w:snapToGrid w:val="0"/>
                <w:sz w:val="24"/>
                <w:szCs w:val="24"/>
              </w:rPr>
              <w:t>аучноизследователска инфраструктура</w:t>
            </w:r>
          </w:p>
        </w:tc>
        <w:tc>
          <w:tcPr>
            <w:tcW w:w="6543" w:type="dxa"/>
            <w:shd w:val="clear" w:color="auto" w:fill="F3F3F3"/>
          </w:tcPr>
          <w:p w14:paraId="5328617E" w14:textId="77777777" w:rsidR="00C433C3" w:rsidRPr="008E4D35" w:rsidRDefault="00C70CE5" w:rsidP="00574708">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w:t>
            </w:r>
            <w:r w:rsidRPr="00C70CE5">
              <w:rPr>
                <w:rFonts w:eastAsia="Times New Roman" w:cstheme="minorHAnsi"/>
                <w:snapToGrid w:val="0"/>
                <w:sz w:val="24"/>
                <w:szCs w:val="24"/>
              </w:rPr>
              <w:t xml:space="preserve">ъоръжения, ресурси и свързани с тях услуги, използвани от научната общност за провеждане на научни изследвания в съответните области, и обхваща научно оборудване или набори от инструменти, ресурси, основани на знанието, като колекции, архиви или структурирана научна информация, </w:t>
            </w:r>
            <w:r w:rsidRPr="00C70CE5">
              <w:rPr>
                <w:rFonts w:eastAsia="Times New Roman" w:cstheme="minorHAnsi"/>
                <w:snapToGrid w:val="0"/>
                <w:sz w:val="24"/>
                <w:szCs w:val="24"/>
              </w:rPr>
              <w:lastRenderedPageBreak/>
              <w:t>помощни инфраструктури, основаващи се на информационни и телекомуникационни технологии от типа GRID, компютърна техника, софтуер и средства за комуникация, както и всички други средства с уникален характер, позволяващ прове</w:t>
            </w:r>
            <w:r w:rsidR="00C22BC2">
              <w:rPr>
                <w:rFonts w:eastAsia="Times New Roman" w:cstheme="minorHAnsi"/>
                <w:snapToGrid w:val="0"/>
                <w:sz w:val="24"/>
                <w:szCs w:val="24"/>
              </w:rPr>
              <w:t>ждането на научни изследвания.</w:t>
            </w:r>
            <w:r w:rsidR="00574708" w:rsidRPr="00574708">
              <w:rPr>
                <w:rFonts w:ascii="EUAlbertina-Regu" w:hAnsi="EUAlbertina-Regu" w:cs="EUAlbertina-Regu"/>
                <w:sz w:val="19"/>
                <w:szCs w:val="19"/>
              </w:rPr>
              <w:t xml:space="preserve"> </w:t>
            </w:r>
            <w:r w:rsidR="00574708" w:rsidRPr="00574708">
              <w:rPr>
                <w:rFonts w:eastAsia="Times New Roman" w:cstheme="minorHAnsi"/>
                <w:snapToGrid w:val="0"/>
                <w:sz w:val="24"/>
                <w:szCs w:val="24"/>
              </w:rPr>
              <w:t>Тези инфраструктури</w:t>
            </w:r>
            <w:r w:rsidR="00574708">
              <w:rPr>
                <w:rFonts w:eastAsia="Times New Roman" w:cstheme="minorHAnsi"/>
                <w:snapToGrid w:val="0"/>
                <w:sz w:val="24"/>
                <w:szCs w:val="24"/>
              </w:rPr>
              <w:t xml:space="preserve"> могат да бъдат съсредоточени в </w:t>
            </w:r>
            <w:r w:rsidR="00574708" w:rsidRPr="00574708">
              <w:rPr>
                <w:rFonts w:eastAsia="Times New Roman" w:cstheme="minorHAnsi"/>
                <w:snapToGrid w:val="0"/>
                <w:sz w:val="24"/>
                <w:szCs w:val="24"/>
              </w:rPr>
              <w:t>един обект или „разпръснати“</w:t>
            </w:r>
            <w:r w:rsidR="00574708">
              <w:rPr>
                <w:rFonts w:eastAsia="Times New Roman" w:cstheme="minorHAnsi"/>
                <w:snapToGrid w:val="0"/>
                <w:sz w:val="24"/>
                <w:szCs w:val="24"/>
              </w:rPr>
              <w:t xml:space="preserve"> в организирана мрежа от ресурси.</w:t>
            </w:r>
            <w:r w:rsidR="00574708" w:rsidRPr="00574708">
              <w:rPr>
                <w:rFonts w:eastAsia="Times New Roman" w:cstheme="minorHAnsi"/>
                <w:snapToGrid w:val="0"/>
                <w:sz w:val="24"/>
                <w:szCs w:val="24"/>
              </w:rPr>
              <w:t xml:space="preserve"> </w:t>
            </w:r>
            <w:r w:rsidRPr="00C70CE5">
              <w:rPr>
                <w:rFonts w:eastAsia="Times New Roman" w:cstheme="minorHAnsi"/>
                <w:snapToGrid w:val="0"/>
                <w:sz w:val="24"/>
                <w:szCs w:val="24"/>
                <w:lang w:val="en-US"/>
              </w:rPr>
              <w:t>(</w:t>
            </w:r>
            <w:r w:rsidRPr="00C70CE5">
              <w:rPr>
                <w:rFonts w:eastAsia="Times New Roman" w:cstheme="minorHAnsi"/>
                <w:snapToGrid w:val="0"/>
                <w:sz w:val="24"/>
                <w:szCs w:val="24"/>
              </w:rPr>
              <w:t>в съответствие с Регламент (ЕС) № 651/2014 на ЕК от 17 юни 2014</w:t>
            </w:r>
            <w:r w:rsidRPr="00C70CE5">
              <w:rPr>
                <w:rFonts w:eastAsia="Times New Roman" w:cstheme="minorHAnsi"/>
                <w:snapToGrid w:val="0"/>
                <w:sz w:val="24"/>
                <w:szCs w:val="24"/>
                <w:lang w:val="en-US"/>
              </w:rPr>
              <w:t>)</w:t>
            </w:r>
          </w:p>
        </w:tc>
      </w:tr>
      <w:tr w:rsidR="00245BAA" w:rsidRPr="008E4D35" w14:paraId="314E3B23" w14:textId="77777777" w:rsidTr="00305D58">
        <w:tc>
          <w:tcPr>
            <w:tcW w:w="2745" w:type="dxa"/>
            <w:shd w:val="clear" w:color="auto" w:fill="E6E6E6"/>
          </w:tcPr>
          <w:p w14:paraId="2684B347" w14:textId="77777777" w:rsidR="00245BAA" w:rsidRDefault="00245BAA" w:rsidP="00F14642">
            <w:pPr>
              <w:spacing w:before="100" w:beforeAutospacing="1" w:after="100" w:afterAutospacing="1" w:line="240" w:lineRule="auto"/>
              <w:rPr>
                <w:rFonts w:eastAsia="Times New Roman" w:cstheme="minorHAnsi"/>
                <w:b/>
                <w:snapToGrid w:val="0"/>
                <w:sz w:val="24"/>
                <w:szCs w:val="24"/>
              </w:rPr>
            </w:pPr>
            <w:r w:rsidRPr="00245BAA">
              <w:rPr>
                <w:rFonts w:eastAsia="Times New Roman" w:cstheme="minorHAnsi"/>
                <w:b/>
                <w:snapToGrid w:val="0"/>
                <w:sz w:val="24"/>
                <w:szCs w:val="24"/>
              </w:rPr>
              <w:lastRenderedPageBreak/>
              <w:t>Научноизследователска инфраструктура</w:t>
            </w:r>
            <w:r>
              <w:rPr>
                <w:rFonts w:eastAsia="Times New Roman" w:cstheme="minorHAnsi"/>
                <w:b/>
                <w:snapToGrid w:val="0"/>
                <w:sz w:val="24"/>
                <w:szCs w:val="24"/>
              </w:rPr>
              <w:t xml:space="preserve"> от отворен тип</w:t>
            </w:r>
          </w:p>
        </w:tc>
        <w:tc>
          <w:tcPr>
            <w:tcW w:w="6543" w:type="dxa"/>
            <w:shd w:val="clear" w:color="auto" w:fill="F3F3F3"/>
          </w:tcPr>
          <w:p w14:paraId="4BDE7C2A" w14:textId="77777777" w:rsidR="00245BAA" w:rsidRPr="00B70A87" w:rsidRDefault="00B70A87" w:rsidP="00574708">
            <w:pPr>
              <w:spacing w:before="100" w:beforeAutospacing="1" w:after="100" w:afterAutospacing="1" w:line="240" w:lineRule="auto"/>
              <w:jc w:val="both"/>
              <w:rPr>
                <w:rFonts w:eastAsia="Times New Roman" w:cstheme="minorHAnsi"/>
                <w:snapToGrid w:val="0"/>
                <w:sz w:val="24"/>
                <w:szCs w:val="24"/>
              </w:rPr>
            </w:pPr>
            <w:r w:rsidRPr="00B70A87">
              <w:rPr>
                <w:rFonts w:eastAsia="Times New Roman" w:cstheme="minorHAnsi"/>
                <w:snapToGrid w:val="0"/>
                <w:sz w:val="24"/>
                <w:szCs w:val="24"/>
              </w:rPr>
              <w:t>Съгласно чл. 26 от Регламент (ЕС) № 651/2014 научноизследователска инфраструктура от отворен тип означава, че достъпът до инфраструктурата е свободен</w:t>
            </w:r>
            <w:r w:rsidRPr="00B70A87">
              <w:rPr>
                <w:rFonts w:eastAsia="Times New Roman" w:cstheme="minorHAnsi"/>
                <w:snapToGrid w:val="0"/>
                <w:sz w:val="24"/>
                <w:szCs w:val="24"/>
                <w:lang w:val="en-US"/>
              </w:rPr>
              <w:t xml:space="preserve"> </w:t>
            </w:r>
            <w:r w:rsidRPr="00B70A87">
              <w:rPr>
                <w:rFonts w:eastAsia="Times New Roman" w:cstheme="minorHAnsi"/>
                <w:snapToGrid w:val="0"/>
                <w:sz w:val="24"/>
                <w:szCs w:val="24"/>
              </w:rPr>
              <w:t>(„отворен“) за няколко ползватели и се предоставя на прозрачна и недискриминационна основа.</w:t>
            </w:r>
          </w:p>
        </w:tc>
      </w:tr>
      <w:tr w:rsidR="00502F9C" w:rsidRPr="008E4D35" w14:paraId="409CB442" w14:textId="77777777" w:rsidTr="00305D58">
        <w:tc>
          <w:tcPr>
            <w:tcW w:w="2745" w:type="dxa"/>
            <w:shd w:val="clear" w:color="auto" w:fill="E6E6E6"/>
          </w:tcPr>
          <w:p w14:paraId="213F8C6D" w14:textId="77777777" w:rsidR="00502F9C" w:rsidRPr="008E4D35" w:rsidRDefault="00502F9C"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Нематериални активи</w:t>
            </w:r>
          </w:p>
        </w:tc>
        <w:tc>
          <w:tcPr>
            <w:tcW w:w="6543" w:type="dxa"/>
            <w:shd w:val="clear" w:color="auto" w:fill="F3F3F3"/>
          </w:tcPr>
          <w:p w14:paraId="1DFAFBDB" w14:textId="77777777" w:rsidR="00311D57" w:rsidRPr="007F75CF" w:rsidRDefault="00502F9C" w:rsidP="007F75CF">
            <w:pPr>
              <w:spacing w:before="100" w:beforeAutospacing="1" w:after="100" w:afterAutospacing="1" w:line="240" w:lineRule="auto"/>
              <w:jc w:val="both"/>
              <w:rPr>
                <w:rFonts w:eastAsia="Times New Roman" w:cstheme="minorHAnsi"/>
                <w:snapToGrid w:val="0"/>
                <w:sz w:val="24"/>
                <w:szCs w:val="24"/>
                <w:lang w:val="bg"/>
              </w:rPr>
            </w:pPr>
            <w:r w:rsidRPr="008E4D35">
              <w:rPr>
                <w:rFonts w:eastAsia="Times New Roman" w:cstheme="minorHAnsi"/>
                <w:snapToGrid w:val="0"/>
                <w:sz w:val="24"/>
                <w:szCs w:val="24"/>
              </w:rPr>
              <w:t xml:space="preserve">По смисъла на </w:t>
            </w:r>
            <w:r w:rsidR="00884591">
              <w:rPr>
                <w:rFonts w:eastAsia="Times New Roman" w:cstheme="minorHAnsi"/>
                <w:snapToGrid w:val="0"/>
                <w:sz w:val="24"/>
                <w:szCs w:val="24"/>
              </w:rPr>
              <w:t xml:space="preserve">чл. 2, пар. 30 от </w:t>
            </w:r>
            <w:r w:rsidRPr="008E4D35">
              <w:rPr>
                <w:rFonts w:eastAsia="Times New Roman" w:cstheme="minorHAnsi"/>
                <w:snapToGrid w:val="0"/>
                <w:sz w:val="24"/>
                <w:szCs w:val="24"/>
              </w:rPr>
              <w:t>Регламент (ЕО) №</w:t>
            </w:r>
            <w:r w:rsidR="00D73B92">
              <w:rPr>
                <w:rFonts w:eastAsia="Times New Roman" w:cstheme="minorHAnsi"/>
                <w:snapToGrid w:val="0"/>
                <w:sz w:val="24"/>
                <w:szCs w:val="24"/>
              </w:rPr>
              <w:t xml:space="preserve"> </w:t>
            </w:r>
            <w:r w:rsidR="00D772ED">
              <w:rPr>
                <w:rFonts w:eastAsia="Times New Roman" w:cstheme="minorHAnsi"/>
                <w:snapToGrid w:val="0"/>
                <w:sz w:val="24"/>
                <w:szCs w:val="24"/>
              </w:rPr>
              <w:t>651</w:t>
            </w:r>
            <w:r w:rsidR="00831362">
              <w:rPr>
                <w:rFonts w:eastAsia="Times New Roman" w:cstheme="minorHAnsi"/>
                <w:snapToGrid w:val="0"/>
                <w:sz w:val="24"/>
                <w:szCs w:val="24"/>
              </w:rPr>
              <w:t>/2014</w:t>
            </w:r>
            <w:r w:rsidRPr="008E4D35">
              <w:rPr>
                <w:rFonts w:eastAsia="Times New Roman" w:cstheme="minorHAnsi"/>
                <w:snapToGrid w:val="0"/>
                <w:sz w:val="24"/>
                <w:szCs w:val="24"/>
              </w:rPr>
              <w:t xml:space="preserve"> „Нематериални активи“ </w:t>
            </w:r>
            <w:r w:rsidR="00831362" w:rsidRPr="00831362">
              <w:rPr>
                <w:rFonts w:eastAsia="Times New Roman" w:cstheme="minorHAnsi"/>
                <w:snapToGrid w:val="0"/>
                <w:sz w:val="24"/>
                <w:szCs w:val="24"/>
                <w:lang w:val="bg"/>
              </w:rPr>
              <w:t>означава активи, които нямат физически или финансов израз, като патенти, лицензи, ноу- хау или друга интелектуална собственост</w:t>
            </w:r>
            <w:r w:rsidR="00311D57">
              <w:rPr>
                <w:rFonts w:eastAsia="Times New Roman" w:cstheme="minorHAnsi"/>
                <w:snapToGrid w:val="0"/>
                <w:sz w:val="24"/>
                <w:szCs w:val="24"/>
                <w:lang w:val="bg"/>
              </w:rPr>
              <w:t>.</w:t>
            </w:r>
          </w:p>
        </w:tc>
      </w:tr>
      <w:tr w:rsidR="00502F9C" w:rsidRPr="008E4D35" w14:paraId="5F33B862" w14:textId="77777777" w:rsidTr="00305D58">
        <w:tc>
          <w:tcPr>
            <w:tcW w:w="2745" w:type="dxa"/>
            <w:shd w:val="clear" w:color="auto" w:fill="E6E6E6"/>
          </w:tcPr>
          <w:p w14:paraId="56BC2E8D" w14:textId="77777777" w:rsidR="00502F9C" w:rsidRPr="008E4D35" w:rsidRDefault="00502F9C"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Нередност </w:t>
            </w:r>
          </w:p>
        </w:tc>
        <w:tc>
          <w:tcPr>
            <w:tcW w:w="6543" w:type="dxa"/>
            <w:shd w:val="clear" w:color="auto" w:fill="F3F3F3"/>
          </w:tcPr>
          <w:p w14:paraId="0C52CA9E" w14:textId="77777777" w:rsidR="00044D0F" w:rsidRPr="008E4D35" w:rsidRDefault="00876B7B" w:rsidP="005E3244">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В</w:t>
            </w:r>
            <w:r w:rsidRPr="00876B7B">
              <w:rPr>
                <w:rFonts w:eastAsia="Times New Roman" w:cstheme="minorHAnsi"/>
                <w:snapToGrid w:val="0"/>
                <w:sz w:val="24"/>
                <w:szCs w:val="24"/>
              </w:rPr>
              <w:t>сяко нарушение на правото на Съюза или на националното право,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11B06" w:rsidRPr="008E4D35" w14:paraId="73532D96" w14:textId="77777777" w:rsidTr="00305D58">
        <w:tc>
          <w:tcPr>
            <w:tcW w:w="2745" w:type="dxa"/>
            <w:shd w:val="clear" w:color="auto" w:fill="E6E6E6"/>
          </w:tcPr>
          <w:p w14:paraId="5E356F27" w14:textId="77777777" w:rsidR="00311B06" w:rsidRPr="008E4D35" w:rsidRDefault="00311B06"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Предприятие</w:t>
            </w:r>
          </w:p>
        </w:tc>
        <w:tc>
          <w:tcPr>
            <w:tcW w:w="6543" w:type="dxa"/>
            <w:shd w:val="clear" w:color="auto" w:fill="F3F3F3"/>
          </w:tcPr>
          <w:p w14:paraId="42F6060E" w14:textId="77777777" w:rsidR="00311B06" w:rsidRPr="008E4D35" w:rsidRDefault="00311B06" w:rsidP="00F14642">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C5289A" w:rsidRPr="008E4D35" w14:paraId="2670D8A7" w14:textId="77777777" w:rsidTr="00305D58">
        <w:tc>
          <w:tcPr>
            <w:tcW w:w="2745" w:type="dxa"/>
            <w:shd w:val="clear" w:color="auto" w:fill="E6E6E6"/>
          </w:tcPr>
          <w:p w14:paraId="5908BFEA" w14:textId="77777777" w:rsidR="00C5289A" w:rsidRPr="008E4D35" w:rsidRDefault="00C5289A" w:rsidP="00F14642">
            <w:pPr>
              <w:spacing w:before="100" w:beforeAutospacing="1" w:after="100" w:afterAutospacing="1" w:line="240" w:lineRule="auto"/>
              <w:rPr>
                <w:rFonts w:eastAsia="Times New Roman" w:cstheme="minorHAnsi"/>
                <w:b/>
                <w:snapToGrid w:val="0"/>
                <w:sz w:val="24"/>
                <w:szCs w:val="24"/>
              </w:rPr>
            </w:pPr>
            <w:r w:rsidRPr="0091098E">
              <w:rPr>
                <w:rFonts w:eastAsia="Times New Roman" w:cstheme="minorHAnsi"/>
                <w:b/>
                <w:snapToGrid w:val="0"/>
                <w:sz w:val="24"/>
                <w:szCs w:val="24"/>
              </w:rPr>
              <w:t>Предприятие в затруднено положение</w:t>
            </w:r>
          </w:p>
        </w:tc>
        <w:tc>
          <w:tcPr>
            <w:tcW w:w="6543" w:type="dxa"/>
            <w:shd w:val="clear" w:color="auto" w:fill="F3F3F3"/>
          </w:tcPr>
          <w:p w14:paraId="3FB7478E" w14:textId="77777777" w:rsidR="00CB0C05" w:rsidRPr="00CB0C05" w:rsidRDefault="00884591" w:rsidP="00CB0C05">
            <w:pPr>
              <w:spacing w:after="60" w:line="240" w:lineRule="auto"/>
              <w:jc w:val="both"/>
              <w:rPr>
                <w:rFonts w:eastAsia="Times New Roman" w:cstheme="minorHAnsi"/>
                <w:snapToGrid w:val="0"/>
                <w:sz w:val="24"/>
                <w:szCs w:val="24"/>
              </w:rPr>
            </w:pPr>
            <w:r>
              <w:rPr>
                <w:rFonts w:eastAsia="Times New Roman" w:cstheme="minorHAnsi"/>
                <w:snapToGrid w:val="0"/>
                <w:sz w:val="24"/>
                <w:szCs w:val="24"/>
              </w:rPr>
              <w:t>Съгласно чл. 2, пар. 18 от Регламент (ЕО) № 651/2014</w:t>
            </w:r>
            <w:r>
              <w:t xml:space="preserve"> </w:t>
            </w:r>
            <w:r>
              <w:rPr>
                <w:rFonts w:eastAsia="Times New Roman" w:cstheme="minorHAnsi"/>
                <w:snapToGrid w:val="0"/>
                <w:sz w:val="24"/>
                <w:szCs w:val="24"/>
              </w:rPr>
              <w:t>п</w:t>
            </w:r>
            <w:r w:rsidRPr="00884591">
              <w:rPr>
                <w:rFonts w:eastAsia="Times New Roman" w:cstheme="minorHAnsi"/>
                <w:snapToGrid w:val="0"/>
                <w:sz w:val="24"/>
                <w:szCs w:val="24"/>
              </w:rPr>
              <w:t xml:space="preserve">редприятие в затруднено положение </w:t>
            </w:r>
            <w:r>
              <w:rPr>
                <w:rFonts w:eastAsia="Times New Roman" w:cstheme="minorHAnsi"/>
                <w:snapToGrid w:val="0"/>
                <w:sz w:val="24"/>
                <w:szCs w:val="24"/>
              </w:rPr>
              <w:t>е п</w:t>
            </w:r>
            <w:r w:rsidR="00CB0C05" w:rsidRPr="00CB0C05">
              <w:rPr>
                <w:rFonts w:eastAsia="Times New Roman" w:cstheme="minorHAnsi"/>
                <w:snapToGrid w:val="0"/>
                <w:sz w:val="24"/>
                <w:szCs w:val="24"/>
              </w:rPr>
              <w:t>редприятие, по отношение на което е изпълнено поне едно от следните обстоятелства:</w:t>
            </w:r>
          </w:p>
          <w:p w14:paraId="7540DA5D" w14:textId="77777777" w:rsidR="00CB0C05" w:rsidRPr="00CB0C05" w:rsidRDefault="00CB0C05" w:rsidP="00CB0C05">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 xml:space="preserve">а)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w:t>
            </w:r>
            <w:r w:rsidRPr="00CB0C05">
              <w:rPr>
                <w:rFonts w:eastAsia="Times New Roman" w:cstheme="minorHAnsi"/>
                <w:snapToGrid w:val="0"/>
                <w:sz w:val="24"/>
                <w:szCs w:val="24"/>
              </w:rPr>
              <w:lastRenderedPageBreak/>
              <w:t>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14:paraId="54062270" w14:textId="77777777" w:rsidR="00CB0C05" w:rsidRDefault="00CB0C05" w:rsidP="00CB0C05">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б) в случай на събирателно дружество, командитно дружество или едноличен търговец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w:t>
            </w:r>
            <w:r w:rsidR="00020E0B">
              <w:rPr>
                <w:rFonts w:eastAsia="Times New Roman" w:cstheme="minorHAnsi"/>
                <w:snapToGrid w:val="0"/>
                <w:sz w:val="24"/>
                <w:szCs w:val="24"/>
              </w:rPr>
              <w:t>орност за задълженията на друже</w:t>
            </w:r>
            <w:r w:rsidRPr="00CB0C05">
              <w:rPr>
                <w:rFonts w:eastAsia="Times New Roman" w:cstheme="minorHAnsi"/>
                <w:snapToGrid w:val="0"/>
                <w:sz w:val="24"/>
                <w:szCs w:val="24"/>
              </w:rPr>
              <w:t>ството", се разбира по-специално типовете дружества, посочени в приложение II към Директива 2013/34/ЕС;</w:t>
            </w:r>
          </w:p>
          <w:p w14:paraId="0A63F7E2" w14:textId="77777777" w:rsidR="00CB0C05" w:rsidRPr="00CB0C05" w:rsidRDefault="00CB0C05" w:rsidP="00CB0C05">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w:t>
            </w:r>
            <w:r w:rsidR="008423D6">
              <w:rPr>
                <w:rFonts w:eastAsia="Times New Roman" w:cstheme="minorHAnsi"/>
                <w:snapToGrid w:val="0"/>
                <w:sz w:val="24"/>
                <w:szCs w:val="24"/>
              </w:rPr>
              <w:t>ост по искане на неговите креди</w:t>
            </w:r>
            <w:r w:rsidRPr="00CB0C05">
              <w:rPr>
                <w:rFonts w:eastAsia="Times New Roman" w:cstheme="minorHAnsi"/>
                <w:snapToGrid w:val="0"/>
                <w:sz w:val="24"/>
                <w:szCs w:val="24"/>
              </w:rPr>
              <w:t>тори;</w:t>
            </w:r>
          </w:p>
          <w:p w14:paraId="382960BC" w14:textId="77777777" w:rsidR="00C5289A" w:rsidRPr="008E4D35" w:rsidRDefault="00CB0C05" w:rsidP="00CB0C05">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r>
      <w:tr w:rsidR="00C5289A" w:rsidRPr="008E4D35" w14:paraId="4B5DADC9" w14:textId="77777777" w:rsidTr="00305D58">
        <w:tc>
          <w:tcPr>
            <w:tcW w:w="2745" w:type="dxa"/>
            <w:shd w:val="clear" w:color="auto" w:fill="E6E6E6"/>
          </w:tcPr>
          <w:p w14:paraId="523435AA" w14:textId="77777777" w:rsidR="00C5289A" w:rsidRPr="008E4D35" w:rsidRDefault="00C5289A" w:rsidP="00F14642">
            <w:pPr>
              <w:spacing w:before="100" w:beforeAutospacing="1" w:after="100" w:afterAutospacing="1" w:line="240" w:lineRule="auto"/>
              <w:rPr>
                <w:rFonts w:eastAsia="Times New Roman" w:cstheme="minorHAnsi"/>
                <w:b/>
                <w:snapToGrid w:val="0"/>
                <w:sz w:val="24"/>
                <w:szCs w:val="24"/>
              </w:rPr>
            </w:pPr>
            <w:r w:rsidRPr="00D45B42">
              <w:rPr>
                <w:rFonts w:eastAsia="Times New Roman" w:cstheme="minorHAnsi"/>
                <w:b/>
                <w:snapToGrid w:val="0"/>
                <w:sz w:val="24"/>
                <w:szCs w:val="24"/>
              </w:rPr>
              <w:lastRenderedPageBreak/>
              <w:t>Преработка на селскостопански продукти</w:t>
            </w:r>
          </w:p>
        </w:tc>
        <w:tc>
          <w:tcPr>
            <w:tcW w:w="6543" w:type="dxa"/>
            <w:shd w:val="clear" w:color="auto" w:fill="F3F3F3"/>
          </w:tcPr>
          <w:p w14:paraId="37FBA109" w14:textId="77777777" w:rsidR="00D45B42" w:rsidRPr="008E4D35" w:rsidRDefault="00960116" w:rsidP="00960116">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Съгласно чл. 2, пар. 11 от Регламент (ЕО) № 651/2014</w:t>
            </w:r>
            <w:r>
              <w:t xml:space="preserve"> </w:t>
            </w:r>
            <w:r w:rsidRPr="00960116">
              <w:rPr>
                <w:rFonts w:eastAsia="Times New Roman" w:cstheme="minorHAnsi"/>
                <w:snapToGrid w:val="0"/>
                <w:sz w:val="24"/>
                <w:szCs w:val="24"/>
              </w:rPr>
              <w:t>това е</w:t>
            </w:r>
            <w:r>
              <w:t xml:space="preserve"> </w:t>
            </w:r>
            <w:r>
              <w:rPr>
                <w:rFonts w:eastAsia="Times New Roman" w:cstheme="minorHAnsi"/>
                <w:snapToGrid w:val="0"/>
                <w:sz w:val="24"/>
                <w:szCs w:val="24"/>
              </w:rPr>
              <w:t>в</w:t>
            </w:r>
            <w:r w:rsidRPr="00D45B42">
              <w:rPr>
                <w:rFonts w:eastAsia="Times New Roman" w:cstheme="minorHAnsi"/>
                <w:snapToGrid w:val="0"/>
                <w:sz w:val="24"/>
                <w:szCs w:val="24"/>
              </w:rPr>
              <w:t xml:space="preserve">сяка </w:t>
            </w:r>
            <w:r w:rsidR="00D45B42" w:rsidRPr="00D45B42">
              <w:rPr>
                <w:rFonts w:eastAsia="Times New Roman" w:cstheme="minorHAnsi"/>
                <w:snapToGrid w:val="0"/>
                <w:sz w:val="24"/>
                <w:szCs w:val="24"/>
              </w:rPr>
              <w:t>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които са необходими за подготовката на животински или растителен</w:t>
            </w:r>
            <w:r w:rsidR="00D45B42">
              <w:rPr>
                <w:rFonts w:eastAsia="Times New Roman" w:cstheme="minorHAnsi"/>
                <w:snapToGrid w:val="0"/>
                <w:sz w:val="24"/>
                <w:szCs w:val="24"/>
              </w:rPr>
              <w:t xml:space="preserve"> продукт за първата му продажба.</w:t>
            </w:r>
          </w:p>
        </w:tc>
      </w:tr>
      <w:tr w:rsidR="00EA1E54" w:rsidRPr="008E4D35" w14:paraId="116DD5DD" w14:textId="77777777" w:rsidTr="00305D58">
        <w:tc>
          <w:tcPr>
            <w:tcW w:w="2745" w:type="dxa"/>
            <w:shd w:val="clear" w:color="auto" w:fill="E6E6E6"/>
          </w:tcPr>
          <w:p w14:paraId="63E0D7DA" w14:textId="77777777" w:rsidR="00EA1E54" w:rsidRPr="008E4D35" w:rsidRDefault="00EA1E54"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Проект</w:t>
            </w:r>
          </w:p>
        </w:tc>
        <w:tc>
          <w:tcPr>
            <w:tcW w:w="6543" w:type="dxa"/>
            <w:shd w:val="clear" w:color="auto" w:fill="F3F3F3"/>
          </w:tcPr>
          <w:p w14:paraId="43C5AC3F" w14:textId="77777777" w:rsidR="00EA1E54" w:rsidRPr="008E4D35" w:rsidRDefault="00EA1E54" w:rsidP="00F14642">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Съвкупност от взаимосвързани и взаимодопълващи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EA1E54" w:rsidRPr="008E4D35" w14:paraId="0E18B632" w14:textId="77777777" w:rsidTr="00305D58">
        <w:tc>
          <w:tcPr>
            <w:tcW w:w="2745" w:type="dxa"/>
            <w:shd w:val="clear" w:color="auto" w:fill="E6E6E6"/>
          </w:tcPr>
          <w:p w14:paraId="3DB2451E" w14:textId="77777777" w:rsidR="00EA1E54" w:rsidRPr="008E4D35" w:rsidRDefault="00EA1E54"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Проектно предложение </w:t>
            </w:r>
          </w:p>
        </w:tc>
        <w:tc>
          <w:tcPr>
            <w:tcW w:w="6543" w:type="dxa"/>
            <w:shd w:val="clear" w:color="auto" w:fill="F3F3F3"/>
          </w:tcPr>
          <w:p w14:paraId="7B1274D3" w14:textId="77777777" w:rsidR="00EA1E54" w:rsidRPr="008E4D35" w:rsidRDefault="00EA1E54" w:rsidP="00F14642">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 xml:space="preserve">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w:t>
            </w:r>
            <w:r w:rsidRPr="008E4D35">
              <w:rPr>
                <w:rFonts w:eastAsia="Times New Roman" w:cstheme="minorHAnsi"/>
                <w:snapToGrid w:val="0"/>
                <w:sz w:val="24"/>
                <w:szCs w:val="24"/>
              </w:rPr>
              <w:lastRenderedPageBreak/>
              <w:t>и други придружителни документи.</w:t>
            </w:r>
          </w:p>
        </w:tc>
      </w:tr>
      <w:tr w:rsidR="00EA1E54" w:rsidRPr="008E4D35" w14:paraId="3A70C258" w14:textId="77777777" w:rsidTr="00305D58">
        <w:tc>
          <w:tcPr>
            <w:tcW w:w="2745" w:type="dxa"/>
            <w:shd w:val="clear" w:color="auto" w:fill="E6E6E6"/>
          </w:tcPr>
          <w:p w14:paraId="103BF38A" w14:textId="77777777" w:rsidR="00EA1E54" w:rsidRPr="008E4D35" w:rsidRDefault="00EA1E54" w:rsidP="00F14642">
            <w:pPr>
              <w:spacing w:before="100" w:beforeAutospacing="1" w:after="100" w:afterAutospacing="1" w:line="240" w:lineRule="auto"/>
              <w:rPr>
                <w:rFonts w:eastAsia="Times New Roman" w:cstheme="minorHAnsi"/>
                <w:b/>
                <w:snapToGrid w:val="0"/>
                <w:sz w:val="24"/>
                <w:szCs w:val="24"/>
              </w:rPr>
            </w:pPr>
            <w:r w:rsidRPr="00294A6E">
              <w:rPr>
                <w:rFonts w:eastAsia="Times New Roman" w:cstheme="minorHAnsi"/>
                <w:b/>
                <w:snapToGrid w:val="0"/>
                <w:sz w:val="24"/>
                <w:szCs w:val="24"/>
              </w:rPr>
              <w:lastRenderedPageBreak/>
              <w:t>Първично селскостопанско производство</w:t>
            </w:r>
          </w:p>
        </w:tc>
        <w:tc>
          <w:tcPr>
            <w:tcW w:w="6543" w:type="dxa"/>
            <w:shd w:val="clear" w:color="auto" w:fill="F3F3F3"/>
          </w:tcPr>
          <w:p w14:paraId="66FAB14D" w14:textId="77777777" w:rsidR="00EA1E54" w:rsidRPr="008E4D35" w:rsidRDefault="002B20F2" w:rsidP="00D31E18">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 xml:space="preserve">Съгласно чл. 2, пар. 9 от Регламент (ЕО) № 651/2014  това е </w:t>
            </w:r>
            <w:r>
              <w:rPr>
                <w:rFonts w:eastAsia="Times New Roman" w:cstheme="minorHAnsi"/>
                <w:snapToGrid w:val="0"/>
                <w:sz w:val="24"/>
                <w:szCs w:val="24"/>
                <w:lang w:val="bg"/>
              </w:rPr>
              <w:t>п</w:t>
            </w:r>
            <w:r w:rsidR="00294A6E" w:rsidRPr="00294A6E">
              <w:rPr>
                <w:rFonts w:eastAsia="Times New Roman" w:cstheme="minorHAnsi"/>
                <w:snapToGrid w:val="0"/>
                <w:sz w:val="24"/>
                <w:szCs w:val="24"/>
                <w:lang w:val="bg"/>
              </w:rPr>
              <w:t xml:space="preserve">роизводство на продукти на почвата и на животновъдството, изброени в Приложение </w:t>
            </w:r>
            <w:r w:rsidR="00294A6E" w:rsidRPr="00294A6E">
              <w:rPr>
                <w:rFonts w:eastAsia="Times New Roman" w:cstheme="minorHAnsi"/>
                <w:snapToGrid w:val="0"/>
                <w:sz w:val="24"/>
                <w:szCs w:val="24"/>
                <w:lang w:val="en-US"/>
              </w:rPr>
              <w:t xml:space="preserve">I </w:t>
            </w:r>
            <w:r w:rsidR="00294A6E" w:rsidRPr="00294A6E">
              <w:rPr>
                <w:rFonts w:eastAsia="Times New Roman" w:cstheme="minorHAnsi"/>
                <w:snapToGrid w:val="0"/>
                <w:sz w:val="24"/>
                <w:szCs w:val="24"/>
                <w:lang w:val="bg"/>
              </w:rPr>
              <w:t>към Договора</w:t>
            </w:r>
            <w:r w:rsidR="00D31E18" w:rsidRPr="00D31E18">
              <w:rPr>
                <w:sz w:val="24"/>
                <w:szCs w:val="24"/>
              </w:rPr>
              <w:t xml:space="preserve"> </w:t>
            </w:r>
            <w:r w:rsidR="00D31E18" w:rsidRPr="00D31E18">
              <w:rPr>
                <w:rFonts w:eastAsia="Times New Roman" w:cstheme="minorHAnsi"/>
                <w:snapToGrid w:val="0"/>
                <w:sz w:val="24"/>
                <w:szCs w:val="24"/>
              </w:rPr>
              <w:t>за създаване на европейската</w:t>
            </w:r>
            <w:r w:rsidR="00294A6E" w:rsidRPr="00294A6E">
              <w:rPr>
                <w:rFonts w:eastAsia="Times New Roman" w:cstheme="minorHAnsi"/>
                <w:snapToGrid w:val="0"/>
                <w:sz w:val="24"/>
                <w:szCs w:val="24"/>
                <w:lang w:val="bg"/>
              </w:rPr>
              <w:t xml:space="preserve"> (</w:t>
            </w:r>
            <w:r w:rsidR="00294A6E" w:rsidRPr="001826B1">
              <w:rPr>
                <w:rFonts w:eastAsia="Times New Roman" w:cstheme="minorHAnsi"/>
                <w:snapToGrid w:val="0"/>
                <w:sz w:val="24"/>
                <w:szCs w:val="24"/>
                <w:lang w:val="bg"/>
              </w:rPr>
              <w:t xml:space="preserve">Приложение </w:t>
            </w:r>
            <w:r w:rsidR="001826B1" w:rsidRPr="001826B1">
              <w:rPr>
                <w:rFonts w:eastAsia="Times New Roman" w:cstheme="minorHAnsi"/>
                <w:snapToGrid w:val="0"/>
                <w:sz w:val="24"/>
                <w:szCs w:val="24"/>
                <w:lang w:val="bg"/>
              </w:rPr>
              <w:t>С</w:t>
            </w:r>
            <w:r w:rsidR="00294A6E" w:rsidRPr="00294A6E">
              <w:rPr>
                <w:rFonts w:eastAsia="Times New Roman" w:cstheme="minorHAnsi"/>
                <w:snapToGrid w:val="0"/>
                <w:sz w:val="24"/>
                <w:szCs w:val="24"/>
                <w:lang w:val="bg"/>
              </w:rPr>
              <w:t>), без да се извършват никакви по-нататъшни операции, с които се променя естеството на тези продукти.</w:t>
            </w:r>
          </w:p>
        </w:tc>
      </w:tr>
      <w:tr w:rsidR="00EA1E54" w:rsidRPr="008E4D35" w14:paraId="7BCBC169" w14:textId="77777777" w:rsidTr="00305D58">
        <w:tc>
          <w:tcPr>
            <w:tcW w:w="2745" w:type="dxa"/>
            <w:shd w:val="clear" w:color="auto" w:fill="E6E6E6"/>
          </w:tcPr>
          <w:p w14:paraId="4D209B96" w14:textId="77777777" w:rsidR="00EA1E54" w:rsidRPr="008E4D35" w:rsidRDefault="00EA1E54" w:rsidP="00A32D97">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Ръководител на </w:t>
            </w:r>
            <w:r w:rsidR="00A32D97">
              <w:rPr>
                <w:rFonts w:eastAsia="Times New Roman" w:cstheme="minorHAnsi"/>
                <w:b/>
                <w:snapToGrid w:val="0"/>
                <w:sz w:val="24"/>
                <w:szCs w:val="24"/>
              </w:rPr>
              <w:t xml:space="preserve">Управляващия </w:t>
            </w:r>
            <w:r w:rsidRPr="008E4D35">
              <w:rPr>
                <w:rFonts w:eastAsia="Times New Roman" w:cstheme="minorHAnsi"/>
                <w:b/>
                <w:snapToGrid w:val="0"/>
                <w:sz w:val="24"/>
                <w:szCs w:val="24"/>
              </w:rPr>
              <w:t>орган</w:t>
            </w:r>
          </w:p>
        </w:tc>
        <w:tc>
          <w:tcPr>
            <w:tcW w:w="6543" w:type="dxa"/>
            <w:shd w:val="clear" w:color="auto" w:fill="F3F3F3"/>
          </w:tcPr>
          <w:p w14:paraId="76FDA5BA" w14:textId="77777777" w:rsidR="00EA1E54" w:rsidRPr="008E4D35" w:rsidRDefault="00EA1E54" w:rsidP="00A32D97">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 xml:space="preserve">Ръководителят на администрацията, в рамките на чиято структура се намира </w:t>
            </w:r>
            <w:r w:rsidR="00A32D97">
              <w:rPr>
                <w:rFonts w:eastAsia="Times New Roman" w:cstheme="minorHAnsi"/>
                <w:snapToGrid w:val="0"/>
                <w:sz w:val="24"/>
                <w:szCs w:val="24"/>
              </w:rPr>
              <w:t>Управляващия</w:t>
            </w:r>
            <w:r w:rsidRPr="008E4D35">
              <w:rPr>
                <w:rFonts w:eastAsia="Times New Roman" w:cstheme="minorHAnsi"/>
                <w:snapToGrid w:val="0"/>
                <w:sz w:val="24"/>
                <w:szCs w:val="24"/>
              </w:rPr>
              <w:t xml:space="preserve"> орган или упълномощеното от него длъжностно лице.</w:t>
            </w:r>
          </w:p>
        </w:tc>
      </w:tr>
      <w:tr w:rsidR="00EA1E54" w:rsidRPr="008E4D35" w14:paraId="0FE8798E" w14:textId="77777777" w:rsidTr="00305D58">
        <w:tc>
          <w:tcPr>
            <w:tcW w:w="2745" w:type="dxa"/>
            <w:shd w:val="clear" w:color="auto" w:fill="E6E6E6"/>
          </w:tcPr>
          <w:p w14:paraId="52C7C843" w14:textId="77777777" w:rsidR="00EA1E54" w:rsidRPr="008E4D35" w:rsidRDefault="00EA1E54"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Свързани лица</w:t>
            </w:r>
          </w:p>
        </w:tc>
        <w:tc>
          <w:tcPr>
            <w:tcW w:w="6543" w:type="dxa"/>
            <w:shd w:val="clear" w:color="auto" w:fill="F3F3F3"/>
          </w:tcPr>
          <w:p w14:paraId="555A9A90" w14:textId="77777777" w:rsidR="00EA1E54" w:rsidRPr="008E4D35" w:rsidRDefault="000E43C4" w:rsidP="00F14642">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w:t>
            </w:r>
            <w:r w:rsidRPr="000E43C4">
              <w:rPr>
                <w:rFonts w:eastAsia="Times New Roman" w:cstheme="minorHAnsi"/>
                <w:snapToGrid w:val="0"/>
                <w:sz w:val="24"/>
                <w:szCs w:val="24"/>
              </w:rPr>
              <w:t>ъпрузите или лицата, които се намират във фактическо съжителство, роднините по права линия, по съребрена линия - до четвърта степен включително, и роднините по сватовство - до втора степен включително, както и физически и юридически лица, с които лицето, заемащо публична длъжност, се намира в икономически или политически зависимости, които пораждат основателни съмнения в неговата безпристрастност и обективност.</w:t>
            </w:r>
          </w:p>
        </w:tc>
      </w:tr>
      <w:tr w:rsidR="00A24C36" w:rsidRPr="008E4D35" w14:paraId="2308C91A" w14:textId="77777777" w:rsidTr="00305D58">
        <w:tc>
          <w:tcPr>
            <w:tcW w:w="2745" w:type="dxa"/>
            <w:shd w:val="clear" w:color="auto" w:fill="E6E6E6"/>
          </w:tcPr>
          <w:p w14:paraId="648BFDFF" w14:textId="77777777" w:rsidR="00A24C36" w:rsidRPr="00A3057D" w:rsidRDefault="00A24C36" w:rsidP="00F6168F">
            <w:pPr>
              <w:spacing w:before="100" w:beforeAutospacing="1" w:after="100" w:afterAutospacing="1" w:line="240" w:lineRule="auto"/>
              <w:rPr>
                <w:rFonts w:eastAsia="Times New Roman" w:cstheme="minorHAnsi"/>
                <w:b/>
                <w:snapToGrid w:val="0"/>
                <w:sz w:val="24"/>
                <w:szCs w:val="24"/>
              </w:rPr>
            </w:pPr>
            <w:r w:rsidRPr="00A3057D">
              <w:rPr>
                <w:rFonts w:eastAsia="Times New Roman" w:cstheme="minorHAnsi"/>
                <w:b/>
                <w:snapToGrid w:val="0"/>
                <w:sz w:val="24"/>
                <w:szCs w:val="24"/>
              </w:rPr>
              <w:t>Селскостопански продукт</w:t>
            </w:r>
          </w:p>
        </w:tc>
        <w:tc>
          <w:tcPr>
            <w:tcW w:w="6543" w:type="dxa"/>
            <w:shd w:val="clear" w:color="auto" w:fill="F3F3F3"/>
          </w:tcPr>
          <w:p w14:paraId="699C0F6D" w14:textId="77777777" w:rsidR="00A24C36" w:rsidRDefault="00A24C36" w:rsidP="00F6168F">
            <w:pPr>
              <w:spacing w:before="100" w:beforeAutospacing="1" w:after="100" w:afterAutospacing="1" w:line="240" w:lineRule="auto"/>
              <w:jc w:val="both"/>
              <w:rPr>
                <w:rFonts w:eastAsia="Times New Roman" w:cstheme="minorHAnsi"/>
                <w:snapToGrid w:val="0"/>
                <w:sz w:val="24"/>
                <w:szCs w:val="24"/>
              </w:rPr>
            </w:pPr>
            <w:r w:rsidRPr="003D5F84">
              <w:rPr>
                <w:rFonts w:eastAsia="Times New Roman" w:cstheme="minorHAnsi"/>
                <w:snapToGrid w:val="0"/>
                <w:sz w:val="24"/>
                <w:szCs w:val="24"/>
              </w:rPr>
              <w:t xml:space="preserve">Съгласно чл. 2, пар. 11 от Регламент (ЕС) № 651/2014 </w:t>
            </w:r>
            <w:r>
              <w:rPr>
                <w:rFonts w:eastAsia="Times New Roman" w:cstheme="minorHAnsi"/>
                <w:snapToGrid w:val="0"/>
                <w:sz w:val="24"/>
                <w:szCs w:val="24"/>
              </w:rPr>
              <w:t>„селскостопански продукт“</w:t>
            </w:r>
            <w:r w:rsidRPr="003D5F84">
              <w:rPr>
                <w:rFonts w:eastAsia="Times New Roman" w:cstheme="minorHAnsi"/>
                <w:snapToGrid w:val="0"/>
                <w:sz w:val="24"/>
                <w:szCs w:val="24"/>
              </w:rPr>
              <w:t xml:space="preserve"> означава продукти, изброени в приложение I към Дог</w:t>
            </w:r>
            <w:r>
              <w:rPr>
                <w:rFonts w:eastAsia="Times New Roman" w:cstheme="minorHAnsi"/>
                <w:snapToGrid w:val="0"/>
                <w:sz w:val="24"/>
                <w:szCs w:val="24"/>
              </w:rPr>
              <w:t xml:space="preserve">овора, с изключение на продукти </w:t>
            </w:r>
            <w:r w:rsidRPr="003D5F84">
              <w:rPr>
                <w:rFonts w:eastAsia="Times New Roman" w:cstheme="minorHAnsi"/>
                <w:snapToGrid w:val="0"/>
                <w:sz w:val="24"/>
                <w:szCs w:val="24"/>
              </w:rPr>
              <w:t xml:space="preserve">на рибарството и аквакултурите, изброени в приложение I към Регламент </w:t>
            </w:r>
            <w:r>
              <w:rPr>
                <w:rFonts w:eastAsia="Times New Roman" w:cstheme="minorHAnsi"/>
                <w:snapToGrid w:val="0"/>
                <w:sz w:val="24"/>
                <w:szCs w:val="24"/>
              </w:rPr>
              <w:t xml:space="preserve">(ЕС) № 1379/2013 на Европейския </w:t>
            </w:r>
            <w:r w:rsidRPr="003D5F84">
              <w:rPr>
                <w:rFonts w:eastAsia="Times New Roman" w:cstheme="minorHAnsi"/>
                <w:snapToGrid w:val="0"/>
                <w:sz w:val="24"/>
                <w:szCs w:val="24"/>
              </w:rPr>
              <w:t>парламент и на Съвета от 11 декември 2013 г.;</w:t>
            </w:r>
          </w:p>
        </w:tc>
      </w:tr>
      <w:tr w:rsidR="00586F42" w:rsidRPr="008E4D35" w14:paraId="2C125273" w14:textId="77777777" w:rsidTr="000C06A5">
        <w:tc>
          <w:tcPr>
            <w:tcW w:w="2745" w:type="dxa"/>
            <w:shd w:val="clear" w:color="auto" w:fill="E6E6E6"/>
          </w:tcPr>
          <w:p w14:paraId="7C1EF177" w14:textId="77777777" w:rsidR="00586F42" w:rsidRDefault="00586F42" w:rsidP="000C06A5">
            <w:pPr>
              <w:spacing w:before="100" w:beforeAutospacing="1" w:after="100" w:afterAutospacing="1" w:line="240" w:lineRule="auto"/>
              <w:rPr>
                <w:rFonts w:eastAsia="Times New Roman" w:cstheme="minorHAnsi"/>
                <w:b/>
                <w:snapToGrid w:val="0"/>
                <w:sz w:val="24"/>
                <w:szCs w:val="24"/>
              </w:rPr>
            </w:pPr>
            <w:r w:rsidRPr="00543A50">
              <w:rPr>
                <w:rFonts w:eastAsia="Times New Roman" w:cstheme="minorHAnsi"/>
                <w:b/>
                <w:snapToGrid w:val="0"/>
                <w:sz w:val="24"/>
                <w:szCs w:val="24"/>
              </w:rPr>
              <w:t>Текущ ремонт</w:t>
            </w:r>
          </w:p>
        </w:tc>
        <w:tc>
          <w:tcPr>
            <w:tcW w:w="6543" w:type="dxa"/>
            <w:shd w:val="clear" w:color="auto" w:fill="F3F3F3"/>
          </w:tcPr>
          <w:p w14:paraId="4A226774" w14:textId="77777777" w:rsidR="00586F42" w:rsidRPr="00543A50" w:rsidRDefault="00586F42" w:rsidP="000C06A5">
            <w:pPr>
              <w:spacing w:after="0" w:line="240" w:lineRule="auto"/>
              <w:jc w:val="both"/>
              <w:rPr>
                <w:rFonts w:eastAsia="Times New Roman" w:cstheme="minorHAnsi"/>
                <w:snapToGrid w:val="0"/>
                <w:sz w:val="24"/>
                <w:szCs w:val="24"/>
              </w:rPr>
            </w:pPr>
            <w:r w:rsidRPr="00543A50">
              <w:rPr>
                <w:rFonts w:eastAsia="Times New Roman" w:cstheme="minorHAnsi"/>
                <w:snapToGrid w:val="0"/>
                <w:sz w:val="24"/>
                <w:szCs w:val="24"/>
              </w:rPr>
              <w:t>Съгласно парагараф 5 от Допълнителните разпоредби на закона за устройство на територията: т. 43. (</w:t>
            </w:r>
            <w:r>
              <w:rPr>
                <w:rFonts w:eastAsia="Times New Roman" w:cstheme="minorHAnsi"/>
                <w:snapToGrid w:val="0"/>
                <w:sz w:val="24"/>
                <w:szCs w:val="24"/>
              </w:rPr>
              <w:t>нова - ДВ, бр. 65 от 2003 г.) т</w:t>
            </w:r>
            <w:r w:rsidRPr="00543A50">
              <w:rPr>
                <w:rFonts w:eastAsia="Times New Roman" w:cstheme="minorHAnsi"/>
                <w:snapToGrid w:val="0"/>
                <w:sz w:val="24"/>
                <w:szCs w:val="24"/>
              </w:rPr>
              <w:t>екущ</w:t>
            </w:r>
            <w:r>
              <w:rPr>
                <w:rFonts w:eastAsia="Times New Roman" w:cstheme="minorHAnsi"/>
                <w:snapToGrid w:val="0"/>
                <w:sz w:val="24"/>
                <w:szCs w:val="24"/>
              </w:rPr>
              <w:t xml:space="preserve"> ремонт</w:t>
            </w:r>
            <w:r w:rsidRPr="00543A50">
              <w:rPr>
                <w:rFonts w:eastAsia="Times New Roman" w:cstheme="minorHAnsi"/>
                <w:snapToGrid w:val="0"/>
                <w:sz w:val="24"/>
                <w:szCs w:val="24"/>
              </w:rPr>
              <w:t xml:space="preserve"> на строеж е подобряването и поддържането в изправност на сградите, постройките, съоръженията и инсталациите, както и вътрешни преустройства, при които не се:</w:t>
            </w:r>
          </w:p>
          <w:p w14:paraId="24E7A57C" w14:textId="77777777" w:rsidR="00586F42" w:rsidRPr="00543A50" w:rsidRDefault="00586F42" w:rsidP="000C06A5">
            <w:pPr>
              <w:spacing w:after="0" w:line="240" w:lineRule="auto"/>
              <w:jc w:val="both"/>
              <w:rPr>
                <w:rFonts w:eastAsia="Times New Roman" w:cstheme="minorHAnsi"/>
                <w:snapToGrid w:val="0"/>
                <w:sz w:val="24"/>
                <w:szCs w:val="24"/>
              </w:rPr>
            </w:pPr>
            <w:r w:rsidRPr="00543A50">
              <w:rPr>
                <w:rFonts w:eastAsia="Times New Roman" w:cstheme="minorHAnsi"/>
                <w:snapToGrid w:val="0"/>
                <w:sz w:val="24"/>
                <w:szCs w:val="24"/>
              </w:rPr>
              <w:t>а) засяга конструкцията на сградата;</w:t>
            </w:r>
          </w:p>
          <w:p w14:paraId="65C43F71" w14:textId="77777777" w:rsidR="00586F42" w:rsidRPr="00543A50" w:rsidRDefault="00586F42" w:rsidP="000C06A5">
            <w:pPr>
              <w:spacing w:after="0" w:line="240" w:lineRule="auto"/>
              <w:jc w:val="both"/>
              <w:rPr>
                <w:rFonts w:eastAsia="Times New Roman" w:cstheme="minorHAnsi"/>
                <w:snapToGrid w:val="0"/>
                <w:sz w:val="24"/>
                <w:szCs w:val="24"/>
              </w:rPr>
            </w:pPr>
            <w:r w:rsidRPr="00543A50">
              <w:rPr>
                <w:rFonts w:eastAsia="Times New Roman" w:cstheme="minorHAnsi"/>
                <w:snapToGrid w:val="0"/>
                <w:sz w:val="24"/>
                <w:szCs w:val="24"/>
              </w:rPr>
              <w:t>б) извършват дейности като премахване, преместване на съществуващи зидове и направа на отвори в тях, когато засягат конструкцията на сградата;</w:t>
            </w:r>
          </w:p>
          <w:p w14:paraId="34C2B123" w14:textId="77777777" w:rsidR="00586F42" w:rsidRPr="006D243B" w:rsidRDefault="00586F42" w:rsidP="000C06A5">
            <w:pPr>
              <w:spacing w:after="0" w:line="240" w:lineRule="auto"/>
              <w:jc w:val="both"/>
              <w:rPr>
                <w:rFonts w:eastAsia="Times New Roman" w:cstheme="minorHAnsi"/>
                <w:snapToGrid w:val="0"/>
                <w:sz w:val="24"/>
                <w:szCs w:val="24"/>
              </w:rPr>
            </w:pPr>
            <w:r>
              <w:rPr>
                <w:rFonts w:eastAsia="Times New Roman" w:cstheme="minorHAnsi"/>
                <w:snapToGrid w:val="0"/>
                <w:sz w:val="24"/>
                <w:szCs w:val="24"/>
              </w:rPr>
              <w:t xml:space="preserve">в) </w:t>
            </w:r>
            <w:r w:rsidRPr="00543A50">
              <w:rPr>
                <w:rFonts w:eastAsia="Times New Roman" w:cstheme="minorHAnsi"/>
                <w:snapToGrid w:val="0"/>
                <w:sz w:val="24"/>
                <w:szCs w:val="24"/>
              </w:rPr>
              <w:t>променя предназначението на помещенията и натоварванията в тях.</w:t>
            </w:r>
          </w:p>
        </w:tc>
      </w:tr>
      <w:tr w:rsidR="00EA1E54" w:rsidRPr="008E4D35" w14:paraId="76F3B422" w14:textId="77777777" w:rsidTr="00305D58">
        <w:tc>
          <w:tcPr>
            <w:tcW w:w="2745" w:type="dxa"/>
            <w:shd w:val="clear" w:color="auto" w:fill="E6E6E6"/>
          </w:tcPr>
          <w:p w14:paraId="548853B7" w14:textId="77777777" w:rsidR="00EA1E54" w:rsidRPr="00F15327" w:rsidRDefault="00EA1E54" w:rsidP="00F14642">
            <w:pPr>
              <w:spacing w:before="100" w:beforeAutospacing="1" w:after="100" w:afterAutospacing="1" w:line="240" w:lineRule="auto"/>
              <w:rPr>
                <w:rFonts w:eastAsia="Times New Roman" w:cstheme="minorHAnsi"/>
                <w:b/>
                <w:snapToGrid w:val="0"/>
                <w:sz w:val="24"/>
                <w:szCs w:val="24"/>
              </w:rPr>
            </w:pPr>
            <w:r w:rsidRPr="00F15327">
              <w:rPr>
                <w:rFonts w:eastAsia="Times New Roman" w:cstheme="minorHAnsi"/>
                <w:b/>
                <w:snapToGrid w:val="0"/>
                <w:sz w:val="24"/>
                <w:szCs w:val="24"/>
              </w:rPr>
              <w:t>Транспортни средства</w:t>
            </w:r>
          </w:p>
        </w:tc>
        <w:tc>
          <w:tcPr>
            <w:tcW w:w="6543" w:type="dxa"/>
            <w:shd w:val="clear" w:color="auto" w:fill="F3F3F3"/>
          </w:tcPr>
          <w:p w14:paraId="0D007485" w14:textId="77777777" w:rsidR="002A6026" w:rsidRPr="00F15327" w:rsidRDefault="002A6026" w:rsidP="002A6026">
            <w:pPr>
              <w:pStyle w:val="FootnoteText"/>
              <w:spacing w:after="60"/>
              <w:jc w:val="both"/>
              <w:rPr>
                <w:sz w:val="24"/>
                <w:szCs w:val="24"/>
              </w:rPr>
            </w:pPr>
            <w:r w:rsidRPr="00F15327">
              <w:rPr>
                <w:sz w:val="24"/>
                <w:szCs w:val="24"/>
              </w:rPr>
              <w:t>Включва следните дефиниции:</w:t>
            </w:r>
          </w:p>
          <w:p w14:paraId="6582BF0C" w14:textId="77777777" w:rsidR="002A6026" w:rsidRPr="00F15327" w:rsidRDefault="002A6026" w:rsidP="002A6026">
            <w:pPr>
              <w:pStyle w:val="FootnoteText"/>
              <w:spacing w:after="60"/>
              <w:jc w:val="both"/>
              <w:rPr>
                <w:sz w:val="24"/>
                <w:szCs w:val="24"/>
              </w:rPr>
            </w:pPr>
            <w:r w:rsidRPr="00F15327">
              <w:rPr>
                <w:sz w:val="24"/>
                <w:szCs w:val="24"/>
              </w:rPr>
              <w:t xml:space="preserve"> - </w:t>
            </w:r>
            <w:r w:rsidRPr="00F15327">
              <w:rPr>
                <w:i/>
                <w:sz w:val="24"/>
                <w:szCs w:val="24"/>
              </w:rPr>
              <w:t>Съгласно Закона за движението по пътищата:</w:t>
            </w:r>
          </w:p>
          <w:p w14:paraId="63E81A0E" w14:textId="77777777" w:rsidR="002A6026" w:rsidRPr="00F15327" w:rsidRDefault="002A6026" w:rsidP="002A6026">
            <w:pPr>
              <w:pStyle w:val="FootnoteText"/>
              <w:spacing w:after="60"/>
              <w:jc w:val="both"/>
              <w:rPr>
                <w:sz w:val="24"/>
                <w:szCs w:val="24"/>
              </w:rPr>
            </w:pPr>
            <w:r w:rsidRPr="00F15327">
              <w:rPr>
                <w:sz w:val="24"/>
                <w:szCs w:val="24"/>
              </w:rPr>
              <w:t xml:space="preserve">1. "Пътно превозно средство" е съоръжение, придвижвано по пътя на колела и използвано за превозване на хора и/или товари. Към пътните превозни средства се приравняват трамваите и самоходните машини, когато се придвижват по </w:t>
            </w:r>
            <w:r w:rsidRPr="00F15327">
              <w:rPr>
                <w:sz w:val="24"/>
                <w:szCs w:val="24"/>
              </w:rPr>
              <w:lastRenderedPageBreak/>
              <w:t>пътищата.</w:t>
            </w:r>
          </w:p>
          <w:p w14:paraId="5A3C7E19" w14:textId="77777777" w:rsidR="002A6026" w:rsidRDefault="002A6026" w:rsidP="002A6026">
            <w:pPr>
              <w:pStyle w:val="FootnoteText"/>
              <w:spacing w:after="60"/>
              <w:jc w:val="both"/>
              <w:rPr>
                <w:sz w:val="24"/>
                <w:szCs w:val="24"/>
              </w:rPr>
            </w:pPr>
            <w:r w:rsidRPr="00F15327">
              <w:rPr>
                <w:sz w:val="24"/>
                <w:szCs w:val="24"/>
              </w:rPr>
              <w:t>2. "Моторно превозно средство" е пътно превозно средство, снабдено с двигател за придвижване, с изключение на релсовите превозни средства.</w:t>
            </w:r>
          </w:p>
          <w:p w14:paraId="5DBE7E51" w14:textId="77777777" w:rsidR="00A00FBE" w:rsidRPr="002A6026" w:rsidRDefault="00A00FBE" w:rsidP="00A00FBE">
            <w:pPr>
              <w:pStyle w:val="FootnoteText"/>
              <w:spacing w:after="60"/>
              <w:jc w:val="both"/>
              <w:rPr>
                <w:b/>
                <w:sz w:val="24"/>
                <w:szCs w:val="24"/>
              </w:rPr>
            </w:pPr>
            <w:r w:rsidRPr="002A6026">
              <w:rPr>
                <w:b/>
                <w:sz w:val="24"/>
                <w:szCs w:val="24"/>
              </w:rPr>
              <w:t>За целите на настоящата процедура не представляват транспортни средства машини и съоръжения, които се придвижват само на територията на предприятието или се използват за вътрешно технологичен транспорт, при условие, че не се придвижват по пътищата.</w:t>
            </w:r>
          </w:p>
          <w:p w14:paraId="7000BF37" w14:textId="77777777" w:rsidR="002A6026" w:rsidRPr="00F15327" w:rsidRDefault="002A6026" w:rsidP="002A6026">
            <w:pPr>
              <w:pStyle w:val="FootnoteText"/>
              <w:spacing w:after="60"/>
              <w:jc w:val="both"/>
              <w:rPr>
                <w:i/>
                <w:sz w:val="24"/>
                <w:szCs w:val="24"/>
              </w:rPr>
            </w:pPr>
            <w:r w:rsidRPr="00F15327">
              <w:rPr>
                <w:sz w:val="24"/>
                <w:szCs w:val="24"/>
              </w:rPr>
              <w:t xml:space="preserve">- </w:t>
            </w:r>
            <w:r w:rsidRPr="00F15327">
              <w:rPr>
                <w:i/>
                <w:sz w:val="24"/>
                <w:szCs w:val="24"/>
              </w:rPr>
              <w:t>Съгласно Закона за гражданското въздухоплаване:</w:t>
            </w:r>
          </w:p>
          <w:p w14:paraId="67B4A05B" w14:textId="77777777" w:rsidR="002A6026" w:rsidRPr="00F15327" w:rsidRDefault="002A6026" w:rsidP="002A6026">
            <w:pPr>
              <w:pStyle w:val="FootnoteText"/>
              <w:spacing w:after="60"/>
              <w:jc w:val="both"/>
              <w:rPr>
                <w:sz w:val="24"/>
                <w:szCs w:val="24"/>
              </w:rPr>
            </w:pPr>
            <w:r w:rsidRPr="00F15327">
              <w:rPr>
                <w:sz w:val="24"/>
                <w:szCs w:val="24"/>
              </w:rPr>
              <w:t>1. "Въздухоплавателно средство"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14:paraId="1778BB2C" w14:textId="77777777" w:rsidR="002A6026" w:rsidRPr="00F15327" w:rsidRDefault="002A6026" w:rsidP="002A6026">
            <w:pPr>
              <w:pStyle w:val="FootnoteText"/>
              <w:spacing w:after="60"/>
              <w:jc w:val="both"/>
              <w:rPr>
                <w:sz w:val="24"/>
                <w:szCs w:val="24"/>
              </w:rPr>
            </w:pPr>
            <w:r w:rsidRPr="00F15327">
              <w:rPr>
                <w:sz w:val="24"/>
                <w:szCs w:val="24"/>
              </w:rPr>
              <w:t xml:space="preserve"> - </w:t>
            </w:r>
            <w:r w:rsidRPr="00F15327">
              <w:rPr>
                <w:i/>
                <w:sz w:val="24"/>
                <w:szCs w:val="24"/>
              </w:rPr>
              <w:t>Съгласно Закона за железопътния транспорт:</w:t>
            </w:r>
          </w:p>
          <w:p w14:paraId="0DB140FB" w14:textId="77777777" w:rsidR="002A6026" w:rsidRPr="00F15327" w:rsidRDefault="002A6026" w:rsidP="002A6026">
            <w:pPr>
              <w:pStyle w:val="FootnoteText"/>
              <w:spacing w:after="60"/>
              <w:jc w:val="both"/>
              <w:rPr>
                <w:sz w:val="24"/>
                <w:szCs w:val="24"/>
              </w:rPr>
            </w:pPr>
            <w:r w:rsidRPr="00F15327">
              <w:rPr>
                <w:sz w:val="24"/>
                <w:szCs w:val="24"/>
              </w:rPr>
              <w:t>1. „Влак” е подреден и скачен състав от вагони с един или повече локомотиви в работно състояние, снабден със сигнали и влакови документи. Локомотиви, мотрисни влакове, мотриси, моторни дрезини и други моторни возила, несваляеми от пътя, отправени на междугарие, се смятат за влакове.</w:t>
            </w:r>
          </w:p>
          <w:p w14:paraId="6416A749" w14:textId="77777777" w:rsidR="002A6026" w:rsidRPr="00F15327" w:rsidRDefault="002A6026" w:rsidP="002A6026">
            <w:pPr>
              <w:pStyle w:val="FootnoteText"/>
              <w:spacing w:after="60"/>
              <w:jc w:val="both"/>
              <w:rPr>
                <w:sz w:val="24"/>
                <w:szCs w:val="24"/>
              </w:rPr>
            </w:pPr>
            <w:r w:rsidRPr="00F15327">
              <w:rPr>
                <w:sz w:val="24"/>
                <w:szCs w:val="24"/>
              </w:rPr>
              <w:t xml:space="preserve"> - </w:t>
            </w:r>
            <w:r w:rsidRPr="00F15327">
              <w:rPr>
                <w:i/>
                <w:sz w:val="24"/>
                <w:szCs w:val="24"/>
              </w:rPr>
              <w:t>Съгласно Закона за морските пространства, вътрешните водни пътища и пристанищата на Република България:</w:t>
            </w:r>
          </w:p>
          <w:p w14:paraId="541C8E02" w14:textId="77777777" w:rsidR="002A6026" w:rsidRPr="00F15327" w:rsidRDefault="002A6026" w:rsidP="002A6026">
            <w:pPr>
              <w:pStyle w:val="FootnoteText"/>
              <w:spacing w:after="60"/>
              <w:jc w:val="both"/>
              <w:rPr>
                <w:sz w:val="24"/>
                <w:szCs w:val="24"/>
              </w:rPr>
            </w:pPr>
            <w:r w:rsidRPr="00F15327">
              <w:rPr>
                <w:sz w:val="24"/>
                <w:szCs w:val="24"/>
              </w:rPr>
              <w:t>1. „Яхта”  е кораб, използван за туризъм, спорт, спортен риболов или развлечение.</w:t>
            </w:r>
          </w:p>
          <w:p w14:paraId="6680D18B" w14:textId="77777777" w:rsidR="00AE2167" w:rsidRPr="00A00FBE" w:rsidRDefault="002A6026" w:rsidP="0076760F">
            <w:pPr>
              <w:pStyle w:val="FootnoteText"/>
              <w:spacing w:after="60"/>
              <w:jc w:val="both"/>
              <w:rPr>
                <w:sz w:val="24"/>
                <w:szCs w:val="24"/>
              </w:rPr>
            </w:pPr>
            <w:r w:rsidRPr="00F15327">
              <w:rPr>
                <w:sz w:val="24"/>
                <w:szCs w:val="24"/>
              </w:rPr>
              <w:t>2. „Кораб</w:t>
            </w:r>
            <w:r w:rsidRPr="00F15327">
              <w:rPr>
                <w:bCs/>
                <w:sz w:val="24"/>
                <w:szCs w:val="24"/>
              </w:rPr>
              <w:t>”</w:t>
            </w:r>
            <w:r w:rsidRPr="00F15327">
              <w:rPr>
                <w:sz w:val="24"/>
                <w:szCs w:val="24"/>
              </w:rPr>
              <w:t xml:space="preserve">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tc>
      </w:tr>
      <w:tr w:rsidR="00EA1E54" w:rsidRPr="008E4D35" w14:paraId="4DDB0757" w14:textId="77777777" w:rsidTr="00305D58">
        <w:tc>
          <w:tcPr>
            <w:tcW w:w="2745" w:type="dxa"/>
            <w:shd w:val="clear" w:color="auto" w:fill="E6E6E6"/>
          </w:tcPr>
          <w:p w14:paraId="7E52791B" w14:textId="77777777" w:rsidR="00EA1E54" w:rsidRPr="008E4D35" w:rsidRDefault="00EA1E54" w:rsidP="00F14642">
            <w:pPr>
              <w:spacing w:before="100" w:beforeAutospacing="1" w:after="100" w:afterAutospacing="1" w:line="240" w:lineRule="auto"/>
              <w:rPr>
                <w:rFonts w:cstheme="minorHAnsi"/>
                <w:sz w:val="24"/>
                <w:szCs w:val="24"/>
              </w:rPr>
            </w:pPr>
            <w:r w:rsidRPr="009200B0">
              <w:rPr>
                <w:rFonts w:eastAsia="Times New Roman" w:cstheme="minorHAnsi"/>
                <w:b/>
                <w:snapToGrid w:val="0"/>
                <w:sz w:val="24"/>
                <w:szCs w:val="24"/>
              </w:rPr>
              <w:lastRenderedPageBreak/>
              <w:t>Търговия със селскостопански продукт</w:t>
            </w:r>
          </w:p>
        </w:tc>
        <w:tc>
          <w:tcPr>
            <w:tcW w:w="6543" w:type="dxa"/>
            <w:shd w:val="clear" w:color="auto" w:fill="F3F3F3"/>
          </w:tcPr>
          <w:p w14:paraId="3CFCEB48" w14:textId="77777777" w:rsidR="007B5FF0" w:rsidRPr="008E4D35" w:rsidRDefault="007B5FF0" w:rsidP="007B5FF0">
            <w:pPr>
              <w:spacing w:line="240" w:lineRule="auto"/>
              <w:jc w:val="both"/>
              <w:rPr>
                <w:rFonts w:eastAsia="Times New Roman" w:cstheme="minorHAnsi"/>
                <w:snapToGrid w:val="0"/>
                <w:sz w:val="24"/>
                <w:szCs w:val="24"/>
              </w:rPr>
            </w:pPr>
            <w:r>
              <w:rPr>
                <w:rFonts w:eastAsia="Times New Roman" w:cstheme="minorHAnsi"/>
                <w:snapToGrid w:val="0"/>
                <w:sz w:val="24"/>
                <w:szCs w:val="24"/>
              </w:rPr>
              <w:t>Д</w:t>
            </w:r>
            <w:r w:rsidRPr="007B5FF0">
              <w:rPr>
                <w:rFonts w:eastAsia="Times New Roman" w:cstheme="minorHAnsi"/>
                <w:snapToGrid w:val="0"/>
                <w:sz w:val="24"/>
                <w:szCs w:val="24"/>
              </w:rPr>
              <w:t xml:space="preserve">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w:t>
            </w:r>
            <w:r w:rsidRPr="007B5FF0">
              <w:rPr>
                <w:rFonts w:eastAsia="Times New Roman" w:cstheme="minorHAnsi"/>
                <w:snapToGrid w:val="0"/>
                <w:sz w:val="24"/>
                <w:szCs w:val="24"/>
              </w:rPr>
              <w:lastRenderedPageBreak/>
              <w:t>всяка една дейност по подготвяне на продукта за тази първа продажба; продажбата от първичен производител на крайни потребители се счита за търговия, ако се осъщестява в отделни по</w:t>
            </w:r>
            <w:r>
              <w:rPr>
                <w:rFonts w:eastAsia="Times New Roman" w:cstheme="minorHAnsi"/>
                <w:snapToGrid w:val="0"/>
                <w:sz w:val="24"/>
                <w:szCs w:val="24"/>
              </w:rPr>
              <w:t>мещения, предвидени за тази цел.</w:t>
            </w:r>
          </w:p>
        </w:tc>
      </w:tr>
      <w:tr w:rsidR="006D243B" w:rsidRPr="008E4D35" w14:paraId="26448C7D" w14:textId="77777777" w:rsidTr="00305D58">
        <w:tc>
          <w:tcPr>
            <w:tcW w:w="2745" w:type="dxa"/>
            <w:shd w:val="clear" w:color="auto" w:fill="E6E6E6"/>
          </w:tcPr>
          <w:p w14:paraId="66B57ACE" w14:textId="77777777" w:rsidR="006D243B" w:rsidRDefault="006D243B" w:rsidP="006D243B">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lastRenderedPageBreak/>
              <w:t>Условия при придобиване на дълготрайния актив чрез лизинг по чл. 1</w:t>
            </w:r>
            <w:r w:rsidR="005D5C12">
              <w:rPr>
                <w:rFonts w:eastAsia="Times New Roman" w:cstheme="minorHAnsi"/>
                <w:b/>
                <w:snapToGrid w:val="0"/>
                <w:sz w:val="24"/>
                <w:szCs w:val="24"/>
              </w:rPr>
              <w:t>8</w:t>
            </w:r>
            <w:r>
              <w:rPr>
                <w:rFonts w:eastAsia="Times New Roman" w:cstheme="minorHAnsi"/>
                <w:b/>
                <w:snapToGrid w:val="0"/>
                <w:sz w:val="24"/>
                <w:szCs w:val="24"/>
              </w:rPr>
              <w:t>, ал. 1 и ал. 3 от ПМС №1</w:t>
            </w:r>
            <w:r w:rsidR="005D5C12">
              <w:rPr>
                <w:rFonts w:eastAsia="Times New Roman" w:cstheme="minorHAnsi"/>
                <w:b/>
                <w:snapToGrid w:val="0"/>
                <w:sz w:val="24"/>
                <w:szCs w:val="24"/>
              </w:rPr>
              <w:t>89</w:t>
            </w:r>
            <w:r>
              <w:rPr>
                <w:rFonts w:eastAsia="Times New Roman" w:cstheme="minorHAnsi"/>
                <w:b/>
                <w:snapToGrid w:val="0"/>
                <w:sz w:val="24"/>
                <w:szCs w:val="24"/>
              </w:rPr>
              <w:t>/201</w:t>
            </w:r>
            <w:r w:rsidR="005D5C12">
              <w:rPr>
                <w:rFonts w:eastAsia="Times New Roman" w:cstheme="minorHAnsi"/>
                <w:b/>
                <w:snapToGrid w:val="0"/>
                <w:sz w:val="24"/>
                <w:szCs w:val="24"/>
              </w:rPr>
              <w:t>6</w:t>
            </w:r>
            <w:r>
              <w:rPr>
                <w:rFonts w:eastAsia="Times New Roman" w:cstheme="minorHAnsi"/>
                <w:b/>
                <w:snapToGrid w:val="0"/>
                <w:sz w:val="24"/>
                <w:szCs w:val="24"/>
              </w:rPr>
              <w:t xml:space="preserve"> г.</w:t>
            </w:r>
          </w:p>
        </w:tc>
        <w:tc>
          <w:tcPr>
            <w:tcW w:w="6543" w:type="dxa"/>
            <w:shd w:val="clear" w:color="auto" w:fill="F3F3F3"/>
          </w:tcPr>
          <w:p w14:paraId="5B3527BF" w14:textId="77777777" w:rsidR="005D5C12" w:rsidRPr="005D5C12" w:rsidRDefault="006D243B" w:rsidP="005D5C12">
            <w:pPr>
              <w:spacing w:after="0" w:line="240" w:lineRule="auto"/>
              <w:jc w:val="both"/>
              <w:rPr>
                <w:rFonts w:eastAsia="Times New Roman" w:cstheme="minorHAnsi"/>
                <w:snapToGrid w:val="0"/>
                <w:sz w:val="24"/>
                <w:szCs w:val="24"/>
              </w:rPr>
            </w:pPr>
            <w:r w:rsidRPr="006D243B">
              <w:rPr>
                <w:rFonts w:eastAsia="Times New Roman" w:cstheme="minorHAnsi"/>
                <w:snapToGrid w:val="0"/>
                <w:sz w:val="24"/>
                <w:szCs w:val="24"/>
              </w:rPr>
              <w:t>Чл. 1</w:t>
            </w:r>
            <w:r w:rsidR="005D5C12">
              <w:rPr>
                <w:rFonts w:eastAsia="Times New Roman" w:cstheme="minorHAnsi"/>
                <w:snapToGrid w:val="0"/>
                <w:sz w:val="24"/>
                <w:szCs w:val="24"/>
              </w:rPr>
              <w:t>8</w:t>
            </w:r>
            <w:r w:rsidRPr="006D243B">
              <w:rPr>
                <w:rFonts w:eastAsia="Times New Roman" w:cstheme="minorHAnsi"/>
                <w:snapToGrid w:val="0"/>
                <w:sz w:val="24"/>
                <w:szCs w:val="24"/>
              </w:rPr>
              <w:t xml:space="preserve">. </w:t>
            </w:r>
            <w:r w:rsidR="005D5C12" w:rsidRPr="005D5C12">
              <w:rPr>
                <w:rFonts w:eastAsia="Times New Roman" w:cstheme="minorHAnsi"/>
                <w:snapToGrid w:val="0"/>
                <w:sz w:val="24"/>
                <w:szCs w:val="24"/>
              </w:rPr>
              <w:t>(1) Допустими разходи, извършени във връзка с лизинг, по проекти, финансирани от програмите по чл. 2, ал. 1, са единствено лизинговите вноски при спазване на следните изисквания:</w:t>
            </w:r>
          </w:p>
          <w:p w14:paraId="2142AE58" w14:textId="77777777" w:rsidR="005D5C12" w:rsidRPr="005D5C12" w:rsidRDefault="005D5C12" w:rsidP="005D5C12">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1. лизинговите вноски са дължими и платени до изтичане на срока за изпълнение на проекта, финансиран по оперативната програма;</w:t>
            </w:r>
          </w:p>
          <w:p w14:paraId="16272549" w14:textId="77777777" w:rsidR="005D5C12" w:rsidRPr="005D5C12" w:rsidRDefault="005D5C12" w:rsidP="005D5C12">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2. разходът за лизинговите вноски, както и придобиването на актив посредством лизингов договор се доказва с фактура или със счетоводен документ с еквивалентна доказателствена стойност;</w:t>
            </w:r>
          </w:p>
          <w:p w14:paraId="76CE27A6" w14:textId="77777777" w:rsidR="00E0744A" w:rsidRDefault="005D5C12" w:rsidP="005D5C12">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3. максималната допустима цена е по-ниска от пазарната цена за закупуване на актива</w:t>
            </w:r>
          </w:p>
          <w:p w14:paraId="5DD40C1B" w14:textId="77777777" w:rsidR="006D243B" w:rsidRPr="006D243B" w:rsidRDefault="005D5C12" w:rsidP="005D5C12">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w:t>
            </w:r>
            <w:r w:rsidR="006D243B">
              <w:rPr>
                <w:rFonts w:eastAsia="Times New Roman" w:cstheme="minorHAnsi"/>
                <w:snapToGrid w:val="0"/>
                <w:sz w:val="24"/>
                <w:szCs w:val="24"/>
              </w:rPr>
              <w:t>….</w:t>
            </w:r>
          </w:p>
          <w:p w14:paraId="2AE14AF1" w14:textId="77777777" w:rsidR="005D5C12" w:rsidRPr="005D5C12" w:rsidRDefault="005D5C12" w:rsidP="005D5C12">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(3) Финансовата подкрепа може да бъде отпусната на лизингополучателя. В този случай са допустими разходите за лизинг при спазване на следните условия:</w:t>
            </w:r>
          </w:p>
          <w:p w14:paraId="2004BEF1" w14:textId="77777777" w:rsidR="005D5C12" w:rsidRPr="005D5C12" w:rsidRDefault="005D5C12" w:rsidP="005D5C12">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1. пряк получател на финансирането от оперативната</w:t>
            </w:r>
            <w:r>
              <w:rPr>
                <w:rFonts w:eastAsia="Times New Roman" w:cstheme="minorHAnsi"/>
                <w:snapToGrid w:val="0"/>
                <w:sz w:val="24"/>
                <w:szCs w:val="24"/>
              </w:rPr>
              <w:t xml:space="preserve"> програма е лизингополучателят;</w:t>
            </w:r>
          </w:p>
          <w:p w14:paraId="711DF0A6" w14:textId="77777777" w:rsidR="005D5C12" w:rsidRPr="005D5C12" w:rsidRDefault="005D5C12" w:rsidP="005D5C12">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2. при лизингови договори, които включват опция за покупка или предвиждат минимален лизингов период, равен на полезния срок на наетия актив, максималната сума, допустима за съфинансиране от оперативната програма, не може да надвишава пазарната стойност на наетия актив;</w:t>
            </w:r>
          </w:p>
          <w:p w14:paraId="24A60CFD" w14:textId="77777777" w:rsidR="005D5C12" w:rsidRPr="005D5C12" w:rsidRDefault="005D5C12" w:rsidP="005D5C12">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3. по отношение на лизинговите договори финансовата подкрепа от оперативната програма се плаща на лизингополучателя на един или повече транша съобразно реално платените лизингови вноски с изключение на случаите на авансово плащане; когато срокът на лизинговия договор изтича след крайната дата за получаване на финансова подкрепа от оперативната програма, допустими са само разходи, свързани с лизинговия наем, дължими и платени от лизингополучателя до тази дата;</w:t>
            </w:r>
          </w:p>
          <w:p w14:paraId="114D02FB" w14:textId="77777777" w:rsidR="005D5C12" w:rsidRPr="005D5C12" w:rsidRDefault="005D5C12" w:rsidP="005D5C12">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 xml:space="preserve">4. в случаите на лизингови договори, които не съдържат опция за закупуване и чиято продължителност е по-малка от полезния срок на наетия актив, допустими за съфинансиране са само лизингови вноски в рамките на периода за изпълнение на проекта, при условие че лизингополучателят </w:t>
            </w:r>
            <w:r w:rsidRPr="005D5C12">
              <w:rPr>
                <w:rFonts w:eastAsia="Times New Roman" w:cstheme="minorHAnsi"/>
                <w:snapToGrid w:val="0"/>
                <w:sz w:val="24"/>
                <w:szCs w:val="24"/>
              </w:rPr>
              <w:lastRenderedPageBreak/>
              <w:t>докаже, че лизингът е бил най-ефективният метод за придобиване правото на ползване на актива; ако при използване на алтернативен метод (например наемане на оборудването) разходите биха били по-ниски, разликата ще бъде приспадната от допустимите разходи;</w:t>
            </w:r>
          </w:p>
          <w:p w14:paraId="52780C15" w14:textId="77777777" w:rsidR="005D5C12" w:rsidRPr="005D5C12" w:rsidRDefault="005D5C12" w:rsidP="005D5C12">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5. в случаите на регионална държавна помощ разходите, свързани с придобиване на активи чрез лизинг, различни от земя и сгради, ще са допустими само ако лизингът е финансов и включва задължение за покупка на активите при изтичане на лизинговия период; при лизинг на земя и сгради лизинговият период трябва да не е по-малък от 5 години след датата на приключване на инвестиционния проект или да не е по-малък от 3 години, в случай че лизингополучателят е малко или средно предприятие;</w:t>
            </w:r>
          </w:p>
          <w:p w14:paraId="6274649B" w14:textId="77777777" w:rsidR="006D243B" w:rsidRDefault="005D5C12" w:rsidP="005D5C12">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6. лизингови вноски, платени от лизингополучателя при лизинг с опция за продажба и незабавно наемане обратно на актива, могат да бъдат допустим разход при спазване на условията по ал. 1, 2 и 3; в този случай разходите за придобиване на актива не са допустими за съфинансиране от оперативната програма.</w:t>
            </w:r>
          </w:p>
        </w:tc>
      </w:tr>
    </w:tbl>
    <w:p w14:paraId="2ECE6CC1" w14:textId="77777777" w:rsidR="000C2624" w:rsidRPr="00DF7E05" w:rsidRDefault="000C2624">
      <w:pPr>
        <w:rPr>
          <w:lang w:val="en-US"/>
        </w:rPr>
      </w:pPr>
    </w:p>
    <w:sectPr w:rsidR="000C2624" w:rsidRPr="00DF7E05">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6C502E" w14:textId="77777777" w:rsidR="001E788F" w:rsidRDefault="001E788F" w:rsidP="00364204">
      <w:pPr>
        <w:spacing w:after="0" w:line="240" w:lineRule="auto"/>
      </w:pPr>
      <w:r>
        <w:separator/>
      </w:r>
    </w:p>
  </w:endnote>
  <w:endnote w:type="continuationSeparator" w:id="0">
    <w:p w14:paraId="73C2A9BE" w14:textId="77777777" w:rsidR="001E788F" w:rsidRDefault="001E788F"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EUAlbertina-Regu">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17262D" w14:textId="77777777" w:rsidR="001E788F" w:rsidRDefault="001E788F" w:rsidP="00364204">
      <w:pPr>
        <w:spacing w:after="0" w:line="240" w:lineRule="auto"/>
      </w:pPr>
      <w:r>
        <w:separator/>
      </w:r>
    </w:p>
  </w:footnote>
  <w:footnote w:type="continuationSeparator" w:id="0">
    <w:p w14:paraId="3E338325" w14:textId="77777777" w:rsidR="001E788F" w:rsidRDefault="001E788F" w:rsidP="003642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16" w:type="dxa"/>
      <w:tblInd w:w="304" w:type="dxa"/>
      <w:tblCellMar>
        <w:left w:w="70" w:type="dxa"/>
        <w:right w:w="70" w:type="dxa"/>
      </w:tblCellMar>
      <w:tblLook w:val="0000" w:firstRow="0" w:lastRow="0" w:firstColumn="0" w:lastColumn="0" w:noHBand="0" w:noVBand="0"/>
    </w:tblPr>
    <w:tblGrid>
      <w:gridCol w:w="3265"/>
      <w:gridCol w:w="2871"/>
      <w:gridCol w:w="3380"/>
    </w:tblGrid>
    <w:tr w:rsidR="005D5C12" w:rsidRPr="00AF1339" w14:paraId="576D24F0" w14:textId="77777777" w:rsidTr="00F14642">
      <w:trPr>
        <w:trHeight w:val="684"/>
      </w:trPr>
      <w:tc>
        <w:tcPr>
          <w:tcW w:w="3276" w:type="dxa"/>
        </w:tcPr>
        <w:p w14:paraId="24B95A5C" w14:textId="77777777" w:rsidR="005D5C12" w:rsidRPr="00AF1339" w:rsidRDefault="005D5C12" w:rsidP="00F14642">
          <w:pPr>
            <w:spacing w:after="160" w:line="259" w:lineRule="auto"/>
            <w:jc w:val="center"/>
            <w:rPr>
              <w:rFonts w:ascii="Calibri" w:eastAsia="Calibri" w:hAnsi="Calibri" w:cs="Times New Roman"/>
              <w:sz w:val="28"/>
              <w:szCs w:val="28"/>
            </w:rPr>
          </w:pPr>
          <w:r w:rsidRPr="00AF1339">
            <w:rPr>
              <w:rFonts w:ascii="Calibri" w:eastAsia="Calibri" w:hAnsi="Calibri" w:cs="Times New Roman"/>
              <w:noProof/>
              <w:lang w:eastAsia="bg-BG"/>
            </w:rPr>
            <w:drawing>
              <wp:anchor distT="0" distB="0" distL="114300" distR="114300" simplePos="0" relativeHeight="251659264" behindDoc="0" locked="0" layoutInCell="1" allowOverlap="1" wp14:anchorId="59CD7B5A" wp14:editId="3B022322">
                <wp:simplePos x="0" y="0"/>
                <wp:positionH relativeFrom="column">
                  <wp:posOffset>445770</wp:posOffset>
                </wp:positionH>
                <wp:positionV relativeFrom="paragraph">
                  <wp:posOffset>85725</wp:posOffset>
                </wp:positionV>
                <wp:extent cx="1079500" cy="646430"/>
                <wp:effectExtent l="0" t="0" r="6350" b="1270"/>
                <wp:wrapNone/>
                <wp:docPr id="2" name="Picture 2"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CC3DF5" w14:textId="77777777" w:rsidR="005D5C12" w:rsidRPr="00AF1339" w:rsidRDefault="005D5C12" w:rsidP="00F14642">
          <w:pPr>
            <w:spacing w:after="160" w:line="259" w:lineRule="auto"/>
            <w:jc w:val="center"/>
            <w:rPr>
              <w:rFonts w:ascii="Calibri" w:eastAsia="Calibri" w:hAnsi="Calibri" w:cs="Times New Roman"/>
              <w:b/>
              <w:sz w:val="14"/>
              <w:szCs w:val="14"/>
            </w:rPr>
          </w:pPr>
        </w:p>
        <w:p w14:paraId="3771DC3C" w14:textId="77777777" w:rsidR="005D5C12" w:rsidRPr="00AF1339" w:rsidRDefault="005D5C12" w:rsidP="00F14642">
          <w:pPr>
            <w:spacing w:after="160" w:line="259" w:lineRule="auto"/>
            <w:jc w:val="center"/>
            <w:rPr>
              <w:rFonts w:ascii="Calibri" w:eastAsia="Calibri" w:hAnsi="Calibri" w:cs="Times New Roman"/>
              <w:b/>
              <w:sz w:val="14"/>
              <w:szCs w:val="14"/>
            </w:rPr>
          </w:pPr>
        </w:p>
        <w:p w14:paraId="261AC9EF" w14:textId="77777777" w:rsidR="005D5C12" w:rsidRPr="00AF1339" w:rsidRDefault="005D5C12" w:rsidP="00F14642">
          <w:pPr>
            <w:spacing w:after="160" w:line="259" w:lineRule="auto"/>
            <w:jc w:val="center"/>
            <w:rPr>
              <w:rFonts w:ascii="Calibri" w:eastAsia="Calibri" w:hAnsi="Calibri" w:cs="Times New Roman"/>
              <w:b/>
              <w:sz w:val="18"/>
              <w:szCs w:val="18"/>
            </w:rPr>
          </w:pPr>
          <w:r w:rsidRPr="00AF1339">
            <w:rPr>
              <w:rFonts w:ascii="Calibri" w:eastAsia="Calibri" w:hAnsi="Calibri" w:cs="Times New Roman"/>
              <w:b/>
              <w:sz w:val="18"/>
              <w:szCs w:val="18"/>
            </w:rPr>
            <w:t>ЕВРОПЕЙСКИ СЪЮЗ</w:t>
          </w:r>
        </w:p>
      </w:tc>
      <w:tc>
        <w:tcPr>
          <w:tcW w:w="2886" w:type="dxa"/>
        </w:tcPr>
        <w:p w14:paraId="6CC18B05" w14:textId="77777777" w:rsidR="005D5C12" w:rsidRPr="00AF1339" w:rsidRDefault="005D5C12" w:rsidP="00F14642">
          <w:pPr>
            <w:spacing w:after="160" w:line="259" w:lineRule="auto"/>
            <w:jc w:val="center"/>
            <w:rPr>
              <w:rFonts w:ascii="Calibri" w:eastAsia="Calibri" w:hAnsi="Calibri" w:cs="Times New Roman"/>
            </w:rPr>
          </w:pPr>
        </w:p>
        <w:p w14:paraId="57FF3DAB" w14:textId="77777777" w:rsidR="005D5C12" w:rsidRPr="00AF1339" w:rsidRDefault="005D5C12" w:rsidP="00F14642">
          <w:pPr>
            <w:spacing w:after="160" w:line="259" w:lineRule="auto"/>
            <w:jc w:val="center"/>
            <w:rPr>
              <w:rFonts w:ascii="Calibri" w:eastAsia="Calibri" w:hAnsi="Calibri" w:cs="Times New Roman"/>
            </w:rPr>
          </w:pPr>
        </w:p>
        <w:p w14:paraId="75EDB6E3" w14:textId="77777777" w:rsidR="005D5C12" w:rsidRPr="00AF1339" w:rsidRDefault="005D5C12" w:rsidP="00F14642">
          <w:pPr>
            <w:spacing w:after="160" w:line="259" w:lineRule="auto"/>
            <w:jc w:val="center"/>
            <w:rPr>
              <w:rFonts w:ascii="Calibri" w:eastAsia="Calibri" w:hAnsi="Calibri" w:cs="Times New Roman"/>
            </w:rPr>
          </w:pPr>
        </w:p>
      </w:tc>
      <w:tc>
        <w:tcPr>
          <w:tcW w:w="3354" w:type="dxa"/>
        </w:tcPr>
        <w:p w14:paraId="3B8E26A4" w14:textId="77777777" w:rsidR="005D5C12" w:rsidRPr="00AF1339" w:rsidRDefault="005D5C12" w:rsidP="00F14642">
          <w:pPr>
            <w:spacing w:after="160" w:line="259" w:lineRule="auto"/>
            <w:jc w:val="center"/>
            <w:rPr>
              <w:rFonts w:ascii="Calibri" w:eastAsia="Calibri" w:hAnsi="Calibri" w:cs="Times New Roman"/>
            </w:rPr>
          </w:pPr>
          <w:r w:rsidRPr="00AF1339">
            <w:rPr>
              <w:rFonts w:ascii="Calibri" w:eastAsia="Calibri" w:hAnsi="Calibri" w:cs="Times New Roman"/>
              <w:noProof/>
              <w:lang w:eastAsia="bg-BG"/>
            </w:rPr>
            <w:drawing>
              <wp:inline distT="0" distB="0" distL="0" distR="0" wp14:anchorId="5C0AA2D2" wp14:editId="1F153978">
                <wp:extent cx="2047875" cy="9334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112EF058" w14:textId="77777777" w:rsidR="005D5C12" w:rsidRDefault="005D5C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
    <w:nsid w:val="2AB8221E"/>
    <w:multiLevelType w:val="hybridMultilevel"/>
    <w:tmpl w:val="F5F67F3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
    <w15:presenceInfo w15:providerId="None" w15:userId="M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44B"/>
    <w:rsid w:val="0000173C"/>
    <w:rsid w:val="0000386A"/>
    <w:rsid w:val="00015702"/>
    <w:rsid w:val="00020E0B"/>
    <w:rsid w:val="00021DCF"/>
    <w:rsid w:val="0003699C"/>
    <w:rsid w:val="0004005C"/>
    <w:rsid w:val="00044D0F"/>
    <w:rsid w:val="00045584"/>
    <w:rsid w:val="000568E4"/>
    <w:rsid w:val="00057372"/>
    <w:rsid w:val="00062143"/>
    <w:rsid w:val="00067DCB"/>
    <w:rsid w:val="000972C6"/>
    <w:rsid w:val="000A0132"/>
    <w:rsid w:val="000B38AD"/>
    <w:rsid w:val="000B6360"/>
    <w:rsid w:val="000C2624"/>
    <w:rsid w:val="000C2A46"/>
    <w:rsid w:val="000C6413"/>
    <w:rsid w:val="000C731A"/>
    <w:rsid w:val="000D040C"/>
    <w:rsid w:val="000D418B"/>
    <w:rsid w:val="000D7F0D"/>
    <w:rsid w:val="000E43C4"/>
    <w:rsid w:val="000E4FFF"/>
    <w:rsid w:val="000F48C5"/>
    <w:rsid w:val="00107C51"/>
    <w:rsid w:val="00112DD2"/>
    <w:rsid w:val="001172F3"/>
    <w:rsid w:val="0012614C"/>
    <w:rsid w:val="001375DA"/>
    <w:rsid w:val="00147A80"/>
    <w:rsid w:val="00151B68"/>
    <w:rsid w:val="001566B9"/>
    <w:rsid w:val="001637DA"/>
    <w:rsid w:val="001675DC"/>
    <w:rsid w:val="00176AD2"/>
    <w:rsid w:val="00177AF4"/>
    <w:rsid w:val="001826B1"/>
    <w:rsid w:val="0019069B"/>
    <w:rsid w:val="001B57E3"/>
    <w:rsid w:val="001B61A7"/>
    <w:rsid w:val="001C2977"/>
    <w:rsid w:val="001D505E"/>
    <w:rsid w:val="001E788F"/>
    <w:rsid w:val="00207A2E"/>
    <w:rsid w:val="0021679D"/>
    <w:rsid w:val="00226AD4"/>
    <w:rsid w:val="002407B4"/>
    <w:rsid w:val="00245BAA"/>
    <w:rsid w:val="0025282D"/>
    <w:rsid w:val="0028583C"/>
    <w:rsid w:val="002938F6"/>
    <w:rsid w:val="00294A6E"/>
    <w:rsid w:val="002A2C24"/>
    <w:rsid w:val="002A570D"/>
    <w:rsid w:val="002A6026"/>
    <w:rsid w:val="002B20F2"/>
    <w:rsid w:val="002B31B0"/>
    <w:rsid w:val="00301649"/>
    <w:rsid w:val="00305D58"/>
    <w:rsid w:val="00311B06"/>
    <w:rsid w:val="00311D57"/>
    <w:rsid w:val="00315770"/>
    <w:rsid w:val="00322E2E"/>
    <w:rsid w:val="003234D8"/>
    <w:rsid w:val="00323E63"/>
    <w:rsid w:val="0032781F"/>
    <w:rsid w:val="00350A75"/>
    <w:rsid w:val="00364204"/>
    <w:rsid w:val="00380C77"/>
    <w:rsid w:val="00392471"/>
    <w:rsid w:val="003B3B41"/>
    <w:rsid w:val="003C0505"/>
    <w:rsid w:val="003D5F84"/>
    <w:rsid w:val="003E2225"/>
    <w:rsid w:val="003E7DFA"/>
    <w:rsid w:val="003F63FF"/>
    <w:rsid w:val="003F74C3"/>
    <w:rsid w:val="00403D6C"/>
    <w:rsid w:val="00413F4A"/>
    <w:rsid w:val="00425D7E"/>
    <w:rsid w:val="00434D2A"/>
    <w:rsid w:val="00443FF4"/>
    <w:rsid w:val="00444FE2"/>
    <w:rsid w:val="00453858"/>
    <w:rsid w:val="00476290"/>
    <w:rsid w:val="0048471A"/>
    <w:rsid w:val="00486046"/>
    <w:rsid w:val="00487B87"/>
    <w:rsid w:val="004E15B4"/>
    <w:rsid w:val="004E3468"/>
    <w:rsid w:val="004E6D9F"/>
    <w:rsid w:val="00502F9C"/>
    <w:rsid w:val="005155E4"/>
    <w:rsid w:val="00543A50"/>
    <w:rsid w:val="00562CDD"/>
    <w:rsid w:val="00574708"/>
    <w:rsid w:val="00586F42"/>
    <w:rsid w:val="00590097"/>
    <w:rsid w:val="005A1B1E"/>
    <w:rsid w:val="005B0580"/>
    <w:rsid w:val="005B109C"/>
    <w:rsid w:val="005C3A6A"/>
    <w:rsid w:val="005D31D2"/>
    <w:rsid w:val="005D5C12"/>
    <w:rsid w:val="005D5D2C"/>
    <w:rsid w:val="005E04B9"/>
    <w:rsid w:val="005E3244"/>
    <w:rsid w:val="005E3ADC"/>
    <w:rsid w:val="006235CE"/>
    <w:rsid w:val="00624B99"/>
    <w:rsid w:val="0062729B"/>
    <w:rsid w:val="00650331"/>
    <w:rsid w:val="00655AB9"/>
    <w:rsid w:val="00666644"/>
    <w:rsid w:val="006675E7"/>
    <w:rsid w:val="00677E30"/>
    <w:rsid w:val="00686332"/>
    <w:rsid w:val="006932EA"/>
    <w:rsid w:val="006B35B9"/>
    <w:rsid w:val="006C0465"/>
    <w:rsid w:val="006C7B36"/>
    <w:rsid w:val="006D243B"/>
    <w:rsid w:val="006D5204"/>
    <w:rsid w:val="006D56CD"/>
    <w:rsid w:val="006E74DD"/>
    <w:rsid w:val="006F5552"/>
    <w:rsid w:val="007110EB"/>
    <w:rsid w:val="007268F0"/>
    <w:rsid w:val="00734B42"/>
    <w:rsid w:val="00741F45"/>
    <w:rsid w:val="0074385D"/>
    <w:rsid w:val="0074665C"/>
    <w:rsid w:val="00750D4C"/>
    <w:rsid w:val="00754A3A"/>
    <w:rsid w:val="00761D80"/>
    <w:rsid w:val="00764CC7"/>
    <w:rsid w:val="007651D1"/>
    <w:rsid w:val="0076760F"/>
    <w:rsid w:val="0078029D"/>
    <w:rsid w:val="00784610"/>
    <w:rsid w:val="00785637"/>
    <w:rsid w:val="00792531"/>
    <w:rsid w:val="007B2C0A"/>
    <w:rsid w:val="007B5FF0"/>
    <w:rsid w:val="007B60CB"/>
    <w:rsid w:val="007E18D5"/>
    <w:rsid w:val="007E4C7D"/>
    <w:rsid w:val="007F4E6D"/>
    <w:rsid w:val="007F75CF"/>
    <w:rsid w:val="00800A99"/>
    <w:rsid w:val="00805079"/>
    <w:rsid w:val="0080517F"/>
    <w:rsid w:val="008160DD"/>
    <w:rsid w:val="0082616B"/>
    <w:rsid w:val="00831362"/>
    <w:rsid w:val="008423D6"/>
    <w:rsid w:val="00844602"/>
    <w:rsid w:val="00844A97"/>
    <w:rsid w:val="008539D7"/>
    <w:rsid w:val="00857CD1"/>
    <w:rsid w:val="00862EEE"/>
    <w:rsid w:val="00870D1D"/>
    <w:rsid w:val="00876B7B"/>
    <w:rsid w:val="00880021"/>
    <w:rsid w:val="00884591"/>
    <w:rsid w:val="00886E64"/>
    <w:rsid w:val="008A1CD0"/>
    <w:rsid w:val="008A3B65"/>
    <w:rsid w:val="008D22C2"/>
    <w:rsid w:val="008D51DE"/>
    <w:rsid w:val="008E4D35"/>
    <w:rsid w:val="008E4EB1"/>
    <w:rsid w:val="008F2DBC"/>
    <w:rsid w:val="0091098E"/>
    <w:rsid w:val="00911F09"/>
    <w:rsid w:val="009200B0"/>
    <w:rsid w:val="0092220E"/>
    <w:rsid w:val="009228BD"/>
    <w:rsid w:val="00922D50"/>
    <w:rsid w:val="00924D9B"/>
    <w:rsid w:val="0093063E"/>
    <w:rsid w:val="00934B28"/>
    <w:rsid w:val="00936946"/>
    <w:rsid w:val="0095447F"/>
    <w:rsid w:val="00960116"/>
    <w:rsid w:val="009607FC"/>
    <w:rsid w:val="009944A0"/>
    <w:rsid w:val="00995611"/>
    <w:rsid w:val="009B112E"/>
    <w:rsid w:val="009D0973"/>
    <w:rsid w:val="009D632B"/>
    <w:rsid w:val="009F6C1F"/>
    <w:rsid w:val="009F7BB2"/>
    <w:rsid w:val="00A00FBE"/>
    <w:rsid w:val="00A04E8F"/>
    <w:rsid w:val="00A061D6"/>
    <w:rsid w:val="00A07D6D"/>
    <w:rsid w:val="00A14845"/>
    <w:rsid w:val="00A1789B"/>
    <w:rsid w:val="00A24C36"/>
    <w:rsid w:val="00A26995"/>
    <w:rsid w:val="00A27B15"/>
    <w:rsid w:val="00A3057D"/>
    <w:rsid w:val="00A32D97"/>
    <w:rsid w:val="00A33C33"/>
    <w:rsid w:val="00A471FF"/>
    <w:rsid w:val="00A52C19"/>
    <w:rsid w:val="00A641AE"/>
    <w:rsid w:val="00A64487"/>
    <w:rsid w:val="00A733A7"/>
    <w:rsid w:val="00A90EA8"/>
    <w:rsid w:val="00AA4884"/>
    <w:rsid w:val="00AA5F85"/>
    <w:rsid w:val="00AB66B3"/>
    <w:rsid w:val="00AC0C92"/>
    <w:rsid w:val="00AC49D0"/>
    <w:rsid w:val="00AC5A69"/>
    <w:rsid w:val="00AC6F3F"/>
    <w:rsid w:val="00AD2903"/>
    <w:rsid w:val="00AD39DA"/>
    <w:rsid w:val="00AE06FF"/>
    <w:rsid w:val="00AE2167"/>
    <w:rsid w:val="00AF1CEF"/>
    <w:rsid w:val="00B219EC"/>
    <w:rsid w:val="00B47A1F"/>
    <w:rsid w:val="00B50A28"/>
    <w:rsid w:val="00B54D6C"/>
    <w:rsid w:val="00B570F3"/>
    <w:rsid w:val="00B70A87"/>
    <w:rsid w:val="00B71DD6"/>
    <w:rsid w:val="00B72A66"/>
    <w:rsid w:val="00B80814"/>
    <w:rsid w:val="00B95A75"/>
    <w:rsid w:val="00B978A0"/>
    <w:rsid w:val="00BA0725"/>
    <w:rsid w:val="00BC06E5"/>
    <w:rsid w:val="00BD6E52"/>
    <w:rsid w:val="00BF171D"/>
    <w:rsid w:val="00C1144B"/>
    <w:rsid w:val="00C12CAB"/>
    <w:rsid w:val="00C22321"/>
    <w:rsid w:val="00C227AA"/>
    <w:rsid w:val="00C22BC2"/>
    <w:rsid w:val="00C31ADB"/>
    <w:rsid w:val="00C433C3"/>
    <w:rsid w:val="00C470C9"/>
    <w:rsid w:val="00C5289A"/>
    <w:rsid w:val="00C60101"/>
    <w:rsid w:val="00C64722"/>
    <w:rsid w:val="00C66498"/>
    <w:rsid w:val="00C67B6D"/>
    <w:rsid w:val="00C70CE5"/>
    <w:rsid w:val="00C77AA5"/>
    <w:rsid w:val="00C83BE5"/>
    <w:rsid w:val="00C86681"/>
    <w:rsid w:val="00C918D5"/>
    <w:rsid w:val="00CA653D"/>
    <w:rsid w:val="00CB0C05"/>
    <w:rsid w:val="00CB6178"/>
    <w:rsid w:val="00CD0333"/>
    <w:rsid w:val="00CF0900"/>
    <w:rsid w:val="00CF381D"/>
    <w:rsid w:val="00D012AB"/>
    <w:rsid w:val="00D077BE"/>
    <w:rsid w:val="00D31E18"/>
    <w:rsid w:val="00D36727"/>
    <w:rsid w:val="00D37325"/>
    <w:rsid w:val="00D41ACE"/>
    <w:rsid w:val="00D43E3C"/>
    <w:rsid w:val="00D45B42"/>
    <w:rsid w:val="00D506B5"/>
    <w:rsid w:val="00D5547E"/>
    <w:rsid w:val="00D559FA"/>
    <w:rsid w:val="00D55DC2"/>
    <w:rsid w:val="00D72655"/>
    <w:rsid w:val="00D73B92"/>
    <w:rsid w:val="00D772ED"/>
    <w:rsid w:val="00D97129"/>
    <w:rsid w:val="00DA0A28"/>
    <w:rsid w:val="00DA3619"/>
    <w:rsid w:val="00DD1DE4"/>
    <w:rsid w:val="00DF094A"/>
    <w:rsid w:val="00DF2DF7"/>
    <w:rsid w:val="00DF5409"/>
    <w:rsid w:val="00DF71C8"/>
    <w:rsid w:val="00DF7E05"/>
    <w:rsid w:val="00E03C0C"/>
    <w:rsid w:val="00E0744A"/>
    <w:rsid w:val="00E12165"/>
    <w:rsid w:val="00E17783"/>
    <w:rsid w:val="00E20EE5"/>
    <w:rsid w:val="00E2578D"/>
    <w:rsid w:val="00E32E04"/>
    <w:rsid w:val="00E42994"/>
    <w:rsid w:val="00E43262"/>
    <w:rsid w:val="00E6244E"/>
    <w:rsid w:val="00E80306"/>
    <w:rsid w:val="00E86682"/>
    <w:rsid w:val="00EA1E54"/>
    <w:rsid w:val="00EB0D94"/>
    <w:rsid w:val="00EC6570"/>
    <w:rsid w:val="00EE7F6C"/>
    <w:rsid w:val="00F01208"/>
    <w:rsid w:val="00F06A3C"/>
    <w:rsid w:val="00F14642"/>
    <w:rsid w:val="00F15327"/>
    <w:rsid w:val="00F15645"/>
    <w:rsid w:val="00F25879"/>
    <w:rsid w:val="00F27621"/>
    <w:rsid w:val="00F41D4C"/>
    <w:rsid w:val="00F46AA0"/>
    <w:rsid w:val="00F56BC0"/>
    <w:rsid w:val="00F6168F"/>
    <w:rsid w:val="00F62DCD"/>
    <w:rsid w:val="00F702F0"/>
    <w:rsid w:val="00F74603"/>
    <w:rsid w:val="00F83726"/>
    <w:rsid w:val="00F963A5"/>
    <w:rsid w:val="00FD2BCA"/>
    <w:rsid w:val="00FE5D6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3A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
    <w:basedOn w:val="DefaultParagraphFont"/>
    <w:semiHidden/>
    <w:unhideWhenUsed/>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2A2C2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
    <w:basedOn w:val="DefaultParagraphFont"/>
    <w:semiHidden/>
    <w:unhideWhenUsed/>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2A2C2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11</Pages>
  <Words>3110</Words>
  <Characters>17732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Стела</dc:creator>
  <cp:lastModifiedBy>MEET</cp:lastModifiedBy>
  <cp:revision>85</cp:revision>
  <cp:lastPrinted>2015-04-30T10:45:00Z</cp:lastPrinted>
  <dcterms:created xsi:type="dcterms:W3CDTF">2015-05-04T11:49:00Z</dcterms:created>
  <dcterms:modified xsi:type="dcterms:W3CDTF">2019-09-18T11:56:00Z</dcterms:modified>
</cp:coreProperties>
</file>