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85F" w:rsidRPr="00624AB3" w:rsidRDefault="003B1E0D" w:rsidP="00D4785F">
      <w:pPr>
        <w:spacing w:before="450" w:after="100" w:afterAutospacing="1" w:line="240" w:lineRule="auto"/>
        <w:jc w:val="right"/>
        <w:outlineLvl w:val="2"/>
        <w:rPr>
          <w:rFonts w:ascii="Verdana" w:eastAsia="Times New Roman" w:hAnsi="Verdana" w:cs="Times New Roman"/>
          <w:b/>
          <w:bCs/>
          <w:i/>
          <w:color w:val="000000"/>
          <w:sz w:val="20"/>
          <w:szCs w:val="20"/>
          <w:lang w:eastAsia="bg-BG"/>
        </w:rPr>
      </w:pPr>
      <w:r>
        <w:rPr>
          <w:rFonts w:ascii="Verdana" w:eastAsia="Times New Roman" w:hAnsi="Verdana" w:cs="Times New Roman"/>
          <w:b/>
          <w:bCs/>
          <w:i/>
          <w:color w:val="000000"/>
          <w:sz w:val="20"/>
          <w:szCs w:val="20"/>
          <w:lang w:eastAsia="bg-BG"/>
        </w:rPr>
        <w:t xml:space="preserve">Приложение </w:t>
      </w:r>
      <w:r w:rsidR="00832F1E">
        <w:rPr>
          <w:rFonts w:ascii="Verdana" w:eastAsia="Times New Roman" w:hAnsi="Verdana" w:cs="Times New Roman"/>
          <w:b/>
          <w:bCs/>
          <w:i/>
          <w:color w:val="000000"/>
          <w:sz w:val="20"/>
          <w:szCs w:val="20"/>
          <w:lang w:eastAsia="bg-BG"/>
        </w:rPr>
        <w:t>16</w:t>
      </w: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084723" w:rsidRPr="00AF1339" w:rsidTr="00072438">
        <w:trPr>
          <w:trHeight w:val="684"/>
        </w:trPr>
        <w:tc>
          <w:tcPr>
            <w:tcW w:w="3276" w:type="dxa"/>
          </w:tcPr>
          <w:p w:rsidR="00084723" w:rsidRPr="00AF1339" w:rsidRDefault="00084723" w:rsidP="00072438">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0A77056C" wp14:editId="1317AB19">
                  <wp:simplePos x="0" y="0"/>
                  <wp:positionH relativeFrom="column">
                    <wp:posOffset>445770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5" cstate="print">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tc>
        <w:tc>
          <w:tcPr>
            <w:tcW w:w="3354" w:type="dxa"/>
          </w:tcPr>
          <w:p w:rsidR="00084723" w:rsidRPr="00AF1339" w:rsidRDefault="00084723" w:rsidP="00072438">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0E0B8DAA" wp14:editId="6C467358">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D4785F" w:rsidRPr="00D4785F" w:rsidRDefault="00812932"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bookmarkStart w:id="0" w:name="_GoBack"/>
      <w:bookmarkEnd w:id="0"/>
      <w:r>
        <w:rPr>
          <w:rFonts w:ascii="Verdana" w:eastAsia="Times New Roman" w:hAnsi="Verdana" w:cs="Times New Roman"/>
          <w:b/>
          <w:bCs/>
          <w:color w:val="000000"/>
          <w:sz w:val="20"/>
          <w:szCs w:val="20"/>
          <w:lang w:eastAsia="bg-BG"/>
        </w:rPr>
        <w:t>ПРИЛОЖЕНИЕ</w:t>
      </w:r>
      <w:r w:rsidR="00D4785F" w:rsidRPr="00D4785F">
        <w:rPr>
          <w:rFonts w:ascii="Verdana" w:eastAsia="Times New Roman" w:hAnsi="Verdana" w:cs="Times New Roman"/>
          <w:b/>
          <w:bCs/>
          <w:color w:val="000000"/>
          <w:sz w:val="20"/>
          <w:szCs w:val="20"/>
          <w:lang w:eastAsia="bg-BG"/>
        </w:rPr>
        <w:t xml:space="preserve"> I</w:t>
      </w:r>
      <w:r>
        <w:rPr>
          <w:rFonts w:ascii="Verdana" w:eastAsia="Times New Roman" w:hAnsi="Verdana" w:cs="Times New Roman"/>
          <w:b/>
          <w:bCs/>
          <w:color w:val="000000"/>
          <w:sz w:val="20"/>
          <w:szCs w:val="20"/>
          <w:lang w:eastAsia="bg-BG"/>
        </w:rPr>
        <w:t xml:space="preserve"> КЪМ</w:t>
      </w:r>
      <w:r w:rsidR="00D4785F" w:rsidRPr="00D4785F">
        <w:rPr>
          <w:b/>
        </w:rPr>
        <w:t xml:space="preserve">  </w:t>
      </w:r>
      <w:r w:rsidR="00D4785F" w:rsidRPr="00D4785F">
        <w:rPr>
          <w:rFonts w:ascii="Verdana" w:eastAsia="Times New Roman" w:hAnsi="Verdana" w:cs="Times New Roman"/>
          <w:b/>
          <w:bCs/>
          <w:color w:val="000000"/>
          <w:sz w:val="20"/>
          <w:szCs w:val="20"/>
          <w:lang w:eastAsia="bg-BG"/>
        </w:rPr>
        <w:t>ДИРЕКТИВА 2003/87/ЕО НА ЕВРОПЕЙСКИЯ ПАРЛАМЕНТ И НА СЪВЕТА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от 13 октомври 2003 година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за установяване на схема за търговия с квоти за емисии на парникови газове в рамките на Общността и за изменение на Директива 96/61/ЕО на Съвета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bookmarkStart w:id="1" w:name="to_paragraph_id5761870"/>
      <w:bookmarkEnd w:id="1"/>
      <w:r w:rsidRPr="00D4785F">
        <w:rPr>
          <w:rFonts w:ascii="Verdana" w:eastAsia="Times New Roman" w:hAnsi="Verdana" w:cs="Times New Roman"/>
          <w:bCs/>
          <w:color w:val="000000"/>
          <w:sz w:val="20"/>
          <w:szCs w:val="20"/>
          <w:lang w:eastAsia="bg-BG"/>
        </w:rPr>
        <w:t>КАТЕГОРИИ ДЕЙНОСТИ, ЗА КОИТО СЕ ПРИЛАГА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1. Инсталациите или частите от инсталации, които се използват за изследване, разработване и изпитване на нови продукти и процеси, и инсталации, които използват изключително биомаса, не влизат в приложното поле на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3. Когато се изчислява общата номинална топлинна мощност на инсталация, за да се вземе решение дали да бъде включена в схемата на Общността, се сумират номиналните топлинни мощности на всички технически съоръжения, които са част от нея и в които горивата се изгарят в инсталацията. Тези съоръжения биха могли да включват всички видове парни котли, факелни тръби, турбини, нагреватели, топилни, </w:t>
      </w:r>
      <w:proofErr w:type="spellStart"/>
      <w:r w:rsidRPr="00D4785F">
        <w:rPr>
          <w:rFonts w:ascii="Verdana" w:eastAsia="Times New Roman" w:hAnsi="Verdana" w:cs="Times New Roman"/>
          <w:color w:val="000000"/>
          <w:sz w:val="20"/>
          <w:szCs w:val="20"/>
          <w:lang w:eastAsia="bg-BG"/>
        </w:rPr>
        <w:t>инсинератори</w:t>
      </w:r>
      <w:proofErr w:type="spellEnd"/>
      <w:r w:rsidRPr="00D4785F">
        <w:rPr>
          <w:rFonts w:ascii="Verdana" w:eastAsia="Times New Roman" w:hAnsi="Verdana" w:cs="Times New Roman"/>
          <w:color w:val="000000"/>
          <w:sz w:val="20"/>
          <w:szCs w:val="20"/>
          <w:lang w:eastAsia="bg-BG"/>
        </w:rPr>
        <w:t>, пещи за калциниране, пещи за изпичане, пещи, сушилни, двигатели, горивни клетки, съоръжения за циклично химическо изгаряне, запалителни устройства и термични или каталитични съоръжения за доизгаряне. Съоръжения с обща номинална топлинна мощност под 3 MW и съоръжения, които използват изключително биомаса, не се вземат предвид за целите на настоящото изчисление. „Съоръжения, които използват изключително биомаса" включват съоръжения, които използват изкопаеми горива само при пускане или спиране на съоръжението.</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схемата на Общността.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p>
    <w:tbl>
      <w:tblPr>
        <w:tblW w:w="10204" w:type="dxa"/>
        <w:tblCellMar>
          <w:left w:w="0" w:type="dxa"/>
          <w:right w:w="0" w:type="dxa"/>
        </w:tblCellMar>
        <w:tblLook w:val="04A0" w:firstRow="1" w:lastRow="0" w:firstColumn="1" w:lastColumn="0" w:noHBand="0" w:noVBand="1"/>
      </w:tblPr>
      <w:tblGrid>
        <w:gridCol w:w="7695"/>
        <w:gridCol w:w="2509"/>
      </w:tblGrid>
      <w:tr w:rsidR="00D4785F" w:rsidRPr="00D4785F" w:rsidTr="00D4785F">
        <w:trPr>
          <w:trHeight w:val="23"/>
        </w:trPr>
        <w:tc>
          <w:tcPr>
            <w:tcW w:w="769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Дейности</w:t>
            </w:r>
          </w:p>
        </w:tc>
        <w:tc>
          <w:tcPr>
            <w:tcW w:w="250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Парникови газове</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Изгаряне на горива в инсталации с обща номинална топлинна мощност,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превишаваща 20 MW (с изключение на изгарянето в инсталации за изгаряне на опасни или твърди битови отпадъци)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Рафиниране на минерални масла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кокс</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Пържене и агломерация, включително гранулиране, на метална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(включително </w:t>
            </w:r>
            <w:proofErr w:type="spellStart"/>
            <w:r w:rsidRPr="00D4785F">
              <w:rPr>
                <w:rFonts w:ascii="Verdana" w:eastAsia="Times New Roman" w:hAnsi="Verdana" w:cs="Times New Roman"/>
                <w:color w:val="000000"/>
                <w:sz w:val="18"/>
                <w:szCs w:val="18"/>
                <w:lang w:eastAsia="bg-BG"/>
              </w:rPr>
              <w:t>сулфидна</w:t>
            </w:r>
            <w:proofErr w:type="spellEnd"/>
            <w:r w:rsidRPr="00D4785F">
              <w:rPr>
                <w:rFonts w:ascii="Verdana" w:eastAsia="Times New Roman" w:hAnsi="Verdana" w:cs="Times New Roman"/>
                <w:color w:val="000000"/>
                <w:sz w:val="18"/>
                <w:szCs w:val="18"/>
                <w:lang w:eastAsia="bg-BG"/>
              </w:rPr>
              <w:t xml:space="preserve">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чугун или стомана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(първично или вторично стапяне), включително непрекъснато леене с капацитет, превишаващ 2,5 тона за час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черни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proofErr w:type="spellStart"/>
            <w:r w:rsidRPr="00D4785F">
              <w:rPr>
                <w:rFonts w:ascii="Verdana" w:eastAsia="Times New Roman" w:hAnsi="Verdana" w:cs="Times New Roman"/>
                <w:color w:val="000000"/>
                <w:sz w:val="18"/>
                <w:szCs w:val="18"/>
                <w:lang w:eastAsia="bg-BG"/>
              </w:rPr>
              <w:t>феросплави</w:t>
            </w:r>
            <w:proofErr w:type="spellEnd"/>
            <w:r w:rsidRPr="00D4785F">
              <w:rPr>
                <w:rFonts w:ascii="Verdana" w:eastAsia="Times New Roman" w:hAnsi="Verdana" w:cs="Times New Roman"/>
                <w:color w:val="000000"/>
                <w:sz w:val="18"/>
                <w:szCs w:val="18"/>
                <w:lang w:eastAsia="bg-BG"/>
              </w:rPr>
              <w:t xml:space="preserve">) в случай на използване на горивни съоръжения с обща номинална топлинна мощност, превишаваща 20 MW. Преработката включва, </w:t>
            </w:r>
            <w:proofErr w:type="spellStart"/>
            <w:r w:rsidRPr="00D4785F">
              <w:rPr>
                <w:rFonts w:ascii="Verdana" w:eastAsia="Times New Roman" w:hAnsi="Verdana" w:cs="Times New Roman"/>
                <w:i/>
                <w:iCs/>
                <w:color w:val="000000"/>
                <w:sz w:val="18"/>
                <w:szCs w:val="18"/>
                <w:lang w:eastAsia="bg-BG"/>
              </w:rPr>
              <w:t>inter</w:t>
            </w:r>
            <w:proofErr w:type="spellEnd"/>
            <w:r w:rsidRPr="00D4785F">
              <w:rPr>
                <w:rFonts w:ascii="Verdana" w:eastAsia="Times New Roman" w:hAnsi="Verdana" w:cs="Times New Roman"/>
                <w:i/>
                <w:iCs/>
                <w:color w:val="000000"/>
                <w:sz w:val="18"/>
                <w:szCs w:val="18"/>
                <w:lang w:eastAsia="bg-BG"/>
              </w:rPr>
              <w:t xml:space="preserve"> </w:t>
            </w:r>
            <w:proofErr w:type="spellStart"/>
            <w:r w:rsidRPr="00D4785F">
              <w:rPr>
                <w:rFonts w:ascii="Verdana" w:eastAsia="Times New Roman" w:hAnsi="Verdana" w:cs="Times New Roman"/>
                <w:i/>
                <w:iCs/>
                <w:color w:val="000000"/>
                <w:sz w:val="18"/>
                <w:szCs w:val="18"/>
                <w:lang w:eastAsia="bg-BG"/>
              </w:rPr>
              <w:t>alia</w:t>
            </w:r>
            <w:proofErr w:type="spellEnd"/>
            <w:r w:rsidRPr="00D4785F">
              <w:rPr>
                <w:rFonts w:ascii="Verdana" w:eastAsia="Times New Roman" w:hAnsi="Verdana" w:cs="Times New Roman"/>
                <w:color w:val="000000"/>
                <w:sz w:val="18"/>
                <w:szCs w:val="18"/>
                <w:lang w:eastAsia="bg-BG"/>
              </w:rPr>
              <w:t xml:space="preserve">, </w:t>
            </w:r>
            <w:proofErr w:type="spellStart"/>
            <w:r w:rsidRPr="00D4785F">
              <w:rPr>
                <w:rFonts w:ascii="Verdana" w:eastAsia="Times New Roman" w:hAnsi="Verdana" w:cs="Times New Roman"/>
                <w:color w:val="000000"/>
                <w:sz w:val="18"/>
                <w:szCs w:val="18"/>
                <w:lang w:eastAsia="bg-BG"/>
              </w:rPr>
              <w:t>прокатни</w:t>
            </w:r>
            <w:proofErr w:type="spellEnd"/>
            <w:r w:rsidRPr="00D4785F">
              <w:rPr>
                <w:rFonts w:ascii="Verdana" w:eastAsia="Times New Roman" w:hAnsi="Verdana" w:cs="Times New Roman"/>
                <w:color w:val="000000"/>
                <w:sz w:val="18"/>
                <w:szCs w:val="18"/>
                <w:lang w:eastAsia="bg-BG"/>
              </w:rPr>
              <w:t xml:space="preserve"> станове, междинни </w:t>
            </w:r>
            <w:proofErr w:type="spellStart"/>
            <w:r w:rsidRPr="00D4785F">
              <w:rPr>
                <w:rFonts w:ascii="Verdana" w:eastAsia="Times New Roman" w:hAnsi="Verdana" w:cs="Times New Roman"/>
                <w:color w:val="000000"/>
                <w:sz w:val="18"/>
                <w:szCs w:val="18"/>
                <w:lang w:eastAsia="bg-BG"/>
              </w:rPr>
              <w:t>подгреватели</w:t>
            </w:r>
            <w:proofErr w:type="spellEnd"/>
            <w:r w:rsidRPr="00D4785F">
              <w:rPr>
                <w:rFonts w:ascii="Verdana" w:eastAsia="Times New Roman" w:hAnsi="Verdana" w:cs="Times New Roman"/>
                <w:color w:val="000000"/>
                <w:sz w:val="18"/>
                <w:szCs w:val="18"/>
                <w:lang w:eastAsia="bg-BG"/>
              </w:rPr>
              <w:t>, пещи за отвръщане, ковашки цехове, леярни, цехове за нанасяне на покритие и байцване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първичен алуминий</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Въглероден диоксид и </w:t>
            </w:r>
            <w:proofErr w:type="spellStart"/>
            <w:r w:rsidRPr="00D4785F">
              <w:rPr>
                <w:rFonts w:ascii="Verdana" w:eastAsia="Times New Roman" w:hAnsi="Verdana" w:cs="Times New Roman"/>
                <w:color w:val="000000"/>
                <w:sz w:val="18"/>
                <w:szCs w:val="18"/>
                <w:lang w:eastAsia="bg-BG"/>
              </w:rPr>
              <w:t>перфлуоровъглероди</w:t>
            </w:r>
            <w:proofErr w:type="spellEnd"/>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вторичен алуминий при използването на горивни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цветни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циментен </w:t>
            </w:r>
            <w:proofErr w:type="spellStart"/>
            <w:r w:rsidRPr="00D4785F">
              <w:rPr>
                <w:rFonts w:ascii="Verdana" w:eastAsia="Times New Roman" w:hAnsi="Verdana" w:cs="Times New Roman"/>
                <w:color w:val="000000"/>
                <w:sz w:val="18"/>
                <w:szCs w:val="18"/>
                <w:lang w:eastAsia="bg-BG"/>
              </w:rPr>
              <w:t>клинкер</w:t>
            </w:r>
            <w:proofErr w:type="spellEnd"/>
            <w:r w:rsidRPr="00D4785F">
              <w:rPr>
                <w:rFonts w:ascii="Verdana" w:eastAsia="Times New Roman" w:hAnsi="Verdana" w:cs="Times New Roman"/>
                <w:color w:val="000000"/>
                <w:sz w:val="18"/>
                <w:szCs w:val="18"/>
                <w:lang w:eastAsia="bg-BG"/>
              </w:rPr>
              <w:t xml:space="preserve"> в ротационни пещи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производствен капацитет над 500 тона дневно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варовик или калциниране на доломит и магнезит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 ротационни пещи за изпичане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стъкло, включително стъклени влакна,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топилен капацитет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Изработване на керамични продукти чрез изпичане, по-конкретно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покривни керемиди, тухли, огнеупорни тухли, плочи, </w:t>
            </w:r>
            <w:proofErr w:type="spellStart"/>
            <w:r w:rsidRPr="00D4785F">
              <w:rPr>
                <w:rFonts w:ascii="Verdana" w:eastAsia="Times New Roman" w:hAnsi="Verdana" w:cs="Times New Roman"/>
                <w:color w:val="000000"/>
                <w:sz w:val="18"/>
                <w:szCs w:val="18"/>
                <w:lang w:eastAsia="bg-BG"/>
              </w:rPr>
              <w:t>каменинови</w:t>
            </w:r>
            <w:proofErr w:type="spellEnd"/>
            <w:r w:rsidRPr="00D4785F">
              <w:rPr>
                <w:rFonts w:ascii="Verdana" w:eastAsia="Times New Roman" w:hAnsi="Verdana" w:cs="Times New Roman"/>
                <w:color w:val="000000"/>
                <w:sz w:val="18"/>
                <w:szCs w:val="18"/>
                <w:lang w:eastAsia="bg-BG"/>
              </w:rPr>
              <w:t xml:space="preserve"> или порцеланови изделия, с производствен капацитет над 75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изолационни материали от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минерална вата с използване на стъкло, камък или шлака, с капацитет на топене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Сушене или калциниране на гипс или производство на гипсови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плоскости и други продукти от гипс, в случай на използване на горивни съоръжения с обща номинална топлинна мощност,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целулозен пулп от дървесина или сходни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влакнести материали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хартия или картон с производствен капацитет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сажди с карбонизиране на органични вещества. като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масла, катран, остатъци от крекинг и дестилация, в случай на използване на 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азотна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адипинова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глиоксалова</w:t>
            </w:r>
            <w:proofErr w:type="spellEnd"/>
            <w:r w:rsidRPr="00D4785F">
              <w:rPr>
                <w:rFonts w:ascii="Verdana" w:eastAsia="Times New Roman" w:hAnsi="Verdana" w:cs="Times New Roman"/>
                <w:color w:val="000000"/>
                <w:sz w:val="18"/>
                <w:szCs w:val="18"/>
                <w:lang w:eastAsia="bg-BG"/>
              </w:rPr>
              <w:t xml:space="preserve"> и </w:t>
            </w:r>
            <w:proofErr w:type="spellStart"/>
            <w:r w:rsidRPr="00D4785F">
              <w:rPr>
                <w:rFonts w:ascii="Verdana" w:eastAsia="Times New Roman" w:hAnsi="Verdana" w:cs="Times New Roman"/>
                <w:color w:val="000000"/>
                <w:sz w:val="18"/>
                <w:szCs w:val="18"/>
                <w:lang w:eastAsia="bg-BG"/>
              </w:rPr>
              <w:t>глиоксилова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амоняк</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органични химически вещества в насипно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наливно състояние чрез крекинг,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частично или пълно окисляване или чрез подобни процеси, с производствен капацитет, превишаващ 100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водород (H</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 xml:space="preserve">) и синтетичен газ чрез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частично окисляване, с производствен капацитет, превишаващ 25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калцинирана сода(Na</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 и на натриев</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бикарбонат (NaHCO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Улавяне на парникови газове от инсталации, попадащи в приложното </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w:t>
            </w:r>
            <w:hyperlink r:id="rId7"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Пренос на парникови газове чрез тръбопроводи с цел съхранение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геоложки формации на места за съхранение, за които е издадено разрешение за това в съответствие с </w:t>
            </w:r>
            <w:hyperlink r:id="rId8"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Съхранение на парникови газове в геоложки формации на места за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съхранение, за които е издадено разрешение за това в съответствие с </w:t>
            </w:r>
            <w:hyperlink r:id="rId9"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Въздухоплаване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 които заминават от или пристигат на летище, разположено на територията на държава-членка, за която се прилага Договорът.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Тази дейност не включва: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 военни полети, извършвани от военни въздухоплавателни средства, и полети на митническите и полицейските служби;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полети, свързани с </w:t>
            </w:r>
            <w:proofErr w:type="spellStart"/>
            <w:r w:rsidRPr="00D4785F">
              <w:rPr>
                <w:rFonts w:ascii="Verdana" w:eastAsia="Times New Roman" w:hAnsi="Verdana" w:cs="Times New Roman"/>
                <w:color w:val="000000"/>
                <w:sz w:val="18"/>
                <w:szCs w:val="18"/>
                <w:lang w:eastAsia="bg-BG"/>
              </w:rPr>
              <w:t>издирвателни</w:t>
            </w:r>
            <w:proofErr w:type="spellEnd"/>
            <w:r w:rsidRPr="00D4785F">
              <w:rPr>
                <w:rFonts w:ascii="Verdana" w:eastAsia="Times New Roman" w:hAnsi="Verdana" w:cs="Times New Roman"/>
                <w:color w:val="000000"/>
                <w:sz w:val="18"/>
                <w:szCs w:val="18"/>
                <w:lang w:eastAsia="bg-BG"/>
              </w:rPr>
              <w:t xml:space="preserve">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г) всички полети, извършвани изключително по правилата за визуални полети, както са определени в </w:t>
            </w:r>
            <w:hyperlink r:id="rId10" w:history="1">
              <w:r w:rsidRPr="00D4785F">
                <w:rPr>
                  <w:rFonts w:ascii="Verdana" w:eastAsia="Times New Roman" w:hAnsi="Verdana" w:cs="Times New Roman"/>
                  <w:color w:val="000000"/>
                  <w:sz w:val="18"/>
                  <w:szCs w:val="18"/>
                  <w:lang w:eastAsia="bg-BG"/>
                </w:rPr>
                <w:t>приложение 2 към Чикагската конвенция;</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з) полети, извършвани от въздухоплавателни средства с удостоверено максимално тегло при излитане, по-малко от 5 700 </w:t>
            </w:r>
            <w:proofErr w:type="spellStart"/>
            <w:r w:rsidRPr="00D4785F">
              <w:rPr>
                <w:rFonts w:ascii="Verdana" w:eastAsia="Times New Roman" w:hAnsi="Verdana" w:cs="Times New Roman"/>
                <w:color w:val="000000"/>
                <w:sz w:val="18"/>
                <w:szCs w:val="18"/>
                <w:lang w:eastAsia="bg-BG"/>
              </w:rPr>
              <w:t>kg</w:t>
            </w:r>
            <w:proofErr w:type="spellEnd"/>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и) полети, извършвани в рамките на задължения за предоставяне на обществени услуги, наложени в съответствие с </w:t>
            </w:r>
            <w:hyperlink r:id="rId11" w:history="1">
              <w:r w:rsidRPr="00D4785F">
                <w:rPr>
                  <w:rFonts w:ascii="Verdana" w:eastAsia="Times New Roman" w:hAnsi="Verdana" w:cs="Times New Roman"/>
                  <w:color w:val="000000"/>
                  <w:sz w:val="18"/>
                  <w:szCs w:val="18"/>
                  <w:lang w:eastAsia="bg-BG"/>
                </w:rPr>
                <w:t>Регламент (ЕИО) № 2408/92</w:t>
              </w:r>
            </w:hyperlink>
            <w:r w:rsidRPr="00D4785F">
              <w:rPr>
                <w:rFonts w:ascii="Verdana" w:eastAsia="Times New Roman" w:hAnsi="Verdana" w:cs="Times New Roman"/>
                <w:color w:val="000000"/>
                <w:sz w:val="18"/>
                <w:szCs w:val="18"/>
                <w:lang w:eastAsia="bg-BG"/>
              </w:rPr>
              <w:t xml:space="preserve">, по маршрути в най-отдалечените региони, определени в </w:t>
            </w:r>
            <w:hyperlink r:id="rId12" w:history="1">
              <w:r w:rsidRPr="00D4785F">
                <w:rPr>
                  <w:rFonts w:ascii="Verdana" w:eastAsia="Times New Roman" w:hAnsi="Verdana" w:cs="Times New Roman"/>
                  <w:color w:val="000000"/>
                  <w:sz w:val="18"/>
                  <w:szCs w:val="18"/>
                  <w:lang w:eastAsia="bg-BG"/>
                </w:rPr>
                <w:t>член 299, параграф 2 от Договора</w:t>
              </w:r>
            </w:hyperlink>
            <w:r w:rsidRPr="00D4785F">
              <w:rPr>
                <w:rFonts w:ascii="Verdana" w:eastAsia="Times New Roman" w:hAnsi="Verdana" w:cs="Times New Roman"/>
                <w:color w:val="000000"/>
                <w:sz w:val="18"/>
                <w:szCs w:val="18"/>
                <w:lang w:eastAsia="bg-BG"/>
              </w:rPr>
              <w:t>, или по маршрути, при които предложеният капацитет не надвишава 30 000 места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по-малко от 243 полета за период от три последователни четиримесечия,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полети с общи годишни емисии под 10 000 тона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Полетите, извършвани единствено за превозване по официален повод на управляващ монарх и най-близките му роднини, на държавни ръководители, правителствени ръководители и министри на държави-членки, не могат да бъдат изключени по настоящата буква; 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к) от 1 януари 2013 г. до 31 декември 2020 г. полети, които при отсъствие на настоящата буква биха попаднали в тази дейност и които се извършват от нетърговски оператор на въздухоплавателни средства, извършващ полети с общи годишни емисии под 1 000 тона на година. </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bl>
    <w:p w:rsidR="00D4785F" w:rsidRPr="00D4785F" w:rsidRDefault="00D4785F" w:rsidP="00801D5B">
      <w:pPr>
        <w:spacing w:after="0" w:line="240" w:lineRule="auto"/>
        <w:jc w:val="both"/>
        <w:rPr>
          <w:rFonts w:ascii="Verdana" w:eastAsia="Times New Roman" w:hAnsi="Verdana" w:cs="Times New Roman"/>
          <w:color w:val="000000"/>
          <w:sz w:val="24"/>
          <w:szCs w:val="24"/>
          <w:lang w:eastAsia="bg-BG"/>
        </w:rPr>
      </w:pPr>
    </w:p>
    <w:p w:rsidR="009757DB" w:rsidRDefault="00014ED7"/>
    <w:sectPr w:rsidR="00975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72"/>
    <w:rsid w:val="00014ED7"/>
    <w:rsid w:val="00084723"/>
    <w:rsid w:val="003B1E0D"/>
    <w:rsid w:val="00624AB3"/>
    <w:rsid w:val="00683972"/>
    <w:rsid w:val="007C5123"/>
    <w:rsid w:val="00801D5B"/>
    <w:rsid w:val="00812932"/>
    <w:rsid w:val="00832F1E"/>
    <w:rsid w:val="00A17158"/>
    <w:rsid w:val="00A30F00"/>
    <w:rsid w:val="00C03145"/>
    <w:rsid w:val="00D478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454032">
      <w:bodyDiv w:val="1"/>
      <w:marLeft w:val="0"/>
      <w:marRight w:val="0"/>
      <w:marTop w:val="0"/>
      <w:marBottom w:val="0"/>
      <w:divBdr>
        <w:top w:val="none" w:sz="0" w:space="0" w:color="auto"/>
        <w:left w:val="none" w:sz="0" w:space="0" w:color="auto"/>
        <w:bottom w:val="none" w:sz="0" w:space="0" w:color="auto"/>
        <w:right w:val="none" w:sz="0" w:space="0" w:color="auto"/>
      </w:divBdr>
      <w:divsChild>
        <w:div w:id="1582522177">
          <w:marLeft w:val="0"/>
          <w:marRight w:val="0"/>
          <w:marTop w:val="150"/>
          <w:marBottom w:val="0"/>
          <w:divBdr>
            <w:top w:val="single" w:sz="6" w:space="0" w:color="FFFFFF"/>
            <w:left w:val="single" w:sz="6" w:space="0" w:color="FFFFFF"/>
            <w:bottom w:val="single" w:sz="6" w:space="0" w:color="FFFFFF"/>
            <w:right w:val="single" w:sz="6" w:space="0" w:color="FFFFFF"/>
          </w:divBdr>
        </w:div>
        <w:div w:id="49650306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9L0031&amp;Type=2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APEV&amp;CELEX=32009L0031&amp;Type=201/" TargetMode="External"/><Relationship Id="rId12" Type="http://schemas.openxmlformats.org/officeDocument/2006/relationships/hyperlink" Target="apis://Base=APEV&amp;CELEX=11957E&amp;ToPar=Art299_Par2&amp;Type=2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apis://Base=APEV&amp;CELEX=31992R2408&amp;Type=201/" TargetMode="External"/><Relationship Id="rId5" Type="http://schemas.openxmlformats.org/officeDocument/2006/relationships/image" Target="media/image1.jpeg"/><Relationship Id="rId10" Type="http://schemas.openxmlformats.org/officeDocument/2006/relationships/hyperlink" Target="apis://Base=NARH&amp;DocCode=21028&amp;ToPar=Ann2&amp;Type=201/" TargetMode="External"/><Relationship Id="rId4" Type="http://schemas.openxmlformats.org/officeDocument/2006/relationships/webSettings" Target="webSettings.xml"/><Relationship Id="rId9" Type="http://schemas.openxmlformats.org/officeDocument/2006/relationships/hyperlink" Target="apis://Base=APEV&amp;CELEX=32009L0031&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1517</Words>
  <Characters>8650</Characters>
  <Application>Microsoft Office Word</Application>
  <DocSecurity>0</DocSecurity>
  <Lines>72</Lines>
  <Paragraphs>20</Paragraphs>
  <ScaleCrop>false</ScaleCrop>
  <Company/>
  <LinksUpToDate>false</LinksUpToDate>
  <CharactersWithSpaces>10147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mee</cp:lastModifiedBy>
  <cp:revision>12</cp:revision>
  <dcterms:created xsi:type="dcterms:W3CDTF">2016-02-02T10:18:00Z</dcterms:created>
  <dcterms:modified xsi:type="dcterms:W3CDTF">2020-01-15T09:38:00Z</dcterms:modified>
</cp:coreProperties>
</file>