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97E" w:rsidRPr="00C40B2F" w:rsidRDefault="0049597E" w:rsidP="0049597E">
      <w:pPr>
        <w:spacing w:after="60"/>
        <w:rPr>
          <w:rFonts w:eastAsia="Times New Roman" w:cstheme="minorHAnsi"/>
          <w:b/>
          <w:snapToGrid w:val="0"/>
          <w:sz w:val="24"/>
          <w:szCs w:val="24"/>
        </w:rPr>
      </w:pPr>
    </w:p>
    <w:p w:rsidR="00F70FBC" w:rsidRPr="00C40B2F" w:rsidRDefault="00F70FBC" w:rsidP="0049597E">
      <w:pPr>
        <w:spacing w:after="60"/>
        <w:rPr>
          <w:rFonts w:eastAsia="Times New Roman" w:cstheme="minorHAnsi"/>
          <w:b/>
          <w:snapToGrid w:val="0"/>
          <w:sz w:val="24"/>
          <w:szCs w:val="24"/>
        </w:rPr>
      </w:pPr>
    </w:p>
    <w:p w:rsidR="0049597E" w:rsidRPr="00C40B2F" w:rsidRDefault="0049597E" w:rsidP="0049597E">
      <w:pPr>
        <w:spacing w:after="60"/>
        <w:jc w:val="center"/>
        <w:rPr>
          <w:rFonts w:cstheme="minorHAnsi"/>
          <w:b/>
          <w:sz w:val="24"/>
          <w:szCs w:val="24"/>
        </w:rPr>
      </w:pPr>
      <w:r w:rsidRPr="00C40B2F">
        <w:rPr>
          <w:rFonts w:eastAsia="Times New Roman" w:cstheme="minorHAnsi"/>
          <w:b/>
          <w:snapToGrid w:val="0"/>
          <w:sz w:val="24"/>
          <w:szCs w:val="24"/>
        </w:rPr>
        <w:t>МИНИСТЕРСТВО НА ИКОНОМИКАТА</w:t>
      </w:r>
    </w:p>
    <w:p w:rsidR="0049597E" w:rsidRPr="00C40B2F" w:rsidRDefault="0049597E" w:rsidP="0049597E">
      <w:pPr>
        <w:spacing w:after="120" w:line="240" w:lineRule="auto"/>
        <w:jc w:val="center"/>
        <w:rPr>
          <w:b/>
          <w:sz w:val="28"/>
          <w:szCs w:val="28"/>
        </w:rPr>
      </w:pPr>
    </w:p>
    <w:p w:rsidR="0049597E" w:rsidRPr="00C40B2F" w:rsidRDefault="0049597E" w:rsidP="0049597E">
      <w:pPr>
        <w:spacing w:after="0" w:line="240" w:lineRule="auto"/>
        <w:jc w:val="center"/>
        <w:rPr>
          <w:b/>
          <w:sz w:val="28"/>
          <w:szCs w:val="28"/>
        </w:rPr>
      </w:pPr>
    </w:p>
    <w:p w:rsidR="0049597E" w:rsidRPr="00C40B2F" w:rsidRDefault="0049597E" w:rsidP="0049597E">
      <w:pPr>
        <w:spacing w:after="0" w:line="240" w:lineRule="auto"/>
        <w:jc w:val="center"/>
        <w:rPr>
          <w:rFonts w:ascii="Calibri" w:eastAsia="Calibri" w:hAnsi="Calibri" w:cs="Times New Roman"/>
          <w:b/>
          <w:sz w:val="28"/>
          <w:szCs w:val="28"/>
        </w:rPr>
      </w:pPr>
      <w:r w:rsidRPr="00C40B2F">
        <w:rPr>
          <w:rFonts w:ascii="Calibri" w:eastAsia="Calibri" w:hAnsi="Calibri" w:cs="Times New Roman"/>
          <w:b/>
          <w:sz w:val="28"/>
          <w:szCs w:val="28"/>
        </w:rPr>
        <w:t>УСЛОВИЯ ЗА КАНДИДАТСТВАНЕ</w:t>
      </w:r>
    </w:p>
    <w:p w:rsidR="0049597E" w:rsidRPr="00C40B2F" w:rsidRDefault="0049597E" w:rsidP="0049597E">
      <w:pPr>
        <w:spacing w:after="0"/>
        <w:jc w:val="center"/>
        <w:rPr>
          <w:b/>
          <w:sz w:val="28"/>
          <w:szCs w:val="28"/>
        </w:rPr>
      </w:pPr>
      <w:r w:rsidRPr="00C40B2F">
        <w:rPr>
          <w:rFonts w:ascii="Calibri" w:eastAsia="Calibri" w:hAnsi="Calibri" w:cs="Times New Roman"/>
          <w:b/>
          <w:sz w:val="28"/>
          <w:szCs w:val="28"/>
        </w:rPr>
        <w:t>с проектни предложения за предоставяне на безвъзмездна финансова помощ по</w:t>
      </w:r>
      <w:r w:rsidRPr="00C40B2F" w:rsidDel="00352D2A">
        <w:rPr>
          <w:b/>
          <w:sz w:val="28"/>
          <w:szCs w:val="28"/>
        </w:rPr>
        <w:t xml:space="preserve"> </w:t>
      </w:r>
    </w:p>
    <w:p w:rsidR="0049597E" w:rsidRPr="00C40B2F" w:rsidRDefault="0049597E" w:rsidP="0049597E">
      <w:pPr>
        <w:spacing w:after="60"/>
        <w:jc w:val="center"/>
        <w:rPr>
          <w:rFonts w:eastAsia="Times New Roman" w:cstheme="minorHAnsi"/>
          <w:b/>
          <w:snapToGrid w:val="0"/>
          <w:sz w:val="28"/>
          <w:szCs w:val="24"/>
        </w:rPr>
      </w:pPr>
      <w:r w:rsidRPr="00C40B2F">
        <w:rPr>
          <w:rFonts w:eastAsia="Times New Roman" w:cstheme="minorHAnsi"/>
          <w:b/>
          <w:snapToGrid w:val="0"/>
          <w:sz w:val="28"/>
          <w:szCs w:val="24"/>
        </w:rPr>
        <w:t>Оперативна програма „Иновации и конкурентоспособност“ 2014-2020</w:t>
      </w:r>
    </w:p>
    <w:p w:rsidR="0049597E" w:rsidRPr="00C40B2F" w:rsidRDefault="0049597E" w:rsidP="0049597E">
      <w:pPr>
        <w:spacing w:after="240"/>
        <w:jc w:val="center"/>
        <w:rPr>
          <w:b/>
          <w:sz w:val="28"/>
          <w:szCs w:val="28"/>
        </w:rPr>
      </w:pPr>
    </w:p>
    <w:p w:rsidR="0049597E" w:rsidRPr="00C40B2F" w:rsidRDefault="0049597E" w:rsidP="0049597E">
      <w:pPr>
        <w:spacing w:after="240"/>
        <w:jc w:val="center"/>
        <w:rPr>
          <w:b/>
          <w:sz w:val="28"/>
          <w:szCs w:val="28"/>
        </w:rPr>
      </w:pPr>
      <w:r w:rsidRPr="00C40B2F">
        <w:rPr>
          <w:b/>
          <w:sz w:val="28"/>
          <w:szCs w:val="28"/>
        </w:rPr>
        <w:t xml:space="preserve">Процедура чрез директно предоставяне  </w:t>
      </w:r>
    </w:p>
    <w:p w:rsidR="0049597E" w:rsidRPr="00C40B2F" w:rsidRDefault="00707847" w:rsidP="0049597E">
      <w:pPr>
        <w:spacing w:after="240"/>
        <w:jc w:val="center"/>
        <w:rPr>
          <w:b/>
          <w:sz w:val="28"/>
          <w:szCs w:val="28"/>
        </w:rPr>
      </w:pPr>
      <w:r w:rsidRPr="00C40B2F">
        <w:rPr>
          <w:b/>
          <w:sz w:val="28"/>
          <w:szCs w:val="28"/>
        </w:rPr>
        <w:t>BG16RFOP002-1.004 Развитие  на модерна система за индустриална собственост чрез подкрепа за дейността на Патентно ведомство на Република България</w:t>
      </w:r>
    </w:p>
    <w:p w:rsidR="00B768DA" w:rsidRPr="00C40B2F" w:rsidRDefault="00B768DA" w:rsidP="006A2DB8">
      <w:pPr>
        <w:spacing w:after="60"/>
        <w:jc w:val="center"/>
        <w:rPr>
          <w:b/>
          <w:sz w:val="28"/>
          <w:szCs w:val="28"/>
        </w:rPr>
      </w:pPr>
    </w:p>
    <w:sdt>
      <w:sdtPr>
        <w:rPr>
          <w:rFonts w:asciiTheme="minorHAnsi" w:eastAsiaTheme="minorHAnsi" w:hAnsiTheme="minorHAnsi" w:cstheme="minorBidi"/>
          <w:b w:val="0"/>
          <w:bCs w:val="0"/>
          <w:color w:val="auto"/>
          <w:sz w:val="22"/>
          <w:szCs w:val="22"/>
          <w:lang w:val="bg-BG" w:eastAsia="en-US"/>
        </w:rPr>
        <w:id w:val="678318492"/>
        <w:docPartObj>
          <w:docPartGallery w:val="Table of Contents"/>
          <w:docPartUnique/>
        </w:docPartObj>
      </w:sdtPr>
      <w:sdtEndPr/>
      <w:sdtContent>
        <w:p w:rsidR="00394B8E" w:rsidRPr="00C40B2F" w:rsidRDefault="00394B8E">
          <w:pPr>
            <w:pStyle w:val="TOCHeading"/>
            <w:rPr>
              <w:lang w:val="bg-BG"/>
            </w:rPr>
          </w:pPr>
          <w:r w:rsidRPr="00C40B2F">
            <w:rPr>
              <w:lang w:val="bg-BG"/>
            </w:rPr>
            <w:t>Съдържание</w:t>
          </w:r>
        </w:p>
        <w:p w:rsidR="00FE0D33" w:rsidRPr="00C40B2F" w:rsidRDefault="00A31022">
          <w:pPr>
            <w:pStyle w:val="TOC2"/>
            <w:tabs>
              <w:tab w:val="right" w:leader="dot" w:pos="9346"/>
            </w:tabs>
            <w:rPr>
              <w:rFonts w:eastAsiaTheme="minorEastAsia"/>
              <w:noProof/>
              <w:lang w:eastAsia="bg-BG"/>
            </w:rPr>
          </w:pPr>
          <w:r w:rsidRPr="00C40B2F">
            <w:t>1</w:t>
          </w:r>
          <w:r w:rsidR="00394B8E" w:rsidRPr="00C40B2F">
            <w:fldChar w:fldCharType="begin"/>
          </w:r>
          <w:r w:rsidR="00394B8E" w:rsidRPr="00C40B2F">
            <w:instrText xml:space="preserve"> TOC \o "1-3" \h \z \u </w:instrText>
          </w:r>
          <w:r w:rsidR="00394B8E" w:rsidRPr="00C40B2F">
            <w:fldChar w:fldCharType="separate"/>
          </w:r>
          <w:hyperlink w:anchor="_Toc476919437" w:history="1">
            <w:r w:rsidR="00FE0D33" w:rsidRPr="00C40B2F">
              <w:rPr>
                <w:rStyle w:val="Hyperlink"/>
                <w:noProof/>
              </w:rPr>
              <w:t>. Наименование на програмата:</w:t>
            </w:r>
            <w:r w:rsidR="00FE0D33" w:rsidRPr="00C40B2F">
              <w:rPr>
                <w:noProof/>
                <w:webHidden/>
              </w:rPr>
              <w:tab/>
            </w:r>
            <w:r w:rsidR="00FE0D33" w:rsidRPr="00C40B2F">
              <w:rPr>
                <w:noProof/>
                <w:webHidden/>
              </w:rPr>
              <w:fldChar w:fldCharType="begin"/>
            </w:r>
            <w:r w:rsidR="00FE0D33" w:rsidRPr="00C40B2F">
              <w:rPr>
                <w:noProof/>
                <w:webHidden/>
              </w:rPr>
              <w:instrText xml:space="preserve"> PAGEREF _Toc476919437 \h </w:instrText>
            </w:r>
            <w:r w:rsidR="00FE0D33" w:rsidRPr="00C40B2F">
              <w:rPr>
                <w:noProof/>
                <w:webHidden/>
              </w:rPr>
            </w:r>
            <w:r w:rsidR="00FE0D33" w:rsidRPr="00C40B2F">
              <w:rPr>
                <w:noProof/>
                <w:webHidden/>
              </w:rPr>
              <w:fldChar w:fldCharType="separate"/>
            </w:r>
            <w:r w:rsidR="00C40B2F" w:rsidRPr="00C40B2F">
              <w:rPr>
                <w:noProof/>
                <w:webHidden/>
              </w:rPr>
              <w:t>3</w:t>
            </w:r>
            <w:r w:rsidR="00FE0D33" w:rsidRPr="00C40B2F">
              <w:rPr>
                <w:noProof/>
                <w:webHidden/>
              </w:rPr>
              <w:fldChar w:fldCharType="end"/>
            </w:r>
          </w:hyperlink>
        </w:p>
        <w:p w:rsidR="00FE0D33" w:rsidRPr="00C40B2F" w:rsidRDefault="008A64BB">
          <w:pPr>
            <w:pStyle w:val="TOC2"/>
            <w:tabs>
              <w:tab w:val="right" w:leader="dot" w:pos="9346"/>
            </w:tabs>
            <w:rPr>
              <w:rFonts w:eastAsiaTheme="minorEastAsia"/>
              <w:noProof/>
              <w:lang w:eastAsia="bg-BG"/>
            </w:rPr>
          </w:pPr>
          <w:hyperlink w:anchor="_Toc476919438" w:history="1">
            <w:r w:rsidR="00FE0D33" w:rsidRPr="00C40B2F">
              <w:rPr>
                <w:rStyle w:val="Hyperlink"/>
                <w:noProof/>
              </w:rPr>
              <w:t>2. Наименование на приоритетната ос:</w:t>
            </w:r>
            <w:r w:rsidR="00FE0D33" w:rsidRPr="00C40B2F">
              <w:rPr>
                <w:noProof/>
                <w:webHidden/>
              </w:rPr>
              <w:tab/>
            </w:r>
            <w:r w:rsidR="00FE0D33" w:rsidRPr="00C40B2F">
              <w:rPr>
                <w:noProof/>
                <w:webHidden/>
              </w:rPr>
              <w:fldChar w:fldCharType="begin"/>
            </w:r>
            <w:r w:rsidR="00FE0D33" w:rsidRPr="00C40B2F">
              <w:rPr>
                <w:noProof/>
                <w:webHidden/>
              </w:rPr>
              <w:instrText xml:space="preserve"> PAGEREF _Toc476919438 \h </w:instrText>
            </w:r>
            <w:r w:rsidR="00FE0D33" w:rsidRPr="00C40B2F">
              <w:rPr>
                <w:noProof/>
                <w:webHidden/>
              </w:rPr>
            </w:r>
            <w:r w:rsidR="00FE0D33" w:rsidRPr="00C40B2F">
              <w:rPr>
                <w:noProof/>
                <w:webHidden/>
              </w:rPr>
              <w:fldChar w:fldCharType="separate"/>
            </w:r>
            <w:r w:rsidR="00C40B2F" w:rsidRPr="00C40B2F">
              <w:rPr>
                <w:noProof/>
                <w:webHidden/>
              </w:rPr>
              <w:t>3</w:t>
            </w:r>
            <w:r w:rsidR="00FE0D33" w:rsidRPr="00C40B2F">
              <w:rPr>
                <w:noProof/>
                <w:webHidden/>
              </w:rPr>
              <w:fldChar w:fldCharType="end"/>
            </w:r>
          </w:hyperlink>
        </w:p>
        <w:p w:rsidR="00FE0D33" w:rsidRPr="00C40B2F" w:rsidRDefault="008A64BB">
          <w:pPr>
            <w:pStyle w:val="TOC2"/>
            <w:tabs>
              <w:tab w:val="right" w:leader="dot" w:pos="9346"/>
            </w:tabs>
            <w:rPr>
              <w:rFonts w:eastAsiaTheme="minorEastAsia"/>
              <w:noProof/>
              <w:lang w:eastAsia="bg-BG"/>
            </w:rPr>
          </w:pPr>
          <w:hyperlink w:anchor="_Toc476919439" w:history="1">
            <w:r w:rsidR="00FE0D33" w:rsidRPr="00C40B2F">
              <w:rPr>
                <w:rStyle w:val="Hyperlink"/>
                <w:noProof/>
              </w:rPr>
              <w:t>3. Наименование на процедурата:</w:t>
            </w:r>
            <w:r w:rsidR="00FE0D33" w:rsidRPr="00C40B2F">
              <w:rPr>
                <w:noProof/>
                <w:webHidden/>
              </w:rPr>
              <w:tab/>
            </w:r>
            <w:r w:rsidR="00FE0D33" w:rsidRPr="00C40B2F">
              <w:rPr>
                <w:noProof/>
                <w:webHidden/>
              </w:rPr>
              <w:fldChar w:fldCharType="begin"/>
            </w:r>
            <w:r w:rsidR="00FE0D33" w:rsidRPr="00C40B2F">
              <w:rPr>
                <w:noProof/>
                <w:webHidden/>
              </w:rPr>
              <w:instrText xml:space="preserve"> PAGEREF _Toc476919439 \h </w:instrText>
            </w:r>
            <w:r w:rsidR="00FE0D33" w:rsidRPr="00C40B2F">
              <w:rPr>
                <w:noProof/>
                <w:webHidden/>
              </w:rPr>
            </w:r>
            <w:r w:rsidR="00FE0D33" w:rsidRPr="00C40B2F">
              <w:rPr>
                <w:noProof/>
                <w:webHidden/>
              </w:rPr>
              <w:fldChar w:fldCharType="separate"/>
            </w:r>
            <w:r w:rsidR="00C40B2F" w:rsidRPr="00C40B2F">
              <w:rPr>
                <w:noProof/>
                <w:webHidden/>
              </w:rPr>
              <w:t>3</w:t>
            </w:r>
            <w:r w:rsidR="00FE0D33" w:rsidRPr="00C40B2F">
              <w:rPr>
                <w:noProof/>
                <w:webHidden/>
              </w:rPr>
              <w:fldChar w:fldCharType="end"/>
            </w:r>
          </w:hyperlink>
        </w:p>
        <w:p w:rsidR="00FE0D33" w:rsidRPr="00C40B2F" w:rsidRDefault="008A64BB">
          <w:pPr>
            <w:pStyle w:val="TOC2"/>
            <w:tabs>
              <w:tab w:val="right" w:leader="dot" w:pos="9346"/>
            </w:tabs>
            <w:rPr>
              <w:rFonts w:eastAsiaTheme="minorEastAsia"/>
              <w:noProof/>
              <w:lang w:eastAsia="bg-BG"/>
            </w:rPr>
          </w:pPr>
          <w:hyperlink w:anchor="_Toc476919440" w:history="1">
            <w:r w:rsidR="00FE0D33" w:rsidRPr="00C40B2F">
              <w:rPr>
                <w:rStyle w:val="Hyperlink"/>
                <w:noProof/>
              </w:rPr>
              <w:t>4. Измерения по кодове:</w:t>
            </w:r>
            <w:r w:rsidR="00FE0D33" w:rsidRPr="00C40B2F">
              <w:rPr>
                <w:noProof/>
                <w:webHidden/>
              </w:rPr>
              <w:tab/>
            </w:r>
            <w:r w:rsidR="00FE0D33" w:rsidRPr="00C40B2F">
              <w:rPr>
                <w:noProof/>
                <w:webHidden/>
              </w:rPr>
              <w:fldChar w:fldCharType="begin"/>
            </w:r>
            <w:r w:rsidR="00FE0D33" w:rsidRPr="00C40B2F">
              <w:rPr>
                <w:noProof/>
                <w:webHidden/>
              </w:rPr>
              <w:instrText xml:space="preserve"> PAGEREF _Toc476919440 \h </w:instrText>
            </w:r>
            <w:r w:rsidR="00FE0D33" w:rsidRPr="00C40B2F">
              <w:rPr>
                <w:noProof/>
                <w:webHidden/>
              </w:rPr>
            </w:r>
            <w:r w:rsidR="00FE0D33" w:rsidRPr="00C40B2F">
              <w:rPr>
                <w:noProof/>
                <w:webHidden/>
              </w:rPr>
              <w:fldChar w:fldCharType="separate"/>
            </w:r>
            <w:r w:rsidR="00C40B2F" w:rsidRPr="00C40B2F">
              <w:rPr>
                <w:noProof/>
                <w:webHidden/>
              </w:rPr>
              <w:t>3</w:t>
            </w:r>
            <w:r w:rsidR="00FE0D33" w:rsidRPr="00C40B2F">
              <w:rPr>
                <w:noProof/>
                <w:webHidden/>
              </w:rPr>
              <w:fldChar w:fldCharType="end"/>
            </w:r>
          </w:hyperlink>
        </w:p>
        <w:p w:rsidR="00FE0D33" w:rsidRPr="00C40B2F" w:rsidRDefault="008A64BB">
          <w:pPr>
            <w:pStyle w:val="TOC2"/>
            <w:tabs>
              <w:tab w:val="right" w:leader="dot" w:pos="9346"/>
            </w:tabs>
            <w:rPr>
              <w:rFonts w:eastAsiaTheme="minorEastAsia"/>
              <w:noProof/>
              <w:lang w:eastAsia="bg-BG"/>
            </w:rPr>
          </w:pPr>
          <w:hyperlink w:anchor="_Toc476919441" w:history="1">
            <w:r w:rsidR="00FE0D33" w:rsidRPr="00C40B2F">
              <w:rPr>
                <w:rStyle w:val="Hyperlink"/>
                <w:noProof/>
              </w:rPr>
              <w:t>5. Териториален обхват:</w:t>
            </w:r>
            <w:r w:rsidR="00FE0D33" w:rsidRPr="00C40B2F">
              <w:rPr>
                <w:noProof/>
                <w:webHidden/>
              </w:rPr>
              <w:tab/>
            </w:r>
            <w:r w:rsidR="00FE0D33" w:rsidRPr="00C40B2F">
              <w:rPr>
                <w:noProof/>
                <w:webHidden/>
              </w:rPr>
              <w:fldChar w:fldCharType="begin"/>
            </w:r>
            <w:r w:rsidR="00FE0D33" w:rsidRPr="00C40B2F">
              <w:rPr>
                <w:noProof/>
                <w:webHidden/>
              </w:rPr>
              <w:instrText xml:space="preserve"> PAGEREF _Toc476919441 \h </w:instrText>
            </w:r>
            <w:r w:rsidR="00FE0D33" w:rsidRPr="00C40B2F">
              <w:rPr>
                <w:noProof/>
                <w:webHidden/>
              </w:rPr>
            </w:r>
            <w:r w:rsidR="00FE0D33" w:rsidRPr="00C40B2F">
              <w:rPr>
                <w:noProof/>
                <w:webHidden/>
              </w:rPr>
              <w:fldChar w:fldCharType="separate"/>
            </w:r>
            <w:r w:rsidR="00C40B2F" w:rsidRPr="00C40B2F">
              <w:rPr>
                <w:noProof/>
                <w:webHidden/>
              </w:rPr>
              <w:t>4</w:t>
            </w:r>
            <w:r w:rsidR="00FE0D33" w:rsidRPr="00C40B2F">
              <w:rPr>
                <w:noProof/>
                <w:webHidden/>
              </w:rPr>
              <w:fldChar w:fldCharType="end"/>
            </w:r>
          </w:hyperlink>
        </w:p>
        <w:p w:rsidR="00FE0D33" w:rsidRPr="00C40B2F" w:rsidRDefault="008A64BB">
          <w:pPr>
            <w:pStyle w:val="TOC2"/>
            <w:tabs>
              <w:tab w:val="right" w:leader="dot" w:pos="9346"/>
            </w:tabs>
            <w:rPr>
              <w:rFonts w:eastAsiaTheme="minorEastAsia"/>
              <w:noProof/>
              <w:lang w:eastAsia="bg-BG"/>
            </w:rPr>
          </w:pPr>
          <w:hyperlink w:anchor="_Toc476919442" w:history="1">
            <w:r w:rsidR="00FE0D33" w:rsidRPr="00C40B2F">
              <w:rPr>
                <w:rStyle w:val="Hyperlink"/>
                <w:noProof/>
              </w:rPr>
              <w:t>6. Цели на предоставяната безвъзмездна финансова помощ по процедурата и очаквани резултати:</w:t>
            </w:r>
            <w:r w:rsidR="00FE0D33" w:rsidRPr="00C40B2F">
              <w:rPr>
                <w:noProof/>
                <w:webHidden/>
              </w:rPr>
              <w:tab/>
            </w:r>
            <w:r w:rsidR="00FE0D33" w:rsidRPr="00C40B2F">
              <w:rPr>
                <w:noProof/>
                <w:webHidden/>
              </w:rPr>
              <w:fldChar w:fldCharType="begin"/>
            </w:r>
            <w:r w:rsidR="00FE0D33" w:rsidRPr="00C40B2F">
              <w:rPr>
                <w:noProof/>
                <w:webHidden/>
              </w:rPr>
              <w:instrText xml:space="preserve"> PAGEREF _Toc476919442 \h </w:instrText>
            </w:r>
            <w:r w:rsidR="00FE0D33" w:rsidRPr="00C40B2F">
              <w:rPr>
                <w:noProof/>
                <w:webHidden/>
              </w:rPr>
            </w:r>
            <w:r w:rsidR="00FE0D33" w:rsidRPr="00C40B2F">
              <w:rPr>
                <w:noProof/>
                <w:webHidden/>
              </w:rPr>
              <w:fldChar w:fldCharType="separate"/>
            </w:r>
            <w:r w:rsidR="00C40B2F" w:rsidRPr="00C40B2F">
              <w:rPr>
                <w:noProof/>
                <w:webHidden/>
              </w:rPr>
              <w:t>4</w:t>
            </w:r>
            <w:r w:rsidR="00FE0D33" w:rsidRPr="00C40B2F">
              <w:rPr>
                <w:noProof/>
                <w:webHidden/>
              </w:rPr>
              <w:fldChar w:fldCharType="end"/>
            </w:r>
          </w:hyperlink>
        </w:p>
        <w:p w:rsidR="00FE0D33" w:rsidRPr="00C40B2F" w:rsidRDefault="008A64BB">
          <w:pPr>
            <w:pStyle w:val="TOC2"/>
            <w:tabs>
              <w:tab w:val="right" w:leader="dot" w:pos="9346"/>
            </w:tabs>
            <w:rPr>
              <w:rFonts w:eastAsiaTheme="minorEastAsia"/>
              <w:noProof/>
              <w:lang w:eastAsia="bg-BG"/>
            </w:rPr>
          </w:pPr>
          <w:hyperlink w:anchor="_Toc476919443" w:history="1">
            <w:r w:rsidR="00FE0D33" w:rsidRPr="00C40B2F">
              <w:rPr>
                <w:rStyle w:val="Hyperlink"/>
                <w:noProof/>
              </w:rPr>
              <w:t>7. Индикатори:</w:t>
            </w:r>
            <w:r w:rsidR="00FE0D33" w:rsidRPr="00C40B2F">
              <w:rPr>
                <w:noProof/>
                <w:webHidden/>
              </w:rPr>
              <w:tab/>
            </w:r>
            <w:r w:rsidR="00FE0D33" w:rsidRPr="00C40B2F">
              <w:rPr>
                <w:noProof/>
                <w:webHidden/>
              </w:rPr>
              <w:fldChar w:fldCharType="begin"/>
            </w:r>
            <w:r w:rsidR="00FE0D33" w:rsidRPr="00C40B2F">
              <w:rPr>
                <w:noProof/>
                <w:webHidden/>
              </w:rPr>
              <w:instrText xml:space="preserve"> PAGEREF _Toc476919443 \h </w:instrText>
            </w:r>
            <w:r w:rsidR="00FE0D33" w:rsidRPr="00C40B2F">
              <w:rPr>
                <w:noProof/>
                <w:webHidden/>
              </w:rPr>
            </w:r>
            <w:r w:rsidR="00FE0D33" w:rsidRPr="00C40B2F">
              <w:rPr>
                <w:noProof/>
                <w:webHidden/>
              </w:rPr>
              <w:fldChar w:fldCharType="separate"/>
            </w:r>
            <w:r w:rsidR="00C40B2F" w:rsidRPr="00C40B2F">
              <w:rPr>
                <w:noProof/>
                <w:webHidden/>
              </w:rPr>
              <w:t>5</w:t>
            </w:r>
            <w:r w:rsidR="00FE0D33" w:rsidRPr="00C40B2F">
              <w:rPr>
                <w:noProof/>
                <w:webHidden/>
              </w:rPr>
              <w:fldChar w:fldCharType="end"/>
            </w:r>
          </w:hyperlink>
        </w:p>
        <w:p w:rsidR="00FE0D33" w:rsidRPr="00C40B2F" w:rsidRDefault="008A64BB">
          <w:pPr>
            <w:pStyle w:val="TOC2"/>
            <w:tabs>
              <w:tab w:val="right" w:leader="dot" w:pos="9346"/>
            </w:tabs>
            <w:rPr>
              <w:rFonts w:eastAsiaTheme="minorEastAsia"/>
              <w:noProof/>
              <w:lang w:eastAsia="bg-BG"/>
            </w:rPr>
          </w:pPr>
          <w:hyperlink w:anchor="_Toc476919444" w:history="1">
            <w:r w:rsidR="00FE0D33" w:rsidRPr="00C40B2F">
              <w:rPr>
                <w:rStyle w:val="Hyperlink"/>
                <w:noProof/>
              </w:rPr>
              <w:t>8. Общ размер на безвъзмездната финансова помощ по процедурата:.</w:t>
            </w:r>
            <w:r w:rsidR="00FE0D33" w:rsidRPr="00C40B2F">
              <w:rPr>
                <w:noProof/>
                <w:webHidden/>
              </w:rPr>
              <w:tab/>
            </w:r>
            <w:r w:rsidR="00FE0D33" w:rsidRPr="00C40B2F">
              <w:rPr>
                <w:noProof/>
                <w:webHidden/>
              </w:rPr>
              <w:fldChar w:fldCharType="begin"/>
            </w:r>
            <w:r w:rsidR="00FE0D33" w:rsidRPr="00C40B2F">
              <w:rPr>
                <w:noProof/>
                <w:webHidden/>
              </w:rPr>
              <w:instrText xml:space="preserve"> PAGEREF _Toc476919444 \h </w:instrText>
            </w:r>
            <w:r w:rsidR="00FE0D33" w:rsidRPr="00C40B2F">
              <w:rPr>
                <w:noProof/>
                <w:webHidden/>
              </w:rPr>
            </w:r>
            <w:r w:rsidR="00FE0D33" w:rsidRPr="00C40B2F">
              <w:rPr>
                <w:noProof/>
                <w:webHidden/>
              </w:rPr>
              <w:fldChar w:fldCharType="separate"/>
            </w:r>
            <w:r w:rsidR="00C40B2F" w:rsidRPr="00C40B2F">
              <w:rPr>
                <w:noProof/>
                <w:webHidden/>
              </w:rPr>
              <w:t>6</w:t>
            </w:r>
            <w:r w:rsidR="00FE0D33" w:rsidRPr="00C40B2F">
              <w:rPr>
                <w:noProof/>
                <w:webHidden/>
              </w:rPr>
              <w:fldChar w:fldCharType="end"/>
            </w:r>
          </w:hyperlink>
        </w:p>
        <w:p w:rsidR="00FE0D33" w:rsidRPr="00C40B2F" w:rsidRDefault="008A64BB">
          <w:pPr>
            <w:pStyle w:val="TOC2"/>
            <w:tabs>
              <w:tab w:val="right" w:leader="dot" w:pos="9346"/>
            </w:tabs>
            <w:rPr>
              <w:rFonts w:eastAsiaTheme="minorEastAsia"/>
              <w:noProof/>
              <w:lang w:eastAsia="bg-BG"/>
            </w:rPr>
          </w:pPr>
          <w:hyperlink w:anchor="_Toc476919445" w:history="1">
            <w:r w:rsidR="00FE0D33" w:rsidRPr="00C40B2F">
              <w:rPr>
                <w:rStyle w:val="Hyperlink"/>
                <w:noProof/>
              </w:rPr>
              <w:t>9. Минимален (ако е приложимо) и максимален размер на безвъзмездната финансова помощ за конкретен проект:</w:t>
            </w:r>
            <w:r w:rsidR="00FE0D33" w:rsidRPr="00C40B2F">
              <w:rPr>
                <w:noProof/>
                <w:webHidden/>
              </w:rPr>
              <w:tab/>
            </w:r>
            <w:r w:rsidR="00FE0D33" w:rsidRPr="00C40B2F">
              <w:rPr>
                <w:noProof/>
                <w:webHidden/>
              </w:rPr>
              <w:fldChar w:fldCharType="begin"/>
            </w:r>
            <w:r w:rsidR="00FE0D33" w:rsidRPr="00C40B2F">
              <w:rPr>
                <w:noProof/>
                <w:webHidden/>
              </w:rPr>
              <w:instrText xml:space="preserve"> PAGEREF _Toc476919445 \h </w:instrText>
            </w:r>
            <w:r w:rsidR="00FE0D33" w:rsidRPr="00C40B2F">
              <w:rPr>
                <w:noProof/>
                <w:webHidden/>
              </w:rPr>
            </w:r>
            <w:r w:rsidR="00FE0D33" w:rsidRPr="00C40B2F">
              <w:rPr>
                <w:noProof/>
                <w:webHidden/>
              </w:rPr>
              <w:fldChar w:fldCharType="separate"/>
            </w:r>
            <w:r w:rsidR="00C40B2F" w:rsidRPr="00C40B2F">
              <w:rPr>
                <w:noProof/>
                <w:webHidden/>
              </w:rPr>
              <w:t>6</w:t>
            </w:r>
            <w:r w:rsidR="00FE0D33" w:rsidRPr="00C40B2F">
              <w:rPr>
                <w:noProof/>
                <w:webHidden/>
              </w:rPr>
              <w:fldChar w:fldCharType="end"/>
            </w:r>
          </w:hyperlink>
        </w:p>
        <w:p w:rsidR="00FE0D33" w:rsidRPr="00C40B2F" w:rsidRDefault="008A64BB">
          <w:pPr>
            <w:pStyle w:val="TOC2"/>
            <w:tabs>
              <w:tab w:val="right" w:leader="dot" w:pos="9346"/>
            </w:tabs>
            <w:rPr>
              <w:rFonts w:eastAsiaTheme="minorEastAsia"/>
              <w:noProof/>
              <w:lang w:eastAsia="bg-BG"/>
            </w:rPr>
          </w:pPr>
          <w:hyperlink w:anchor="_Toc476919446" w:history="1">
            <w:r w:rsidR="00FE0D33" w:rsidRPr="00C40B2F">
              <w:rPr>
                <w:rStyle w:val="Hyperlink"/>
                <w:noProof/>
              </w:rPr>
              <w:t>10. Процент на съфинансиране:</w:t>
            </w:r>
            <w:r w:rsidR="00FE0D33" w:rsidRPr="00C40B2F">
              <w:rPr>
                <w:noProof/>
                <w:webHidden/>
              </w:rPr>
              <w:tab/>
            </w:r>
            <w:r w:rsidR="00FE0D33" w:rsidRPr="00C40B2F">
              <w:rPr>
                <w:noProof/>
                <w:webHidden/>
              </w:rPr>
              <w:fldChar w:fldCharType="begin"/>
            </w:r>
            <w:r w:rsidR="00FE0D33" w:rsidRPr="00C40B2F">
              <w:rPr>
                <w:noProof/>
                <w:webHidden/>
              </w:rPr>
              <w:instrText xml:space="preserve"> PAGEREF _Toc476919446 \h </w:instrText>
            </w:r>
            <w:r w:rsidR="00FE0D33" w:rsidRPr="00C40B2F">
              <w:rPr>
                <w:noProof/>
                <w:webHidden/>
              </w:rPr>
            </w:r>
            <w:r w:rsidR="00FE0D33" w:rsidRPr="00C40B2F">
              <w:rPr>
                <w:noProof/>
                <w:webHidden/>
              </w:rPr>
              <w:fldChar w:fldCharType="separate"/>
            </w:r>
            <w:r w:rsidR="00C40B2F" w:rsidRPr="00C40B2F">
              <w:rPr>
                <w:noProof/>
                <w:webHidden/>
              </w:rPr>
              <w:t>7</w:t>
            </w:r>
            <w:r w:rsidR="00FE0D33" w:rsidRPr="00C40B2F">
              <w:rPr>
                <w:noProof/>
                <w:webHidden/>
              </w:rPr>
              <w:fldChar w:fldCharType="end"/>
            </w:r>
          </w:hyperlink>
        </w:p>
        <w:p w:rsidR="00FE0D33" w:rsidRPr="00C40B2F" w:rsidRDefault="008A64BB">
          <w:pPr>
            <w:pStyle w:val="TOC2"/>
            <w:tabs>
              <w:tab w:val="right" w:leader="dot" w:pos="9346"/>
            </w:tabs>
            <w:rPr>
              <w:rFonts w:eastAsiaTheme="minorEastAsia"/>
              <w:noProof/>
              <w:lang w:eastAsia="bg-BG"/>
            </w:rPr>
          </w:pPr>
          <w:hyperlink w:anchor="_Toc476919447" w:history="1">
            <w:r w:rsidR="00FE0D33" w:rsidRPr="00C40B2F">
              <w:rPr>
                <w:rStyle w:val="Hyperlink"/>
                <w:noProof/>
              </w:rPr>
              <w:t>11. Допустими кандидати:</w:t>
            </w:r>
            <w:r w:rsidR="00FE0D33" w:rsidRPr="00C40B2F">
              <w:rPr>
                <w:noProof/>
                <w:webHidden/>
              </w:rPr>
              <w:tab/>
            </w:r>
            <w:r w:rsidR="00FE0D33" w:rsidRPr="00C40B2F">
              <w:rPr>
                <w:noProof/>
                <w:webHidden/>
              </w:rPr>
              <w:fldChar w:fldCharType="begin"/>
            </w:r>
            <w:r w:rsidR="00FE0D33" w:rsidRPr="00C40B2F">
              <w:rPr>
                <w:noProof/>
                <w:webHidden/>
              </w:rPr>
              <w:instrText xml:space="preserve"> PAGEREF _Toc476919447 \h </w:instrText>
            </w:r>
            <w:r w:rsidR="00FE0D33" w:rsidRPr="00C40B2F">
              <w:rPr>
                <w:noProof/>
                <w:webHidden/>
              </w:rPr>
            </w:r>
            <w:r w:rsidR="00FE0D33" w:rsidRPr="00C40B2F">
              <w:rPr>
                <w:noProof/>
                <w:webHidden/>
              </w:rPr>
              <w:fldChar w:fldCharType="separate"/>
            </w:r>
            <w:r w:rsidR="00C40B2F" w:rsidRPr="00C40B2F">
              <w:rPr>
                <w:noProof/>
                <w:webHidden/>
              </w:rPr>
              <w:t>7</w:t>
            </w:r>
            <w:r w:rsidR="00FE0D33" w:rsidRPr="00C40B2F">
              <w:rPr>
                <w:noProof/>
                <w:webHidden/>
              </w:rPr>
              <w:fldChar w:fldCharType="end"/>
            </w:r>
          </w:hyperlink>
        </w:p>
        <w:p w:rsidR="00FE0D33" w:rsidRPr="00C40B2F" w:rsidRDefault="008A64BB">
          <w:pPr>
            <w:pStyle w:val="TOC2"/>
            <w:tabs>
              <w:tab w:val="right" w:leader="dot" w:pos="9346"/>
            </w:tabs>
            <w:rPr>
              <w:rFonts w:eastAsiaTheme="minorEastAsia"/>
              <w:noProof/>
              <w:lang w:eastAsia="bg-BG"/>
            </w:rPr>
          </w:pPr>
          <w:hyperlink w:anchor="_Toc476919448" w:history="1">
            <w:r w:rsidR="00FE0D33" w:rsidRPr="00C40B2F">
              <w:rPr>
                <w:rStyle w:val="Hyperlink"/>
                <w:noProof/>
              </w:rPr>
              <w:t>12. Допустими партньори (ако е приложимо):</w:t>
            </w:r>
            <w:r w:rsidR="00FE0D33" w:rsidRPr="00C40B2F">
              <w:rPr>
                <w:noProof/>
                <w:webHidden/>
              </w:rPr>
              <w:tab/>
            </w:r>
            <w:r w:rsidR="00FE0D33" w:rsidRPr="00C40B2F">
              <w:rPr>
                <w:noProof/>
                <w:webHidden/>
              </w:rPr>
              <w:fldChar w:fldCharType="begin"/>
            </w:r>
            <w:r w:rsidR="00FE0D33" w:rsidRPr="00C40B2F">
              <w:rPr>
                <w:noProof/>
                <w:webHidden/>
              </w:rPr>
              <w:instrText xml:space="preserve"> PAGEREF _Toc476919448 \h </w:instrText>
            </w:r>
            <w:r w:rsidR="00FE0D33" w:rsidRPr="00C40B2F">
              <w:rPr>
                <w:noProof/>
                <w:webHidden/>
              </w:rPr>
            </w:r>
            <w:r w:rsidR="00FE0D33" w:rsidRPr="00C40B2F">
              <w:rPr>
                <w:noProof/>
                <w:webHidden/>
              </w:rPr>
              <w:fldChar w:fldCharType="separate"/>
            </w:r>
            <w:r w:rsidR="00C40B2F" w:rsidRPr="00C40B2F">
              <w:rPr>
                <w:noProof/>
                <w:webHidden/>
              </w:rPr>
              <w:t>8</w:t>
            </w:r>
            <w:r w:rsidR="00FE0D33" w:rsidRPr="00C40B2F">
              <w:rPr>
                <w:noProof/>
                <w:webHidden/>
              </w:rPr>
              <w:fldChar w:fldCharType="end"/>
            </w:r>
          </w:hyperlink>
        </w:p>
        <w:p w:rsidR="00FE0D33" w:rsidRPr="00C40B2F" w:rsidRDefault="008A64BB">
          <w:pPr>
            <w:pStyle w:val="TOC2"/>
            <w:tabs>
              <w:tab w:val="right" w:leader="dot" w:pos="9346"/>
            </w:tabs>
            <w:rPr>
              <w:rFonts w:eastAsiaTheme="minorEastAsia"/>
              <w:noProof/>
              <w:lang w:eastAsia="bg-BG"/>
            </w:rPr>
          </w:pPr>
          <w:hyperlink w:anchor="_Toc476919449" w:history="1">
            <w:r w:rsidR="00FE0D33" w:rsidRPr="00C40B2F">
              <w:rPr>
                <w:rStyle w:val="Hyperlink"/>
                <w:noProof/>
              </w:rPr>
              <w:t>13. Дейности, допустими за финансиране:</w:t>
            </w:r>
            <w:r w:rsidR="00FE0D33" w:rsidRPr="00C40B2F">
              <w:rPr>
                <w:noProof/>
                <w:webHidden/>
              </w:rPr>
              <w:tab/>
            </w:r>
            <w:r w:rsidR="00FE0D33" w:rsidRPr="00C40B2F">
              <w:rPr>
                <w:noProof/>
                <w:webHidden/>
              </w:rPr>
              <w:fldChar w:fldCharType="begin"/>
            </w:r>
            <w:r w:rsidR="00FE0D33" w:rsidRPr="00C40B2F">
              <w:rPr>
                <w:noProof/>
                <w:webHidden/>
              </w:rPr>
              <w:instrText xml:space="preserve"> PAGEREF _Toc476919449 \h </w:instrText>
            </w:r>
            <w:r w:rsidR="00FE0D33" w:rsidRPr="00C40B2F">
              <w:rPr>
                <w:noProof/>
                <w:webHidden/>
              </w:rPr>
            </w:r>
            <w:r w:rsidR="00FE0D33" w:rsidRPr="00C40B2F">
              <w:rPr>
                <w:noProof/>
                <w:webHidden/>
              </w:rPr>
              <w:fldChar w:fldCharType="separate"/>
            </w:r>
            <w:r w:rsidR="00C40B2F" w:rsidRPr="00C40B2F">
              <w:rPr>
                <w:noProof/>
                <w:webHidden/>
              </w:rPr>
              <w:t>8</w:t>
            </w:r>
            <w:r w:rsidR="00FE0D33" w:rsidRPr="00C40B2F">
              <w:rPr>
                <w:noProof/>
                <w:webHidden/>
              </w:rPr>
              <w:fldChar w:fldCharType="end"/>
            </w:r>
          </w:hyperlink>
        </w:p>
        <w:p w:rsidR="00FE0D33" w:rsidRPr="00C40B2F" w:rsidRDefault="008A64BB">
          <w:pPr>
            <w:pStyle w:val="TOC2"/>
            <w:tabs>
              <w:tab w:val="right" w:leader="dot" w:pos="9346"/>
            </w:tabs>
            <w:rPr>
              <w:rFonts w:eastAsiaTheme="minorEastAsia"/>
              <w:noProof/>
              <w:lang w:eastAsia="bg-BG"/>
            </w:rPr>
          </w:pPr>
          <w:hyperlink w:anchor="_Toc476919450" w:history="1">
            <w:r w:rsidR="00FE0D33" w:rsidRPr="00C40B2F">
              <w:rPr>
                <w:rStyle w:val="Hyperlink"/>
                <w:noProof/>
              </w:rPr>
              <w:t>14. Категории разходи, допустими за финансиране:</w:t>
            </w:r>
            <w:r w:rsidR="00FE0D33" w:rsidRPr="00C40B2F">
              <w:rPr>
                <w:noProof/>
                <w:webHidden/>
              </w:rPr>
              <w:tab/>
            </w:r>
            <w:r w:rsidR="00FE0D33" w:rsidRPr="00C40B2F">
              <w:rPr>
                <w:noProof/>
                <w:webHidden/>
              </w:rPr>
              <w:fldChar w:fldCharType="begin"/>
            </w:r>
            <w:r w:rsidR="00FE0D33" w:rsidRPr="00C40B2F">
              <w:rPr>
                <w:noProof/>
                <w:webHidden/>
              </w:rPr>
              <w:instrText xml:space="preserve"> PAGEREF _Toc476919450 \h </w:instrText>
            </w:r>
            <w:r w:rsidR="00FE0D33" w:rsidRPr="00C40B2F">
              <w:rPr>
                <w:noProof/>
                <w:webHidden/>
              </w:rPr>
            </w:r>
            <w:r w:rsidR="00FE0D33" w:rsidRPr="00C40B2F">
              <w:rPr>
                <w:noProof/>
                <w:webHidden/>
              </w:rPr>
              <w:fldChar w:fldCharType="separate"/>
            </w:r>
            <w:r w:rsidR="00C40B2F" w:rsidRPr="00C40B2F">
              <w:rPr>
                <w:noProof/>
                <w:webHidden/>
              </w:rPr>
              <w:t>11</w:t>
            </w:r>
            <w:r w:rsidR="00FE0D33" w:rsidRPr="00C40B2F">
              <w:rPr>
                <w:noProof/>
                <w:webHidden/>
              </w:rPr>
              <w:fldChar w:fldCharType="end"/>
            </w:r>
          </w:hyperlink>
        </w:p>
        <w:p w:rsidR="00FE0D33" w:rsidRPr="00C40B2F" w:rsidRDefault="008A64BB">
          <w:pPr>
            <w:pStyle w:val="TOC2"/>
            <w:tabs>
              <w:tab w:val="right" w:leader="dot" w:pos="9346"/>
            </w:tabs>
            <w:rPr>
              <w:rFonts w:eastAsiaTheme="minorEastAsia"/>
              <w:noProof/>
              <w:lang w:eastAsia="bg-BG"/>
            </w:rPr>
          </w:pPr>
          <w:hyperlink w:anchor="_Toc476919451" w:history="1">
            <w:r w:rsidR="00FE0D33" w:rsidRPr="00C40B2F">
              <w:rPr>
                <w:rStyle w:val="Hyperlink"/>
                <w:noProof/>
              </w:rPr>
              <w:t>14.1. Условия за допустимост на разходите</w:t>
            </w:r>
            <w:r w:rsidR="00FE0D33" w:rsidRPr="00C40B2F">
              <w:rPr>
                <w:noProof/>
                <w:webHidden/>
              </w:rPr>
              <w:tab/>
            </w:r>
            <w:r w:rsidR="00FE0D33" w:rsidRPr="00C40B2F">
              <w:rPr>
                <w:noProof/>
                <w:webHidden/>
              </w:rPr>
              <w:fldChar w:fldCharType="begin"/>
            </w:r>
            <w:r w:rsidR="00FE0D33" w:rsidRPr="00C40B2F">
              <w:rPr>
                <w:noProof/>
                <w:webHidden/>
              </w:rPr>
              <w:instrText xml:space="preserve"> PAGEREF _Toc476919451 \h </w:instrText>
            </w:r>
            <w:r w:rsidR="00FE0D33" w:rsidRPr="00C40B2F">
              <w:rPr>
                <w:noProof/>
                <w:webHidden/>
              </w:rPr>
            </w:r>
            <w:r w:rsidR="00FE0D33" w:rsidRPr="00C40B2F">
              <w:rPr>
                <w:noProof/>
                <w:webHidden/>
              </w:rPr>
              <w:fldChar w:fldCharType="separate"/>
            </w:r>
            <w:r w:rsidR="00C40B2F" w:rsidRPr="00C40B2F">
              <w:rPr>
                <w:noProof/>
                <w:webHidden/>
              </w:rPr>
              <w:t>11</w:t>
            </w:r>
            <w:r w:rsidR="00FE0D33" w:rsidRPr="00C40B2F">
              <w:rPr>
                <w:noProof/>
                <w:webHidden/>
              </w:rPr>
              <w:fldChar w:fldCharType="end"/>
            </w:r>
          </w:hyperlink>
        </w:p>
        <w:p w:rsidR="00FE0D33" w:rsidRPr="00C40B2F" w:rsidRDefault="008A64BB">
          <w:pPr>
            <w:pStyle w:val="TOC2"/>
            <w:tabs>
              <w:tab w:val="right" w:leader="dot" w:pos="9346"/>
            </w:tabs>
            <w:rPr>
              <w:rFonts w:eastAsiaTheme="minorEastAsia"/>
              <w:noProof/>
              <w:lang w:eastAsia="bg-BG"/>
            </w:rPr>
          </w:pPr>
          <w:hyperlink w:anchor="_Toc476919452" w:history="1">
            <w:r w:rsidR="00FE0D33" w:rsidRPr="00C40B2F">
              <w:rPr>
                <w:rStyle w:val="Hyperlink"/>
                <w:noProof/>
              </w:rPr>
              <w:t>14.2. Допустими разходи</w:t>
            </w:r>
            <w:r w:rsidR="00FE0D33" w:rsidRPr="00C40B2F">
              <w:rPr>
                <w:noProof/>
                <w:webHidden/>
              </w:rPr>
              <w:tab/>
            </w:r>
            <w:r w:rsidR="00FE0D33" w:rsidRPr="00C40B2F">
              <w:rPr>
                <w:noProof/>
                <w:webHidden/>
              </w:rPr>
              <w:fldChar w:fldCharType="begin"/>
            </w:r>
            <w:r w:rsidR="00FE0D33" w:rsidRPr="00C40B2F">
              <w:rPr>
                <w:noProof/>
                <w:webHidden/>
              </w:rPr>
              <w:instrText xml:space="preserve"> PAGEREF _Toc476919452 \h </w:instrText>
            </w:r>
            <w:r w:rsidR="00FE0D33" w:rsidRPr="00C40B2F">
              <w:rPr>
                <w:noProof/>
                <w:webHidden/>
              </w:rPr>
            </w:r>
            <w:r w:rsidR="00FE0D33" w:rsidRPr="00C40B2F">
              <w:rPr>
                <w:noProof/>
                <w:webHidden/>
              </w:rPr>
              <w:fldChar w:fldCharType="separate"/>
            </w:r>
            <w:r w:rsidR="00C40B2F" w:rsidRPr="00C40B2F">
              <w:rPr>
                <w:noProof/>
                <w:webHidden/>
              </w:rPr>
              <w:t>13</w:t>
            </w:r>
            <w:r w:rsidR="00FE0D33" w:rsidRPr="00C40B2F">
              <w:rPr>
                <w:noProof/>
                <w:webHidden/>
              </w:rPr>
              <w:fldChar w:fldCharType="end"/>
            </w:r>
          </w:hyperlink>
        </w:p>
        <w:p w:rsidR="00FE0D33" w:rsidRPr="00C40B2F" w:rsidRDefault="008A64BB">
          <w:pPr>
            <w:pStyle w:val="TOC2"/>
            <w:tabs>
              <w:tab w:val="right" w:leader="dot" w:pos="9346"/>
            </w:tabs>
            <w:rPr>
              <w:rFonts w:eastAsiaTheme="minorEastAsia"/>
              <w:noProof/>
              <w:lang w:eastAsia="bg-BG"/>
            </w:rPr>
          </w:pPr>
          <w:hyperlink w:anchor="_Toc476919453" w:history="1">
            <w:r w:rsidR="00FE0D33" w:rsidRPr="00C40B2F">
              <w:rPr>
                <w:rStyle w:val="Hyperlink"/>
                <w:noProof/>
              </w:rPr>
              <w:t>14.3. Недопустими разходи</w:t>
            </w:r>
            <w:r w:rsidR="00FE0D33" w:rsidRPr="00C40B2F">
              <w:rPr>
                <w:noProof/>
                <w:webHidden/>
              </w:rPr>
              <w:tab/>
            </w:r>
            <w:r w:rsidR="00FE0D33" w:rsidRPr="00C40B2F">
              <w:rPr>
                <w:noProof/>
                <w:webHidden/>
              </w:rPr>
              <w:fldChar w:fldCharType="begin"/>
            </w:r>
            <w:r w:rsidR="00FE0D33" w:rsidRPr="00C40B2F">
              <w:rPr>
                <w:noProof/>
                <w:webHidden/>
              </w:rPr>
              <w:instrText xml:space="preserve"> PAGEREF _Toc476919453 \h </w:instrText>
            </w:r>
            <w:r w:rsidR="00FE0D33" w:rsidRPr="00C40B2F">
              <w:rPr>
                <w:noProof/>
                <w:webHidden/>
              </w:rPr>
            </w:r>
            <w:r w:rsidR="00FE0D33" w:rsidRPr="00C40B2F">
              <w:rPr>
                <w:noProof/>
                <w:webHidden/>
              </w:rPr>
              <w:fldChar w:fldCharType="separate"/>
            </w:r>
            <w:r w:rsidR="00C40B2F" w:rsidRPr="00C40B2F">
              <w:rPr>
                <w:noProof/>
                <w:webHidden/>
              </w:rPr>
              <w:t>15</w:t>
            </w:r>
            <w:r w:rsidR="00FE0D33" w:rsidRPr="00C40B2F">
              <w:rPr>
                <w:noProof/>
                <w:webHidden/>
              </w:rPr>
              <w:fldChar w:fldCharType="end"/>
            </w:r>
          </w:hyperlink>
        </w:p>
        <w:p w:rsidR="00FE0D33" w:rsidRPr="00C40B2F" w:rsidRDefault="008A64BB">
          <w:pPr>
            <w:pStyle w:val="TOC2"/>
            <w:tabs>
              <w:tab w:val="right" w:leader="dot" w:pos="9346"/>
            </w:tabs>
            <w:rPr>
              <w:rFonts w:eastAsiaTheme="minorEastAsia"/>
              <w:noProof/>
              <w:lang w:eastAsia="bg-BG"/>
            </w:rPr>
          </w:pPr>
          <w:hyperlink w:anchor="_Toc476919454" w:history="1">
            <w:r w:rsidR="00FE0D33" w:rsidRPr="00C40B2F">
              <w:rPr>
                <w:rStyle w:val="Hyperlink"/>
                <w:noProof/>
              </w:rPr>
              <w:t>15. Допустими целеви групи (ако е приложимо):</w:t>
            </w:r>
            <w:r w:rsidR="00FE0D33" w:rsidRPr="00C40B2F">
              <w:rPr>
                <w:noProof/>
                <w:webHidden/>
              </w:rPr>
              <w:tab/>
            </w:r>
            <w:r w:rsidR="00FE0D33" w:rsidRPr="00C40B2F">
              <w:rPr>
                <w:noProof/>
                <w:webHidden/>
              </w:rPr>
              <w:fldChar w:fldCharType="begin"/>
            </w:r>
            <w:r w:rsidR="00FE0D33" w:rsidRPr="00C40B2F">
              <w:rPr>
                <w:noProof/>
                <w:webHidden/>
              </w:rPr>
              <w:instrText xml:space="preserve"> PAGEREF _Toc476919454 \h </w:instrText>
            </w:r>
            <w:r w:rsidR="00FE0D33" w:rsidRPr="00C40B2F">
              <w:rPr>
                <w:noProof/>
                <w:webHidden/>
              </w:rPr>
            </w:r>
            <w:r w:rsidR="00FE0D33" w:rsidRPr="00C40B2F">
              <w:rPr>
                <w:noProof/>
                <w:webHidden/>
              </w:rPr>
              <w:fldChar w:fldCharType="separate"/>
            </w:r>
            <w:r w:rsidR="00C40B2F" w:rsidRPr="00C40B2F">
              <w:rPr>
                <w:noProof/>
                <w:webHidden/>
              </w:rPr>
              <w:t>16</w:t>
            </w:r>
            <w:r w:rsidR="00FE0D33" w:rsidRPr="00C40B2F">
              <w:rPr>
                <w:noProof/>
                <w:webHidden/>
              </w:rPr>
              <w:fldChar w:fldCharType="end"/>
            </w:r>
          </w:hyperlink>
        </w:p>
        <w:p w:rsidR="00FE0D33" w:rsidRPr="00C40B2F" w:rsidRDefault="008A64BB">
          <w:pPr>
            <w:pStyle w:val="TOC2"/>
            <w:tabs>
              <w:tab w:val="right" w:leader="dot" w:pos="9346"/>
            </w:tabs>
            <w:rPr>
              <w:rFonts w:eastAsiaTheme="minorEastAsia"/>
              <w:noProof/>
              <w:lang w:eastAsia="bg-BG"/>
            </w:rPr>
          </w:pPr>
          <w:hyperlink w:anchor="_Toc476919461" w:history="1">
            <w:r w:rsidR="00FE0D33" w:rsidRPr="00C40B2F">
              <w:rPr>
                <w:rStyle w:val="Hyperlink"/>
                <w:noProof/>
              </w:rPr>
              <w:t>16. Приложим режим на минимални/държавни помощи (ако е приложимо):</w:t>
            </w:r>
            <w:r w:rsidR="00FE0D33" w:rsidRPr="00C40B2F">
              <w:rPr>
                <w:noProof/>
                <w:webHidden/>
              </w:rPr>
              <w:tab/>
            </w:r>
            <w:r w:rsidR="00FE0D33" w:rsidRPr="00C40B2F">
              <w:rPr>
                <w:noProof/>
                <w:webHidden/>
              </w:rPr>
              <w:fldChar w:fldCharType="begin"/>
            </w:r>
            <w:r w:rsidR="00FE0D33" w:rsidRPr="00C40B2F">
              <w:rPr>
                <w:noProof/>
                <w:webHidden/>
              </w:rPr>
              <w:instrText xml:space="preserve"> PAGEREF _Toc476919461 \h </w:instrText>
            </w:r>
            <w:r w:rsidR="00FE0D33" w:rsidRPr="00C40B2F">
              <w:rPr>
                <w:noProof/>
                <w:webHidden/>
              </w:rPr>
            </w:r>
            <w:r w:rsidR="00FE0D33" w:rsidRPr="00C40B2F">
              <w:rPr>
                <w:noProof/>
                <w:webHidden/>
              </w:rPr>
              <w:fldChar w:fldCharType="separate"/>
            </w:r>
            <w:r w:rsidR="00C40B2F" w:rsidRPr="00C40B2F">
              <w:rPr>
                <w:noProof/>
                <w:webHidden/>
              </w:rPr>
              <w:t>17</w:t>
            </w:r>
            <w:r w:rsidR="00FE0D33" w:rsidRPr="00C40B2F">
              <w:rPr>
                <w:noProof/>
                <w:webHidden/>
              </w:rPr>
              <w:fldChar w:fldCharType="end"/>
            </w:r>
          </w:hyperlink>
        </w:p>
        <w:p w:rsidR="00FE0D33" w:rsidRPr="00C40B2F" w:rsidRDefault="008A64BB">
          <w:pPr>
            <w:pStyle w:val="TOC2"/>
            <w:tabs>
              <w:tab w:val="right" w:leader="dot" w:pos="9346"/>
            </w:tabs>
            <w:rPr>
              <w:rFonts w:eastAsiaTheme="minorEastAsia"/>
              <w:noProof/>
              <w:lang w:eastAsia="bg-BG"/>
            </w:rPr>
          </w:pPr>
          <w:hyperlink w:anchor="_Toc476919465" w:history="1">
            <w:r w:rsidR="00FE0D33" w:rsidRPr="00C40B2F">
              <w:rPr>
                <w:rStyle w:val="Hyperlink"/>
                <w:noProof/>
              </w:rPr>
              <w:t>17. Хоризонтални политики:</w:t>
            </w:r>
            <w:r w:rsidR="00FE0D33" w:rsidRPr="00C40B2F">
              <w:rPr>
                <w:noProof/>
                <w:webHidden/>
              </w:rPr>
              <w:tab/>
            </w:r>
            <w:r w:rsidR="00FE0D33" w:rsidRPr="00C40B2F">
              <w:rPr>
                <w:noProof/>
                <w:webHidden/>
              </w:rPr>
              <w:fldChar w:fldCharType="begin"/>
            </w:r>
            <w:r w:rsidR="00FE0D33" w:rsidRPr="00C40B2F">
              <w:rPr>
                <w:noProof/>
                <w:webHidden/>
              </w:rPr>
              <w:instrText xml:space="preserve"> PAGEREF _Toc476919465 \h </w:instrText>
            </w:r>
            <w:r w:rsidR="00FE0D33" w:rsidRPr="00C40B2F">
              <w:rPr>
                <w:noProof/>
                <w:webHidden/>
              </w:rPr>
            </w:r>
            <w:r w:rsidR="00FE0D33" w:rsidRPr="00C40B2F">
              <w:rPr>
                <w:noProof/>
                <w:webHidden/>
              </w:rPr>
              <w:fldChar w:fldCharType="separate"/>
            </w:r>
            <w:r w:rsidR="00C40B2F" w:rsidRPr="00C40B2F">
              <w:rPr>
                <w:noProof/>
                <w:webHidden/>
              </w:rPr>
              <w:t>18</w:t>
            </w:r>
            <w:r w:rsidR="00FE0D33" w:rsidRPr="00C40B2F">
              <w:rPr>
                <w:noProof/>
                <w:webHidden/>
              </w:rPr>
              <w:fldChar w:fldCharType="end"/>
            </w:r>
          </w:hyperlink>
        </w:p>
        <w:p w:rsidR="00FE0D33" w:rsidRPr="00C40B2F" w:rsidRDefault="008A64BB">
          <w:pPr>
            <w:pStyle w:val="TOC2"/>
            <w:tabs>
              <w:tab w:val="right" w:leader="dot" w:pos="9346"/>
            </w:tabs>
            <w:rPr>
              <w:rFonts w:eastAsiaTheme="minorEastAsia"/>
              <w:noProof/>
              <w:lang w:eastAsia="bg-BG"/>
            </w:rPr>
          </w:pPr>
          <w:hyperlink w:anchor="_Toc476919466" w:history="1">
            <w:r w:rsidR="00FE0D33" w:rsidRPr="00C40B2F">
              <w:rPr>
                <w:rStyle w:val="Hyperlink"/>
                <w:noProof/>
              </w:rPr>
              <w:t>18. Минимален и максимален срок за изпълнение на проекта (ако е приложимо):</w:t>
            </w:r>
            <w:r w:rsidR="00FE0D33" w:rsidRPr="00C40B2F">
              <w:rPr>
                <w:noProof/>
                <w:webHidden/>
              </w:rPr>
              <w:tab/>
            </w:r>
            <w:r w:rsidR="00FE0D33" w:rsidRPr="00C40B2F">
              <w:rPr>
                <w:noProof/>
                <w:webHidden/>
              </w:rPr>
              <w:fldChar w:fldCharType="begin"/>
            </w:r>
            <w:r w:rsidR="00FE0D33" w:rsidRPr="00C40B2F">
              <w:rPr>
                <w:noProof/>
                <w:webHidden/>
              </w:rPr>
              <w:instrText xml:space="preserve"> PAGEREF _Toc476919466 \h </w:instrText>
            </w:r>
            <w:r w:rsidR="00FE0D33" w:rsidRPr="00C40B2F">
              <w:rPr>
                <w:noProof/>
                <w:webHidden/>
              </w:rPr>
            </w:r>
            <w:r w:rsidR="00FE0D33" w:rsidRPr="00C40B2F">
              <w:rPr>
                <w:noProof/>
                <w:webHidden/>
              </w:rPr>
              <w:fldChar w:fldCharType="separate"/>
            </w:r>
            <w:r w:rsidR="00C40B2F" w:rsidRPr="00C40B2F">
              <w:rPr>
                <w:noProof/>
                <w:webHidden/>
              </w:rPr>
              <w:t>19</w:t>
            </w:r>
            <w:r w:rsidR="00FE0D33" w:rsidRPr="00C40B2F">
              <w:rPr>
                <w:noProof/>
                <w:webHidden/>
              </w:rPr>
              <w:fldChar w:fldCharType="end"/>
            </w:r>
          </w:hyperlink>
        </w:p>
        <w:p w:rsidR="00FE0D33" w:rsidRPr="00C40B2F" w:rsidRDefault="008A64BB">
          <w:pPr>
            <w:pStyle w:val="TOC2"/>
            <w:tabs>
              <w:tab w:val="right" w:leader="dot" w:pos="9346"/>
            </w:tabs>
            <w:rPr>
              <w:rFonts w:eastAsiaTheme="minorEastAsia"/>
              <w:noProof/>
              <w:lang w:eastAsia="bg-BG"/>
            </w:rPr>
          </w:pPr>
          <w:hyperlink w:anchor="_Toc476919467" w:history="1">
            <w:r w:rsidR="00FE0D33" w:rsidRPr="00C40B2F">
              <w:rPr>
                <w:rStyle w:val="Hyperlink"/>
                <w:noProof/>
              </w:rPr>
              <w:t>19. Ред за оценяване на концепциите за проектни предложения:</w:t>
            </w:r>
            <w:r w:rsidR="00FE0D33" w:rsidRPr="00C40B2F">
              <w:rPr>
                <w:noProof/>
                <w:webHidden/>
              </w:rPr>
              <w:tab/>
            </w:r>
            <w:r w:rsidR="00FE0D33" w:rsidRPr="00C40B2F">
              <w:rPr>
                <w:noProof/>
                <w:webHidden/>
              </w:rPr>
              <w:fldChar w:fldCharType="begin"/>
            </w:r>
            <w:r w:rsidR="00FE0D33" w:rsidRPr="00C40B2F">
              <w:rPr>
                <w:noProof/>
                <w:webHidden/>
              </w:rPr>
              <w:instrText xml:space="preserve"> PAGEREF _Toc476919467 \h </w:instrText>
            </w:r>
            <w:r w:rsidR="00FE0D33" w:rsidRPr="00C40B2F">
              <w:rPr>
                <w:noProof/>
                <w:webHidden/>
              </w:rPr>
            </w:r>
            <w:r w:rsidR="00FE0D33" w:rsidRPr="00C40B2F">
              <w:rPr>
                <w:noProof/>
                <w:webHidden/>
              </w:rPr>
              <w:fldChar w:fldCharType="separate"/>
            </w:r>
            <w:r w:rsidR="00C40B2F" w:rsidRPr="00C40B2F">
              <w:rPr>
                <w:noProof/>
                <w:webHidden/>
              </w:rPr>
              <w:t>19</w:t>
            </w:r>
            <w:r w:rsidR="00FE0D33" w:rsidRPr="00C40B2F">
              <w:rPr>
                <w:noProof/>
                <w:webHidden/>
              </w:rPr>
              <w:fldChar w:fldCharType="end"/>
            </w:r>
          </w:hyperlink>
        </w:p>
        <w:p w:rsidR="00FE0D33" w:rsidRPr="00C40B2F" w:rsidRDefault="008A64BB">
          <w:pPr>
            <w:pStyle w:val="TOC2"/>
            <w:tabs>
              <w:tab w:val="right" w:leader="dot" w:pos="9346"/>
            </w:tabs>
            <w:rPr>
              <w:rFonts w:eastAsiaTheme="minorEastAsia"/>
              <w:noProof/>
              <w:lang w:eastAsia="bg-BG"/>
            </w:rPr>
          </w:pPr>
          <w:hyperlink w:anchor="_Toc476919468" w:history="1">
            <w:r w:rsidR="00FE0D33" w:rsidRPr="00C40B2F">
              <w:rPr>
                <w:rStyle w:val="Hyperlink"/>
                <w:noProof/>
              </w:rPr>
              <w:t>20. Критерии и методика за оценка на концепциите за проектни предложения:</w:t>
            </w:r>
            <w:r w:rsidR="00FE0D33" w:rsidRPr="00C40B2F">
              <w:rPr>
                <w:noProof/>
                <w:webHidden/>
              </w:rPr>
              <w:tab/>
            </w:r>
            <w:r w:rsidR="00FE0D33" w:rsidRPr="00C40B2F">
              <w:rPr>
                <w:noProof/>
                <w:webHidden/>
              </w:rPr>
              <w:fldChar w:fldCharType="begin"/>
            </w:r>
            <w:r w:rsidR="00FE0D33" w:rsidRPr="00C40B2F">
              <w:rPr>
                <w:noProof/>
                <w:webHidden/>
              </w:rPr>
              <w:instrText xml:space="preserve"> PAGEREF _Toc476919468 \h </w:instrText>
            </w:r>
            <w:r w:rsidR="00FE0D33" w:rsidRPr="00C40B2F">
              <w:rPr>
                <w:noProof/>
                <w:webHidden/>
              </w:rPr>
            </w:r>
            <w:r w:rsidR="00FE0D33" w:rsidRPr="00C40B2F">
              <w:rPr>
                <w:noProof/>
                <w:webHidden/>
              </w:rPr>
              <w:fldChar w:fldCharType="separate"/>
            </w:r>
            <w:r w:rsidR="00C40B2F" w:rsidRPr="00C40B2F">
              <w:rPr>
                <w:noProof/>
                <w:webHidden/>
              </w:rPr>
              <w:t>19</w:t>
            </w:r>
            <w:r w:rsidR="00FE0D33" w:rsidRPr="00C40B2F">
              <w:rPr>
                <w:noProof/>
                <w:webHidden/>
              </w:rPr>
              <w:fldChar w:fldCharType="end"/>
            </w:r>
          </w:hyperlink>
        </w:p>
        <w:p w:rsidR="00FE0D33" w:rsidRPr="00C40B2F" w:rsidRDefault="008A64BB">
          <w:pPr>
            <w:pStyle w:val="TOC2"/>
            <w:tabs>
              <w:tab w:val="right" w:leader="dot" w:pos="9346"/>
            </w:tabs>
            <w:rPr>
              <w:rFonts w:eastAsiaTheme="minorEastAsia"/>
              <w:noProof/>
              <w:lang w:eastAsia="bg-BG"/>
            </w:rPr>
          </w:pPr>
          <w:hyperlink w:anchor="_Toc476919469" w:history="1">
            <w:r w:rsidR="00FE0D33" w:rsidRPr="00C40B2F">
              <w:rPr>
                <w:rStyle w:val="Hyperlink"/>
                <w:noProof/>
              </w:rPr>
              <w:t>21. Ред за оценяване на проектните предложения:</w:t>
            </w:r>
            <w:r w:rsidR="00FE0D33" w:rsidRPr="00C40B2F">
              <w:rPr>
                <w:noProof/>
                <w:webHidden/>
              </w:rPr>
              <w:tab/>
            </w:r>
            <w:r w:rsidR="00FE0D33" w:rsidRPr="00C40B2F">
              <w:rPr>
                <w:noProof/>
                <w:webHidden/>
              </w:rPr>
              <w:fldChar w:fldCharType="begin"/>
            </w:r>
            <w:r w:rsidR="00FE0D33" w:rsidRPr="00C40B2F">
              <w:rPr>
                <w:noProof/>
                <w:webHidden/>
              </w:rPr>
              <w:instrText xml:space="preserve"> PAGEREF _Toc476919469 \h </w:instrText>
            </w:r>
            <w:r w:rsidR="00FE0D33" w:rsidRPr="00C40B2F">
              <w:rPr>
                <w:noProof/>
                <w:webHidden/>
              </w:rPr>
            </w:r>
            <w:r w:rsidR="00FE0D33" w:rsidRPr="00C40B2F">
              <w:rPr>
                <w:noProof/>
                <w:webHidden/>
              </w:rPr>
              <w:fldChar w:fldCharType="separate"/>
            </w:r>
            <w:r w:rsidR="00C40B2F" w:rsidRPr="00C40B2F">
              <w:rPr>
                <w:noProof/>
                <w:webHidden/>
              </w:rPr>
              <w:t>19</w:t>
            </w:r>
            <w:r w:rsidR="00FE0D33" w:rsidRPr="00C40B2F">
              <w:rPr>
                <w:noProof/>
                <w:webHidden/>
              </w:rPr>
              <w:fldChar w:fldCharType="end"/>
            </w:r>
          </w:hyperlink>
        </w:p>
        <w:p w:rsidR="00FE0D33" w:rsidRPr="00C40B2F" w:rsidRDefault="008A64BB">
          <w:pPr>
            <w:pStyle w:val="TOC2"/>
            <w:tabs>
              <w:tab w:val="right" w:leader="dot" w:pos="9346"/>
            </w:tabs>
            <w:rPr>
              <w:rFonts w:eastAsiaTheme="minorEastAsia"/>
              <w:noProof/>
              <w:lang w:eastAsia="bg-BG"/>
            </w:rPr>
          </w:pPr>
          <w:hyperlink w:anchor="_Toc476919470" w:history="1">
            <w:r w:rsidR="00FE0D33" w:rsidRPr="00C40B2F">
              <w:rPr>
                <w:rStyle w:val="Hyperlink"/>
                <w:noProof/>
              </w:rPr>
              <w:t>22. Критерии и методика за оценка на проектните предложения:</w:t>
            </w:r>
            <w:r w:rsidR="00FE0D33" w:rsidRPr="00C40B2F">
              <w:rPr>
                <w:noProof/>
                <w:webHidden/>
              </w:rPr>
              <w:tab/>
            </w:r>
            <w:r w:rsidR="00FE0D33" w:rsidRPr="00C40B2F">
              <w:rPr>
                <w:noProof/>
                <w:webHidden/>
              </w:rPr>
              <w:fldChar w:fldCharType="begin"/>
            </w:r>
            <w:r w:rsidR="00FE0D33" w:rsidRPr="00C40B2F">
              <w:rPr>
                <w:noProof/>
                <w:webHidden/>
              </w:rPr>
              <w:instrText xml:space="preserve"> PAGEREF _Toc476919470 \h </w:instrText>
            </w:r>
            <w:r w:rsidR="00FE0D33" w:rsidRPr="00C40B2F">
              <w:rPr>
                <w:noProof/>
                <w:webHidden/>
              </w:rPr>
            </w:r>
            <w:r w:rsidR="00FE0D33" w:rsidRPr="00C40B2F">
              <w:rPr>
                <w:noProof/>
                <w:webHidden/>
              </w:rPr>
              <w:fldChar w:fldCharType="separate"/>
            </w:r>
            <w:r w:rsidR="00C40B2F" w:rsidRPr="00C40B2F">
              <w:rPr>
                <w:noProof/>
                <w:webHidden/>
              </w:rPr>
              <w:t>20</w:t>
            </w:r>
            <w:r w:rsidR="00FE0D33" w:rsidRPr="00C40B2F">
              <w:rPr>
                <w:noProof/>
                <w:webHidden/>
              </w:rPr>
              <w:fldChar w:fldCharType="end"/>
            </w:r>
          </w:hyperlink>
        </w:p>
        <w:p w:rsidR="00FE0D33" w:rsidRPr="00C40B2F" w:rsidRDefault="008A64BB">
          <w:pPr>
            <w:pStyle w:val="TOC2"/>
            <w:tabs>
              <w:tab w:val="right" w:leader="dot" w:pos="9346"/>
            </w:tabs>
            <w:rPr>
              <w:rFonts w:eastAsiaTheme="minorEastAsia"/>
              <w:noProof/>
              <w:lang w:eastAsia="bg-BG"/>
            </w:rPr>
          </w:pPr>
          <w:hyperlink w:anchor="_Toc476919471" w:history="1">
            <w:r w:rsidR="00FE0D33" w:rsidRPr="00C40B2F">
              <w:rPr>
                <w:rStyle w:val="Hyperlink"/>
                <w:noProof/>
              </w:rPr>
              <w:t>23. Начин на подаване на проектните предложения:</w:t>
            </w:r>
            <w:r w:rsidR="00FE0D33" w:rsidRPr="00C40B2F">
              <w:rPr>
                <w:noProof/>
                <w:webHidden/>
              </w:rPr>
              <w:tab/>
            </w:r>
            <w:r w:rsidR="00FE0D33" w:rsidRPr="00C40B2F">
              <w:rPr>
                <w:noProof/>
                <w:webHidden/>
              </w:rPr>
              <w:fldChar w:fldCharType="begin"/>
            </w:r>
            <w:r w:rsidR="00FE0D33" w:rsidRPr="00C40B2F">
              <w:rPr>
                <w:noProof/>
                <w:webHidden/>
              </w:rPr>
              <w:instrText xml:space="preserve"> PAGEREF _Toc476919471 \h </w:instrText>
            </w:r>
            <w:r w:rsidR="00FE0D33" w:rsidRPr="00C40B2F">
              <w:rPr>
                <w:noProof/>
                <w:webHidden/>
              </w:rPr>
            </w:r>
            <w:r w:rsidR="00FE0D33" w:rsidRPr="00C40B2F">
              <w:rPr>
                <w:noProof/>
                <w:webHidden/>
              </w:rPr>
              <w:fldChar w:fldCharType="separate"/>
            </w:r>
            <w:r w:rsidR="00C40B2F" w:rsidRPr="00C40B2F">
              <w:rPr>
                <w:noProof/>
                <w:webHidden/>
              </w:rPr>
              <w:t>22</w:t>
            </w:r>
            <w:r w:rsidR="00FE0D33" w:rsidRPr="00C40B2F">
              <w:rPr>
                <w:noProof/>
                <w:webHidden/>
              </w:rPr>
              <w:fldChar w:fldCharType="end"/>
            </w:r>
          </w:hyperlink>
        </w:p>
        <w:p w:rsidR="00FE0D33" w:rsidRPr="00C40B2F" w:rsidRDefault="008A64BB">
          <w:pPr>
            <w:pStyle w:val="TOC2"/>
            <w:tabs>
              <w:tab w:val="right" w:leader="dot" w:pos="9346"/>
            </w:tabs>
            <w:rPr>
              <w:rFonts w:eastAsiaTheme="minorEastAsia"/>
              <w:noProof/>
              <w:lang w:eastAsia="bg-BG"/>
            </w:rPr>
          </w:pPr>
          <w:hyperlink w:anchor="_Toc476919472" w:history="1">
            <w:r w:rsidR="00FE0D33" w:rsidRPr="00C40B2F">
              <w:rPr>
                <w:rStyle w:val="Hyperlink"/>
                <w:noProof/>
              </w:rPr>
              <w:t>24. Списък на документите, които се подават на етап кандидатстване:</w:t>
            </w:r>
            <w:r w:rsidR="00FE0D33" w:rsidRPr="00C40B2F">
              <w:rPr>
                <w:noProof/>
                <w:webHidden/>
              </w:rPr>
              <w:tab/>
            </w:r>
            <w:r w:rsidR="00FE0D33" w:rsidRPr="00C40B2F">
              <w:rPr>
                <w:noProof/>
                <w:webHidden/>
              </w:rPr>
              <w:fldChar w:fldCharType="begin"/>
            </w:r>
            <w:r w:rsidR="00FE0D33" w:rsidRPr="00C40B2F">
              <w:rPr>
                <w:noProof/>
                <w:webHidden/>
              </w:rPr>
              <w:instrText xml:space="preserve"> PAGEREF _Toc476919472 \h </w:instrText>
            </w:r>
            <w:r w:rsidR="00FE0D33" w:rsidRPr="00C40B2F">
              <w:rPr>
                <w:noProof/>
                <w:webHidden/>
              </w:rPr>
            </w:r>
            <w:r w:rsidR="00FE0D33" w:rsidRPr="00C40B2F">
              <w:rPr>
                <w:noProof/>
                <w:webHidden/>
              </w:rPr>
              <w:fldChar w:fldCharType="separate"/>
            </w:r>
            <w:r w:rsidR="00C40B2F" w:rsidRPr="00C40B2F">
              <w:rPr>
                <w:noProof/>
                <w:webHidden/>
              </w:rPr>
              <w:t>23</w:t>
            </w:r>
            <w:r w:rsidR="00FE0D33" w:rsidRPr="00C40B2F">
              <w:rPr>
                <w:noProof/>
                <w:webHidden/>
              </w:rPr>
              <w:fldChar w:fldCharType="end"/>
            </w:r>
          </w:hyperlink>
        </w:p>
        <w:p w:rsidR="00FE0D33" w:rsidRPr="00C40B2F" w:rsidRDefault="008A64BB">
          <w:pPr>
            <w:pStyle w:val="TOC2"/>
            <w:tabs>
              <w:tab w:val="right" w:leader="dot" w:pos="9346"/>
            </w:tabs>
            <w:rPr>
              <w:rFonts w:eastAsiaTheme="minorEastAsia"/>
              <w:noProof/>
              <w:lang w:eastAsia="bg-BG"/>
            </w:rPr>
          </w:pPr>
          <w:hyperlink w:anchor="_Toc476919473" w:history="1">
            <w:r w:rsidR="00FE0D33" w:rsidRPr="00C40B2F">
              <w:rPr>
                <w:rStyle w:val="Hyperlink"/>
                <w:noProof/>
              </w:rPr>
              <w:t>25. Краен срок за подаване на проектните предложения:</w:t>
            </w:r>
            <w:r w:rsidR="00FE0D33" w:rsidRPr="00C40B2F">
              <w:rPr>
                <w:noProof/>
                <w:webHidden/>
              </w:rPr>
              <w:tab/>
            </w:r>
            <w:r w:rsidR="00FE0D33" w:rsidRPr="00C40B2F">
              <w:rPr>
                <w:noProof/>
                <w:webHidden/>
              </w:rPr>
              <w:fldChar w:fldCharType="begin"/>
            </w:r>
            <w:r w:rsidR="00FE0D33" w:rsidRPr="00C40B2F">
              <w:rPr>
                <w:noProof/>
                <w:webHidden/>
              </w:rPr>
              <w:instrText xml:space="preserve"> PAGEREF _Toc476919473 \h </w:instrText>
            </w:r>
            <w:r w:rsidR="00FE0D33" w:rsidRPr="00C40B2F">
              <w:rPr>
                <w:noProof/>
                <w:webHidden/>
              </w:rPr>
            </w:r>
            <w:r w:rsidR="00FE0D33" w:rsidRPr="00C40B2F">
              <w:rPr>
                <w:noProof/>
                <w:webHidden/>
              </w:rPr>
              <w:fldChar w:fldCharType="separate"/>
            </w:r>
            <w:r w:rsidR="00C40B2F" w:rsidRPr="00C40B2F">
              <w:rPr>
                <w:noProof/>
                <w:webHidden/>
              </w:rPr>
              <w:t>25</w:t>
            </w:r>
            <w:r w:rsidR="00FE0D33" w:rsidRPr="00C40B2F">
              <w:rPr>
                <w:noProof/>
                <w:webHidden/>
              </w:rPr>
              <w:fldChar w:fldCharType="end"/>
            </w:r>
          </w:hyperlink>
        </w:p>
        <w:p w:rsidR="00FE0D33" w:rsidRPr="00C40B2F" w:rsidRDefault="008A64BB">
          <w:pPr>
            <w:pStyle w:val="TOC2"/>
            <w:tabs>
              <w:tab w:val="right" w:leader="dot" w:pos="9346"/>
            </w:tabs>
            <w:rPr>
              <w:rFonts w:eastAsiaTheme="minorEastAsia"/>
              <w:noProof/>
              <w:lang w:eastAsia="bg-BG"/>
            </w:rPr>
          </w:pPr>
          <w:hyperlink w:anchor="_Toc476919474" w:history="1">
            <w:r w:rsidR="00FE0D33" w:rsidRPr="00C40B2F">
              <w:rPr>
                <w:rStyle w:val="Hyperlink"/>
                <w:noProof/>
              </w:rPr>
              <w:t>26. Адрес за подаване на проектните предложения:</w:t>
            </w:r>
            <w:r w:rsidR="00FE0D33" w:rsidRPr="00C40B2F">
              <w:rPr>
                <w:noProof/>
                <w:webHidden/>
              </w:rPr>
              <w:tab/>
            </w:r>
            <w:r w:rsidR="00FE0D33" w:rsidRPr="00C40B2F">
              <w:rPr>
                <w:noProof/>
                <w:webHidden/>
              </w:rPr>
              <w:fldChar w:fldCharType="begin"/>
            </w:r>
            <w:r w:rsidR="00FE0D33" w:rsidRPr="00C40B2F">
              <w:rPr>
                <w:noProof/>
                <w:webHidden/>
              </w:rPr>
              <w:instrText xml:space="preserve"> PAGEREF _Toc476919474 \h </w:instrText>
            </w:r>
            <w:r w:rsidR="00FE0D33" w:rsidRPr="00C40B2F">
              <w:rPr>
                <w:noProof/>
                <w:webHidden/>
              </w:rPr>
            </w:r>
            <w:r w:rsidR="00FE0D33" w:rsidRPr="00C40B2F">
              <w:rPr>
                <w:noProof/>
                <w:webHidden/>
              </w:rPr>
              <w:fldChar w:fldCharType="separate"/>
            </w:r>
            <w:r w:rsidR="00C40B2F" w:rsidRPr="00C40B2F">
              <w:rPr>
                <w:noProof/>
                <w:webHidden/>
              </w:rPr>
              <w:t>25</w:t>
            </w:r>
            <w:r w:rsidR="00FE0D33" w:rsidRPr="00C40B2F">
              <w:rPr>
                <w:noProof/>
                <w:webHidden/>
              </w:rPr>
              <w:fldChar w:fldCharType="end"/>
            </w:r>
          </w:hyperlink>
        </w:p>
        <w:p w:rsidR="00FE0D33" w:rsidRPr="00C40B2F" w:rsidRDefault="008A64BB">
          <w:pPr>
            <w:pStyle w:val="TOC2"/>
            <w:tabs>
              <w:tab w:val="right" w:leader="dot" w:pos="9346"/>
            </w:tabs>
            <w:rPr>
              <w:rFonts w:eastAsiaTheme="minorEastAsia"/>
              <w:noProof/>
              <w:lang w:eastAsia="bg-BG"/>
            </w:rPr>
          </w:pPr>
          <w:hyperlink w:anchor="_Toc476919475" w:history="1">
            <w:r w:rsidR="00FE0D33" w:rsidRPr="00C40B2F">
              <w:rPr>
                <w:rStyle w:val="Hyperlink"/>
                <w:noProof/>
              </w:rPr>
              <w:t>27. Допълнителна информация</w:t>
            </w:r>
            <w:r w:rsidR="00FE0D33" w:rsidRPr="00C40B2F">
              <w:rPr>
                <w:noProof/>
                <w:webHidden/>
              </w:rPr>
              <w:tab/>
            </w:r>
            <w:r w:rsidR="00FE0D33" w:rsidRPr="00C40B2F">
              <w:rPr>
                <w:noProof/>
                <w:webHidden/>
              </w:rPr>
              <w:fldChar w:fldCharType="begin"/>
            </w:r>
            <w:r w:rsidR="00FE0D33" w:rsidRPr="00C40B2F">
              <w:rPr>
                <w:noProof/>
                <w:webHidden/>
              </w:rPr>
              <w:instrText xml:space="preserve"> PAGEREF _Toc476919475 \h </w:instrText>
            </w:r>
            <w:r w:rsidR="00FE0D33" w:rsidRPr="00C40B2F">
              <w:rPr>
                <w:noProof/>
                <w:webHidden/>
              </w:rPr>
            </w:r>
            <w:r w:rsidR="00FE0D33" w:rsidRPr="00C40B2F">
              <w:rPr>
                <w:noProof/>
                <w:webHidden/>
              </w:rPr>
              <w:fldChar w:fldCharType="separate"/>
            </w:r>
            <w:r w:rsidR="00C40B2F" w:rsidRPr="00C40B2F">
              <w:rPr>
                <w:noProof/>
                <w:webHidden/>
              </w:rPr>
              <w:t>25</w:t>
            </w:r>
            <w:r w:rsidR="00FE0D33" w:rsidRPr="00C40B2F">
              <w:rPr>
                <w:noProof/>
                <w:webHidden/>
              </w:rPr>
              <w:fldChar w:fldCharType="end"/>
            </w:r>
          </w:hyperlink>
        </w:p>
        <w:p w:rsidR="00FE0D33" w:rsidRPr="00C40B2F" w:rsidRDefault="008A64BB">
          <w:pPr>
            <w:pStyle w:val="TOC2"/>
            <w:tabs>
              <w:tab w:val="right" w:leader="dot" w:pos="9346"/>
            </w:tabs>
            <w:rPr>
              <w:rFonts w:eastAsiaTheme="minorEastAsia"/>
              <w:noProof/>
              <w:lang w:eastAsia="bg-BG"/>
            </w:rPr>
          </w:pPr>
          <w:hyperlink w:anchor="_Toc476919476" w:history="1">
            <w:r w:rsidR="00FE0D33" w:rsidRPr="00C40B2F">
              <w:rPr>
                <w:rStyle w:val="Hyperlink"/>
                <w:noProof/>
              </w:rPr>
              <w:t>28. Приложения към Условията за кандидатстване за кандидатстване:</w:t>
            </w:r>
            <w:r w:rsidR="00FE0D33" w:rsidRPr="00C40B2F">
              <w:rPr>
                <w:noProof/>
                <w:webHidden/>
              </w:rPr>
              <w:tab/>
            </w:r>
            <w:r w:rsidR="00FE0D33" w:rsidRPr="00C40B2F">
              <w:rPr>
                <w:noProof/>
                <w:webHidden/>
              </w:rPr>
              <w:fldChar w:fldCharType="begin"/>
            </w:r>
            <w:r w:rsidR="00FE0D33" w:rsidRPr="00C40B2F">
              <w:rPr>
                <w:noProof/>
                <w:webHidden/>
              </w:rPr>
              <w:instrText xml:space="preserve"> PAGEREF _Toc476919476 \h </w:instrText>
            </w:r>
            <w:r w:rsidR="00FE0D33" w:rsidRPr="00C40B2F">
              <w:rPr>
                <w:noProof/>
                <w:webHidden/>
              </w:rPr>
            </w:r>
            <w:r w:rsidR="00FE0D33" w:rsidRPr="00C40B2F">
              <w:rPr>
                <w:noProof/>
                <w:webHidden/>
              </w:rPr>
              <w:fldChar w:fldCharType="separate"/>
            </w:r>
            <w:r w:rsidR="00C40B2F" w:rsidRPr="00C40B2F">
              <w:rPr>
                <w:noProof/>
                <w:webHidden/>
              </w:rPr>
              <w:t>26</w:t>
            </w:r>
            <w:r w:rsidR="00FE0D33" w:rsidRPr="00C40B2F">
              <w:rPr>
                <w:noProof/>
                <w:webHidden/>
              </w:rPr>
              <w:fldChar w:fldCharType="end"/>
            </w:r>
          </w:hyperlink>
        </w:p>
        <w:p w:rsidR="00394B8E" w:rsidRPr="00C40B2F" w:rsidRDefault="00394B8E">
          <w:r w:rsidRPr="00C40B2F">
            <w:rPr>
              <w:b/>
              <w:bCs/>
            </w:rPr>
            <w:fldChar w:fldCharType="end"/>
          </w:r>
        </w:p>
      </w:sdtContent>
    </w:sdt>
    <w:p w:rsidR="0029712A" w:rsidRPr="00C40B2F" w:rsidRDefault="0029712A" w:rsidP="004D2228">
      <w:pPr>
        <w:spacing w:after="120" w:line="240" w:lineRule="auto"/>
        <w:jc w:val="center"/>
        <w:rPr>
          <w:b/>
          <w:sz w:val="28"/>
          <w:szCs w:val="28"/>
        </w:rPr>
      </w:pPr>
    </w:p>
    <w:p w:rsidR="00EE5933" w:rsidRPr="00C40B2F" w:rsidRDefault="00EE5933" w:rsidP="004D2228">
      <w:pPr>
        <w:spacing w:after="120" w:line="240" w:lineRule="auto"/>
        <w:jc w:val="center"/>
        <w:rPr>
          <w:b/>
          <w:sz w:val="28"/>
          <w:szCs w:val="28"/>
        </w:rPr>
      </w:pPr>
    </w:p>
    <w:p w:rsidR="00BB428B" w:rsidRPr="00C40B2F" w:rsidRDefault="00BB428B" w:rsidP="004D2228">
      <w:pPr>
        <w:spacing w:after="120" w:line="240" w:lineRule="auto"/>
        <w:jc w:val="center"/>
        <w:rPr>
          <w:b/>
          <w:sz w:val="28"/>
          <w:szCs w:val="28"/>
        </w:rPr>
      </w:pPr>
    </w:p>
    <w:p w:rsidR="00BB428B" w:rsidRPr="00C40B2F" w:rsidRDefault="00BB428B" w:rsidP="004D2228">
      <w:pPr>
        <w:spacing w:after="120" w:line="240" w:lineRule="auto"/>
        <w:jc w:val="center"/>
        <w:rPr>
          <w:b/>
          <w:sz w:val="28"/>
          <w:szCs w:val="28"/>
        </w:rPr>
      </w:pPr>
    </w:p>
    <w:p w:rsidR="00BB428B" w:rsidRPr="00C40B2F" w:rsidRDefault="00BB428B" w:rsidP="004D2228">
      <w:pPr>
        <w:spacing w:after="120" w:line="240" w:lineRule="auto"/>
        <w:jc w:val="center"/>
        <w:rPr>
          <w:b/>
          <w:sz w:val="28"/>
          <w:szCs w:val="28"/>
        </w:rPr>
      </w:pPr>
    </w:p>
    <w:p w:rsidR="00BB428B" w:rsidRPr="00C40B2F" w:rsidRDefault="00BB428B" w:rsidP="004D2228">
      <w:pPr>
        <w:spacing w:after="120" w:line="240" w:lineRule="auto"/>
        <w:jc w:val="center"/>
        <w:rPr>
          <w:b/>
          <w:sz w:val="28"/>
          <w:szCs w:val="28"/>
        </w:rPr>
      </w:pPr>
    </w:p>
    <w:p w:rsidR="00BB428B" w:rsidRPr="00C40B2F" w:rsidRDefault="00BB428B" w:rsidP="004D2228">
      <w:pPr>
        <w:spacing w:after="120" w:line="240" w:lineRule="auto"/>
        <w:jc w:val="center"/>
        <w:rPr>
          <w:b/>
          <w:sz w:val="28"/>
          <w:szCs w:val="28"/>
        </w:rPr>
      </w:pPr>
    </w:p>
    <w:p w:rsidR="00BB428B" w:rsidRPr="00C40B2F" w:rsidRDefault="00BB428B" w:rsidP="004D2228">
      <w:pPr>
        <w:spacing w:after="120" w:line="240" w:lineRule="auto"/>
        <w:jc w:val="center"/>
        <w:rPr>
          <w:b/>
          <w:sz w:val="28"/>
          <w:szCs w:val="28"/>
        </w:rPr>
      </w:pPr>
    </w:p>
    <w:p w:rsidR="00BB428B" w:rsidRPr="00C40B2F" w:rsidRDefault="00BB428B" w:rsidP="004D2228">
      <w:pPr>
        <w:spacing w:after="120" w:line="240" w:lineRule="auto"/>
        <w:jc w:val="center"/>
        <w:rPr>
          <w:b/>
          <w:sz w:val="28"/>
          <w:szCs w:val="28"/>
        </w:rPr>
      </w:pPr>
    </w:p>
    <w:p w:rsidR="00BB428B" w:rsidRPr="00C40B2F" w:rsidRDefault="00BB428B" w:rsidP="004D2228">
      <w:pPr>
        <w:spacing w:after="120" w:line="240" w:lineRule="auto"/>
        <w:jc w:val="center"/>
        <w:rPr>
          <w:b/>
          <w:sz w:val="28"/>
          <w:szCs w:val="28"/>
        </w:rPr>
      </w:pPr>
    </w:p>
    <w:p w:rsidR="00EE5933" w:rsidRPr="00C40B2F" w:rsidRDefault="00EE5933" w:rsidP="004D2228">
      <w:pPr>
        <w:spacing w:after="120" w:line="240" w:lineRule="auto"/>
        <w:jc w:val="center"/>
        <w:rPr>
          <w:b/>
          <w:sz w:val="28"/>
          <w:szCs w:val="28"/>
        </w:rPr>
      </w:pPr>
    </w:p>
    <w:p w:rsidR="007057A9" w:rsidRPr="00C40B2F" w:rsidRDefault="00E057B3" w:rsidP="00F90331">
      <w:pPr>
        <w:pStyle w:val="Heading2"/>
        <w:spacing w:before="120" w:after="120"/>
      </w:pPr>
      <w:bookmarkStart w:id="0" w:name="_Toc476919437"/>
      <w:r w:rsidRPr="00C40B2F">
        <w:lastRenderedPageBreak/>
        <w:t>1</w:t>
      </w:r>
      <w:r w:rsidR="002325A3" w:rsidRPr="00C40B2F">
        <w:t xml:space="preserve">. </w:t>
      </w:r>
      <w:r w:rsidR="007057A9" w:rsidRPr="00C40B2F">
        <w:t>Наименование на програмата:</w:t>
      </w:r>
      <w:bookmarkEnd w:id="0"/>
    </w:p>
    <w:p w:rsidR="0010018A" w:rsidRPr="00C40B2F" w:rsidRDefault="006F0F35"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40B2F">
        <w:rPr>
          <w:sz w:val="24"/>
          <w:szCs w:val="24"/>
        </w:rPr>
        <w:t>ОП „Иновации и конкурентоспособност“ 2014-2020</w:t>
      </w:r>
      <w:r w:rsidR="00925DF8" w:rsidRPr="00C40B2F">
        <w:rPr>
          <w:sz w:val="24"/>
          <w:szCs w:val="24"/>
        </w:rPr>
        <w:t xml:space="preserve"> (ОПИК)</w:t>
      </w:r>
    </w:p>
    <w:p w:rsidR="007057A9" w:rsidRPr="00C40B2F" w:rsidRDefault="002325A3" w:rsidP="00F90331">
      <w:pPr>
        <w:pStyle w:val="Heading2"/>
        <w:spacing w:before="120" w:after="120"/>
      </w:pPr>
      <w:bookmarkStart w:id="1" w:name="_Toc476919438"/>
      <w:r w:rsidRPr="00C40B2F">
        <w:t>2. Н</w:t>
      </w:r>
      <w:r w:rsidR="007057A9" w:rsidRPr="00C40B2F">
        <w:t>аименование на приоритетната ос</w:t>
      </w:r>
      <w:r w:rsidRPr="00C40B2F">
        <w:t>:</w:t>
      </w:r>
      <w:bookmarkEnd w:id="1"/>
    </w:p>
    <w:p w:rsidR="00707847" w:rsidRPr="00C40B2F" w:rsidRDefault="00707847" w:rsidP="00F5774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40B2F">
        <w:rPr>
          <w:sz w:val="24"/>
          <w:szCs w:val="24"/>
        </w:rPr>
        <w:t>Приоритетна ос 1 „Технологично развитие и иновации“</w:t>
      </w:r>
    </w:p>
    <w:p w:rsidR="002325A3" w:rsidRPr="00C40B2F" w:rsidRDefault="00707847" w:rsidP="00F5774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40B2F">
        <w:rPr>
          <w:sz w:val="24"/>
          <w:szCs w:val="24"/>
        </w:rPr>
        <w:t>Инвестиционен приоритет 1.1 „Технологично развитие и иновации“</w:t>
      </w:r>
      <w:r w:rsidR="0027274E" w:rsidRPr="00C40B2F">
        <w:rPr>
          <w:rFonts w:ascii="Verdana" w:eastAsia="Calibri" w:hAnsi="Verdana" w:cs="Times New Roman"/>
          <w:sz w:val="20"/>
          <w:szCs w:val="20"/>
        </w:rPr>
        <w:t xml:space="preserve"> </w:t>
      </w:r>
      <w:r w:rsidR="00E73158" w:rsidRPr="00C40B2F">
        <w:rPr>
          <w:rFonts w:ascii="Verdana" w:eastAsia="Calibri" w:hAnsi="Verdana" w:cs="Times New Roman"/>
          <w:sz w:val="20"/>
          <w:szCs w:val="20"/>
        </w:rPr>
        <w:t xml:space="preserve"> </w:t>
      </w:r>
    </w:p>
    <w:p w:rsidR="006A2DB8" w:rsidRPr="00C40B2F" w:rsidRDefault="002325A3" w:rsidP="00F90331">
      <w:pPr>
        <w:pStyle w:val="Heading2"/>
        <w:spacing w:before="120" w:after="120"/>
      </w:pPr>
      <w:bookmarkStart w:id="2" w:name="_Toc476919439"/>
      <w:r w:rsidRPr="00C40B2F">
        <w:t xml:space="preserve">3. </w:t>
      </w:r>
      <w:r w:rsidR="007057A9" w:rsidRPr="00C40B2F">
        <w:t>Наименование на процедурата</w:t>
      </w:r>
      <w:r w:rsidRPr="00C40B2F">
        <w:t>:</w:t>
      </w:r>
      <w:bookmarkEnd w:id="2"/>
    </w:p>
    <w:p w:rsidR="002325A3" w:rsidRPr="00C40B2F" w:rsidRDefault="0027274E" w:rsidP="00783A7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40B2F">
        <w:rPr>
          <w:sz w:val="24"/>
          <w:szCs w:val="24"/>
        </w:rPr>
        <w:t>BG16RFOP002-</w:t>
      </w:r>
      <w:r w:rsidR="00707847" w:rsidRPr="00C40B2F">
        <w:rPr>
          <w:sz w:val="24"/>
          <w:szCs w:val="24"/>
        </w:rPr>
        <w:t>1</w:t>
      </w:r>
      <w:r w:rsidR="00991D91" w:rsidRPr="00C40B2F">
        <w:rPr>
          <w:sz w:val="24"/>
          <w:szCs w:val="24"/>
        </w:rPr>
        <w:t>.</w:t>
      </w:r>
      <w:r w:rsidR="00AD1EB9" w:rsidRPr="00C40B2F">
        <w:rPr>
          <w:sz w:val="24"/>
          <w:szCs w:val="24"/>
        </w:rPr>
        <w:t>00</w:t>
      </w:r>
      <w:r w:rsidR="00707847" w:rsidRPr="00C40B2F">
        <w:rPr>
          <w:sz w:val="24"/>
          <w:szCs w:val="24"/>
        </w:rPr>
        <w:t>4</w:t>
      </w:r>
      <w:r w:rsidR="007A59B1" w:rsidRPr="00C40B2F">
        <w:rPr>
          <w:sz w:val="24"/>
          <w:szCs w:val="24"/>
        </w:rPr>
        <w:t xml:space="preserve"> </w:t>
      </w:r>
      <w:r w:rsidR="00707847" w:rsidRPr="00C40B2F">
        <w:rPr>
          <w:sz w:val="24"/>
          <w:szCs w:val="24"/>
        </w:rPr>
        <w:t>Развитие  на модерна система за индустриална собственост чрез подкрепа за дейността на Патентно ведомство на Република България</w:t>
      </w:r>
    </w:p>
    <w:p w:rsidR="00CB14EE" w:rsidRPr="00C40B2F" w:rsidRDefault="00CB14EE" w:rsidP="00F90331">
      <w:pPr>
        <w:pStyle w:val="Heading2"/>
        <w:spacing w:before="120" w:after="120"/>
      </w:pPr>
      <w:bookmarkStart w:id="3" w:name="_Toc476919440"/>
      <w:r w:rsidRPr="00C40B2F">
        <w:t>4. Измерения по кодове:</w:t>
      </w:r>
      <w:bookmarkEnd w:id="3"/>
    </w:p>
    <w:p w:rsidR="00E317A8" w:rsidRPr="00C40B2F" w:rsidRDefault="00E317A8" w:rsidP="005E68E4">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4"/>
          <w:szCs w:val="24"/>
        </w:rPr>
      </w:pPr>
      <w:r w:rsidRPr="00C40B2F">
        <w:rPr>
          <w:rFonts w:ascii="Calibri" w:eastAsia="Calibri" w:hAnsi="Calibri" w:cs="Times New Roman"/>
          <w:b/>
          <w:sz w:val="24"/>
          <w:szCs w:val="24"/>
        </w:rPr>
        <w:t>Измерение 1 – Област на интервенция:</w:t>
      </w:r>
    </w:p>
    <w:p w:rsidR="005E106B" w:rsidRPr="00C40B2F" w:rsidRDefault="005E106B" w:rsidP="005E106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C40B2F">
        <w:rPr>
          <w:rFonts w:ascii="Calibri" w:eastAsia="Calibri" w:hAnsi="Calibri" w:cs="Times New Roman"/>
          <w:b/>
          <w:sz w:val="24"/>
          <w:szCs w:val="24"/>
        </w:rPr>
        <w:t>096</w:t>
      </w:r>
      <w:r w:rsidRPr="00C40B2F">
        <w:rPr>
          <w:rFonts w:ascii="Calibri" w:eastAsia="Calibri" w:hAnsi="Calibri" w:cs="Times New Roman"/>
          <w:sz w:val="24"/>
          <w:szCs w:val="24"/>
        </w:rPr>
        <w:t xml:space="preserve"> Институционален капацитет на публичните администрации и публичните служби, свързани с изпълнението на дейността на ЕФРР, или действия в подкрепа на инициативи на ЕСФ за институционален капацитет. </w:t>
      </w:r>
    </w:p>
    <w:p w:rsidR="00E317A8" w:rsidRPr="00C40B2F"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E317A8" w:rsidRPr="00C40B2F"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C40B2F">
        <w:rPr>
          <w:rFonts w:ascii="Calibri" w:eastAsia="Calibri" w:hAnsi="Calibri" w:cs="Times New Roman"/>
          <w:b/>
          <w:sz w:val="24"/>
          <w:szCs w:val="24"/>
        </w:rPr>
        <w:t>Измерение 2 – Форма на финансиране:</w:t>
      </w:r>
    </w:p>
    <w:p w:rsidR="00707847" w:rsidRPr="00C40B2F"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C40B2F">
        <w:rPr>
          <w:rFonts w:ascii="Calibri" w:eastAsia="Calibri" w:hAnsi="Calibri" w:cs="Times New Roman"/>
          <w:b/>
          <w:sz w:val="24"/>
          <w:szCs w:val="24"/>
        </w:rPr>
        <w:t>01</w:t>
      </w:r>
      <w:r w:rsidRPr="00C40B2F">
        <w:rPr>
          <w:rFonts w:ascii="Calibri" w:eastAsia="Calibri" w:hAnsi="Calibri" w:cs="Times New Roman"/>
          <w:sz w:val="24"/>
          <w:szCs w:val="24"/>
        </w:rPr>
        <w:t xml:space="preserve"> Безвъзмездни средства.</w:t>
      </w:r>
    </w:p>
    <w:p w:rsidR="00707847" w:rsidRPr="00C40B2F" w:rsidRDefault="00707847"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E317A8" w:rsidRPr="00C40B2F"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C40B2F">
        <w:rPr>
          <w:rFonts w:ascii="Calibri" w:eastAsia="Calibri" w:hAnsi="Calibri" w:cs="Times New Roman"/>
          <w:b/>
          <w:sz w:val="24"/>
          <w:szCs w:val="24"/>
        </w:rPr>
        <w:t>Измерение 3 – Вид територия:</w:t>
      </w:r>
    </w:p>
    <w:p w:rsidR="00E317A8" w:rsidRPr="00C40B2F"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C40B2F">
        <w:rPr>
          <w:rFonts w:ascii="Calibri" w:eastAsia="Calibri" w:hAnsi="Calibri" w:cs="Times New Roman"/>
          <w:b/>
          <w:sz w:val="24"/>
          <w:szCs w:val="24"/>
        </w:rPr>
        <w:t>07</w:t>
      </w:r>
      <w:r w:rsidRPr="00C40B2F">
        <w:rPr>
          <w:rFonts w:ascii="Calibri" w:eastAsia="Calibri" w:hAnsi="Calibri" w:cs="Times New Roman"/>
          <w:sz w:val="24"/>
          <w:szCs w:val="24"/>
        </w:rPr>
        <w:t xml:space="preserve"> Не се прилага.</w:t>
      </w:r>
    </w:p>
    <w:p w:rsidR="00E317A8" w:rsidRPr="00C40B2F"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E317A8" w:rsidRPr="00C40B2F"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C40B2F">
        <w:rPr>
          <w:rFonts w:ascii="Calibri" w:eastAsia="Calibri" w:hAnsi="Calibri" w:cs="Times New Roman"/>
          <w:b/>
          <w:sz w:val="24"/>
          <w:szCs w:val="24"/>
        </w:rPr>
        <w:t>Измерение 4 – Териториални механизми за изпълнение:</w:t>
      </w:r>
    </w:p>
    <w:p w:rsidR="00E317A8" w:rsidRPr="00C40B2F"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C40B2F">
        <w:rPr>
          <w:rFonts w:ascii="Calibri" w:eastAsia="Calibri" w:hAnsi="Calibri" w:cs="Times New Roman"/>
          <w:b/>
          <w:sz w:val="24"/>
          <w:szCs w:val="24"/>
        </w:rPr>
        <w:t>07</w:t>
      </w:r>
      <w:r w:rsidRPr="00C40B2F">
        <w:rPr>
          <w:rFonts w:ascii="Calibri" w:eastAsia="Calibri" w:hAnsi="Calibri" w:cs="Times New Roman"/>
          <w:sz w:val="24"/>
          <w:szCs w:val="24"/>
        </w:rPr>
        <w:t xml:space="preserve"> Не се прилага.</w:t>
      </w:r>
    </w:p>
    <w:p w:rsidR="005E68E4" w:rsidRPr="00C40B2F" w:rsidRDefault="005E68E4"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5E68E4" w:rsidRPr="00C40B2F" w:rsidRDefault="005E68E4"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C40B2F">
        <w:rPr>
          <w:rFonts w:ascii="Calibri" w:eastAsia="Calibri" w:hAnsi="Calibri" w:cs="Times New Roman"/>
          <w:b/>
          <w:sz w:val="24"/>
          <w:szCs w:val="24"/>
        </w:rPr>
        <w:t>Измерение 5 – Тематична цел</w:t>
      </w:r>
      <w:r w:rsidR="00F5024D" w:rsidRPr="00C40B2F">
        <w:rPr>
          <w:rFonts w:ascii="Calibri" w:eastAsia="Calibri" w:hAnsi="Calibri" w:cs="Times New Roman"/>
          <w:b/>
          <w:sz w:val="24"/>
          <w:szCs w:val="24"/>
        </w:rPr>
        <w:t>:</w:t>
      </w:r>
      <w:r w:rsidRPr="00C40B2F">
        <w:rPr>
          <w:rFonts w:ascii="Calibri" w:eastAsia="Calibri" w:hAnsi="Calibri" w:cs="Times New Roman"/>
          <w:b/>
          <w:sz w:val="24"/>
          <w:szCs w:val="24"/>
        </w:rPr>
        <w:t xml:space="preserve"> </w:t>
      </w:r>
    </w:p>
    <w:p w:rsidR="00707847" w:rsidRPr="00C40B2F" w:rsidRDefault="00707847" w:rsidP="00707847">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C40B2F">
        <w:rPr>
          <w:rFonts w:ascii="Calibri" w:eastAsia="Calibri" w:hAnsi="Calibri" w:cs="Times New Roman"/>
          <w:b/>
          <w:sz w:val="24"/>
          <w:szCs w:val="24"/>
        </w:rPr>
        <w:t>01</w:t>
      </w:r>
      <w:r w:rsidRPr="00C40B2F">
        <w:rPr>
          <w:rFonts w:ascii="Calibri" w:eastAsia="Calibri" w:hAnsi="Calibri" w:cs="Times New Roman"/>
          <w:sz w:val="24"/>
          <w:szCs w:val="24"/>
        </w:rPr>
        <w:t xml:space="preserve"> Засилване на научноизследователската дейност, развойната дейност в областта на технологиите и иновациите</w:t>
      </w:r>
      <w:r w:rsidR="00DC3028" w:rsidRPr="00C40B2F">
        <w:rPr>
          <w:rFonts w:ascii="Calibri" w:eastAsia="Calibri" w:hAnsi="Calibri" w:cs="Times New Roman"/>
          <w:sz w:val="24"/>
          <w:szCs w:val="24"/>
        </w:rPr>
        <w:t>.</w:t>
      </w:r>
    </w:p>
    <w:p w:rsidR="0015146F" w:rsidRPr="00C40B2F" w:rsidRDefault="0015146F"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p>
    <w:p w:rsidR="005E68E4" w:rsidRPr="00C40B2F" w:rsidRDefault="005E68E4"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C40B2F">
        <w:rPr>
          <w:rFonts w:ascii="Calibri" w:eastAsia="Calibri" w:hAnsi="Calibri" w:cs="Times New Roman"/>
          <w:b/>
          <w:sz w:val="24"/>
          <w:szCs w:val="24"/>
        </w:rPr>
        <w:t xml:space="preserve">Измерение 6 </w:t>
      </w:r>
      <w:r w:rsidR="00F5024D" w:rsidRPr="00C40B2F">
        <w:rPr>
          <w:rFonts w:ascii="Calibri" w:eastAsia="Calibri" w:hAnsi="Calibri" w:cs="Times New Roman"/>
          <w:b/>
          <w:sz w:val="24"/>
          <w:szCs w:val="24"/>
        </w:rPr>
        <w:t xml:space="preserve">- </w:t>
      </w:r>
      <w:r w:rsidRPr="00C40B2F">
        <w:rPr>
          <w:rFonts w:ascii="Calibri" w:eastAsia="Calibri" w:hAnsi="Calibri" w:cs="Times New Roman"/>
          <w:b/>
          <w:sz w:val="24"/>
          <w:szCs w:val="24"/>
        </w:rPr>
        <w:t>Вторична тема по ЕСФ</w:t>
      </w:r>
      <w:r w:rsidR="00F5024D" w:rsidRPr="00C40B2F">
        <w:rPr>
          <w:rFonts w:ascii="Calibri" w:eastAsia="Calibri" w:hAnsi="Calibri" w:cs="Times New Roman"/>
          <w:b/>
          <w:sz w:val="24"/>
          <w:szCs w:val="24"/>
        </w:rPr>
        <w:t>:</w:t>
      </w:r>
    </w:p>
    <w:p w:rsidR="005E68E4" w:rsidRPr="00C40B2F" w:rsidRDefault="005E68E4"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C40B2F">
        <w:rPr>
          <w:rFonts w:ascii="Calibri" w:eastAsia="Calibri" w:hAnsi="Calibri" w:cs="Times New Roman"/>
          <w:b/>
          <w:sz w:val="24"/>
          <w:szCs w:val="24"/>
        </w:rPr>
        <w:t>08</w:t>
      </w:r>
      <w:r w:rsidRPr="00C40B2F">
        <w:rPr>
          <w:rFonts w:ascii="Calibri" w:eastAsia="Calibri" w:hAnsi="Calibri" w:cs="Times New Roman"/>
          <w:sz w:val="24"/>
          <w:szCs w:val="24"/>
        </w:rPr>
        <w:t xml:space="preserve"> Не се прилага</w:t>
      </w:r>
      <w:r w:rsidR="00FA6098" w:rsidRPr="00C40B2F">
        <w:rPr>
          <w:rFonts w:ascii="Calibri" w:eastAsia="Calibri" w:hAnsi="Calibri" w:cs="Times New Roman"/>
          <w:sz w:val="24"/>
          <w:szCs w:val="24"/>
        </w:rPr>
        <w:t>.</w:t>
      </w:r>
    </w:p>
    <w:p w:rsidR="005E68E4" w:rsidRPr="00C40B2F" w:rsidRDefault="005E68E4"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5E68E4" w:rsidRPr="00C40B2F" w:rsidRDefault="005E68E4"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C40B2F">
        <w:rPr>
          <w:rFonts w:ascii="Calibri" w:eastAsia="Calibri" w:hAnsi="Calibri" w:cs="Times New Roman"/>
          <w:b/>
          <w:sz w:val="24"/>
          <w:szCs w:val="24"/>
        </w:rPr>
        <w:t xml:space="preserve">Измерение 7 </w:t>
      </w:r>
      <w:r w:rsidR="00F5024D" w:rsidRPr="00C40B2F">
        <w:rPr>
          <w:rFonts w:ascii="Calibri" w:eastAsia="Calibri" w:hAnsi="Calibri" w:cs="Times New Roman"/>
          <w:b/>
          <w:sz w:val="24"/>
          <w:szCs w:val="24"/>
        </w:rPr>
        <w:t xml:space="preserve">- </w:t>
      </w:r>
      <w:r w:rsidRPr="00C40B2F">
        <w:rPr>
          <w:rFonts w:ascii="Calibri" w:eastAsia="Calibri" w:hAnsi="Calibri" w:cs="Times New Roman"/>
          <w:b/>
          <w:sz w:val="24"/>
          <w:szCs w:val="24"/>
        </w:rPr>
        <w:t>Икономическа дейност</w:t>
      </w:r>
    </w:p>
    <w:p w:rsidR="009C34FA" w:rsidRPr="00C40B2F" w:rsidRDefault="0008285A"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C40B2F">
        <w:rPr>
          <w:rFonts w:ascii="Calibri" w:eastAsia="Calibri" w:hAnsi="Calibri" w:cs="Times New Roman"/>
          <w:b/>
          <w:sz w:val="24"/>
          <w:szCs w:val="24"/>
        </w:rPr>
        <w:t>25</w:t>
      </w:r>
      <w:r w:rsidRPr="00C40B2F">
        <w:rPr>
          <w:rFonts w:ascii="Calibri" w:eastAsia="Calibri" w:hAnsi="Calibri" w:cs="Times New Roman"/>
          <w:sz w:val="24"/>
          <w:szCs w:val="24"/>
        </w:rPr>
        <w:t xml:space="preserve"> Не се прилага</w:t>
      </w:r>
      <w:r w:rsidR="00A25423" w:rsidRPr="00C40B2F">
        <w:rPr>
          <w:rFonts w:ascii="Calibri" w:eastAsia="Calibri" w:hAnsi="Calibri" w:cs="Times New Roman"/>
          <w:sz w:val="24"/>
          <w:szCs w:val="24"/>
        </w:rPr>
        <w:t>.</w:t>
      </w:r>
    </w:p>
    <w:p w:rsidR="004A58E5" w:rsidRPr="00C40B2F" w:rsidRDefault="004A58E5" w:rsidP="00F90331">
      <w:pPr>
        <w:pStyle w:val="Heading2"/>
        <w:spacing w:before="120" w:after="120"/>
      </w:pPr>
      <w:bookmarkStart w:id="4" w:name="_Toc476919441"/>
      <w:r w:rsidRPr="00C40B2F">
        <w:lastRenderedPageBreak/>
        <w:t>5. Териториален обхват:</w:t>
      </w:r>
      <w:bookmarkEnd w:id="4"/>
    </w:p>
    <w:p w:rsidR="0058736D" w:rsidRPr="00C40B2F" w:rsidRDefault="00F228B5" w:rsidP="004A58E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40B2F">
        <w:rPr>
          <w:sz w:val="24"/>
          <w:szCs w:val="24"/>
        </w:rPr>
        <w:t>Д</w:t>
      </w:r>
      <w:r w:rsidR="00CD6357" w:rsidRPr="00C40B2F">
        <w:rPr>
          <w:sz w:val="24"/>
          <w:szCs w:val="24"/>
        </w:rPr>
        <w:t>ейности</w:t>
      </w:r>
      <w:r w:rsidRPr="00C40B2F">
        <w:rPr>
          <w:sz w:val="24"/>
          <w:szCs w:val="24"/>
        </w:rPr>
        <w:t>те</w:t>
      </w:r>
      <w:r w:rsidR="00CD6357" w:rsidRPr="00C40B2F">
        <w:rPr>
          <w:sz w:val="24"/>
          <w:szCs w:val="24"/>
        </w:rPr>
        <w:t xml:space="preserve"> по настоящата процедура </w:t>
      </w:r>
      <w:r w:rsidR="008535F4" w:rsidRPr="00C40B2F">
        <w:rPr>
          <w:sz w:val="24"/>
          <w:szCs w:val="24"/>
        </w:rPr>
        <w:t>следва да бъдат изпълнени</w:t>
      </w:r>
      <w:r w:rsidR="005A3CD7" w:rsidRPr="00C40B2F">
        <w:rPr>
          <w:sz w:val="24"/>
          <w:szCs w:val="24"/>
        </w:rPr>
        <w:t xml:space="preserve"> </w:t>
      </w:r>
      <w:r w:rsidR="004658A0" w:rsidRPr="00C40B2F">
        <w:rPr>
          <w:sz w:val="24"/>
          <w:szCs w:val="24"/>
        </w:rPr>
        <w:t>на територията на Р</w:t>
      </w:r>
      <w:r w:rsidR="00D03016" w:rsidRPr="00C40B2F">
        <w:rPr>
          <w:sz w:val="24"/>
          <w:szCs w:val="24"/>
        </w:rPr>
        <w:t xml:space="preserve">епублика </w:t>
      </w:r>
      <w:r w:rsidR="004658A0" w:rsidRPr="00C40B2F">
        <w:rPr>
          <w:sz w:val="24"/>
          <w:szCs w:val="24"/>
        </w:rPr>
        <w:t xml:space="preserve">България. </w:t>
      </w:r>
      <w:r w:rsidR="008E1D0D" w:rsidRPr="00C40B2F">
        <w:rPr>
          <w:sz w:val="24"/>
          <w:szCs w:val="24"/>
        </w:rPr>
        <w:t>Допускат се и ограничени дейности, осъществявани в чужбина съгласно чл. 70 от Регламент (ЕС) № 1303/2013.</w:t>
      </w:r>
    </w:p>
    <w:p w:rsidR="008E1D0D" w:rsidRPr="00C40B2F" w:rsidRDefault="008E1D0D" w:rsidP="004A58E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A8031D" w:rsidRPr="00C40B2F" w:rsidRDefault="001543C2" w:rsidP="004A58E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40B2F">
        <w:rPr>
          <w:sz w:val="24"/>
          <w:szCs w:val="24"/>
        </w:rPr>
        <w:t>Резултатите от изпълнението на проекта по процедура</w:t>
      </w:r>
      <w:r w:rsidR="00F228B5" w:rsidRPr="00C40B2F">
        <w:rPr>
          <w:sz w:val="24"/>
          <w:szCs w:val="24"/>
        </w:rPr>
        <w:t>та</w:t>
      </w:r>
      <w:r w:rsidRPr="00C40B2F">
        <w:rPr>
          <w:sz w:val="24"/>
          <w:szCs w:val="24"/>
        </w:rPr>
        <w:t xml:space="preserve"> следва да се ползват на територията на Република България.</w:t>
      </w:r>
    </w:p>
    <w:p w:rsidR="00901F98" w:rsidRPr="00C40B2F" w:rsidRDefault="004A58E5" w:rsidP="00F90331">
      <w:pPr>
        <w:pStyle w:val="Heading2"/>
        <w:spacing w:before="120" w:after="120"/>
      </w:pPr>
      <w:bookmarkStart w:id="5" w:name="_Toc476919442"/>
      <w:r w:rsidRPr="00C40B2F">
        <w:t>6</w:t>
      </w:r>
      <w:r w:rsidR="002325A3" w:rsidRPr="00C40B2F">
        <w:t>. Цели</w:t>
      </w:r>
      <w:r w:rsidR="00901F98" w:rsidRPr="00C40B2F">
        <w:t xml:space="preserve"> </w:t>
      </w:r>
      <w:r w:rsidR="00FC0697" w:rsidRPr="00C40B2F">
        <w:t xml:space="preserve">на предоставяната </w:t>
      </w:r>
      <w:r w:rsidR="00BA2E00" w:rsidRPr="00C40B2F">
        <w:t>безвъзмездна финансова помощ</w:t>
      </w:r>
      <w:r w:rsidR="00FC0697" w:rsidRPr="00C40B2F">
        <w:t xml:space="preserve"> по </w:t>
      </w:r>
      <w:r w:rsidR="00901F98" w:rsidRPr="00C40B2F">
        <w:t>п</w:t>
      </w:r>
      <w:r w:rsidR="00FC0697" w:rsidRPr="00C40B2F">
        <w:t>роцедура</w:t>
      </w:r>
      <w:r w:rsidR="00916B5A" w:rsidRPr="00C40B2F">
        <w:t>та</w:t>
      </w:r>
      <w:r w:rsidR="00CB14EE" w:rsidRPr="00C40B2F">
        <w:t xml:space="preserve"> и очаквани резултати</w:t>
      </w:r>
      <w:r w:rsidR="00916B5A" w:rsidRPr="00C40B2F">
        <w:t>:</w:t>
      </w:r>
      <w:bookmarkEnd w:id="5"/>
    </w:p>
    <w:p w:rsidR="000115A9" w:rsidRPr="00C40B2F" w:rsidRDefault="000D47F1" w:rsidP="00BE488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C40B2F">
        <w:rPr>
          <w:b/>
          <w:sz w:val="24"/>
          <w:szCs w:val="24"/>
        </w:rPr>
        <w:t>Цел на процедурата</w:t>
      </w:r>
      <w:r w:rsidR="008A196C" w:rsidRPr="00C40B2F">
        <w:rPr>
          <w:b/>
          <w:sz w:val="24"/>
          <w:szCs w:val="24"/>
        </w:rPr>
        <w:t>:</w:t>
      </w:r>
      <w:r w:rsidRPr="00C40B2F">
        <w:rPr>
          <w:b/>
          <w:sz w:val="24"/>
          <w:szCs w:val="24"/>
        </w:rPr>
        <w:t xml:space="preserve"> </w:t>
      </w:r>
    </w:p>
    <w:p w:rsidR="0058736D" w:rsidRPr="00C40B2F" w:rsidRDefault="00CB454C" w:rsidP="00BE488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40B2F">
        <w:rPr>
          <w:sz w:val="24"/>
          <w:szCs w:val="24"/>
        </w:rPr>
        <w:t>Основна цел на процедура BG16RFOP002-1.004 „Развитие  на модерна система за индустриална собственост чрез подкрепа за дейността на Патентно ведомство на Република България</w:t>
      </w:r>
      <w:r w:rsidR="00513E33" w:rsidRPr="00C40B2F">
        <w:rPr>
          <w:sz w:val="24"/>
          <w:szCs w:val="24"/>
        </w:rPr>
        <w:t>“</w:t>
      </w:r>
      <w:r w:rsidR="00944222" w:rsidRPr="00C40B2F">
        <w:rPr>
          <w:sz w:val="24"/>
          <w:szCs w:val="24"/>
        </w:rPr>
        <w:t xml:space="preserve"> </w:t>
      </w:r>
      <w:r w:rsidR="00B42D72" w:rsidRPr="00C40B2F">
        <w:rPr>
          <w:sz w:val="24"/>
          <w:szCs w:val="24"/>
        </w:rPr>
        <w:t xml:space="preserve">е </w:t>
      </w:r>
      <w:r w:rsidRPr="00C40B2F">
        <w:rPr>
          <w:sz w:val="24"/>
          <w:szCs w:val="24"/>
        </w:rPr>
        <w:t>да се повиши качеството, ефективността и ефикасността на предлаганите от Патентно ведомство услуги за бизнеса, свързани със закрилата на обектите на индустриална собственост</w:t>
      </w:r>
      <w:r w:rsidR="00B42D72" w:rsidRPr="00C40B2F">
        <w:rPr>
          <w:sz w:val="24"/>
          <w:szCs w:val="24"/>
        </w:rPr>
        <w:t>.</w:t>
      </w:r>
    </w:p>
    <w:p w:rsidR="00397780" w:rsidRPr="00C40B2F" w:rsidRDefault="00397780" w:rsidP="00BE488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4D4158" w:rsidRPr="00C40B2F" w:rsidRDefault="000D47F1" w:rsidP="00BE488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C40B2F">
        <w:rPr>
          <w:b/>
          <w:sz w:val="24"/>
          <w:szCs w:val="24"/>
        </w:rPr>
        <w:t>Обосновка</w:t>
      </w:r>
      <w:r w:rsidR="008A196C" w:rsidRPr="00C40B2F">
        <w:rPr>
          <w:b/>
          <w:sz w:val="24"/>
          <w:szCs w:val="24"/>
        </w:rPr>
        <w:t xml:space="preserve">: </w:t>
      </w:r>
    </w:p>
    <w:p w:rsidR="00CB454C" w:rsidRPr="00C40B2F" w:rsidRDefault="00CB454C" w:rsidP="00BE4889">
      <w:pPr>
        <w:pStyle w:val="ListParagraph"/>
        <w:pBdr>
          <w:top w:val="single" w:sz="4" w:space="1" w:color="auto"/>
          <w:left w:val="single" w:sz="4" w:space="4" w:color="auto"/>
          <w:bottom w:val="single" w:sz="4" w:space="1" w:color="auto"/>
          <w:right w:val="single" w:sz="4" w:space="4" w:color="auto"/>
        </w:pBdr>
        <w:spacing w:after="360"/>
        <w:ind w:left="0"/>
        <w:jc w:val="both"/>
        <w:rPr>
          <w:sz w:val="24"/>
          <w:szCs w:val="24"/>
        </w:rPr>
      </w:pPr>
      <w:r w:rsidRPr="00C40B2F">
        <w:rPr>
          <w:sz w:val="24"/>
          <w:szCs w:val="24"/>
        </w:rPr>
        <w:t xml:space="preserve">В последните години България прави крачка напред по отношение на подобряването на своята  конкурентоспособност и според Доклада за глобалната конкурентоспособност 2016-2017 г. на Световния икономически форум в Давос, за една година тя преминава от 54-то на 50-то място сред 138 държави, включени в изследването. Въпреки това, продължават да съществуват редица важни предизвикателства, между които са слабото сътрудничество на различните участници в НИРД, ниската иновационна активност и ниската добавена стойност на иновациите, както и недостатъчно развитата иновационна инфраструктура и недостатъчно атрактивната иновационна среда. </w:t>
      </w:r>
    </w:p>
    <w:p w:rsidR="00CC5648" w:rsidRPr="00C40B2F" w:rsidRDefault="00CC5648" w:rsidP="00BE4889">
      <w:pPr>
        <w:pStyle w:val="ListParagraph"/>
        <w:pBdr>
          <w:top w:val="single" w:sz="4" w:space="1" w:color="auto"/>
          <w:left w:val="single" w:sz="4" w:space="4" w:color="auto"/>
          <w:bottom w:val="single" w:sz="4" w:space="1" w:color="auto"/>
          <w:right w:val="single" w:sz="4" w:space="4" w:color="auto"/>
        </w:pBdr>
        <w:spacing w:after="360"/>
        <w:ind w:left="0"/>
        <w:jc w:val="both"/>
        <w:rPr>
          <w:sz w:val="24"/>
          <w:szCs w:val="24"/>
        </w:rPr>
      </w:pPr>
    </w:p>
    <w:p w:rsidR="00CB454C" w:rsidRPr="00C40B2F" w:rsidRDefault="00CB454C" w:rsidP="00BE4889">
      <w:pPr>
        <w:pStyle w:val="ListParagraph"/>
        <w:pBdr>
          <w:top w:val="single" w:sz="4" w:space="1" w:color="auto"/>
          <w:left w:val="single" w:sz="4" w:space="4" w:color="auto"/>
          <w:bottom w:val="single" w:sz="4" w:space="1" w:color="auto"/>
          <w:right w:val="single" w:sz="4" w:space="4" w:color="auto"/>
        </w:pBdr>
        <w:spacing w:after="360"/>
        <w:ind w:left="0"/>
        <w:jc w:val="both"/>
        <w:rPr>
          <w:sz w:val="24"/>
          <w:szCs w:val="24"/>
        </w:rPr>
      </w:pPr>
      <w:r w:rsidRPr="00C40B2F">
        <w:rPr>
          <w:sz w:val="24"/>
          <w:szCs w:val="24"/>
        </w:rPr>
        <w:t>Сред основните предизвикателства пред българската икономика са и ограниченията, свързани със защитата на интелектуалната собственост. Българското законодателство в тази област е в съответствие с директивите на ЕС, но не успява достатъчно да стимулира местна иновативна дейност. Въпреки че тези мерки са намалили неправомерното присвояване на интелектуална собственост, прилагането им продължава да бъде неравномерно, а възприемането им от страна на частния сектор е предимно ограничено до патенти, получени чрез международни партньорства. Затова стратегията на ОПИК включва и подкрепа за стимулиране развитието на политиката по закрила на интелектуалната собственост.</w:t>
      </w:r>
    </w:p>
    <w:p w:rsidR="00CC5648" w:rsidRPr="00C40B2F" w:rsidRDefault="00CC5648" w:rsidP="00BE4889">
      <w:pPr>
        <w:pStyle w:val="ListParagraph"/>
        <w:pBdr>
          <w:top w:val="single" w:sz="4" w:space="1" w:color="auto"/>
          <w:left w:val="single" w:sz="4" w:space="4" w:color="auto"/>
          <w:bottom w:val="single" w:sz="4" w:space="1" w:color="auto"/>
          <w:right w:val="single" w:sz="4" w:space="4" w:color="auto"/>
        </w:pBdr>
        <w:spacing w:after="360"/>
        <w:ind w:left="0"/>
        <w:jc w:val="both"/>
        <w:rPr>
          <w:sz w:val="24"/>
          <w:szCs w:val="24"/>
        </w:rPr>
      </w:pPr>
    </w:p>
    <w:p w:rsidR="00CB454C" w:rsidRPr="00C40B2F" w:rsidRDefault="00CB454C" w:rsidP="00BE4889">
      <w:pPr>
        <w:pStyle w:val="ListParagraph"/>
        <w:pBdr>
          <w:top w:val="single" w:sz="4" w:space="1" w:color="auto"/>
          <w:left w:val="single" w:sz="4" w:space="4" w:color="auto"/>
          <w:bottom w:val="single" w:sz="4" w:space="1" w:color="auto"/>
          <w:right w:val="single" w:sz="4" w:space="4" w:color="auto"/>
        </w:pBdr>
        <w:spacing w:after="360"/>
        <w:ind w:left="0"/>
        <w:jc w:val="both"/>
        <w:rPr>
          <w:sz w:val="24"/>
          <w:szCs w:val="24"/>
        </w:rPr>
      </w:pPr>
      <w:r w:rsidRPr="00C40B2F">
        <w:rPr>
          <w:sz w:val="24"/>
          <w:szCs w:val="24"/>
        </w:rPr>
        <w:t xml:space="preserve">Изхождайки от посочените потребности и предизвикателства и с оглед подобряване на услугите за бизнеса, свързани с управлението на системата за интелектуална собственост, </w:t>
      </w:r>
      <w:r w:rsidRPr="00C40B2F">
        <w:rPr>
          <w:sz w:val="24"/>
          <w:szCs w:val="24"/>
        </w:rPr>
        <w:lastRenderedPageBreak/>
        <w:t>настоящата процедура предвижда предоставяне на институционална подкрепа за Патентно ведомство на Република България.</w:t>
      </w:r>
    </w:p>
    <w:p w:rsidR="00CC5648" w:rsidRPr="00C40B2F" w:rsidRDefault="00CC5648" w:rsidP="00BE488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2F0874" w:rsidRPr="00C40B2F" w:rsidRDefault="00CB454C" w:rsidP="00BE488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40B2F">
        <w:rPr>
          <w:sz w:val="24"/>
          <w:szCs w:val="24"/>
        </w:rPr>
        <w:t>Дейностите в подкрепа на развитието на модерни и нови за страната услуги за бизнеса, предоставяни от Патентно ведомство, ще доведат до увеличаване на иновационната дейност на българските предприятия чрез създаването на необходимата среда за развитие на иновациите. Тази среда ще подпомогне развитието на иновационния капацитет и ще създаде дългосрочни конкуренти предимства на българската икономика чрез придвижване нагоре по веригата на добавената стойност. Ще се подобри обслужването на българския бизнес посредством оптимизирането на административните процеси на Патентно ведомство и внедряване на ИКТ-технологии за намаляване времето на обслужване и намаляване на административната тежест при обслужването на бизнеса</w:t>
      </w:r>
      <w:r w:rsidR="00DC3028" w:rsidRPr="00C40B2F">
        <w:rPr>
          <w:sz w:val="24"/>
          <w:szCs w:val="24"/>
        </w:rPr>
        <w:t>.</w:t>
      </w:r>
    </w:p>
    <w:p w:rsidR="00CB454C" w:rsidRPr="00C40B2F" w:rsidRDefault="00CB454C" w:rsidP="00BE488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p>
    <w:p w:rsidR="000D47F1" w:rsidRPr="00C40B2F" w:rsidRDefault="000D47F1" w:rsidP="00BE488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C40B2F">
        <w:rPr>
          <w:b/>
          <w:sz w:val="24"/>
          <w:szCs w:val="24"/>
        </w:rPr>
        <w:t>Очаквани резултати</w:t>
      </w:r>
      <w:r w:rsidR="001A1B6D" w:rsidRPr="00C40B2F">
        <w:rPr>
          <w:b/>
          <w:sz w:val="24"/>
          <w:szCs w:val="24"/>
        </w:rPr>
        <w:t xml:space="preserve">: </w:t>
      </w:r>
    </w:p>
    <w:p w:rsidR="00CB454C" w:rsidRPr="00C40B2F" w:rsidRDefault="00CC5648" w:rsidP="00BE488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40B2F">
        <w:rPr>
          <w:sz w:val="24"/>
          <w:szCs w:val="24"/>
        </w:rPr>
        <w:t>В резултат от изпълнението на предвидените дейности по инвестиционен приоритет 1.1 на ОПИК и настоящата процедура се очаква подобряване на иновативния капацитет и степента на удовлетвореност на потребителите на услугите на Патентно ведомство чрез подобряване на информационната среда, създаване на по-добри условия за обслужване на клиентите, подобряване на комуникацията с всички заинтересовани потребителски групи, предоставяне на адекватна и полезна информация за предоставяните от ведомството услуги и различните видове процедури, повишаване на нивото на знанията и осведомеността за индустриалната собственост сред бизнеса и прилагане на релевантни добри практики и процедури в областта на закрилата на обектите на индустриална собственост.</w:t>
      </w:r>
    </w:p>
    <w:p w:rsidR="00CB14EE" w:rsidRPr="00C40B2F" w:rsidRDefault="004A58E5" w:rsidP="00505559">
      <w:pPr>
        <w:pStyle w:val="Heading2"/>
        <w:spacing w:before="120" w:after="120"/>
      </w:pPr>
      <w:bookmarkStart w:id="6" w:name="_Toc476919443"/>
      <w:r w:rsidRPr="00C40B2F">
        <w:t>7</w:t>
      </w:r>
      <w:r w:rsidR="00CB14EE" w:rsidRPr="00C40B2F">
        <w:t>. Индикатори:</w:t>
      </w:r>
      <w:bookmarkEnd w:id="6"/>
    </w:p>
    <w:p w:rsidR="00A92DAD" w:rsidRPr="00C40B2F" w:rsidRDefault="00A92DAD" w:rsidP="008A5DDA">
      <w:pPr>
        <w:pStyle w:val="ListParagraph"/>
        <w:pBdr>
          <w:top w:val="single" w:sz="4" w:space="1" w:color="auto"/>
          <w:left w:val="single" w:sz="4" w:space="4" w:color="auto"/>
          <w:bottom w:val="single" w:sz="4" w:space="1" w:color="auto"/>
          <w:right w:val="single" w:sz="4" w:space="4" w:color="auto"/>
        </w:pBdr>
        <w:spacing w:after="360"/>
        <w:ind w:left="0"/>
        <w:jc w:val="both"/>
        <w:rPr>
          <w:sz w:val="24"/>
          <w:szCs w:val="24"/>
        </w:rPr>
      </w:pPr>
      <w:r w:rsidRPr="00C40B2F">
        <w:rPr>
          <w:sz w:val="24"/>
          <w:szCs w:val="24"/>
        </w:rPr>
        <w:t xml:space="preserve">В съответствие със специфичната цел на Инвестиционен приоритет 1.1: "Технологично развитие и иновации" проектните предложения по настоящата процедура следва задължително да водят до постигането на следните индикатори: </w:t>
      </w:r>
    </w:p>
    <w:p w:rsidR="00A92DAD" w:rsidRPr="00C40B2F" w:rsidRDefault="00A92DAD" w:rsidP="008A5DDA">
      <w:pPr>
        <w:pStyle w:val="ListParagraph"/>
        <w:pBdr>
          <w:top w:val="single" w:sz="4" w:space="1" w:color="auto"/>
          <w:left w:val="single" w:sz="4" w:space="4" w:color="auto"/>
          <w:bottom w:val="single" w:sz="4" w:space="1" w:color="auto"/>
          <w:right w:val="single" w:sz="4" w:space="4" w:color="auto"/>
        </w:pBdr>
        <w:spacing w:after="360"/>
        <w:ind w:left="0"/>
        <w:jc w:val="both"/>
        <w:rPr>
          <w:sz w:val="24"/>
          <w:szCs w:val="24"/>
        </w:rPr>
      </w:pPr>
      <w:r w:rsidRPr="00C40B2F">
        <w:rPr>
          <w:sz w:val="24"/>
          <w:szCs w:val="24"/>
        </w:rPr>
        <w:t xml:space="preserve">1) Индикатори за резултат: </w:t>
      </w:r>
    </w:p>
    <w:p w:rsidR="00A92DAD" w:rsidRPr="00C40B2F" w:rsidRDefault="00A92DAD" w:rsidP="008A5DDA">
      <w:pPr>
        <w:pStyle w:val="ListParagraph"/>
        <w:pBdr>
          <w:top w:val="single" w:sz="4" w:space="1" w:color="auto"/>
          <w:left w:val="single" w:sz="4" w:space="4" w:color="auto"/>
          <w:bottom w:val="single" w:sz="4" w:space="1" w:color="auto"/>
          <w:right w:val="single" w:sz="4" w:space="4" w:color="auto"/>
        </w:pBdr>
        <w:spacing w:after="360"/>
        <w:ind w:left="0"/>
        <w:jc w:val="both"/>
        <w:rPr>
          <w:sz w:val="24"/>
          <w:szCs w:val="24"/>
        </w:rPr>
      </w:pPr>
      <w:r w:rsidRPr="00C40B2F">
        <w:rPr>
          <w:sz w:val="24"/>
          <w:szCs w:val="24"/>
        </w:rPr>
        <w:t xml:space="preserve">- Дял на иновативните предприятия </w:t>
      </w:r>
    </w:p>
    <w:p w:rsidR="00A92DAD" w:rsidRPr="00C40B2F" w:rsidRDefault="00A92DAD" w:rsidP="008A5DDA">
      <w:pPr>
        <w:pStyle w:val="ListParagraph"/>
        <w:pBdr>
          <w:top w:val="single" w:sz="4" w:space="1" w:color="auto"/>
          <w:left w:val="single" w:sz="4" w:space="4" w:color="auto"/>
          <w:bottom w:val="single" w:sz="4" w:space="1" w:color="auto"/>
          <w:right w:val="single" w:sz="4" w:space="4" w:color="auto"/>
        </w:pBdr>
        <w:spacing w:after="360"/>
        <w:ind w:left="0"/>
        <w:jc w:val="both"/>
        <w:rPr>
          <w:sz w:val="24"/>
          <w:szCs w:val="24"/>
        </w:rPr>
      </w:pPr>
      <w:r w:rsidRPr="00C40B2F">
        <w:rPr>
          <w:sz w:val="24"/>
          <w:szCs w:val="24"/>
        </w:rPr>
        <w:t xml:space="preserve">- Разходи за иновации, които не са резултат от НИРД </w:t>
      </w:r>
    </w:p>
    <w:p w:rsidR="00A92DAD" w:rsidRPr="00C40B2F" w:rsidRDefault="00A92DAD" w:rsidP="008A5DD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A92DAD" w:rsidRPr="00C40B2F" w:rsidRDefault="00A92DAD" w:rsidP="008A5DD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40B2F">
        <w:rPr>
          <w:sz w:val="24"/>
          <w:szCs w:val="24"/>
        </w:rPr>
        <w:t xml:space="preserve">Информацията за постигане на </w:t>
      </w:r>
      <w:r w:rsidR="00DC3028" w:rsidRPr="00C40B2F">
        <w:rPr>
          <w:sz w:val="24"/>
          <w:szCs w:val="24"/>
        </w:rPr>
        <w:t>тези индикатори</w:t>
      </w:r>
      <w:r w:rsidRPr="00C40B2F">
        <w:rPr>
          <w:sz w:val="24"/>
          <w:szCs w:val="24"/>
        </w:rPr>
        <w:t xml:space="preserve"> ще бъде предоставяна служебно от Националния статистически институт (НСИ). Бенефициентът следва да попълни декларация по образец за съгласие за ползване на данни на предприятието за целите на отчитането по Оперативната програма (</w:t>
      </w:r>
      <w:r w:rsidRPr="00C40B2F">
        <w:rPr>
          <w:b/>
          <w:bCs/>
          <w:sz w:val="24"/>
          <w:szCs w:val="24"/>
        </w:rPr>
        <w:t xml:space="preserve">Приложение Г </w:t>
      </w:r>
      <w:r w:rsidRPr="00C40B2F">
        <w:rPr>
          <w:sz w:val="24"/>
          <w:szCs w:val="24"/>
        </w:rPr>
        <w:t>към Условията за кандидатстване).</w:t>
      </w:r>
    </w:p>
    <w:p w:rsidR="00A92DAD" w:rsidRPr="00C40B2F" w:rsidRDefault="00A92DAD" w:rsidP="008A5DD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A92DAD" w:rsidRPr="00C40B2F" w:rsidRDefault="00A92DAD" w:rsidP="008A5DDA">
      <w:pPr>
        <w:pStyle w:val="ListParagraph"/>
        <w:pBdr>
          <w:top w:val="single" w:sz="4" w:space="1" w:color="auto"/>
          <w:left w:val="single" w:sz="4" w:space="4" w:color="auto"/>
          <w:bottom w:val="single" w:sz="4" w:space="1" w:color="auto"/>
          <w:right w:val="single" w:sz="4" w:space="4" w:color="auto"/>
        </w:pBdr>
        <w:ind w:left="0"/>
        <w:jc w:val="both"/>
        <w:rPr>
          <w:sz w:val="24"/>
          <w:szCs w:val="24"/>
        </w:rPr>
      </w:pPr>
      <w:r w:rsidRPr="00C40B2F">
        <w:rPr>
          <w:sz w:val="24"/>
          <w:szCs w:val="24"/>
        </w:rPr>
        <w:t>Допълнително, УО на ОПИК ще следи за изпълнението и отчитането на следните индикатори за изпълнение:</w:t>
      </w:r>
    </w:p>
    <w:p w:rsidR="00A92DAD" w:rsidRPr="00C40B2F" w:rsidRDefault="00A92DAD" w:rsidP="008A5DDA">
      <w:pPr>
        <w:pStyle w:val="ListParagraph"/>
        <w:pBdr>
          <w:top w:val="single" w:sz="4" w:space="1" w:color="auto"/>
          <w:left w:val="single" w:sz="4" w:space="4" w:color="auto"/>
          <w:bottom w:val="single" w:sz="4" w:space="1" w:color="auto"/>
          <w:right w:val="single" w:sz="4" w:space="4" w:color="auto"/>
        </w:pBdr>
        <w:ind w:left="0"/>
        <w:jc w:val="both"/>
        <w:rPr>
          <w:sz w:val="24"/>
          <w:szCs w:val="24"/>
        </w:rPr>
      </w:pPr>
      <w:r w:rsidRPr="00C40B2F">
        <w:rPr>
          <w:sz w:val="24"/>
          <w:szCs w:val="24"/>
        </w:rPr>
        <w:t xml:space="preserve">2) Индикатори за продукт: </w:t>
      </w:r>
    </w:p>
    <w:p w:rsidR="00A92DAD" w:rsidRPr="00C40B2F" w:rsidRDefault="00A92DAD" w:rsidP="008A5DD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8A5DDA" w:rsidRPr="00C40B2F" w:rsidRDefault="008A5DDA" w:rsidP="008A5DDA">
      <w:pPr>
        <w:pBdr>
          <w:top w:val="single" w:sz="4" w:space="1" w:color="auto"/>
          <w:left w:val="single" w:sz="4" w:space="4" w:color="auto"/>
          <w:bottom w:val="single" w:sz="4" w:space="1" w:color="auto"/>
          <w:right w:val="single" w:sz="4" w:space="4" w:color="auto"/>
        </w:pBdr>
        <w:spacing w:after="0"/>
        <w:rPr>
          <w:sz w:val="24"/>
          <w:szCs w:val="24"/>
        </w:rPr>
      </w:pPr>
      <w:r w:rsidRPr="00C40B2F">
        <w:rPr>
          <w:sz w:val="24"/>
          <w:szCs w:val="24"/>
        </w:rPr>
        <w:lastRenderedPageBreak/>
        <w:t>- Брой нови електронни услуги в областта на патентите и полезните модели</w:t>
      </w:r>
    </w:p>
    <w:p w:rsidR="008A5DDA" w:rsidRPr="00C40B2F" w:rsidRDefault="008A5DDA" w:rsidP="008A5DDA">
      <w:pPr>
        <w:pBdr>
          <w:top w:val="single" w:sz="4" w:space="1" w:color="auto"/>
          <w:left w:val="single" w:sz="4" w:space="4" w:color="auto"/>
          <w:bottom w:val="single" w:sz="4" w:space="1" w:color="auto"/>
          <w:right w:val="single" w:sz="4" w:space="4" w:color="auto"/>
        </w:pBdr>
        <w:spacing w:after="0"/>
        <w:rPr>
          <w:sz w:val="24"/>
          <w:szCs w:val="24"/>
        </w:rPr>
      </w:pPr>
      <w:r w:rsidRPr="00C40B2F">
        <w:rPr>
          <w:sz w:val="24"/>
          <w:szCs w:val="24"/>
        </w:rPr>
        <w:t xml:space="preserve">- Брой проучени заявки </w:t>
      </w:r>
      <w:r w:rsidR="001543CD" w:rsidRPr="00C40B2F">
        <w:rPr>
          <w:sz w:val="24"/>
          <w:szCs w:val="24"/>
        </w:rPr>
        <w:t xml:space="preserve">за патенти и полезни модели </w:t>
      </w:r>
      <w:r w:rsidRPr="00C40B2F">
        <w:rPr>
          <w:sz w:val="24"/>
          <w:szCs w:val="24"/>
        </w:rPr>
        <w:t>на годишна база</w:t>
      </w:r>
    </w:p>
    <w:p w:rsidR="008A5DDA" w:rsidRPr="00C40B2F" w:rsidRDefault="008A5DDA" w:rsidP="008A5DDA">
      <w:pPr>
        <w:pBdr>
          <w:top w:val="single" w:sz="4" w:space="1" w:color="auto"/>
          <w:left w:val="single" w:sz="4" w:space="4" w:color="auto"/>
          <w:bottom w:val="single" w:sz="4" w:space="1" w:color="auto"/>
          <w:right w:val="single" w:sz="4" w:space="4" w:color="auto"/>
        </w:pBdr>
        <w:spacing w:after="0"/>
        <w:rPr>
          <w:sz w:val="24"/>
          <w:szCs w:val="24"/>
        </w:rPr>
      </w:pPr>
      <w:r w:rsidRPr="00C40B2F">
        <w:rPr>
          <w:sz w:val="24"/>
          <w:szCs w:val="24"/>
        </w:rPr>
        <w:t>- Процентно покритие на сигналите</w:t>
      </w:r>
      <w:r w:rsidR="006557CF" w:rsidRPr="00C40B2F">
        <w:rPr>
          <w:sz w:val="24"/>
          <w:szCs w:val="24"/>
        </w:rPr>
        <w:t xml:space="preserve"> за</w:t>
      </w:r>
      <w:r w:rsidRPr="00C40B2F">
        <w:rPr>
          <w:sz w:val="24"/>
          <w:szCs w:val="24"/>
        </w:rPr>
        <w:t xml:space="preserve"> нарушения на индустриалната собственост</w:t>
      </w:r>
    </w:p>
    <w:p w:rsidR="008A5DDA" w:rsidRPr="00C40B2F" w:rsidRDefault="008A5DDA" w:rsidP="008A5DDA">
      <w:pPr>
        <w:pBdr>
          <w:top w:val="single" w:sz="4" w:space="1" w:color="auto"/>
          <w:left w:val="single" w:sz="4" w:space="4" w:color="auto"/>
          <w:bottom w:val="single" w:sz="4" w:space="1" w:color="auto"/>
          <w:right w:val="single" w:sz="4" w:space="4" w:color="auto"/>
        </w:pBdr>
        <w:rPr>
          <w:sz w:val="24"/>
          <w:szCs w:val="24"/>
        </w:rPr>
      </w:pPr>
      <w:r w:rsidRPr="00C40B2F">
        <w:rPr>
          <w:sz w:val="24"/>
          <w:szCs w:val="24"/>
        </w:rPr>
        <w:t xml:space="preserve">- Брой обучени за системата на закрила на индустриалната собственост представители на бизнеса  </w:t>
      </w:r>
    </w:p>
    <w:p w:rsidR="00E07A47" w:rsidRPr="00C40B2F" w:rsidRDefault="00E07A47" w:rsidP="008A5DD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C40B2F">
        <w:rPr>
          <w:sz w:val="24"/>
          <w:szCs w:val="24"/>
        </w:rPr>
        <w:t>В т. 8 от Формуляра за кандидатстване кандидатът следва да попълни данни</w:t>
      </w:r>
      <w:r w:rsidRPr="00C40B2F">
        <w:rPr>
          <w:rFonts w:ascii="Calibri" w:eastAsia="Calibri" w:hAnsi="Calibri" w:cs="Times New Roman"/>
          <w:sz w:val="24"/>
          <w:szCs w:val="24"/>
        </w:rPr>
        <w:t xml:space="preserve"> за базова и целева стойност по горепосочените индикатори за изпълнение в съответствие с </w:t>
      </w:r>
      <w:r w:rsidRPr="00C40B2F">
        <w:rPr>
          <w:b/>
          <w:sz w:val="24"/>
          <w:szCs w:val="24"/>
        </w:rPr>
        <w:t>Ръководство за потребителя за модул „Е-кандидатстване“</w:t>
      </w:r>
      <w:r w:rsidRPr="00C40B2F">
        <w:rPr>
          <w:sz w:val="24"/>
          <w:szCs w:val="24"/>
        </w:rPr>
        <w:t xml:space="preserve"> </w:t>
      </w:r>
      <w:r w:rsidRPr="00C40B2F">
        <w:rPr>
          <w:b/>
          <w:sz w:val="24"/>
          <w:szCs w:val="24"/>
        </w:rPr>
        <w:t>(Приложение</w:t>
      </w:r>
      <w:r w:rsidR="00AE561E" w:rsidRPr="00C40B2F">
        <w:rPr>
          <w:b/>
          <w:sz w:val="24"/>
          <w:szCs w:val="24"/>
        </w:rPr>
        <w:t xml:space="preserve"> А</w:t>
      </w:r>
      <w:r w:rsidRPr="00C40B2F">
        <w:rPr>
          <w:b/>
          <w:sz w:val="24"/>
          <w:szCs w:val="24"/>
        </w:rPr>
        <w:t>).</w:t>
      </w:r>
    </w:p>
    <w:p w:rsidR="000115A9" w:rsidRPr="00C40B2F" w:rsidRDefault="00A43714">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libri" w:eastAsia="Calibri" w:hAnsi="Calibri" w:cs="Times New Roman"/>
          <w:sz w:val="24"/>
          <w:szCs w:val="24"/>
        </w:rPr>
      </w:pPr>
      <w:r w:rsidRPr="00C40B2F">
        <w:rPr>
          <w:rFonts w:ascii="Calibri" w:eastAsia="Calibri" w:hAnsi="Calibri" w:cs="Times New Roman"/>
          <w:b/>
          <w:sz w:val="24"/>
          <w:szCs w:val="24"/>
          <w:u w:val="single"/>
        </w:rPr>
        <w:t>ВАЖНО</w:t>
      </w:r>
      <w:r w:rsidR="009634EF" w:rsidRPr="00C40B2F">
        <w:rPr>
          <w:rFonts w:ascii="Calibri" w:eastAsia="Calibri" w:hAnsi="Calibri" w:cs="Times New Roman"/>
          <w:b/>
          <w:sz w:val="24"/>
          <w:szCs w:val="24"/>
          <w:u w:val="single"/>
        </w:rPr>
        <w:t>!</w:t>
      </w:r>
      <w:r w:rsidRPr="00C40B2F">
        <w:rPr>
          <w:rFonts w:ascii="Calibri" w:eastAsia="Calibri" w:hAnsi="Calibri" w:cs="Times New Roman"/>
          <w:b/>
          <w:sz w:val="24"/>
          <w:szCs w:val="24"/>
          <w:u w:val="single"/>
        </w:rPr>
        <w:t>:</w:t>
      </w:r>
      <w:r w:rsidRPr="00C40B2F">
        <w:rPr>
          <w:rFonts w:ascii="Calibri" w:eastAsia="Calibri" w:hAnsi="Calibri" w:cs="Times New Roman"/>
          <w:sz w:val="24"/>
          <w:szCs w:val="24"/>
        </w:rPr>
        <w:t xml:space="preserve"> По-подр</w:t>
      </w:r>
      <w:r w:rsidR="0057753A" w:rsidRPr="00C40B2F">
        <w:rPr>
          <w:rFonts w:ascii="Calibri" w:eastAsia="Calibri" w:hAnsi="Calibri" w:cs="Times New Roman"/>
          <w:sz w:val="24"/>
          <w:szCs w:val="24"/>
        </w:rPr>
        <w:t xml:space="preserve">обна </w:t>
      </w:r>
      <w:r w:rsidRPr="00C40B2F">
        <w:rPr>
          <w:rFonts w:ascii="Calibri" w:eastAsia="Calibri" w:hAnsi="Calibri" w:cs="Times New Roman"/>
          <w:sz w:val="24"/>
          <w:szCs w:val="24"/>
        </w:rPr>
        <w:t xml:space="preserve">информация относно отчитането на индикаторите за резултат и изпълнение </w:t>
      </w:r>
      <w:r w:rsidR="00965D12" w:rsidRPr="00C40B2F">
        <w:rPr>
          <w:rFonts w:ascii="Calibri" w:eastAsia="Calibri" w:hAnsi="Calibri" w:cs="Times New Roman"/>
          <w:sz w:val="24"/>
          <w:szCs w:val="24"/>
        </w:rPr>
        <w:t xml:space="preserve">в рамките на </w:t>
      </w:r>
      <w:r w:rsidRPr="00C40B2F">
        <w:rPr>
          <w:rFonts w:ascii="Calibri" w:eastAsia="Calibri" w:hAnsi="Calibri" w:cs="Times New Roman"/>
          <w:sz w:val="24"/>
          <w:szCs w:val="24"/>
        </w:rPr>
        <w:t xml:space="preserve">ОПИК 2014-2020 е </w:t>
      </w:r>
      <w:r w:rsidR="00965D12" w:rsidRPr="00C40B2F">
        <w:rPr>
          <w:rFonts w:ascii="Calibri" w:eastAsia="Calibri" w:hAnsi="Calibri" w:cs="Times New Roman"/>
          <w:sz w:val="24"/>
          <w:szCs w:val="24"/>
        </w:rPr>
        <w:t xml:space="preserve">предоставена </w:t>
      </w:r>
      <w:r w:rsidRPr="00C40B2F">
        <w:rPr>
          <w:rFonts w:ascii="Calibri" w:eastAsia="Calibri" w:hAnsi="Calibri" w:cs="Times New Roman"/>
          <w:sz w:val="24"/>
          <w:szCs w:val="24"/>
        </w:rPr>
        <w:t xml:space="preserve">в </w:t>
      </w:r>
      <w:r w:rsidRPr="00C40B2F">
        <w:rPr>
          <w:rFonts w:ascii="Calibri" w:eastAsia="Calibri" w:hAnsi="Calibri" w:cs="Times New Roman"/>
          <w:b/>
          <w:sz w:val="24"/>
          <w:szCs w:val="24"/>
        </w:rPr>
        <w:t>Методологическите насоки за отчитането на индикаторите за резултат и изпълнение по ОПИК,</w:t>
      </w:r>
      <w:r w:rsidRPr="00C40B2F">
        <w:rPr>
          <w:rFonts w:ascii="Calibri" w:eastAsia="Calibri" w:hAnsi="Calibri" w:cs="Times New Roman"/>
          <w:sz w:val="24"/>
          <w:szCs w:val="24"/>
        </w:rPr>
        <w:t xml:space="preserve"> разработени от Управляващия орган и НСИ, публикувани на следния интернет адрес: </w:t>
      </w:r>
      <w:hyperlink r:id="rId8" w:history="1">
        <w:r w:rsidR="00DE1D8A" w:rsidRPr="00C40B2F">
          <w:rPr>
            <w:rStyle w:val="Hyperlink"/>
            <w:sz w:val="24"/>
            <w:szCs w:val="24"/>
          </w:rPr>
          <w:t>http://www.opic.bg/opik/operativna-programa</w:t>
        </w:r>
      </w:hyperlink>
      <w:r w:rsidR="00DE1D8A" w:rsidRPr="00C40B2F">
        <w:rPr>
          <w:sz w:val="24"/>
          <w:szCs w:val="24"/>
        </w:rPr>
        <w:t xml:space="preserve">. </w:t>
      </w:r>
    </w:p>
    <w:p w:rsidR="00F7626C" w:rsidRPr="00C40B2F" w:rsidRDefault="004A58E5" w:rsidP="00CD6A9E">
      <w:pPr>
        <w:pStyle w:val="Heading2"/>
        <w:spacing w:before="120" w:after="120"/>
      </w:pPr>
      <w:bookmarkStart w:id="7" w:name="_Toc476919444"/>
      <w:r w:rsidRPr="00C40B2F">
        <w:t>8</w:t>
      </w:r>
      <w:r w:rsidR="000115A9" w:rsidRPr="00C40B2F">
        <w:t>. Общ размер на безвъзмездната финансова помощ по процедурата:</w:t>
      </w:r>
      <w:r w:rsidR="006B6930" w:rsidRPr="00C40B2F">
        <w:rPr>
          <w:sz w:val="24"/>
          <w:szCs w:val="24"/>
        </w:rPr>
        <w:t>.</w:t>
      </w:r>
      <w:bookmarkEnd w:id="7"/>
    </w:p>
    <w:p w:rsidR="009469A7" w:rsidRPr="00C40B2F" w:rsidRDefault="00CD6A9E" w:rsidP="003C560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40B2F">
        <w:rPr>
          <w:sz w:val="24"/>
          <w:szCs w:val="24"/>
        </w:rPr>
        <w:t xml:space="preserve">Общият размер на безвъзмездната финансова помощ по </w:t>
      </w:r>
      <w:r w:rsidR="00083545" w:rsidRPr="00C40B2F">
        <w:rPr>
          <w:sz w:val="24"/>
          <w:szCs w:val="24"/>
        </w:rPr>
        <w:t>процедура</w:t>
      </w:r>
      <w:r w:rsidR="003C5604" w:rsidRPr="00C40B2F">
        <w:rPr>
          <w:sz w:val="24"/>
          <w:szCs w:val="24"/>
        </w:rPr>
        <w:t xml:space="preserve"> BG16RFOP002-1.004 „Развитие  на модерна система за индустриална собственост чрез подкрепа за дейността на Патентно ведомство на Република България“</w:t>
      </w:r>
      <w:r w:rsidR="006009AE" w:rsidRPr="00C40B2F">
        <w:rPr>
          <w:sz w:val="24"/>
          <w:szCs w:val="24"/>
        </w:rPr>
        <w:t xml:space="preserve"> </w:t>
      </w:r>
      <w:r w:rsidR="00E603B8" w:rsidRPr="00C40B2F">
        <w:rPr>
          <w:sz w:val="24"/>
          <w:szCs w:val="24"/>
        </w:rPr>
        <w:t xml:space="preserve">е </w:t>
      </w:r>
      <w:r w:rsidR="000C55BC" w:rsidRPr="00C40B2F">
        <w:rPr>
          <w:sz w:val="24"/>
          <w:szCs w:val="24"/>
        </w:rPr>
        <w:t xml:space="preserve">както </w:t>
      </w:r>
      <w:r w:rsidR="00907AFC" w:rsidRPr="00C40B2F">
        <w:rPr>
          <w:sz w:val="24"/>
          <w:szCs w:val="24"/>
        </w:rPr>
        <w:t>следва:</w:t>
      </w:r>
    </w:p>
    <w:tbl>
      <w:tblPr>
        <w:tblStyle w:val="TableGrid"/>
        <w:tblW w:w="9572" w:type="dxa"/>
        <w:tblLook w:val="04A0" w:firstRow="1" w:lastRow="0" w:firstColumn="1" w:lastColumn="0" w:noHBand="0" w:noVBand="1"/>
      </w:tblPr>
      <w:tblGrid>
        <w:gridCol w:w="3158"/>
        <w:gridCol w:w="3158"/>
        <w:gridCol w:w="3256"/>
      </w:tblGrid>
      <w:tr w:rsidR="003713B5" w:rsidRPr="00C40B2F" w:rsidTr="003C5604">
        <w:tc>
          <w:tcPr>
            <w:tcW w:w="3158" w:type="dxa"/>
            <w:shd w:val="pct25" w:color="auto" w:fill="auto"/>
          </w:tcPr>
          <w:p w:rsidR="003713B5" w:rsidRPr="00C40B2F" w:rsidRDefault="007A15FB" w:rsidP="004F3521">
            <w:pPr>
              <w:pStyle w:val="ListParagraph"/>
              <w:spacing w:after="360"/>
              <w:ind w:left="0"/>
              <w:jc w:val="center"/>
              <w:rPr>
                <w:sz w:val="24"/>
                <w:szCs w:val="24"/>
              </w:rPr>
            </w:pPr>
            <w:r w:rsidRPr="00C40B2F">
              <w:rPr>
                <w:sz w:val="24"/>
                <w:szCs w:val="24"/>
              </w:rPr>
              <w:t xml:space="preserve">Общ размер на безвъзмездната финансова помощ </w:t>
            </w:r>
          </w:p>
        </w:tc>
        <w:tc>
          <w:tcPr>
            <w:tcW w:w="3158" w:type="dxa"/>
            <w:shd w:val="pct25" w:color="auto" w:fill="auto"/>
          </w:tcPr>
          <w:p w:rsidR="003713B5" w:rsidRPr="00C40B2F" w:rsidRDefault="004F3521" w:rsidP="004F3521">
            <w:pPr>
              <w:pStyle w:val="ListParagraph"/>
              <w:spacing w:after="360"/>
              <w:ind w:left="0"/>
              <w:jc w:val="center"/>
              <w:rPr>
                <w:sz w:val="24"/>
                <w:szCs w:val="24"/>
              </w:rPr>
            </w:pPr>
            <w:r w:rsidRPr="00C40B2F">
              <w:rPr>
                <w:sz w:val="24"/>
                <w:szCs w:val="24"/>
              </w:rPr>
              <w:t xml:space="preserve">Финансиране от Европейския фонд за регионално развитие </w:t>
            </w:r>
          </w:p>
        </w:tc>
        <w:tc>
          <w:tcPr>
            <w:tcW w:w="3256" w:type="dxa"/>
            <w:shd w:val="pct25" w:color="auto" w:fill="auto"/>
          </w:tcPr>
          <w:p w:rsidR="003713B5" w:rsidRPr="00C40B2F" w:rsidRDefault="007A15FB" w:rsidP="007A15FB">
            <w:pPr>
              <w:pStyle w:val="ListParagraph"/>
              <w:spacing w:after="360"/>
              <w:ind w:left="0"/>
              <w:jc w:val="center"/>
              <w:rPr>
                <w:sz w:val="24"/>
                <w:szCs w:val="24"/>
              </w:rPr>
            </w:pPr>
            <w:r w:rsidRPr="00C40B2F">
              <w:rPr>
                <w:sz w:val="24"/>
                <w:szCs w:val="24"/>
              </w:rPr>
              <w:t>Национално съфинансиране</w:t>
            </w:r>
          </w:p>
        </w:tc>
      </w:tr>
      <w:tr w:rsidR="003713B5" w:rsidRPr="00C40B2F" w:rsidTr="003C5604">
        <w:trPr>
          <w:trHeight w:val="585"/>
        </w:trPr>
        <w:tc>
          <w:tcPr>
            <w:tcW w:w="3158" w:type="dxa"/>
          </w:tcPr>
          <w:p w:rsidR="002A2703" w:rsidRPr="00C40B2F" w:rsidRDefault="002A2703" w:rsidP="000B28E5">
            <w:pPr>
              <w:pStyle w:val="ListParagraph"/>
              <w:spacing w:after="360"/>
              <w:ind w:left="0"/>
              <w:jc w:val="center"/>
              <w:rPr>
                <w:b/>
                <w:sz w:val="24"/>
                <w:szCs w:val="24"/>
              </w:rPr>
            </w:pPr>
            <w:r w:rsidRPr="00C40B2F">
              <w:rPr>
                <w:b/>
                <w:sz w:val="24"/>
                <w:szCs w:val="24"/>
              </w:rPr>
              <w:t>8 801 235 лева</w:t>
            </w:r>
          </w:p>
          <w:p w:rsidR="00891E01" w:rsidRPr="00C40B2F" w:rsidRDefault="002A2703" w:rsidP="000B28E5">
            <w:pPr>
              <w:pStyle w:val="ListParagraph"/>
              <w:spacing w:after="360"/>
              <w:ind w:left="0"/>
              <w:jc w:val="center"/>
              <w:rPr>
                <w:b/>
                <w:sz w:val="24"/>
                <w:szCs w:val="24"/>
              </w:rPr>
            </w:pPr>
            <w:r w:rsidRPr="00C40B2F">
              <w:rPr>
                <w:b/>
                <w:sz w:val="24"/>
                <w:szCs w:val="24"/>
              </w:rPr>
              <w:t>(4 500 000 евро)</w:t>
            </w:r>
          </w:p>
        </w:tc>
        <w:tc>
          <w:tcPr>
            <w:tcW w:w="3158" w:type="dxa"/>
          </w:tcPr>
          <w:p w:rsidR="002A2703" w:rsidRPr="00C40B2F" w:rsidRDefault="002A2703" w:rsidP="00C016C6">
            <w:pPr>
              <w:pStyle w:val="ListParagraph"/>
              <w:spacing w:after="360"/>
              <w:ind w:left="0"/>
              <w:jc w:val="center"/>
              <w:rPr>
                <w:sz w:val="24"/>
                <w:szCs w:val="24"/>
              </w:rPr>
            </w:pPr>
            <w:r w:rsidRPr="00C40B2F">
              <w:rPr>
                <w:sz w:val="24"/>
                <w:szCs w:val="24"/>
              </w:rPr>
              <w:t xml:space="preserve">7 481 049.75 лева </w:t>
            </w:r>
          </w:p>
          <w:p w:rsidR="003713B5" w:rsidRPr="00C40B2F" w:rsidRDefault="000B28E5" w:rsidP="00C016C6">
            <w:pPr>
              <w:pStyle w:val="ListParagraph"/>
              <w:spacing w:after="360"/>
              <w:ind w:left="0"/>
              <w:jc w:val="center"/>
              <w:rPr>
                <w:sz w:val="24"/>
                <w:szCs w:val="24"/>
              </w:rPr>
            </w:pPr>
            <w:r w:rsidRPr="00C40B2F">
              <w:rPr>
                <w:sz w:val="24"/>
                <w:szCs w:val="24"/>
              </w:rPr>
              <w:t>(</w:t>
            </w:r>
            <w:r w:rsidR="002A2703" w:rsidRPr="00C40B2F">
              <w:rPr>
                <w:sz w:val="24"/>
                <w:szCs w:val="24"/>
              </w:rPr>
              <w:t>3 825 000 евро</w:t>
            </w:r>
            <w:r w:rsidRPr="00C40B2F">
              <w:rPr>
                <w:sz w:val="24"/>
                <w:szCs w:val="24"/>
              </w:rPr>
              <w:t>)</w:t>
            </w:r>
          </w:p>
        </w:tc>
        <w:tc>
          <w:tcPr>
            <w:tcW w:w="3256" w:type="dxa"/>
          </w:tcPr>
          <w:p w:rsidR="002A2703" w:rsidRPr="00C40B2F" w:rsidRDefault="002A2703" w:rsidP="006A3A93">
            <w:pPr>
              <w:pStyle w:val="ListParagraph"/>
              <w:spacing w:after="360"/>
              <w:ind w:left="0"/>
              <w:jc w:val="center"/>
              <w:rPr>
                <w:sz w:val="24"/>
                <w:szCs w:val="24"/>
              </w:rPr>
            </w:pPr>
            <w:r w:rsidRPr="00C40B2F">
              <w:rPr>
                <w:sz w:val="24"/>
                <w:szCs w:val="24"/>
              </w:rPr>
              <w:t xml:space="preserve">1 320 185.25 лева </w:t>
            </w:r>
          </w:p>
          <w:p w:rsidR="003713B5" w:rsidRPr="00C40B2F" w:rsidRDefault="005779AA" w:rsidP="002A2703">
            <w:pPr>
              <w:pStyle w:val="ListParagraph"/>
              <w:spacing w:after="360"/>
              <w:ind w:left="0"/>
              <w:jc w:val="center"/>
              <w:rPr>
                <w:sz w:val="24"/>
                <w:szCs w:val="24"/>
              </w:rPr>
            </w:pPr>
            <w:r w:rsidRPr="00C40B2F">
              <w:rPr>
                <w:sz w:val="24"/>
                <w:szCs w:val="24"/>
              </w:rPr>
              <w:t>(</w:t>
            </w:r>
            <w:r w:rsidR="002A2703" w:rsidRPr="00C40B2F">
              <w:rPr>
                <w:sz w:val="24"/>
                <w:szCs w:val="24"/>
              </w:rPr>
              <w:t>675 000 евро</w:t>
            </w:r>
            <w:r w:rsidRPr="00C40B2F">
              <w:rPr>
                <w:sz w:val="24"/>
                <w:szCs w:val="24"/>
              </w:rPr>
              <w:t>)</w:t>
            </w:r>
          </w:p>
        </w:tc>
      </w:tr>
    </w:tbl>
    <w:p w:rsidR="004050F0" w:rsidRPr="00C40B2F" w:rsidRDefault="004050F0" w:rsidP="00B37AD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40B2F">
        <w:rPr>
          <w:sz w:val="24"/>
          <w:szCs w:val="24"/>
        </w:rPr>
        <w:t>Това е общият предвиден размер на безвъзмездната финансова помощ по тази процедура чрез директно предоставяне</w:t>
      </w:r>
      <w:r w:rsidR="008A4562" w:rsidRPr="00C40B2F">
        <w:rPr>
          <w:sz w:val="24"/>
          <w:szCs w:val="24"/>
        </w:rPr>
        <w:t xml:space="preserve"> на конкретен бенефициент</w:t>
      </w:r>
      <w:r w:rsidRPr="00C40B2F">
        <w:rPr>
          <w:sz w:val="24"/>
          <w:szCs w:val="24"/>
        </w:rPr>
        <w:t>. Управляващият орган си запазва правото да не предостави изцяло посочената по-горе сума.</w:t>
      </w:r>
    </w:p>
    <w:p w:rsidR="00BA2E00" w:rsidRPr="00C40B2F" w:rsidRDefault="004A58E5" w:rsidP="00394B8E">
      <w:pPr>
        <w:pStyle w:val="Heading2"/>
        <w:spacing w:before="120" w:after="120"/>
      </w:pPr>
      <w:bookmarkStart w:id="8" w:name="_Toc476919445"/>
      <w:r w:rsidRPr="00C40B2F">
        <w:t>9</w:t>
      </w:r>
      <w:r w:rsidR="002325A3" w:rsidRPr="00C40B2F">
        <w:t xml:space="preserve">. </w:t>
      </w:r>
      <w:r w:rsidR="00BA2E00" w:rsidRPr="00C40B2F">
        <w:t>Минимален</w:t>
      </w:r>
      <w:r w:rsidR="00EA11C9" w:rsidRPr="00C40B2F">
        <w:t xml:space="preserve"> (ако е приложимо) </w:t>
      </w:r>
      <w:r w:rsidR="00BA2E00" w:rsidRPr="00C40B2F">
        <w:t>и максимален размер на безвъзмездната финансова помощ за конкретен проект:</w:t>
      </w:r>
      <w:bookmarkEnd w:id="8"/>
    </w:p>
    <w:p w:rsidR="0089237A" w:rsidRPr="00C40B2F" w:rsidRDefault="0089237A" w:rsidP="0089237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40B2F">
        <w:rPr>
          <w:sz w:val="24"/>
          <w:szCs w:val="24"/>
        </w:rPr>
        <w:t>По настоящата процедура няма изискване за минимален размер</w:t>
      </w:r>
      <w:r w:rsidR="004E6FCB" w:rsidRPr="00C40B2F">
        <w:rPr>
          <w:sz w:val="24"/>
          <w:szCs w:val="24"/>
        </w:rPr>
        <w:t xml:space="preserve"> на </w:t>
      </w:r>
      <w:r w:rsidR="00846685" w:rsidRPr="00C40B2F">
        <w:rPr>
          <w:sz w:val="24"/>
          <w:szCs w:val="24"/>
        </w:rPr>
        <w:t>безвъзмездната финансова помощ.</w:t>
      </w:r>
      <w:r w:rsidRPr="00C40B2F">
        <w:rPr>
          <w:sz w:val="24"/>
          <w:szCs w:val="24"/>
        </w:rPr>
        <w:t xml:space="preserve"> </w:t>
      </w:r>
    </w:p>
    <w:p w:rsidR="00BA2E00" w:rsidRPr="00C40B2F" w:rsidRDefault="000742DD" w:rsidP="00B0470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C40B2F">
        <w:rPr>
          <w:sz w:val="24"/>
          <w:szCs w:val="24"/>
        </w:rPr>
        <w:t xml:space="preserve">Максималният размер на </w:t>
      </w:r>
      <w:r w:rsidR="00F56D28" w:rsidRPr="00C40B2F">
        <w:rPr>
          <w:sz w:val="24"/>
          <w:szCs w:val="24"/>
        </w:rPr>
        <w:t xml:space="preserve">помощта, за която може да бъде подадено проектно предложение е </w:t>
      </w:r>
      <w:r w:rsidR="00B04706" w:rsidRPr="00C40B2F">
        <w:rPr>
          <w:sz w:val="24"/>
          <w:szCs w:val="24"/>
        </w:rPr>
        <w:t>8 801 235 лева (4 500 000 евро)</w:t>
      </w:r>
      <w:r w:rsidR="00B04706" w:rsidRPr="00C40B2F">
        <w:rPr>
          <w:b/>
          <w:sz w:val="24"/>
          <w:szCs w:val="24"/>
        </w:rPr>
        <w:t>.</w:t>
      </w:r>
    </w:p>
    <w:p w:rsidR="002325A3" w:rsidRPr="00C40B2F" w:rsidRDefault="00CB14EE" w:rsidP="00394B8E">
      <w:pPr>
        <w:pStyle w:val="Heading2"/>
        <w:spacing w:before="120" w:after="120"/>
      </w:pPr>
      <w:bookmarkStart w:id="9" w:name="_Toc476919446"/>
      <w:r w:rsidRPr="00C40B2F">
        <w:lastRenderedPageBreak/>
        <w:t>1</w:t>
      </w:r>
      <w:r w:rsidR="004A58E5" w:rsidRPr="00C40B2F">
        <w:t>0</w:t>
      </w:r>
      <w:r w:rsidRPr="00C40B2F">
        <w:t>.</w:t>
      </w:r>
      <w:r w:rsidR="004A58E5" w:rsidRPr="00C40B2F">
        <w:t xml:space="preserve"> </w:t>
      </w:r>
      <w:r w:rsidR="002325A3" w:rsidRPr="00C40B2F">
        <w:t>Процент на съфинансиране:</w:t>
      </w:r>
      <w:bookmarkEnd w:id="9"/>
    </w:p>
    <w:p w:rsidR="002325A3" w:rsidRPr="00C40B2F" w:rsidRDefault="00CD046B" w:rsidP="008D64C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40B2F">
        <w:rPr>
          <w:sz w:val="24"/>
          <w:szCs w:val="24"/>
        </w:rPr>
        <w:t xml:space="preserve">Интензитетът на безвъзмездната </w:t>
      </w:r>
      <w:r w:rsidR="00CB3CE5" w:rsidRPr="00C40B2F">
        <w:rPr>
          <w:sz w:val="24"/>
          <w:szCs w:val="24"/>
        </w:rPr>
        <w:t xml:space="preserve">финансова </w:t>
      </w:r>
      <w:r w:rsidRPr="00C40B2F">
        <w:rPr>
          <w:sz w:val="24"/>
          <w:szCs w:val="24"/>
        </w:rPr>
        <w:t xml:space="preserve">помощ по настоящата процедура е </w:t>
      </w:r>
      <w:r w:rsidR="00294E1A" w:rsidRPr="00C40B2F">
        <w:rPr>
          <w:sz w:val="24"/>
          <w:szCs w:val="24"/>
        </w:rPr>
        <w:t xml:space="preserve">до </w:t>
      </w:r>
      <w:r w:rsidR="00BC7952" w:rsidRPr="00C40B2F">
        <w:rPr>
          <w:sz w:val="24"/>
          <w:szCs w:val="24"/>
        </w:rPr>
        <w:t>100%.</w:t>
      </w:r>
      <w:r w:rsidR="003558FF" w:rsidRPr="00C40B2F">
        <w:rPr>
          <w:sz w:val="24"/>
          <w:szCs w:val="24"/>
        </w:rPr>
        <w:t xml:space="preserve"> В случаите, когато интензитетът на помощта е под 100 %, остатъкът от общите допустими разходи по проекта трябва да бъде финансиран чрез собствени средства на кандидата</w:t>
      </w:r>
      <w:r w:rsidR="008D64C1" w:rsidRPr="00C40B2F">
        <w:rPr>
          <w:sz w:val="24"/>
          <w:szCs w:val="24"/>
        </w:rPr>
        <w:t>.</w:t>
      </w:r>
    </w:p>
    <w:p w:rsidR="002325A3" w:rsidRPr="00C40B2F" w:rsidRDefault="00CB14EE" w:rsidP="00394B8E">
      <w:pPr>
        <w:pStyle w:val="Heading2"/>
        <w:spacing w:before="120" w:after="120"/>
      </w:pPr>
      <w:bookmarkStart w:id="10" w:name="_Toc476919447"/>
      <w:r w:rsidRPr="00C40B2F">
        <w:t>1</w:t>
      </w:r>
      <w:r w:rsidR="004A58E5" w:rsidRPr="00C40B2F">
        <w:t>1</w:t>
      </w:r>
      <w:r w:rsidR="002325A3" w:rsidRPr="00C40B2F">
        <w:t>. Допустими кандидати:</w:t>
      </w:r>
      <w:bookmarkEnd w:id="10"/>
      <w:r w:rsidR="002325A3" w:rsidRPr="00C40B2F">
        <w:t xml:space="preserve"> </w:t>
      </w:r>
    </w:p>
    <w:p w:rsidR="00D3273B" w:rsidRPr="00C40B2F" w:rsidRDefault="007303DE"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40B2F">
        <w:rPr>
          <w:sz w:val="24"/>
          <w:szCs w:val="24"/>
        </w:rPr>
        <w:t xml:space="preserve">Конкретен бенефициент по настоящата процедура по смисъла на </w:t>
      </w:r>
      <w:r w:rsidR="00091E13" w:rsidRPr="00C40B2F">
        <w:rPr>
          <w:sz w:val="24"/>
          <w:szCs w:val="24"/>
        </w:rPr>
        <w:t xml:space="preserve">чл. </w:t>
      </w:r>
      <w:r w:rsidRPr="00C40B2F">
        <w:rPr>
          <w:sz w:val="24"/>
          <w:szCs w:val="24"/>
        </w:rPr>
        <w:t>25, ал. 1, т. 2 от Закона за управление на средствата от Европейските структурни и инвестиционни фондове (обн. в ДВ, бр. 101/22.12.2015 г.) е</w:t>
      </w:r>
      <w:r w:rsidR="00FD1FAF" w:rsidRPr="00C40B2F">
        <w:rPr>
          <w:rFonts w:ascii="Verdana" w:hAnsi="Verdana"/>
          <w:sz w:val="20"/>
          <w:szCs w:val="20"/>
        </w:rPr>
        <w:t xml:space="preserve"> </w:t>
      </w:r>
      <w:r w:rsidR="00D96C6E" w:rsidRPr="00C40B2F">
        <w:rPr>
          <w:rFonts w:ascii="Verdana" w:hAnsi="Verdana"/>
          <w:b/>
          <w:sz w:val="20"/>
          <w:szCs w:val="20"/>
        </w:rPr>
        <w:t>Патентно ведомство на Република България</w:t>
      </w:r>
      <w:r w:rsidR="00A86313" w:rsidRPr="00C40B2F">
        <w:rPr>
          <w:sz w:val="24"/>
          <w:szCs w:val="24"/>
        </w:rPr>
        <w:t>,</w:t>
      </w:r>
      <w:r w:rsidR="00CA6695" w:rsidRPr="00C40B2F">
        <w:rPr>
          <w:sz w:val="24"/>
          <w:szCs w:val="24"/>
        </w:rPr>
        <w:t xml:space="preserve"> </w:t>
      </w:r>
      <w:r w:rsidR="00846685" w:rsidRPr="00C40B2F">
        <w:rPr>
          <w:sz w:val="24"/>
          <w:szCs w:val="24"/>
        </w:rPr>
        <w:t xml:space="preserve">с </w:t>
      </w:r>
      <w:r w:rsidR="00CA6695" w:rsidRPr="00C40B2F">
        <w:rPr>
          <w:sz w:val="24"/>
          <w:szCs w:val="24"/>
        </w:rPr>
        <w:t>ЕИК</w:t>
      </w:r>
      <w:r w:rsidR="00466682" w:rsidRPr="00C40B2F">
        <w:rPr>
          <w:sz w:val="24"/>
          <w:szCs w:val="24"/>
        </w:rPr>
        <w:t>/Булстат</w:t>
      </w:r>
      <w:r w:rsidR="00FA4754" w:rsidRPr="00C40B2F">
        <w:rPr>
          <w:sz w:val="24"/>
          <w:szCs w:val="24"/>
        </w:rPr>
        <w:t>:</w:t>
      </w:r>
      <w:r w:rsidR="00466682" w:rsidRPr="00C40B2F">
        <w:rPr>
          <w:sz w:val="24"/>
          <w:szCs w:val="24"/>
        </w:rPr>
        <w:t xml:space="preserve"> </w:t>
      </w:r>
      <w:r w:rsidR="00261056" w:rsidRPr="00C40B2F">
        <w:rPr>
          <w:rFonts w:ascii="Verdana" w:hAnsi="Verdana"/>
          <w:sz w:val="20"/>
          <w:szCs w:val="20"/>
        </w:rPr>
        <w:t>000 695 121</w:t>
      </w:r>
      <w:r w:rsidR="00466682" w:rsidRPr="00C40B2F">
        <w:rPr>
          <w:sz w:val="24"/>
          <w:szCs w:val="24"/>
        </w:rPr>
        <w:t xml:space="preserve">. </w:t>
      </w:r>
      <w:r w:rsidR="00D96C6E" w:rsidRPr="00C40B2F">
        <w:rPr>
          <w:rFonts w:ascii="Verdana" w:hAnsi="Verdana"/>
          <w:sz w:val="20"/>
          <w:szCs w:val="20"/>
        </w:rPr>
        <w:t>Патентно ведомство</w:t>
      </w:r>
      <w:r w:rsidR="0056284E" w:rsidRPr="00C40B2F">
        <w:rPr>
          <w:sz w:val="24"/>
          <w:szCs w:val="24"/>
        </w:rPr>
        <w:t xml:space="preserve"> </w:t>
      </w:r>
      <w:r w:rsidR="00B654A4" w:rsidRPr="00C40B2F">
        <w:rPr>
          <w:sz w:val="24"/>
          <w:szCs w:val="24"/>
        </w:rPr>
        <w:t>е одобрено</w:t>
      </w:r>
      <w:r w:rsidR="000E1C35" w:rsidRPr="00C40B2F">
        <w:rPr>
          <w:sz w:val="24"/>
          <w:szCs w:val="24"/>
        </w:rPr>
        <w:t xml:space="preserve"> от Комитета за наблюдение на ОПИК 2014-2020 като конкретен бенефициент</w:t>
      </w:r>
      <w:r w:rsidR="0015457D" w:rsidRPr="00C40B2F">
        <w:rPr>
          <w:sz w:val="24"/>
          <w:szCs w:val="24"/>
        </w:rPr>
        <w:t xml:space="preserve">, който може да получи безвъзмездна </w:t>
      </w:r>
      <w:r w:rsidR="00E97256" w:rsidRPr="00C40B2F">
        <w:rPr>
          <w:sz w:val="24"/>
          <w:szCs w:val="24"/>
        </w:rPr>
        <w:t xml:space="preserve">финансова </w:t>
      </w:r>
      <w:r w:rsidR="0015457D" w:rsidRPr="00C40B2F">
        <w:rPr>
          <w:sz w:val="24"/>
          <w:szCs w:val="24"/>
        </w:rPr>
        <w:t>помощ</w:t>
      </w:r>
      <w:r w:rsidR="00E97256" w:rsidRPr="00C40B2F">
        <w:rPr>
          <w:sz w:val="24"/>
          <w:szCs w:val="24"/>
        </w:rPr>
        <w:t xml:space="preserve"> за изпълнение на посочените в т. 13 </w:t>
      </w:r>
      <w:r w:rsidR="00B014E5" w:rsidRPr="00C40B2F">
        <w:rPr>
          <w:sz w:val="24"/>
          <w:szCs w:val="24"/>
        </w:rPr>
        <w:t xml:space="preserve">от настоящите Условия за кандидатстване дейности. </w:t>
      </w:r>
    </w:p>
    <w:p w:rsidR="000A5C6D" w:rsidRPr="00C40B2F" w:rsidRDefault="000A5C6D" w:rsidP="000A5C6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40B2F">
        <w:rPr>
          <w:sz w:val="24"/>
          <w:szCs w:val="24"/>
        </w:rPr>
        <w:t xml:space="preserve">Процедурата чрез директно предоставяне на конкретен бенефициент се осъществява съгласно разпоредбите на чл. 5, ал. 1 и чл. 23-25 от ПМС № 162/05.07.2016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2014-2020 г. и Закона за управление на средствата от </w:t>
      </w:r>
      <w:r w:rsidR="00496136" w:rsidRPr="00C40B2F">
        <w:rPr>
          <w:sz w:val="24"/>
          <w:szCs w:val="24"/>
        </w:rPr>
        <w:t>Европейските структурни и инвестиционни фондове</w:t>
      </w:r>
      <w:r w:rsidRPr="00C40B2F">
        <w:rPr>
          <w:sz w:val="24"/>
          <w:szCs w:val="24"/>
        </w:rPr>
        <w:t xml:space="preserve"> (ЗУСЕСИФ) по следния начин: </w:t>
      </w:r>
    </w:p>
    <w:p w:rsidR="000A5C6D" w:rsidRPr="00C40B2F" w:rsidRDefault="000A5C6D" w:rsidP="000A5C6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40B2F">
        <w:rPr>
          <w:sz w:val="24"/>
          <w:szCs w:val="24"/>
        </w:rPr>
        <w:t>-</w:t>
      </w:r>
      <w:r w:rsidRPr="00C40B2F">
        <w:rPr>
          <w:sz w:val="24"/>
          <w:szCs w:val="24"/>
        </w:rPr>
        <w:tab/>
        <w:t>За всяка процедура ръководителят на управляващия орган на програмата утвърждава при условията и по реда на чл. 26, ал. 1, 3,</w:t>
      </w:r>
      <w:r w:rsidR="00A13DAE" w:rsidRPr="00C40B2F">
        <w:rPr>
          <w:sz w:val="24"/>
          <w:szCs w:val="24"/>
        </w:rPr>
        <w:t xml:space="preserve"> 4</w:t>
      </w:r>
      <w:r w:rsidRPr="00C40B2F">
        <w:rPr>
          <w:sz w:val="24"/>
          <w:szCs w:val="24"/>
        </w:rPr>
        <w:t xml:space="preserve"> и 5 от ЗУСЕСИФ насоки и/или друг документ, определящи условията за кандидатстване и условията за изпълнение на одобрените проекти.</w:t>
      </w:r>
    </w:p>
    <w:p w:rsidR="000A5C6D" w:rsidRPr="00C40B2F" w:rsidRDefault="000A5C6D" w:rsidP="000A5C6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40B2F">
        <w:rPr>
          <w:sz w:val="24"/>
          <w:szCs w:val="24"/>
        </w:rPr>
        <w:t>-</w:t>
      </w:r>
      <w:r w:rsidRPr="00C40B2F">
        <w:rPr>
          <w:sz w:val="24"/>
          <w:szCs w:val="24"/>
        </w:rPr>
        <w:tab/>
        <w:t xml:space="preserve">Поканата за участие в процедура чрез директно предоставяне се изпраща на конкретния бенефициент заедно с документите по чл. 5, ал. 1 от ПМС № 162/05.07.2016 г. и се публикува в ИСУН 2020 и на интернет страницата на съответната програма. </w:t>
      </w:r>
    </w:p>
    <w:p w:rsidR="000A5C6D" w:rsidRPr="00C40B2F" w:rsidRDefault="000A5C6D" w:rsidP="000A5C6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C40B2F">
        <w:rPr>
          <w:sz w:val="24"/>
          <w:szCs w:val="24"/>
        </w:rPr>
        <w:t>-</w:t>
      </w:r>
      <w:r w:rsidRPr="00C40B2F">
        <w:rPr>
          <w:sz w:val="24"/>
          <w:szCs w:val="24"/>
        </w:rPr>
        <w:tab/>
        <w:t xml:space="preserve">При процедурата чрез директно предоставяне се извършва оценка на проектното предложение по ред, определен в документите по чл. 5, ал. 1, т. 1 от ПМС № 162/05.07.2016 г. </w:t>
      </w:r>
    </w:p>
    <w:p w:rsidR="000A5C6D" w:rsidRPr="00C40B2F" w:rsidRDefault="000A5C6D" w:rsidP="000A5C6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C40B2F">
        <w:rPr>
          <w:sz w:val="24"/>
          <w:szCs w:val="24"/>
        </w:rPr>
        <w:t>-</w:t>
      </w:r>
      <w:r w:rsidRPr="00C40B2F">
        <w:rPr>
          <w:sz w:val="24"/>
          <w:szCs w:val="24"/>
        </w:rPr>
        <w:tab/>
        <w:t xml:space="preserve">Оценяването на проектно предложение се извършва в срок до три месеца от датата на подаването му или от крайния срок за подаването му, ако такъв е посочен в документите по чл. 5, ал. 1, т. 1 от ПМС № 162/05.07.2016 г.  </w:t>
      </w:r>
    </w:p>
    <w:p w:rsidR="001E6246" w:rsidRPr="00C40B2F" w:rsidRDefault="00891EEB" w:rsidP="000A5C6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C40B2F">
        <w:rPr>
          <w:sz w:val="24"/>
          <w:szCs w:val="24"/>
        </w:rPr>
        <w:t xml:space="preserve"> -</w:t>
      </w:r>
      <w:r w:rsidRPr="00C40B2F">
        <w:rPr>
          <w:sz w:val="24"/>
          <w:szCs w:val="24"/>
        </w:rPr>
        <w:tab/>
      </w:r>
      <w:r w:rsidR="000A5C6D" w:rsidRPr="00C40B2F">
        <w:rPr>
          <w:sz w:val="24"/>
          <w:szCs w:val="24"/>
        </w:rPr>
        <w:t>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което се обективира в административен договор с бенефициента.</w:t>
      </w:r>
    </w:p>
    <w:p w:rsidR="00CD2ECF" w:rsidRPr="00C40B2F" w:rsidRDefault="00CD2ECF" w:rsidP="00AD459E">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p>
    <w:p w:rsidR="007E7810" w:rsidRPr="00C40B2F" w:rsidRDefault="003A0741" w:rsidP="003A074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C40B2F">
        <w:rPr>
          <w:b/>
          <w:sz w:val="24"/>
          <w:szCs w:val="24"/>
          <w:u w:val="single"/>
        </w:rPr>
        <w:t>ВАЖНО!:</w:t>
      </w:r>
      <w:r w:rsidRPr="00C40B2F">
        <w:rPr>
          <w:sz w:val="24"/>
          <w:szCs w:val="24"/>
        </w:rPr>
        <w:t xml:space="preserve"> </w:t>
      </w:r>
      <w:r w:rsidR="00D5316A" w:rsidRPr="00C40B2F">
        <w:rPr>
          <w:sz w:val="24"/>
          <w:szCs w:val="24"/>
        </w:rPr>
        <w:t>К</w:t>
      </w:r>
      <w:r w:rsidR="00363A9D" w:rsidRPr="00C40B2F">
        <w:rPr>
          <w:sz w:val="24"/>
          <w:szCs w:val="24"/>
        </w:rPr>
        <w:t xml:space="preserve">андидатът </w:t>
      </w:r>
      <w:r w:rsidR="001E6246" w:rsidRPr="00C40B2F">
        <w:rPr>
          <w:sz w:val="24"/>
          <w:szCs w:val="24"/>
        </w:rPr>
        <w:t xml:space="preserve">по процедурата чрез директно предоставяне </w:t>
      </w:r>
      <w:r w:rsidRPr="00C40B2F">
        <w:rPr>
          <w:sz w:val="24"/>
          <w:szCs w:val="24"/>
        </w:rPr>
        <w:t>трябва</w:t>
      </w:r>
      <w:r w:rsidR="007E7810" w:rsidRPr="00C40B2F">
        <w:rPr>
          <w:sz w:val="24"/>
          <w:szCs w:val="24"/>
        </w:rPr>
        <w:t>:</w:t>
      </w:r>
    </w:p>
    <w:p w:rsidR="007E7810" w:rsidRPr="00C40B2F" w:rsidRDefault="007E7810" w:rsidP="003A074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C40B2F">
        <w:rPr>
          <w:sz w:val="24"/>
          <w:szCs w:val="24"/>
        </w:rPr>
        <w:t xml:space="preserve">- </w:t>
      </w:r>
      <w:r w:rsidR="003A0741" w:rsidRPr="00C40B2F">
        <w:rPr>
          <w:sz w:val="24"/>
          <w:szCs w:val="24"/>
        </w:rPr>
        <w:t xml:space="preserve"> </w:t>
      </w:r>
      <w:r w:rsidR="00FF35F4" w:rsidRPr="00C40B2F">
        <w:rPr>
          <w:sz w:val="24"/>
          <w:szCs w:val="24"/>
        </w:rPr>
        <w:t>да е директно отговорен за изпълнението на  дейностите по проекта, а не да действа в качеството на посредник</w:t>
      </w:r>
      <w:r w:rsidRPr="00C40B2F">
        <w:rPr>
          <w:sz w:val="24"/>
          <w:szCs w:val="24"/>
        </w:rPr>
        <w:t>; и</w:t>
      </w:r>
    </w:p>
    <w:p w:rsidR="002325A3" w:rsidRPr="00C40B2F" w:rsidRDefault="007E7810" w:rsidP="008D732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40B2F">
        <w:rPr>
          <w:sz w:val="24"/>
          <w:szCs w:val="24"/>
        </w:rPr>
        <w:t xml:space="preserve">- </w:t>
      </w:r>
      <w:r w:rsidR="00F027EE" w:rsidRPr="00C40B2F">
        <w:rPr>
          <w:sz w:val="24"/>
          <w:szCs w:val="24"/>
        </w:rPr>
        <w:t xml:space="preserve"> </w:t>
      </w:r>
      <w:r w:rsidRPr="00C40B2F">
        <w:rPr>
          <w:sz w:val="24"/>
          <w:szCs w:val="24"/>
        </w:rPr>
        <w:t>да разполага с необходимия административен, финансов и оперативен капацитет, който гарантира успешното изпълнение на дейностите по проекта.</w:t>
      </w:r>
    </w:p>
    <w:p w:rsidR="002325A3" w:rsidRPr="00C40B2F" w:rsidRDefault="00CB14EE" w:rsidP="00394B8E">
      <w:pPr>
        <w:pStyle w:val="Heading2"/>
        <w:spacing w:before="120" w:after="120"/>
      </w:pPr>
      <w:bookmarkStart w:id="11" w:name="_Toc476919448"/>
      <w:r w:rsidRPr="00C40B2F">
        <w:lastRenderedPageBreak/>
        <w:t>1</w:t>
      </w:r>
      <w:r w:rsidR="004A58E5" w:rsidRPr="00C40B2F">
        <w:t>2</w:t>
      </w:r>
      <w:r w:rsidR="002325A3" w:rsidRPr="00C40B2F">
        <w:t>. Допустими партньори</w:t>
      </w:r>
      <w:r w:rsidR="00EA11C9" w:rsidRPr="00C40B2F">
        <w:t xml:space="preserve"> (ако е приложимо)</w:t>
      </w:r>
      <w:r w:rsidR="002325A3" w:rsidRPr="00C40B2F">
        <w:t>:</w:t>
      </w:r>
      <w:bookmarkEnd w:id="11"/>
    </w:p>
    <w:p w:rsidR="002325A3" w:rsidRPr="00C40B2F" w:rsidRDefault="00A12C4F" w:rsidP="00F30064">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C40B2F">
        <w:rPr>
          <w:sz w:val="24"/>
          <w:szCs w:val="24"/>
        </w:rPr>
        <w:t xml:space="preserve">По настоящата процедура чрез директно предоставяне </w:t>
      </w:r>
      <w:r w:rsidR="00E67541" w:rsidRPr="00C40B2F">
        <w:rPr>
          <w:sz w:val="24"/>
          <w:szCs w:val="24"/>
        </w:rPr>
        <w:t xml:space="preserve">на конкретен бенефициент </w:t>
      </w:r>
      <w:r w:rsidRPr="00C40B2F">
        <w:rPr>
          <w:sz w:val="24"/>
          <w:szCs w:val="24"/>
        </w:rPr>
        <w:t>не се допуска участието на партньори.</w:t>
      </w:r>
    </w:p>
    <w:p w:rsidR="00F30064" w:rsidRPr="00C40B2F" w:rsidRDefault="00F30064" w:rsidP="00F30064">
      <w:pPr>
        <w:pStyle w:val="Heading2"/>
        <w:spacing w:before="120"/>
      </w:pPr>
      <w:bookmarkStart w:id="12" w:name="_Toc476919449"/>
    </w:p>
    <w:p w:rsidR="002325A3" w:rsidRPr="00C40B2F" w:rsidRDefault="00CB14EE" w:rsidP="00394B8E">
      <w:pPr>
        <w:pStyle w:val="Heading2"/>
        <w:spacing w:before="120" w:after="120"/>
      </w:pPr>
      <w:r w:rsidRPr="00C40B2F">
        <w:t>1</w:t>
      </w:r>
      <w:r w:rsidR="004A58E5" w:rsidRPr="00C40B2F">
        <w:t>3</w:t>
      </w:r>
      <w:r w:rsidR="002325A3" w:rsidRPr="00C40B2F">
        <w:t xml:space="preserve">. </w:t>
      </w:r>
      <w:r w:rsidR="004E6370" w:rsidRPr="00C40B2F">
        <w:t>Д</w:t>
      </w:r>
      <w:r w:rsidR="002325A3" w:rsidRPr="00C40B2F">
        <w:t>ейности, допустими за финансиране:</w:t>
      </w:r>
      <w:bookmarkEnd w:id="12"/>
    </w:p>
    <w:p w:rsidR="00C6066C" w:rsidRPr="00C40B2F" w:rsidRDefault="00C6066C" w:rsidP="0053478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r w:rsidRPr="00C40B2F">
        <w:rPr>
          <w:rFonts w:eastAsia="Times New Roman" w:cs="Times New Roman"/>
          <w:sz w:val="24"/>
          <w:szCs w:val="24"/>
          <w:lang w:eastAsia="bg-BG"/>
        </w:rPr>
        <w:t xml:space="preserve">Проектното предложение по настоящата процедура </w:t>
      </w:r>
      <w:r w:rsidR="001D6727" w:rsidRPr="00C40B2F">
        <w:rPr>
          <w:rFonts w:eastAsia="Times New Roman" w:cs="Times New Roman"/>
          <w:sz w:val="24"/>
          <w:szCs w:val="24"/>
          <w:lang w:eastAsia="bg-BG"/>
        </w:rPr>
        <w:t xml:space="preserve">и включените в него дейности </w:t>
      </w:r>
      <w:r w:rsidRPr="00C40B2F">
        <w:rPr>
          <w:rFonts w:eastAsia="Times New Roman" w:cs="Times New Roman"/>
          <w:sz w:val="24"/>
          <w:szCs w:val="24"/>
          <w:lang w:eastAsia="bg-BG"/>
        </w:rPr>
        <w:t>следва да съответства</w:t>
      </w:r>
      <w:r w:rsidR="001D6727" w:rsidRPr="00C40B2F">
        <w:rPr>
          <w:rFonts w:eastAsia="Times New Roman" w:cs="Times New Roman"/>
          <w:sz w:val="24"/>
          <w:szCs w:val="24"/>
          <w:lang w:eastAsia="bg-BG"/>
        </w:rPr>
        <w:t>т</w:t>
      </w:r>
      <w:r w:rsidRPr="00C40B2F">
        <w:rPr>
          <w:rFonts w:eastAsia="Times New Roman" w:cs="Times New Roman"/>
          <w:sz w:val="24"/>
          <w:szCs w:val="24"/>
          <w:lang w:eastAsia="bg-BG"/>
        </w:rPr>
        <w:t xml:space="preserve"> на принципа на ефективност и ефикасност, като </w:t>
      </w:r>
      <w:r w:rsidR="001D6727" w:rsidRPr="00C40B2F">
        <w:rPr>
          <w:rFonts w:eastAsia="Times New Roman" w:cs="Times New Roman"/>
          <w:sz w:val="24"/>
          <w:szCs w:val="24"/>
          <w:lang w:eastAsia="bg-BG"/>
        </w:rPr>
        <w:t xml:space="preserve">предвидените </w:t>
      </w:r>
      <w:r w:rsidRPr="00C40B2F">
        <w:rPr>
          <w:rFonts w:eastAsia="Times New Roman" w:cs="Times New Roman"/>
          <w:sz w:val="24"/>
          <w:szCs w:val="24"/>
          <w:lang w:eastAsia="bg-BG"/>
        </w:rPr>
        <w:t xml:space="preserve">дейности </w:t>
      </w:r>
      <w:r w:rsidR="00FB18CE" w:rsidRPr="00C40B2F">
        <w:rPr>
          <w:rFonts w:eastAsia="Times New Roman" w:cs="Times New Roman"/>
          <w:sz w:val="24"/>
          <w:szCs w:val="24"/>
          <w:lang w:eastAsia="bg-BG"/>
        </w:rPr>
        <w:t xml:space="preserve">трябва </w:t>
      </w:r>
      <w:r w:rsidRPr="00C40B2F">
        <w:rPr>
          <w:rFonts w:eastAsia="Times New Roman" w:cs="Times New Roman"/>
          <w:sz w:val="24"/>
          <w:szCs w:val="24"/>
          <w:lang w:eastAsia="bg-BG"/>
        </w:rPr>
        <w:t xml:space="preserve">да </w:t>
      </w:r>
      <w:r w:rsidR="00B55653" w:rsidRPr="00C40B2F">
        <w:rPr>
          <w:rFonts w:eastAsia="Times New Roman" w:cs="Times New Roman"/>
          <w:sz w:val="24"/>
          <w:szCs w:val="24"/>
          <w:lang w:eastAsia="bg-BG"/>
        </w:rPr>
        <w:t xml:space="preserve">гарантират постигането </w:t>
      </w:r>
      <w:r w:rsidRPr="00C40B2F">
        <w:rPr>
          <w:rFonts w:eastAsia="Times New Roman" w:cs="Times New Roman"/>
          <w:sz w:val="24"/>
          <w:szCs w:val="24"/>
          <w:lang w:eastAsia="bg-BG"/>
        </w:rPr>
        <w:t xml:space="preserve">на целите на Оперативна програма „Иновации и конкурентоспособност“ 2014-2020 г. и специфичната цел и резултати на Инвестиционен приоритет </w:t>
      </w:r>
      <w:r w:rsidR="00B654A4" w:rsidRPr="00C40B2F">
        <w:rPr>
          <w:rFonts w:eastAsia="Times New Roman" w:cs="Times New Roman"/>
          <w:sz w:val="24"/>
          <w:szCs w:val="24"/>
          <w:lang w:eastAsia="bg-BG"/>
        </w:rPr>
        <w:t>1</w:t>
      </w:r>
      <w:r w:rsidRPr="00C40B2F">
        <w:rPr>
          <w:rFonts w:eastAsia="Times New Roman" w:cs="Times New Roman"/>
          <w:sz w:val="24"/>
          <w:szCs w:val="24"/>
          <w:lang w:eastAsia="bg-BG"/>
        </w:rPr>
        <w:t>.</w:t>
      </w:r>
      <w:r w:rsidR="00B654A4" w:rsidRPr="00C40B2F">
        <w:rPr>
          <w:rFonts w:eastAsia="Times New Roman" w:cs="Times New Roman"/>
          <w:sz w:val="24"/>
          <w:szCs w:val="24"/>
          <w:lang w:eastAsia="bg-BG"/>
        </w:rPr>
        <w:t>1</w:t>
      </w:r>
      <w:r w:rsidRPr="00C40B2F">
        <w:rPr>
          <w:rFonts w:eastAsia="Times New Roman" w:cs="Times New Roman"/>
          <w:sz w:val="24"/>
          <w:szCs w:val="24"/>
          <w:lang w:eastAsia="bg-BG"/>
        </w:rPr>
        <w:t xml:space="preserve"> </w:t>
      </w:r>
      <w:r w:rsidR="00B8297B" w:rsidRPr="00C40B2F">
        <w:rPr>
          <w:rFonts w:eastAsia="Times New Roman" w:cs="Times New Roman"/>
          <w:sz w:val="24"/>
          <w:szCs w:val="24"/>
          <w:lang w:eastAsia="bg-BG"/>
        </w:rPr>
        <w:t>„</w:t>
      </w:r>
      <w:r w:rsidR="00B654A4" w:rsidRPr="00C40B2F">
        <w:rPr>
          <w:sz w:val="24"/>
          <w:szCs w:val="24"/>
        </w:rPr>
        <w:t>Технологично развитие и иновации</w:t>
      </w:r>
      <w:r w:rsidR="00B8297B" w:rsidRPr="00C40B2F">
        <w:rPr>
          <w:sz w:val="24"/>
          <w:szCs w:val="24"/>
        </w:rPr>
        <w:t xml:space="preserve">“ от Приоритетна ос </w:t>
      </w:r>
      <w:r w:rsidR="00B654A4" w:rsidRPr="00C40B2F">
        <w:rPr>
          <w:sz w:val="24"/>
          <w:szCs w:val="24"/>
        </w:rPr>
        <w:t>1</w:t>
      </w:r>
      <w:r w:rsidR="00B8297B" w:rsidRPr="00C40B2F">
        <w:rPr>
          <w:sz w:val="24"/>
          <w:szCs w:val="24"/>
        </w:rPr>
        <w:t xml:space="preserve"> „</w:t>
      </w:r>
      <w:r w:rsidR="00B654A4" w:rsidRPr="00C40B2F">
        <w:rPr>
          <w:sz w:val="24"/>
          <w:szCs w:val="24"/>
        </w:rPr>
        <w:t>Технологично развитие и иновации</w:t>
      </w:r>
      <w:r w:rsidR="00B8297B" w:rsidRPr="00C40B2F">
        <w:rPr>
          <w:sz w:val="24"/>
          <w:szCs w:val="24"/>
        </w:rPr>
        <w:t xml:space="preserve">“, </w:t>
      </w:r>
      <w:r w:rsidRPr="00C40B2F">
        <w:rPr>
          <w:rFonts w:eastAsia="Times New Roman" w:cs="Times New Roman"/>
          <w:sz w:val="24"/>
          <w:szCs w:val="24"/>
          <w:lang w:eastAsia="bg-BG"/>
        </w:rPr>
        <w:t>при най-адекватното съотношение между очакваните разходи и ползи.</w:t>
      </w:r>
    </w:p>
    <w:p w:rsidR="004C4ACA" w:rsidRPr="00C40B2F" w:rsidRDefault="004C4ACA" w:rsidP="0053478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Verdana" w:hAnsi="Verdana"/>
          <w:sz w:val="20"/>
          <w:szCs w:val="20"/>
        </w:rPr>
      </w:pPr>
    </w:p>
    <w:p w:rsidR="00131D95" w:rsidRPr="00C40B2F" w:rsidRDefault="00131D95" w:rsidP="0053478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40B2F">
        <w:rPr>
          <w:sz w:val="24"/>
          <w:szCs w:val="24"/>
        </w:rPr>
        <w:t xml:space="preserve">С цел </w:t>
      </w:r>
      <w:r w:rsidR="007936C1" w:rsidRPr="00C40B2F">
        <w:rPr>
          <w:sz w:val="24"/>
          <w:szCs w:val="24"/>
        </w:rPr>
        <w:t>осигуряване на цялостн</w:t>
      </w:r>
      <w:r w:rsidR="004A2D56" w:rsidRPr="00C40B2F">
        <w:rPr>
          <w:sz w:val="24"/>
          <w:szCs w:val="24"/>
        </w:rPr>
        <w:t xml:space="preserve">а визия </w:t>
      </w:r>
      <w:r w:rsidR="007936C1" w:rsidRPr="00C40B2F">
        <w:rPr>
          <w:sz w:val="24"/>
          <w:szCs w:val="24"/>
        </w:rPr>
        <w:t xml:space="preserve">и всеобхватност </w:t>
      </w:r>
      <w:r w:rsidR="004A2D56" w:rsidRPr="00C40B2F">
        <w:rPr>
          <w:sz w:val="24"/>
          <w:szCs w:val="24"/>
        </w:rPr>
        <w:t xml:space="preserve">на подхода по отношение на предоставяната подкрепа </w:t>
      </w:r>
      <w:r w:rsidR="007362EA" w:rsidRPr="00C40B2F">
        <w:rPr>
          <w:sz w:val="24"/>
          <w:szCs w:val="24"/>
        </w:rPr>
        <w:t xml:space="preserve">за </w:t>
      </w:r>
      <w:r w:rsidR="004A2D56" w:rsidRPr="00C40B2F">
        <w:rPr>
          <w:sz w:val="24"/>
          <w:szCs w:val="24"/>
        </w:rPr>
        <w:t xml:space="preserve">дейности </w:t>
      </w:r>
      <w:r w:rsidR="007362EA" w:rsidRPr="00C40B2F">
        <w:rPr>
          <w:sz w:val="24"/>
          <w:szCs w:val="24"/>
        </w:rPr>
        <w:t xml:space="preserve">по линия на ОПИК </w:t>
      </w:r>
      <w:r w:rsidRPr="00C40B2F">
        <w:rPr>
          <w:sz w:val="24"/>
          <w:szCs w:val="24"/>
        </w:rPr>
        <w:t>за програм</w:t>
      </w:r>
      <w:r w:rsidR="007362EA" w:rsidRPr="00C40B2F">
        <w:rPr>
          <w:sz w:val="24"/>
          <w:szCs w:val="24"/>
        </w:rPr>
        <w:t xml:space="preserve">ния </w:t>
      </w:r>
      <w:r w:rsidRPr="00C40B2F">
        <w:rPr>
          <w:sz w:val="24"/>
          <w:szCs w:val="24"/>
        </w:rPr>
        <w:t>период 2014-2020</w:t>
      </w:r>
      <w:r w:rsidR="007362EA" w:rsidRPr="00C40B2F">
        <w:rPr>
          <w:sz w:val="24"/>
          <w:szCs w:val="24"/>
        </w:rPr>
        <w:t xml:space="preserve"> г., както </w:t>
      </w:r>
      <w:r w:rsidRPr="00C40B2F">
        <w:rPr>
          <w:sz w:val="24"/>
          <w:szCs w:val="24"/>
        </w:rPr>
        <w:t>и очаква</w:t>
      </w:r>
      <w:r w:rsidR="007362EA" w:rsidRPr="00C40B2F">
        <w:rPr>
          <w:sz w:val="24"/>
          <w:szCs w:val="24"/>
        </w:rPr>
        <w:t>ните резултати</w:t>
      </w:r>
      <w:r w:rsidR="007B7B2D" w:rsidRPr="00C40B2F">
        <w:rPr>
          <w:sz w:val="24"/>
          <w:szCs w:val="24"/>
        </w:rPr>
        <w:t xml:space="preserve"> от изпълнението на настоящата процедура</w:t>
      </w:r>
      <w:r w:rsidR="00CA2657" w:rsidRPr="00C40B2F">
        <w:rPr>
          <w:sz w:val="24"/>
          <w:szCs w:val="24"/>
        </w:rPr>
        <w:t>,</w:t>
      </w:r>
      <w:r w:rsidR="007362EA" w:rsidRPr="00C40B2F">
        <w:rPr>
          <w:sz w:val="24"/>
          <w:szCs w:val="24"/>
        </w:rPr>
        <w:t xml:space="preserve"> </w:t>
      </w:r>
      <w:r w:rsidR="00CA2657" w:rsidRPr="00C40B2F">
        <w:rPr>
          <w:sz w:val="24"/>
          <w:szCs w:val="24"/>
        </w:rPr>
        <w:t xml:space="preserve">при кандидатстване </w:t>
      </w:r>
      <w:r w:rsidR="007362EA" w:rsidRPr="00C40B2F">
        <w:rPr>
          <w:sz w:val="24"/>
          <w:szCs w:val="24"/>
        </w:rPr>
        <w:t>конкр</w:t>
      </w:r>
      <w:r w:rsidRPr="00C40B2F">
        <w:rPr>
          <w:sz w:val="24"/>
          <w:szCs w:val="24"/>
        </w:rPr>
        <w:t xml:space="preserve">етният бенефициент следва да представи </w:t>
      </w:r>
      <w:r w:rsidR="00CA2657" w:rsidRPr="00C40B2F">
        <w:rPr>
          <w:sz w:val="24"/>
          <w:szCs w:val="24"/>
        </w:rPr>
        <w:t xml:space="preserve">попълнена </w:t>
      </w:r>
      <w:r w:rsidR="0033005B" w:rsidRPr="00C40B2F">
        <w:rPr>
          <w:sz w:val="24"/>
          <w:szCs w:val="24"/>
        </w:rPr>
        <w:t>С</w:t>
      </w:r>
      <w:r w:rsidRPr="00C40B2F">
        <w:rPr>
          <w:sz w:val="24"/>
          <w:szCs w:val="24"/>
        </w:rPr>
        <w:t>редносрочна рамкова програма</w:t>
      </w:r>
      <w:r w:rsidR="00D7168F" w:rsidRPr="00C40B2F">
        <w:rPr>
          <w:sz w:val="24"/>
          <w:szCs w:val="24"/>
        </w:rPr>
        <w:t xml:space="preserve"> </w:t>
      </w:r>
      <w:r w:rsidR="00D6243D" w:rsidRPr="00C40B2F">
        <w:rPr>
          <w:sz w:val="24"/>
          <w:szCs w:val="24"/>
        </w:rPr>
        <w:t xml:space="preserve">по образец </w:t>
      </w:r>
      <w:r w:rsidR="00B52214" w:rsidRPr="00C40B2F">
        <w:rPr>
          <w:sz w:val="24"/>
          <w:szCs w:val="24"/>
        </w:rPr>
        <w:t xml:space="preserve">- </w:t>
      </w:r>
      <w:r w:rsidR="00D7168F" w:rsidRPr="00C40B2F">
        <w:rPr>
          <w:b/>
          <w:sz w:val="24"/>
          <w:szCs w:val="24"/>
        </w:rPr>
        <w:t xml:space="preserve">Приложение </w:t>
      </w:r>
      <w:r w:rsidR="000E7AAF" w:rsidRPr="00C40B2F">
        <w:rPr>
          <w:b/>
          <w:sz w:val="24"/>
          <w:szCs w:val="24"/>
        </w:rPr>
        <w:t>Ж</w:t>
      </w:r>
      <w:r w:rsidRPr="00C40B2F">
        <w:rPr>
          <w:sz w:val="24"/>
          <w:szCs w:val="24"/>
        </w:rPr>
        <w:t xml:space="preserve"> </w:t>
      </w:r>
      <w:r w:rsidR="007B7B2D" w:rsidRPr="00C40B2F">
        <w:rPr>
          <w:sz w:val="24"/>
          <w:szCs w:val="24"/>
        </w:rPr>
        <w:t xml:space="preserve">към настоящите Условия за кандидатстване. </w:t>
      </w:r>
      <w:r w:rsidRPr="00C40B2F">
        <w:rPr>
          <w:sz w:val="24"/>
          <w:szCs w:val="24"/>
        </w:rPr>
        <w:t xml:space="preserve"> </w:t>
      </w:r>
    </w:p>
    <w:p w:rsidR="008716C8" w:rsidRPr="00C40B2F" w:rsidRDefault="008716C8" w:rsidP="0053478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645DAD" w:rsidRPr="00C40B2F" w:rsidRDefault="00645DAD" w:rsidP="0053478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40B2F">
        <w:rPr>
          <w:sz w:val="24"/>
          <w:szCs w:val="24"/>
        </w:rPr>
        <w:t>Допустими</w:t>
      </w:r>
      <w:r w:rsidR="005C3567" w:rsidRPr="00C40B2F">
        <w:rPr>
          <w:sz w:val="24"/>
          <w:szCs w:val="24"/>
        </w:rPr>
        <w:t>те</w:t>
      </w:r>
      <w:r w:rsidRPr="00C40B2F">
        <w:rPr>
          <w:sz w:val="24"/>
          <w:szCs w:val="24"/>
        </w:rPr>
        <w:t xml:space="preserve"> по настоящата процедура дейности</w:t>
      </w:r>
      <w:r w:rsidR="005C3567" w:rsidRPr="00C40B2F">
        <w:rPr>
          <w:sz w:val="24"/>
          <w:szCs w:val="24"/>
        </w:rPr>
        <w:t xml:space="preserve"> следва да </w:t>
      </w:r>
      <w:r w:rsidRPr="00C40B2F">
        <w:rPr>
          <w:sz w:val="24"/>
          <w:szCs w:val="24"/>
        </w:rPr>
        <w:t xml:space="preserve">имат за свой основен предмет постигането на целта на </w:t>
      </w:r>
      <w:r w:rsidR="008716C8" w:rsidRPr="00C40B2F">
        <w:rPr>
          <w:sz w:val="24"/>
          <w:szCs w:val="24"/>
        </w:rPr>
        <w:t xml:space="preserve">инвестиционния приоритет </w:t>
      </w:r>
      <w:r w:rsidRPr="00C40B2F">
        <w:rPr>
          <w:sz w:val="24"/>
          <w:szCs w:val="24"/>
        </w:rPr>
        <w:t>и настоящата процедура чрез директно предоставяне</w:t>
      </w:r>
      <w:r w:rsidR="005C3567" w:rsidRPr="00C40B2F">
        <w:rPr>
          <w:sz w:val="24"/>
          <w:szCs w:val="24"/>
        </w:rPr>
        <w:t>, а именно</w:t>
      </w:r>
      <w:r w:rsidR="00757A00" w:rsidRPr="00C40B2F">
        <w:rPr>
          <w:sz w:val="24"/>
          <w:szCs w:val="24"/>
        </w:rPr>
        <w:t xml:space="preserve">: </w:t>
      </w:r>
      <w:r w:rsidR="00B654A4" w:rsidRPr="00C40B2F">
        <w:rPr>
          <w:sz w:val="24"/>
          <w:szCs w:val="24"/>
        </w:rPr>
        <w:t>да се повиши качеството, ефективността и ефикасността на предлаганите от Патентно ведомство услуги за бизнеса, свързани със закрилата на обектите на индустриална собственост.</w:t>
      </w:r>
      <w:r w:rsidR="0074382A" w:rsidRPr="00C40B2F">
        <w:rPr>
          <w:sz w:val="24"/>
          <w:szCs w:val="24"/>
        </w:rPr>
        <w:t>.</w:t>
      </w:r>
      <w:r w:rsidR="0028156C" w:rsidRPr="00C40B2F">
        <w:rPr>
          <w:sz w:val="24"/>
          <w:szCs w:val="24"/>
        </w:rPr>
        <w:t xml:space="preserve"> </w:t>
      </w:r>
    </w:p>
    <w:p w:rsidR="00D6243D" w:rsidRPr="00C40B2F" w:rsidRDefault="00D6243D" w:rsidP="0053478A">
      <w:pPr>
        <w:pStyle w:val="ListParagraph"/>
        <w:pBdr>
          <w:top w:val="single" w:sz="4" w:space="1" w:color="auto"/>
          <w:left w:val="single" w:sz="4" w:space="4" w:color="auto"/>
          <w:bottom w:val="single" w:sz="4" w:space="1" w:color="auto"/>
          <w:right w:val="single" w:sz="4" w:space="4" w:color="auto"/>
        </w:pBdr>
        <w:ind w:left="0"/>
        <w:jc w:val="both"/>
        <w:rPr>
          <w:rFonts w:eastAsia="Times New Roman" w:cs="Times New Roman"/>
          <w:b/>
          <w:sz w:val="24"/>
          <w:szCs w:val="24"/>
          <w:lang w:eastAsia="bg-BG"/>
        </w:rPr>
      </w:pPr>
    </w:p>
    <w:p w:rsidR="00D47570" w:rsidRPr="00C40B2F" w:rsidRDefault="00D47570" w:rsidP="0053478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40B2F">
        <w:rPr>
          <w:sz w:val="24"/>
          <w:szCs w:val="24"/>
        </w:rPr>
        <w:t xml:space="preserve">Допустими за финансиране по настоящата процедура са следните видове дейности: </w:t>
      </w:r>
    </w:p>
    <w:p w:rsidR="00576582" w:rsidRPr="00C40B2F" w:rsidRDefault="00576582" w:rsidP="0053478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14313D" w:rsidRPr="00C40B2F" w:rsidRDefault="0014313D" w:rsidP="0053478A">
      <w:pPr>
        <w:pStyle w:val="ListParagraph"/>
        <w:pBdr>
          <w:top w:val="single" w:sz="4" w:space="1" w:color="auto"/>
          <w:left w:val="single" w:sz="4" w:space="4" w:color="auto"/>
          <w:bottom w:val="single" w:sz="4" w:space="1" w:color="auto"/>
          <w:right w:val="single" w:sz="4" w:space="4" w:color="auto"/>
        </w:pBdr>
        <w:spacing w:after="360"/>
        <w:ind w:left="0"/>
        <w:rPr>
          <w:sz w:val="24"/>
          <w:szCs w:val="24"/>
        </w:rPr>
      </w:pPr>
      <w:r w:rsidRPr="00C40B2F">
        <w:rPr>
          <w:sz w:val="24"/>
          <w:szCs w:val="24"/>
        </w:rPr>
        <w:t>1.</w:t>
      </w:r>
      <w:r w:rsidR="00F113C9" w:rsidRPr="00C40B2F">
        <w:rPr>
          <w:sz w:val="24"/>
          <w:szCs w:val="24"/>
        </w:rPr>
        <w:tab/>
      </w:r>
      <w:r w:rsidRPr="00C40B2F">
        <w:rPr>
          <w:sz w:val="24"/>
          <w:szCs w:val="24"/>
        </w:rPr>
        <w:t xml:space="preserve"> Надграждане и интеграция на информационно-технологичната среда на Патентно ведомство с цел ефективното управление на услугите, предоставени на бизнеса чрез: анализ, реинженеринг на работни процеси, проектиране и софтуерна разработка на единна платформа за документооборот и управление на работните процеси, както и за по-нататъшно развитие на електронните услуги и регистри на всички обекти на индустриалната собственост </w:t>
      </w:r>
    </w:p>
    <w:p w:rsidR="0014313D" w:rsidRPr="00C40B2F" w:rsidRDefault="0014313D" w:rsidP="0053478A">
      <w:pPr>
        <w:pStyle w:val="ListParagraph"/>
        <w:pBdr>
          <w:top w:val="single" w:sz="4" w:space="1" w:color="auto"/>
          <w:left w:val="single" w:sz="4" w:space="4" w:color="auto"/>
          <w:bottom w:val="single" w:sz="4" w:space="1" w:color="auto"/>
          <w:right w:val="single" w:sz="4" w:space="4" w:color="auto"/>
        </w:pBdr>
        <w:spacing w:after="360"/>
        <w:ind w:left="0"/>
        <w:rPr>
          <w:sz w:val="24"/>
          <w:szCs w:val="24"/>
        </w:rPr>
      </w:pPr>
      <w:r w:rsidRPr="00C40B2F">
        <w:rPr>
          <w:sz w:val="24"/>
          <w:szCs w:val="24"/>
        </w:rPr>
        <w:t xml:space="preserve">2. </w:t>
      </w:r>
      <w:r w:rsidR="00F113C9" w:rsidRPr="00C40B2F">
        <w:rPr>
          <w:sz w:val="24"/>
          <w:szCs w:val="24"/>
        </w:rPr>
        <w:tab/>
      </w:r>
      <w:r w:rsidRPr="00C40B2F">
        <w:rPr>
          <w:sz w:val="24"/>
          <w:szCs w:val="24"/>
        </w:rPr>
        <w:t>Извършване на ограничени строително-монтажни работи (СМР)</w:t>
      </w:r>
      <w:r w:rsidRPr="00C40B2F">
        <w:rPr>
          <w:sz w:val="24"/>
          <w:szCs w:val="24"/>
          <w:vertAlign w:val="superscript"/>
        </w:rPr>
        <w:footnoteReference w:id="1"/>
      </w:r>
      <w:r w:rsidRPr="00C40B2F">
        <w:rPr>
          <w:sz w:val="24"/>
          <w:szCs w:val="24"/>
        </w:rPr>
        <w:t xml:space="preserve"> за подобряване състоянието на сградния фонд на Патентно ведомство, с цел създаването на по-добри условия за потребителите на услугите му</w:t>
      </w:r>
    </w:p>
    <w:p w:rsidR="0014313D" w:rsidRPr="00C40B2F" w:rsidRDefault="0014313D" w:rsidP="0053478A">
      <w:pPr>
        <w:pStyle w:val="ListParagraph"/>
        <w:pBdr>
          <w:top w:val="single" w:sz="4" w:space="1" w:color="auto"/>
          <w:left w:val="single" w:sz="4" w:space="4" w:color="auto"/>
          <w:bottom w:val="single" w:sz="4" w:space="1" w:color="auto"/>
          <w:right w:val="single" w:sz="4" w:space="4" w:color="auto"/>
        </w:pBdr>
        <w:spacing w:after="360"/>
        <w:ind w:left="0"/>
        <w:rPr>
          <w:sz w:val="24"/>
          <w:szCs w:val="24"/>
        </w:rPr>
      </w:pPr>
      <w:r w:rsidRPr="00C40B2F">
        <w:rPr>
          <w:iCs/>
          <w:sz w:val="24"/>
          <w:szCs w:val="24"/>
        </w:rPr>
        <w:lastRenderedPageBreak/>
        <w:t xml:space="preserve">3. </w:t>
      </w:r>
      <w:r w:rsidR="00F113C9" w:rsidRPr="00C40B2F">
        <w:rPr>
          <w:iCs/>
          <w:sz w:val="24"/>
          <w:szCs w:val="24"/>
        </w:rPr>
        <w:tab/>
      </w:r>
      <w:r w:rsidRPr="00C40B2F">
        <w:rPr>
          <w:iCs/>
          <w:sz w:val="24"/>
          <w:szCs w:val="24"/>
        </w:rPr>
        <w:t xml:space="preserve">Създаване на условия за ускоряване експертизата на заявки за патенти чрез възлагане на патентни проучвания към </w:t>
      </w:r>
      <w:r w:rsidR="00252486" w:rsidRPr="00C40B2F">
        <w:rPr>
          <w:iCs/>
          <w:sz w:val="24"/>
          <w:szCs w:val="24"/>
        </w:rPr>
        <w:t xml:space="preserve">патентни </w:t>
      </w:r>
      <w:r w:rsidRPr="00C40B2F">
        <w:rPr>
          <w:iCs/>
          <w:sz w:val="24"/>
          <w:szCs w:val="24"/>
        </w:rPr>
        <w:t>ведомства по индустриална собственост в рамките на Съюза</w:t>
      </w:r>
    </w:p>
    <w:p w:rsidR="0014313D" w:rsidRPr="00C40B2F" w:rsidRDefault="0014313D" w:rsidP="0053478A">
      <w:pPr>
        <w:pStyle w:val="ListParagraph"/>
        <w:pBdr>
          <w:top w:val="single" w:sz="4" w:space="1" w:color="auto"/>
          <w:left w:val="single" w:sz="4" w:space="4" w:color="auto"/>
          <w:bottom w:val="single" w:sz="4" w:space="1" w:color="auto"/>
          <w:right w:val="single" w:sz="4" w:space="4" w:color="auto"/>
        </w:pBdr>
        <w:spacing w:after="360"/>
        <w:ind w:left="0"/>
        <w:rPr>
          <w:sz w:val="24"/>
          <w:szCs w:val="24"/>
        </w:rPr>
      </w:pPr>
      <w:r w:rsidRPr="00C40B2F">
        <w:rPr>
          <w:sz w:val="24"/>
          <w:szCs w:val="24"/>
        </w:rPr>
        <w:t xml:space="preserve">4. </w:t>
      </w:r>
      <w:r w:rsidR="00F113C9" w:rsidRPr="00C40B2F">
        <w:rPr>
          <w:sz w:val="24"/>
          <w:szCs w:val="24"/>
        </w:rPr>
        <w:tab/>
      </w:r>
      <w:r w:rsidRPr="00C40B2F">
        <w:rPr>
          <w:sz w:val="24"/>
          <w:szCs w:val="24"/>
        </w:rPr>
        <w:t xml:space="preserve">Обновяване и модернизиране на уеб сайта на </w:t>
      </w:r>
      <w:r w:rsidR="00252486" w:rsidRPr="00C40B2F">
        <w:rPr>
          <w:sz w:val="24"/>
          <w:szCs w:val="24"/>
        </w:rPr>
        <w:t xml:space="preserve">Патентното </w:t>
      </w:r>
      <w:r w:rsidRPr="00C40B2F">
        <w:rPr>
          <w:sz w:val="24"/>
          <w:szCs w:val="24"/>
        </w:rPr>
        <w:t>ведомство чрез използване на нова платформа, позволяваща по-бързо и добро структуриране на търсената от бизнеса информация</w:t>
      </w:r>
    </w:p>
    <w:p w:rsidR="0014313D" w:rsidRPr="00C40B2F" w:rsidRDefault="0014313D" w:rsidP="0053478A">
      <w:pPr>
        <w:pStyle w:val="ListParagraph"/>
        <w:pBdr>
          <w:top w:val="single" w:sz="4" w:space="1" w:color="auto"/>
          <w:left w:val="single" w:sz="4" w:space="4" w:color="auto"/>
          <w:bottom w:val="single" w:sz="4" w:space="1" w:color="auto"/>
          <w:right w:val="single" w:sz="4" w:space="4" w:color="auto"/>
        </w:pBdr>
        <w:spacing w:after="360"/>
        <w:ind w:left="0"/>
        <w:rPr>
          <w:sz w:val="24"/>
          <w:szCs w:val="24"/>
        </w:rPr>
      </w:pPr>
      <w:r w:rsidRPr="00C40B2F">
        <w:rPr>
          <w:sz w:val="24"/>
          <w:szCs w:val="24"/>
        </w:rPr>
        <w:t xml:space="preserve">5. </w:t>
      </w:r>
      <w:r w:rsidR="00F113C9" w:rsidRPr="00C40B2F">
        <w:rPr>
          <w:sz w:val="24"/>
          <w:szCs w:val="24"/>
        </w:rPr>
        <w:tab/>
      </w:r>
      <w:r w:rsidRPr="00C40B2F">
        <w:rPr>
          <w:sz w:val="24"/>
          <w:szCs w:val="24"/>
        </w:rPr>
        <w:t xml:space="preserve">Популяризиране на системата за закрила на обектите на индустриална собственост, чрез повишаване знанията и информираността сред бизнеса </w:t>
      </w:r>
    </w:p>
    <w:p w:rsidR="0014313D" w:rsidRPr="00C40B2F" w:rsidRDefault="0014313D" w:rsidP="0053478A">
      <w:pPr>
        <w:pStyle w:val="ListParagraph"/>
        <w:pBdr>
          <w:top w:val="single" w:sz="4" w:space="1" w:color="auto"/>
          <w:left w:val="single" w:sz="4" w:space="4" w:color="auto"/>
          <w:bottom w:val="single" w:sz="4" w:space="1" w:color="auto"/>
          <w:right w:val="single" w:sz="4" w:space="4" w:color="auto"/>
        </w:pBdr>
        <w:spacing w:after="360"/>
        <w:ind w:left="0"/>
        <w:rPr>
          <w:sz w:val="24"/>
          <w:szCs w:val="24"/>
        </w:rPr>
      </w:pPr>
      <w:r w:rsidRPr="00C40B2F">
        <w:rPr>
          <w:sz w:val="24"/>
          <w:szCs w:val="24"/>
        </w:rPr>
        <w:t xml:space="preserve">6. </w:t>
      </w:r>
      <w:r w:rsidR="00F113C9" w:rsidRPr="00C40B2F">
        <w:rPr>
          <w:sz w:val="24"/>
          <w:szCs w:val="24"/>
        </w:rPr>
        <w:tab/>
      </w:r>
      <w:r w:rsidRPr="00C40B2F">
        <w:rPr>
          <w:sz w:val="24"/>
          <w:szCs w:val="24"/>
        </w:rPr>
        <w:t>Подобряване качеството и ефективността на звеното, натоварено с контролни функции в Патентно ведомство чрез закупуване на 2 леки автомобила и 1 микробус за целите на проверките, свързани с административно-наказателната отговорност</w:t>
      </w:r>
    </w:p>
    <w:p w:rsidR="0014313D" w:rsidRPr="00C40B2F" w:rsidRDefault="0014313D" w:rsidP="0053478A">
      <w:pPr>
        <w:pStyle w:val="ListParagraph"/>
        <w:pBdr>
          <w:top w:val="single" w:sz="4" w:space="1" w:color="auto"/>
          <w:left w:val="single" w:sz="4" w:space="4" w:color="auto"/>
          <w:bottom w:val="single" w:sz="4" w:space="1" w:color="auto"/>
          <w:right w:val="single" w:sz="4" w:space="4" w:color="auto"/>
        </w:pBdr>
        <w:spacing w:after="360"/>
        <w:ind w:left="0"/>
        <w:rPr>
          <w:sz w:val="24"/>
          <w:szCs w:val="24"/>
        </w:rPr>
      </w:pPr>
      <w:r w:rsidRPr="00C40B2F">
        <w:rPr>
          <w:sz w:val="24"/>
          <w:szCs w:val="24"/>
        </w:rPr>
        <w:t>7.</w:t>
      </w:r>
      <w:r w:rsidR="00F113C9" w:rsidRPr="00C40B2F">
        <w:rPr>
          <w:sz w:val="24"/>
          <w:szCs w:val="24"/>
        </w:rPr>
        <w:tab/>
      </w:r>
      <w:r w:rsidRPr="00C40B2F">
        <w:rPr>
          <w:sz w:val="24"/>
          <w:szCs w:val="24"/>
        </w:rPr>
        <w:t xml:space="preserve"> Изготвяне на анализи и проучвания, които да подпомогнат в максимална степен представителите на бизнеса при заявяването, регистрирането и поддържането на права върху обектите на индустриална собственост:</w:t>
      </w:r>
    </w:p>
    <w:p w:rsidR="0014313D" w:rsidRPr="00C40B2F" w:rsidRDefault="00F113C9" w:rsidP="0053478A">
      <w:pPr>
        <w:pStyle w:val="ListParagraph"/>
        <w:pBdr>
          <w:top w:val="single" w:sz="4" w:space="1" w:color="auto"/>
          <w:left w:val="single" w:sz="4" w:space="4" w:color="auto"/>
          <w:bottom w:val="single" w:sz="4" w:space="1" w:color="auto"/>
          <w:right w:val="single" w:sz="4" w:space="4" w:color="auto"/>
        </w:pBdr>
        <w:spacing w:after="360"/>
        <w:ind w:left="0"/>
        <w:rPr>
          <w:sz w:val="24"/>
          <w:szCs w:val="24"/>
        </w:rPr>
      </w:pPr>
      <w:r w:rsidRPr="00C40B2F">
        <w:rPr>
          <w:sz w:val="24"/>
          <w:szCs w:val="24"/>
        </w:rPr>
        <w:t>7.1</w:t>
      </w:r>
      <w:r w:rsidRPr="00C40B2F">
        <w:rPr>
          <w:sz w:val="24"/>
          <w:szCs w:val="24"/>
        </w:rPr>
        <w:tab/>
      </w:r>
      <w:r w:rsidR="0014313D" w:rsidRPr="00C40B2F">
        <w:rPr>
          <w:sz w:val="24"/>
          <w:szCs w:val="24"/>
        </w:rPr>
        <w:t xml:space="preserve"> Анализ относно добрите практики в други патентни ведомства в Европа</w:t>
      </w:r>
    </w:p>
    <w:p w:rsidR="0014313D" w:rsidRPr="00C40B2F" w:rsidRDefault="0014313D" w:rsidP="0053478A">
      <w:pPr>
        <w:pStyle w:val="ListParagraph"/>
        <w:pBdr>
          <w:top w:val="single" w:sz="4" w:space="1" w:color="auto"/>
          <w:left w:val="single" w:sz="4" w:space="4" w:color="auto"/>
          <w:bottom w:val="single" w:sz="4" w:space="1" w:color="auto"/>
          <w:right w:val="single" w:sz="4" w:space="4" w:color="auto"/>
        </w:pBdr>
        <w:spacing w:after="360"/>
        <w:ind w:left="0"/>
        <w:rPr>
          <w:sz w:val="24"/>
          <w:szCs w:val="24"/>
        </w:rPr>
      </w:pPr>
      <w:r w:rsidRPr="00C40B2F">
        <w:rPr>
          <w:sz w:val="24"/>
          <w:szCs w:val="24"/>
        </w:rPr>
        <w:t xml:space="preserve">7.2 </w:t>
      </w:r>
      <w:r w:rsidR="00F113C9" w:rsidRPr="00C40B2F">
        <w:rPr>
          <w:sz w:val="24"/>
          <w:szCs w:val="24"/>
        </w:rPr>
        <w:tab/>
      </w:r>
      <w:r w:rsidRPr="00C40B2F">
        <w:rPr>
          <w:sz w:val="24"/>
          <w:szCs w:val="24"/>
        </w:rPr>
        <w:t>Проучвания за степен на удовлетвореност на клиентите на Патентно ведомство по различни показатели</w:t>
      </w:r>
    </w:p>
    <w:p w:rsidR="0014313D" w:rsidRPr="00C40B2F" w:rsidRDefault="0014313D" w:rsidP="0053478A">
      <w:pPr>
        <w:pStyle w:val="ListParagraph"/>
        <w:pBdr>
          <w:top w:val="single" w:sz="4" w:space="1" w:color="auto"/>
          <w:left w:val="single" w:sz="4" w:space="4" w:color="auto"/>
          <w:bottom w:val="single" w:sz="4" w:space="1" w:color="auto"/>
          <w:right w:val="single" w:sz="4" w:space="4" w:color="auto"/>
        </w:pBdr>
        <w:spacing w:after="360"/>
        <w:ind w:left="0"/>
        <w:rPr>
          <w:sz w:val="24"/>
          <w:szCs w:val="24"/>
        </w:rPr>
      </w:pPr>
      <w:r w:rsidRPr="00C40B2F">
        <w:rPr>
          <w:sz w:val="24"/>
          <w:szCs w:val="24"/>
        </w:rPr>
        <w:t>7.3</w:t>
      </w:r>
      <w:r w:rsidR="00F113C9" w:rsidRPr="00C40B2F">
        <w:rPr>
          <w:sz w:val="24"/>
          <w:szCs w:val="24"/>
        </w:rPr>
        <w:tab/>
      </w:r>
      <w:r w:rsidRPr="00C40B2F">
        <w:rPr>
          <w:sz w:val="24"/>
          <w:szCs w:val="24"/>
        </w:rPr>
        <w:t xml:space="preserve"> Преглед и анализ на европейското законодателство и правоприлагане в областта на защитата на индустриалната собственост</w:t>
      </w:r>
    </w:p>
    <w:p w:rsidR="0014313D" w:rsidRPr="00C40B2F" w:rsidRDefault="0014313D" w:rsidP="0053478A">
      <w:pPr>
        <w:pStyle w:val="ListParagraph"/>
        <w:pBdr>
          <w:top w:val="single" w:sz="4" w:space="1" w:color="auto"/>
          <w:left w:val="single" w:sz="4" w:space="4" w:color="auto"/>
          <w:bottom w:val="single" w:sz="4" w:space="1" w:color="auto"/>
          <w:right w:val="single" w:sz="4" w:space="4" w:color="auto"/>
        </w:pBdr>
        <w:spacing w:after="360"/>
        <w:ind w:left="0"/>
        <w:rPr>
          <w:sz w:val="24"/>
          <w:szCs w:val="24"/>
        </w:rPr>
      </w:pPr>
      <w:r w:rsidRPr="00C40B2F">
        <w:rPr>
          <w:sz w:val="24"/>
          <w:szCs w:val="24"/>
        </w:rPr>
        <w:t>7.4</w:t>
      </w:r>
      <w:r w:rsidR="00F113C9" w:rsidRPr="00C40B2F">
        <w:rPr>
          <w:sz w:val="24"/>
          <w:szCs w:val="24"/>
        </w:rPr>
        <w:tab/>
      </w:r>
      <w:r w:rsidRPr="00C40B2F">
        <w:rPr>
          <w:sz w:val="24"/>
          <w:szCs w:val="24"/>
        </w:rPr>
        <w:t xml:space="preserve"> Проучване за отношението на потребителите към стоки и продукти, обозначени с търговски марки или географски означения</w:t>
      </w:r>
    </w:p>
    <w:p w:rsidR="001C497C" w:rsidRPr="00C40B2F" w:rsidRDefault="0014313D" w:rsidP="001C497C">
      <w:pPr>
        <w:pStyle w:val="ListParagraph"/>
        <w:pBdr>
          <w:top w:val="single" w:sz="4" w:space="1" w:color="auto"/>
          <w:left w:val="single" w:sz="4" w:space="4" w:color="auto"/>
          <w:bottom w:val="single" w:sz="4" w:space="1" w:color="auto"/>
          <w:right w:val="single" w:sz="4" w:space="4" w:color="auto"/>
        </w:pBdr>
        <w:spacing w:after="360"/>
        <w:ind w:left="0"/>
        <w:rPr>
          <w:b/>
          <w:sz w:val="24"/>
          <w:szCs w:val="24"/>
        </w:rPr>
      </w:pPr>
      <w:r w:rsidRPr="00C40B2F">
        <w:rPr>
          <w:sz w:val="24"/>
          <w:szCs w:val="24"/>
        </w:rPr>
        <w:t xml:space="preserve">8. </w:t>
      </w:r>
      <w:r w:rsidR="00F113C9" w:rsidRPr="00C40B2F">
        <w:rPr>
          <w:sz w:val="24"/>
          <w:szCs w:val="24"/>
        </w:rPr>
        <w:tab/>
      </w:r>
      <w:r w:rsidRPr="00C40B2F">
        <w:rPr>
          <w:sz w:val="24"/>
          <w:szCs w:val="24"/>
        </w:rPr>
        <w:t>Консултантски услуги за разработване на документация за предвидените по проекта/ите обществени поръчки и осъществяване на контрол по изпълнението на договорите за възлагане на обществени поръчки</w:t>
      </w:r>
      <w:r w:rsidR="001C497C" w:rsidRPr="00C40B2F">
        <w:rPr>
          <w:b/>
          <w:sz w:val="24"/>
          <w:szCs w:val="24"/>
        </w:rPr>
        <w:t xml:space="preserve"> </w:t>
      </w:r>
    </w:p>
    <w:p w:rsidR="001C497C" w:rsidRPr="00C40B2F" w:rsidRDefault="001C497C" w:rsidP="001C497C">
      <w:pPr>
        <w:pStyle w:val="ListParagraph"/>
        <w:pBdr>
          <w:top w:val="single" w:sz="4" w:space="1" w:color="auto"/>
          <w:left w:val="single" w:sz="4" w:space="4" w:color="auto"/>
          <w:bottom w:val="single" w:sz="4" w:space="1" w:color="auto"/>
          <w:right w:val="single" w:sz="4" w:space="4" w:color="auto"/>
        </w:pBdr>
        <w:spacing w:after="360"/>
        <w:ind w:left="0"/>
        <w:rPr>
          <w:b/>
          <w:sz w:val="24"/>
          <w:szCs w:val="24"/>
        </w:rPr>
      </w:pPr>
    </w:p>
    <w:p w:rsidR="001C497C" w:rsidRPr="00C40B2F" w:rsidRDefault="001C497C" w:rsidP="001C497C">
      <w:pPr>
        <w:pStyle w:val="ListParagraph"/>
        <w:pBdr>
          <w:top w:val="single" w:sz="4" w:space="1" w:color="auto"/>
          <w:left w:val="single" w:sz="4" w:space="4" w:color="auto"/>
          <w:bottom w:val="single" w:sz="4" w:space="1" w:color="auto"/>
          <w:right w:val="single" w:sz="4" w:space="4" w:color="auto"/>
        </w:pBdr>
        <w:spacing w:after="360"/>
        <w:ind w:left="0"/>
        <w:jc w:val="both"/>
        <w:rPr>
          <w:sz w:val="24"/>
          <w:szCs w:val="24"/>
        </w:rPr>
      </w:pPr>
      <w:r w:rsidRPr="00C40B2F">
        <w:rPr>
          <w:b/>
          <w:sz w:val="24"/>
          <w:szCs w:val="24"/>
          <w:u w:val="single"/>
        </w:rPr>
        <w:t>ВАЖНО!:</w:t>
      </w:r>
      <w:r w:rsidRPr="00C40B2F">
        <w:rPr>
          <w:b/>
          <w:sz w:val="24"/>
          <w:szCs w:val="24"/>
        </w:rPr>
        <w:t xml:space="preserve"> </w:t>
      </w:r>
      <w:r w:rsidRPr="00C40B2F">
        <w:rPr>
          <w:sz w:val="24"/>
          <w:szCs w:val="24"/>
        </w:rPr>
        <w:t xml:space="preserve">В горепосочените </w:t>
      </w:r>
      <w:r w:rsidR="006615BE" w:rsidRPr="00C40B2F">
        <w:rPr>
          <w:sz w:val="24"/>
          <w:szCs w:val="24"/>
        </w:rPr>
        <w:t xml:space="preserve">в т. 8 </w:t>
      </w:r>
      <w:r w:rsidRPr="00C40B2F">
        <w:rPr>
          <w:sz w:val="24"/>
          <w:szCs w:val="24"/>
        </w:rPr>
        <w:t xml:space="preserve">дейности се включват и консултантски услуги за разработване на технически задания, свързани с изграждането и/или надграждането на информационни системи и софтуерни компоненти, в т.ч. регистри, интернет страници, вътрешни информационни системи, потребителски интерфейси към съществуващи системи, системи за предоставяне на електронни административни услуги и за електронен документооборот съгласно изискванията на </w:t>
      </w:r>
      <w:r w:rsidRPr="00C40B2F">
        <w:rPr>
          <w:b/>
          <w:sz w:val="24"/>
          <w:szCs w:val="24"/>
        </w:rPr>
        <w:t>Наредбата за общите изисквания към информационните системи, регистрите и електронните административни услуги</w:t>
      </w:r>
      <w:r w:rsidRPr="00C40B2F">
        <w:rPr>
          <w:sz w:val="24"/>
          <w:szCs w:val="24"/>
        </w:rPr>
        <w:t>, които са направени преди сключване на административния договор за безвъзмездна финансова помощ.</w:t>
      </w:r>
    </w:p>
    <w:p w:rsidR="00F70B70" w:rsidRPr="00C40B2F" w:rsidRDefault="00EE31CB" w:rsidP="0053478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40B2F">
        <w:rPr>
          <w:sz w:val="24"/>
          <w:szCs w:val="24"/>
        </w:rPr>
        <w:t>9</w:t>
      </w:r>
      <w:r w:rsidR="000128B4" w:rsidRPr="00C40B2F">
        <w:rPr>
          <w:sz w:val="24"/>
          <w:szCs w:val="24"/>
        </w:rPr>
        <w:t>.</w:t>
      </w:r>
      <w:r w:rsidR="00F113C9" w:rsidRPr="00C40B2F">
        <w:rPr>
          <w:sz w:val="24"/>
          <w:szCs w:val="24"/>
        </w:rPr>
        <w:tab/>
      </w:r>
      <w:r w:rsidR="000128B4" w:rsidRPr="00C40B2F">
        <w:rPr>
          <w:sz w:val="24"/>
          <w:szCs w:val="24"/>
        </w:rPr>
        <w:t>Дейности, свързани с организация и управление на проекта.</w:t>
      </w:r>
    </w:p>
    <w:p w:rsidR="00576582" w:rsidRPr="00C40B2F" w:rsidRDefault="00576582" w:rsidP="0053478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0128B4" w:rsidRPr="00C40B2F" w:rsidRDefault="00F70B70" w:rsidP="0053478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r w:rsidRPr="00C40B2F">
        <w:rPr>
          <w:rFonts w:eastAsia="Times New Roman" w:cs="Times New Roman"/>
          <w:b/>
          <w:sz w:val="24"/>
          <w:szCs w:val="24"/>
          <w:u w:val="single"/>
          <w:lang w:eastAsia="bg-BG"/>
        </w:rPr>
        <w:t>ВАЖНО!:</w:t>
      </w:r>
      <w:r w:rsidRPr="00C40B2F">
        <w:rPr>
          <w:rFonts w:eastAsia="Times New Roman" w:cs="Times New Roman"/>
          <w:sz w:val="24"/>
          <w:szCs w:val="24"/>
          <w:lang w:eastAsia="bg-BG"/>
        </w:rPr>
        <w:t xml:space="preserve"> Кандидатът е пряко отговорен за управлението на проекта и осигуряването на качественото изпълнение на заложените в  него дейности. Предвид това, той следва да предвиди достатъчно добри механизми за вътрешна оценка и контрол, както и за мониторинг на напредъка и предприемането на корективни мерки при необходимост. Задълженията на лицата, пряко ангажирани с дейности по изпълнението и/или </w:t>
      </w:r>
      <w:r w:rsidRPr="00C40B2F">
        <w:rPr>
          <w:rFonts w:eastAsia="Times New Roman" w:cs="Times New Roman"/>
          <w:sz w:val="24"/>
          <w:szCs w:val="24"/>
          <w:lang w:eastAsia="bg-BG"/>
        </w:rPr>
        <w:lastRenderedPageBreak/>
        <w:t>управлението на проекта, трябва недвусмислено да произтичат от дейностите по проектното предложение. Изискванията, на които трябва да отговарят членовете на екипа за организация, управление и/или изпълнение на проекта с оглед на функциите и задълженията, определени за съответната позиция в екипа, се по</w:t>
      </w:r>
      <w:r w:rsidR="00E46DDA" w:rsidRPr="00C40B2F">
        <w:rPr>
          <w:rFonts w:eastAsia="Times New Roman" w:cs="Times New Roman"/>
          <w:sz w:val="24"/>
          <w:szCs w:val="24"/>
          <w:lang w:eastAsia="bg-BG"/>
        </w:rPr>
        <w:t xml:space="preserve">сочват и описват в т. 9 „Екип“ </w:t>
      </w:r>
      <w:r w:rsidRPr="00C40B2F">
        <w:rPr>
          <w:rFonts w:eastAsia="Times New Roman" w:cs="Times New Roman"/>
          <w:sz w:val="24"/>
          <w:szCs w:val="24"/>
          <w:lang w:eastAsia="bg-BG"/>
        </w:rPr>
        <w:t>от Формуляра за кандидатстване</w:t>
      </w:r>
      <w:r w:rsidR="00EE31CB" w:rsidRPr="00C40B2F">
        <w:rPr>
          <w:rFonts w:eastAsia="Times New Roman" w:cs="Times New Roman"/>
          <w:sz w:val="24"/>
          <w:szCs w:val="24"/>
          <w:lang w:eastAsia="bg-BG"/>
        </w:rPr>
        <w:t>.</w:t>
      </w:r>
      <w:r w:rsidR="000128B4" w:rsidRPr="00C40B2F">
        <w:rPr>
          <w:rFonts w:eastAsia="Times New Roman" w:cs="Times New Roman"/>
          <w:sz w:val="24"/>
          <w:szCs w:val="24"/>
          <w:lang w:eastAsia="bg-BG"/>
        </w:rPr>
        <w:t xml:space="preserve">  </w:t>
      </w:r>
    </w:p>
    <w:p w:rsidR="00576582" w:rsidRPr="00C40B2F" w:rsidRDefault="00576582" w:rsidP="0053478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p>
    <w:p w:rsidR="00F70B70" w:rsidRPr="00C40B2F" w:rsidRDefault="00EE31CB" w:rsidP="0053478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r w:rsidRPr="00C40B2F">
        <w:rPr>
          <w:rFonts w:eastAsia="Times New Roman" w:cs="Times New Roman"/>
          <w:sz w:val="24"/>
          <w:szCs w:val="24"/>
          <w:lang w:eastAsia="bg-BG"/>
        </w:rPr>
        <w:t>10</w:t>
      </w:r>
      <w:r w:rsidR="00246252" w:rsidRPr="00C40B2F">
        <w:rPr>
          <w:rFonts w:eastAsia="Times New Roman" w:cs="Times New Roman"/>
          <w:sz w:val="24"/>
          <w:szCs w:val="24"/>
          <w:lang w:eastAsia="bg-BG"/>
        </w:rPr>
        <w:t>.</w:t>
      </w:r>
      <w:r w:rsidR="00F113C9" w:rsidRPr="00C40B2F">
        <w:rPr>
          <w:rFonts w:eastAsia="Times New Roman" w:cs="Times New Roman"/>
          <w:sz w:val="24"/>
          <w:szCs w:val="24"/>
          <w:lang w:eastAsia="bg-BG"/>
        </w:rPr>
        <w:tab/>
      </w:r>
      <w:r w:rsidR="000128B4" w:rsidRPr="00C40B2F">
        <w:rPr>
          <w:rFonts w:eastAsia="Times New Roman" w:cs="Times New Roman"/>
          <w:sz w:val="24"/>
          <w:szCs w:val="24"/>
          <w:lang w:eastAsia="bg-BG"/>
        </w:rPr>
        <w:t>Одит на проекта.</w:t>
      </w:r>
      <w:r w:rsidR="00F70B70" w:rsidRPr="00C40B2F">
        <w:rPr>
          <w:rFonts w:eastAsia="Times New Roman" w:cs="Times New Roman"/>
          <w:sz w:val="24"/>
          <w:szCs w:val="24"/>
          <w:lang w:eastAsia="bg-BG"/>
        </w:rPr>
        <w:t xml:space="preserve"> </w:t>
      </w:r>
      <w:r w:rsidR="005B2161" w:rsidRPr="00C40B2F">
        <w:rPr>
          <w:rFonts w:eastAsia="Times New Roman" w:cs="Times New Roman"/>
          <w:sz w:val="24"/>
          <w:szCs w:val="24"/>
          <w:lang w:eastAsia="bg-BG"/>
        </w:rPr>
        <w:t>- о</w:t>
      </w:r>
      <w:r w:rsidR="00F70B70" w:rsidRPr="00C40B2F">
        <w:rPr>
          <w:rFonts w:eastAsia="Times New Roman" w:cs="Times New Roman"/>
          <w:sz w:val="24"/>
          <w:szCs w:val="24"/>
          <w:lang w:eastAsia="bg-BG"/>
        </w:rPr>
        <w:t xml:space="preserve">дитът на проекта трябва да бъде извършен съгласно </w:t>
      </w:r>
      <w:r w:rsidR="00F70B70" w:rsidRPr="00C40B2F">
        <w:rPr>
          <w:rFonts w:eastAsia="Times New Roman" w:cs="Times New Roman"/>
          <w:b/>
          <w:sz w:val="24"/>
          <w:szCs w:val="24"/>
          <w:lang w:eastAsia="bg-BG"/>
        </w:rPr>
        <w:t>Приложение Л</w:t>
      </w:r>
      <w:r w:rsidR="00F70B70" w:rsidRPr="00C40B2F">
        <w:rPr>
          <w:rFonts w:eastAsia="Times New Roman" w:cs="Times New Roman"/>
          <w:sz w:val="24"/>
          <w:szCs w:val="24"/>
          <w:lang w:eastAsia="bg-BG"/>
        </w:rPr>
        <w:t xml:space="preserve"> (Образец на одиторски доклад) към Условията за изпълнение и да бъде приложен към финалния отчет по проекта.</w:t>
      </w:r>
    </w:p>
    <w:p w:rsidR="00576582" w:rsidRPr="00C40B2F" w:rsidRDefault="00576582" w:rsidP="0053478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p>
    <w:p w:rsidR="000128B4" w:rsidRPr="00C40B2F" w:rsidRDefault="00EE31CB" w:rsidP="0053478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r w:rsidRPr="00C40B2F">
        <w:rPr>
          <w:rFonts w:eastAsia="Times New Roman" w:cs="Times New Roman"/>
          <w:sz w:val="24"/>
          <w:szCs w:val="24"/>
          <w:lang w:eastAsia="bg-BG"/>
        </w:rPr>
        <w:t>11</w:t>
      </w:r>
      <w:r w:rsidR="00246252" w:rsidRPr="00C40B2F">
        <w:rPr>
          <w:rFonts w:eastAsia="Times New Roman" w:cs="Times New Roman"/>
          <w:sz w:val="24"/>
          <w:szCs w:val="24"/>
          <w:lang w:eastAsia="bg-BG"/>
        </w:rPr>
        <w:t>.</w:t>
      </w:r>
      <w:r w:rsidR="00F113C9" w:rsidRPr="00C40B2F">
        <w:rPr>
          <w:rFonts w:eastAsia="Times New Roman" w:cs="Times New Roman"/>
          <w:sz w:val="24"/>
          <w:szCs w:val="24"/>
          <w:lang w:eastAsia="bg-BG"/>
        </w:rPr>
        <w:tab/>
      </w:r>
      <w:r w:rsidR="000128B4" w:rsidRPr="00C40B2F">
        <w:rPr>
          <w:rFonts w:eastAsia="Times New Roman" w:cs="Times New Roman"/>
          <w:sz w:val="24"/>
          <w:szCs w:val="24"/>
          <w:lang w:eastAsia="bg-BG"/>
        </w:rPr>
        <w:t>Дейности, свързани с информация и комуникация на проекта – в съответствие с изискванията на Регламент (ЕС) №1303/2013, Приложение XII „Информация и комуникация относно подкрепата от фондовете“.</w:t>
      </w:r>
    </w:p>
    <w:p w:rsidR="00576582" w:rsidRPr="00C40B2F" w:rsidRDefault="00576582" w:rsidP="0053478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p>
    <w:p w:rsidR="0040266A" w:rsidRPr="00C40B2F" w:rsidRDefault="0040266A" w:rsidP="0053478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r w:rsidRPr="00C40B2F">
        <w:rPr>
          <w:rFonts w:eastAsia="Times New Roman" w:cs="Times New Roman"/>
          <w:b/>
          <w:sz w:val="24"/>
          <w:szCs w:val="24"/>
          <w:u w:val="single"/>
          <w:lang w:eastAsia="bg-BG"/>
        </w:rPr>
        <w:t>ВАЖНО!:</w:t>
      </w:r>
      <w:r w:rsidRPr="00C40B2F">
        <w:rPr>
          <w:rFonts w:eastAsia="Times New Roman" w:cs="Times New Roman"/>
          <w:sz w:val="24"/>
          <w:szCs w:val="24"/>
          <w:lang w:eastAsia="bg-BG"/>
        </w:rPr>
        <w:t xml:space="preserve"> Пълният н</w:t>
      </w:r>
      <w:r w:rsidR="00FA6F70" w:rsidRPr="00C40B2F">
        <w:rPr>
          <w:rFonts w:eastAsia="Times New Roman" w:cs="Times New Roman"/>
          <w:sz w:val="24"/>
          <w:szCs w:val="24"/>
          <w:lang w:eastAsia="bg-BG"/>
        </w:rPr>
        <w:t xml:space="preserve">абор от мерки за информиране и </w:t>
      </w:r>
      <w:r w:rsidRPr="00C40B2F">
        <w:rPr>
          <w:rFonts w:eastAsia="Times New Roman" w:cs="Times New Roman"/>
          <w:sz w:val="24"/>
          <w:szCs w:val="24"/>
          <w:lang w:eastAsia="bg-BG"/>
        </w:rPr>
        <w:t>комуникация, които конкретният бенефициент трябва да прилага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на Управляващия орган –</w:t>
      </w:r>
      <w:r w:rsidR="00647A17" w:rsidRPr="00C40B2F">
        <w:rPr>
          <w:rFonts w:eastAsia="Times New Roman" w:cs="Times New Roman"/>
          <w:sz w:val="24"/>
          <w:szCs w:val="24"/>
          <w:lang w:eastAsia="bg-BG"/>
        </w:rPr>
        <w:t xml:space="preserve"> </w:t>
      </w:r>
      <w:hyperlink r:id="rId9" w:history="1">
        <w:r w:rsidR="00647A17" w:rsidRPr="00C40B2F">
          <w:rPr>
            <w:rStyle w:val="Hyperlink"/>
            <w:sz w:val="24"/>
            <w:szCs w:val="24"/>
          </w:rPr>
          <w:t>http://www.opic.bg/informatsiya-i-publichnost/grafichni-iziskvaniya</w:t>
        </w:r>
      </w:hyperlink>
      <w:r w:rsidRPr="00C40B2F">
        <w:rPr>
          <w:rFonts w:eastAsia="Times New Roman" w:cs="Times New Roman"/>
          <w:sz w:val="24"/>
          <w:szCs w:val="24"/>
          <w:lang w:eastAsia="bg-BG"/>
        </w:rPr>
        <w:t>.</w:t>
      </w:r>
    </w:p>
    <w:p w:rsidR="002C7B42" w:rsidRPr="00C40B2F" w:rsidRDefault="002C7B42" w:rsidP="0053478A">
      <w:pPr>
        <w:pBdr>
          <w:top w:val="single" w:sz="4" w:space="1" w:color="auto"/>
          <w:left w:val="single" w:sz="4" w:space="4" w:color="auto"/>
          <w:bottom w:val="single" w:sz="4" w:space="1" w:color="auto"/>
          <w:right w:val="single" w:sz="4" w:space="4" w:color="auto"/>
        </w:pBdr>
        <w:jc w:val="both"/>
        <w:rPr>
          <w:rFonts w:eastAsia="Times New Roman" w:cs="Times New Roman"/>
          <w:b/>
          <w:sz w:val="24"/>
          <w:szCs w:val="24"/>
          <w:lang w:eastAsia="bg-BG"/>
        </w:rPr>
      </w:pPr>
      <w:r w:rsidRPr="00C40B2F">
        <w:rPr>
          <w:rFonts w:eastAsia="Times New Roman" w:cs="Times New Roman"/>
          <w:b/>
          <w:sz w:val="24"/>
          <w:szCs w:val="24"/>
          <w:lang w:eastAsia="bg-BG"/>
        </w:rPr>
        <w:t>Допустимите дейности по настоящата процедура трябва:</w:t>
      </w:r>
    </w:p>
    <w:p w:rsidR="00254E80" w:rsidRPr="00C40B2F" w:rsidRDefault="002C7B42" w:rsidP="0053478A">
      <w:pPr>
        <w:pBdr>
          <w:top w:val="single" w:sz="4" w:space="1" w:color="auto"/>
          <w:left w:val="single" w:sz="4" w:space="4" w:color="auto"/>
          <w:bottom w:val="single" w:sz="4" w:space="1" w:color="auto"/>
          <w:right w:val="single" w:sz="4" w:space="4" w:color="auto"/>
        </w:pBdr>
        <w:spacing w:line="240" w:lineRule="auto"/>
        <w:jc w:val="both"/>
        <w:rPr>
          <w:bCs/>
          <w:sz w:val="24"/>
          <w:szCs w:val="24"/>
        </w:rPr>
      </w:pPr>
      <w:r w:rsidRPr="00C40B2F">
        <w:rPr>
          <w:sz w:val="24"/>
          <w:szCs w:val="24"/>
        </w:rPr>
        <w:t xml:space="preserve">- Да не противоречат на правилата, описани в Регламент (ЕС) № 1301/2013 на Европейския парламент и на Съвета относно Европейския фонд за регионално развитие и специални разпоредби по отношение на целта „Инвестиции за растеж и работни места“, Регламент (ЕС) № 1303/2013 на Съвета </w:t>
      </w:r>
      <w:r w:rsidRPr="00C40B2F">
        <w:rPr>
          <w:bCs/>
          <w:sz w:val="24"/>
          <w:szCs w:val="24"/>
        </w:rPr>
        <w:t xml:space="preserve">относно определянето на общи разпоредби за Европейския регионален фонд, Европейския социален фонд, Кохезионния фонд, Европейския земеделски фонд за развитие на селските райони и Европейския фонд за морско дело и рибарство </w:t>
      </w:r>
      <w:r w:rsidRPr="00C40B2F">
        <w:rPr>
          <w:sz w:val="24"/>
          <w:szCs w:val="24"/>
        </w:rPr>
        <w:t xml:space="preserve">и </w:t>
      </w:r>
      <w:r w:rsidRPr="00C40B2F">
        <w:rPr>
          <w:bCs/>
          <w:sz w:val="24"/>
          <w:szCs w:val="24"/>
        </w:rPr>
        <w:t>Регламент за изпълнение (ЕС) 2015/207 на Комисията за определяне на подробни правила за прилагането на Регламент (ЕС) № 1303/2013 на Европейския парламент и на Съвета</w:t>
      </w:r>
      <w:r w:rsidR="004032B3" w:rsidRPr="00C40B2F">
        <w:rPr>
          <w:bCs/>
          <w:sz w:val="24"/>
          <w:szCs w:val="24"/>
        </w:rPr>
        <w:t xml:space="preserve">; </w:t>
      </w:r>
      <w:r w:rsidRPr="00C40B2F">
        <w:rPr>
          <w:bCs/>
          <w:sz w:val="24"/>
          <w:szCs w:val="24"/>
        </w:rPr>
        <w:t xml:space="preserve"> </w:t>
      </w:r>
    </w:p>
    <w:p w:rsidR="002C7B42" w:rsidRPr="00C40B2F" w:rsidRDefault="002C7B42" w:rsidP="0053478A">
      <w:pPr>
        <w:pBdr>
          <w:top w:val="single" w:sz="4" w:space="1" w:color="auto"/>
          <w:left w:val="single" w:sz="4" w:space="4" w:color="auto"/>
          <w:bottom w:val="single" w:sz="4" w:space="1" w:color="auto"/>
          <w:right w:val="single" w:sz="4" w:space="4" w:color="auto"/>
        </w:pBdr>
        <w:spacing w:line="240" w:lineRule="auto"/>
        <w:jc w:val="both"/>
        <w:rPr>
          <w:sz w:val="24"/>
          <w:szCs w:val="24"/>
        </w:rPr>
      </w:pPr>
      <w:r w:rsidRPr="00C40B2F">
        <w:rPr>
          <w:sz w:val="24"/>
          <w:szCs w:val="24"/>
        </w:rPr>
        <w:t xml:space="preserve">- </w:t>
      </w:r>
      <w:r w:rsidR="0068256B" w:rsidRPr="00C40B2F">
        <w:rPr>
          <w:sz w:val="24"/>
          <w:szCs w:val="24"/>
        </w:rPr>
        <w:t xml:space="preserve"> </w:t>
      </w:r>
      <w:r w:rsidRPr="00C40B2F">
        <w:rPr>
          <w:sz w:val="24"/>
          <w:szCs w:val="24"/>
        </w:rPr>
        <w:t xml:space="preserve">Да са насочени към изпълнението на целите на Приоритетна ос </w:t>
      </w:r>
      <w:r w:rsidR="00BE6293" w:rsidRPr="00C40B2F">
        <w:rPr>
          <w:sz w:val="24"/>
          <w:szCs w:val="24"/>
        </w:rPr>
        <w:t>1</w:t>
      </w:r>
      <w:r w:rsidRPr="00C40B2F">
        <w:rPr>
          <w:sz w:val="24"/>
          <w:szCs w:val="24"/>
        </w:rPr>
        <w:t xml:space="preserve"> </w:t>
      </w:r>
      <w:r w:rsidR="009E632E" w:rsidRPr="00C40B2F">
        <w:rPr>
          <w:sz w:val="24"/>
          <w:szCs w:val="24"/>
        </w:rPr>
        <w:t>„</w:t>
      </w:r>
      <w:r w:rsidR="00BE6293" w:rsidRPr="00C40B2F">
        <w:rPr>
          <w:sz w:val="24"/>
          <w:szCs w:val="24"/>
        </w:rPr>
        <w:t>Технологично развитие и иновации</w:t>
      </w:r>
      <w:r w:rsidR="00027C95" w:rsidRPr="00C40B2F">
        <w:rPr>
          <w:sz w:val="24"/>
          <w:szCs w:val="24"/>
        </w:rPr>
        <w:t xml:space="preserve">“ </w:t>
      </w:r>
      <w:r w:rsidRPr="00C40B2F">
        <w:rPr>
          <w:sz w:val="24"/>
          <w:szCs w:val="24"/>
        </w:rPr>
        <w:t xml:space="preserve">и на </w:t>
      </w:r>
      <w:r w:rsidR="009E632E" w:rsidRPr="00C40B2F">
        <w:rPr>
          <w:sz w:val="24"/>
          <w:szCs w:val="24"/>
        </w:rPr>
        <w:t>ОПИК 2014-2020</w:t>
      </w:r>
      <w:r w:rsidRPr="00C40B2F">
        <w:rPr>
          <w:sz w:val="24"/>
          <w:szCs w:val="24"/>
        </w:rPr>
        <w:t xml:space="preserve">; </w:t>
      </w:r>
    </w:p>
    <w:p w:rsidR="002C7B42" w:rsidRPr="00C40B2F" w:rsidRDefault="002C7B42" w:rsidP="0053478A">
      <w:pPr>
        <w:pBdr>
          <w:top w:val="single" w:sz="4" w:space="1" w:color="auto"/>
          <w:left w:val="single" w:sz="4" w:space="4" w:color="auto"/>
          <w:bottom w:val="single" w:sz="4" w:space="1" w:color="auto"/>
          <w:right w:val="single" w:sz="4" w:space="4" w:color="auto"/>
        </w:pBdr>
        <w:spacing w:line="240" w:lineRule="auto"/>
        <w:jc w:val="both"/>
        <w:rPr>
          <w:sz w:val="24"/>
          <w:szCs w:val="24"/>
        </w:rPr>
      </w:pPr>
      <w:r w:rsidRPr="00C40B2F">
        <w:rPr>
          <w:sz w:val="24"/>
          <w:szCs w:val="24"/>
        </w:rPr>
        <w:t xml:space="preserve">- </w:t>
      </w:r>
      <w:r w:rsidR="00726B82" w:rsidRPr="00C40B2F">
        <w:rPr>
          <w:sz w:val="24"/>
          <w:szCs w:val="24"/>
        </w:rPr>
        <w:t xml:space="preserve"> </w:t>
      </w:r>
      <w:r w:rsidRPr="00C40B2F">
        <w:rPr>
          <w:sz w:val="24"/>
          <w:szCs w:val="24"/>
        </w:rPr>
        <w:t xml:space="preserve">Да бъдат ясно обосновани и да имат конкретни цели; </w:t>
      </w:r>
    </w:p>
    <w:p w:rsidR="002C7B42" w:rsidRPr="00C40B2F" w:rsidRDefault="002C7B42" w:rsidP="0053478A">
      <w:pPr>
        <w:pBdr>
          <w:top w:val="single" w:sz="4" w:space="1" w:color="auto"/>
          <w:left w:val="single" w:sz="4" w:space="4" w:color="auto"/>
          <w:bottom w:val="single" w:sz="4" w:space="1" w:color="auto"/>
          <w:right w:val="single" w:sz="4" w:space="4" w:color="auto"/>
        </w:pBdr>
        <w:spacing w:line="240" w:lineRule="auto"/>
        <w:jc w:val="both"/>
        <w:rPr>
          <w:sz w:val="24"/>
          <w:szCs w:val="24"/>
        </w:rPr>
      </w:pPr>
      <w:r w:rsidRPr="00C40B2F">
        <w:rPr>
          <w:sz w:val="24"/>
          <w:szCs w:val="24"/>
        </w:rPr>
        <w:t xml:space="preserve">- Да не са физически завършени или изцяло осъществени преди подаването на формуляра за кандидатстване от </w:t>
      </w:r>
      <w:r w:rsidR="00D951A5" w:rsidRPr="00C40B2F">
        <w:rPr>
          <w:sz w:val="24"/>
          <w:szCs w:val="24"/>
        </w:rPr>
        <w:t xml:space="preserve">конкретния </w:t>
      </w:r>
      <w:r w:rsidRPr="00C40B2F">
        <w:rPr>
          <w:sz w:val="24"/>
          <w:szCs w:val="24"/>
        </w:rPr>
        <w:t>бенефициент, независимо дали всички свързани плащания са извършени от него;</w:t>
      </w:r>
    </w:p>
    <w:p w:rsidR="002C7B42" w:rsidRPr="00C40B2F" w:rsidRDefault="002C7B42" w:rsidP="0053478A">
      <w:pPr>
        <w:pBdr>
          <w:top w:val="single" w:sz="4" w:space="1" w:color="auto"/>
          <w:left w:val="single" w:sz="4" w:space="4" w:color="auto"/>
          <w:bottom w:val="single" w:sz="4" w:space="1" w:color="auto"/>
          <w:right w:val="single" w:sz="4" w:space="4" w:color="auto"/>
        </w:pBdr>
        <w:spacing w:line="240" w:lineRule="auto"/>
        <w:jc w:val="both"/>
        <w:rPr>
          <w:sz w:val="24"/>
          <w:szCs w:val="24"/>
        </w:rPr>
      </w:pPr>
      <w:r w:rsidRPr="00C40B2F">
        <w:rPr>
          <w:sz w:val="24"/>
          <w:szCs w:val="24"/>
        </w:rPr>
        <w:t>- Да са подходящи, практични и последователни, и да съответстват на целите и очакваните резултати</w:t>
      </w:r>
      <w:r w:rsidR="004032B3" w:rsidRPr="00C40B2F">
        <w:rPr>
          <w:sz w:val="24"/>
          <w:szCs w:val="24"/>
        </w:rPr>
        <w:t xml:space="preserve">. </w:t>
      </w:r>
    </w:p>
    <w:p w:rsidR="009634EF" w:rsidRPr="00C40B2F" w:rsidRDefault="009634EF" w:rsidP="0053478A">
      <w:pPr>
        <w:pBdr>
          <w:top w:val="single" w:sz="4" w:space="1" w:color="auto"/>
          <w:left w:val="single" w:sz="4" w:space="4" w:color="auto"/>
          <w:bottom w:val="single" w:sz="4" w:space="1" w:color="auto"/>
          <w:right w:val="single" w:sz="4" w:space="4" w:color="auto"/>
        </w:pBdr>
        <w:spacing w:line="240" w:lineRule="auto"/>
        <w:jc w:val="both"/>
        <w:rPr>
          <w:sz w:val="24"/>
          <w:szCs w:val="24"/>
        </w:rPr>
      </w:pPr>
      <w:r w:rsidRPr="00C40B2F">
        <w:rPr>
          <w:b/>
          <w:sz w:val="24"/>
          <w:szCs w:val="24"/>
          <w:u w:val="single"/>
        </w:rPr>
        <w:lastRenderedPageBreak/>
        <w:t>ВАЖНО!</w:t>
      </w:r>
      <w:r w:rsidR="00726B82" w:rsidRPr="00C40B2F">
        <w:rPr>
          <w:b/>
          <w:sz w:val="24"/>
          <w:szCs w:val="24"/>
          <w:u w:val="single"/>
        </w:rPr>
        <w:t>:</w:t>
      </w:r>
      <w:r w:rsidRPr="00C40B2F">
        <w:rPr>
          <w:b/>
          <w:sz w:val="24"/>
          <w:szCs w:val="24"/>
        </w:rPr>
        <w:t xml:space="preserve"> </w:t>
      </w:r>
      <w:r w:rsidRPr="00C40B2F">
        <w:rPr>
          <w:sz w:val="24"/>
          <w:szCs w:val="24"/>
        </w:rPr>
        <w:t>Кандидатът следва да представи описание на методите за изпълнение на всяка една дейност, нейната последователност и основанията за избора й, вкл. и методите за осъществ</w:t>
      </w:r>
      <w:r w:rsidR="00FA6F70" w:rsidRPr="00C40B2F">
        <w:rPr>
          <w:sz w:val="24"/>
          <w:szCs w:val="24"/>
        </w:rPr>
        <w:t xml:space="preserve">яване на вътрешен мониторинг и </w:t>
      </w:r>
      <w:r w:rsidRPr="00C40B2F">
        <w:rPr>
          <w:sz w:val="24"/>
          <w:szCs w:val="24"/>
        </w:rPr>
        <w:t>осигуряване устойчивост на резултатите в т. 7 „План за изпълнение/Дейности по проекта“ от Формуляра за кандидатстване.</w:t>
      </w:r>
    </w:p>
    <w:p w:rsidR="00CD37FA" w:rsidRPr="00C40B2F" w:rsidRDefault="008F616E" w:rsidP="008D732A">
      <w:pPr>
        <w:pBdr>
          <w:top w:val="single" w:sz="4" w:space="1" w:color="auto"/>
          <w:left w:val="single" w:sz="4" w:space="4" w:color="auto"/>
          <w:bottom w:val="single" w:sz="4" w:space="1" w:color="auto"/>
          <w:right w:val="single" w:sz="4" w:space="4" w:color="auto"/>
        </w:pBdr>
        <w:spacing w:after="360" w:line="240" w:lineRule="auto"/>
        <w:jc w:val="both"/>
        <w:rPr>
          <w:sz w:val="24"/>
          <w:szCs w:val="24"/>
        </w:rPr>
      </w:pPr>
      <w:r w:rsidRPr="00C40B2F">
        <w:rPr>
          <w:b/>
          <w:sz w:val="24"/>
          <w:szCs w:val="24"/>
          <w:u w:val="single"/>
        </w:rPr>
        <w:t>ВАЖНО!:</w:t>
      </w:r>
      <w:r w:rsidRPr="00C40B2F">
        <w:rPr>
          <w:sz w:val="24"/>
          <w:szCs w:val="24"/>
        </w:rPr>
        <w:t xml:space="preserve"> Кандидатът няма право да подава проектно предложение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2325A3" w:rsidRPr="00C40B2F" w:rsidRDefault="00CB14EE" w:rsidP="00394B8E">
      <w:pPr>
        <w:pStyle w:val="Heading2"/>
        <w:spacing w:before="120" w:after="120"/>
      </w:pPr>
      <w:bookmarkStart w:id="13" w:name="_Toc476919450"/>
      <w:r w:rsidRPr="00C40B2F">
        <w:t>1</w:t>
      </w:r>
      <w:r w:rsidR="004A58E5" w:rsidRPr="00C40B2F">
        <w:t>4</w:t>
      </w:r>
      <w:r w:rsidR="002325A3" w:rsidRPr="00C40B2F">
        <w:t xml:space="preserve">. </w:t>
      </w:r>
      <w:r w:rsidR="003D562F" w:rsidRPr="00C40B2F">
        <w:t>Категории р</w:t>
      </w:r>
      <w:r w:rsidR="002325A3" w:rsidRPr="00C40B2F">
        <w:t>азходи, допустими за финансиране:</w:t>
      </w:r>
      <w:bookmarkEnd w:id="13"/>
    </w:p>
    <w:p w:rsidR="00AF66F6" w:rsidRPr="00C40B2F" w:rsidRDefault="00DD1908"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40B2F">
        <w:rPr>
          <w:sz w:val="24"/>
          <w:szCs w:val="24"/>
        </w:rPr>
        <w:t>При предоставяне на безвъзмездна</w:t>
      </w:r>
      <w:r w:rsidR="005C187B" w:rsidRPr="00C40B2F">
        <w:rPr>
          <w:sz w:val="24"/>
          <w:szCs w:val="24"/>
        </w:rPr>
        <w:t>та</w:t>
      </w:r>
      <w:r w:rsidRPr="00C40B2F">
        <w:rPr>
          <w:sz w:val="24"/>
          <w:szCs w:val="24"/>
        </w:rPr>
        <w:t xml:space="preserve"> финансова помощ по настоящата процедура ще бъдат взети под внимание само допустимите разх</w:t>
      </w:r>
      <w:r w:rsidR="00CA0A0F" w:rsidRPr="00C40B2F">
        <w:rPr>
          <w:sz w:val="24"/>
          <w:szCs w:val="24"/>
        </w:rPr>
        <w:t xml:space="preserve">оди, детайлно описани по-долу. </w:t>
      </w:r>
      <w:r w:rsidRPr="00C40B2F">
        <w:rPr>
          <w:sz w:val="24"/>
          <w:szCs w:val="24"/>
        </w:rPr>
        <w:t>Бюджетът представлява както предварителна оценка на очакваните разходи, така и максимален размер на допустимите разходи. Стойността на допустимите разходи трябва да се основава на европейското и българското законодателство</w:t>
      </w:r>
      <w:r w:rsidR="00FA189F" w:rsidRPr="00C40B2F">
        <w:rPr>
          <w:sz w:val="24"/>
          <w:szCs w:val="24"/>
        </w:rPr>
        <w:t>, да се базира на нормативно определени размери или на реални пазарни цени</w:t>
      </w:r>
      <w:r w:rsidRPr="00C40B2F">
        <w:rPr>
          <w:sz w:val="24"/>
          <w:szCs w:val="24"/>
        </w:rPr>
        <w:t xml:space="preserve"> и да е в съответствие с предвижданите дейности</w:t>
      </w:r>
      <w:r w:rsidR="001E1D08" w:rsidRPr="00C40B2F">
        <w:rPr>
          <w:sz w:val="24"/>
          <w:szCs w:val="24"/>
        </w:rPr>
        <w:t xml:space="preserve">. </w:t>
      </w:r>
      <w:r w:rsidRPr="00C40B2F">
        <w:rPr>
          <w:sz w:val="24"/>
          <w:szCs w:val="24"/>
        </w:rPr>
        <w:t xml:space="preserve"> </w:t>
      </w:r>
    </w:p>
    <w:p w:rsidR="007B3F13" w:rsidRPr="00C40B2F" w:rsidRDefault="007B3F13" w:rsidP="00933BF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A82D29" w:rsidRPr="00C40B2F" w:rsidRDefault="0095603A" w:rsidP="0025287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40B2F">
        <w:rPr>
          <w:b/>
          <w:sz w:val="24"/>
          <w:szCs w:val="24"/>
          <w:u w:val="single"/>
        </w:rPr>
        <w:t>ВАЖНО!:</w:t>
      </w:r>
      <w:r w:rsidRPr="00C40B2F">
        <w:rPr>
          <w:sz w:val="24"/>
          <w:szCs w:val="24"/>
        </w:rPr>
        <w:t xml:space="preserve"> По време на оценката на проектното предложение е възможно да бъдат установени обстоятелства, които да налагат промяна в бюджета</w:t>
      </w:r>
      <w:r w:rsidR="00B62BB4" w:rsidRPr="00C40B2F">
        <w:rPr>
          <w:sz w:val="24"/>
          <w:szCs w:val="24"/>
        </w:rPr>
        <w:t xml:space="preserve"> (т. 5 от Формуляра за кандидатстване)</w:t>
      </w:r>
      <w:r w:rsidRPr="00C40B2F">
        <w:rPr>
          <w:sz w:val="24"/>
          <w:szCs w:val="24"/>
        </w:rPr>
        <w:t xml:space="preserve">. Възможните изменения на бюджета не могат да доведат до увеличаване на сумата на исканата безвъзмездна помощ по настоящата процедура. Оценителната комисия може да нанесе корекции в </w:t>
      </w:r>
      <w:r w:rsidR="005B71D5" w:rsidRPr="00C40B2F">
        <w:rPr>
          <w:sz w:val="24"/>
          <w:szCs w:val="24"/>
        </w:rPr>
        <w:t>т. 5 „Б</w:t>
      </w:r>
      <w:r w:rsidRPr="00C40B2F">
        <w:rPr>
          <w:sz w:val="24"/>
          <w:szCs w:val="24"/>
        </w:rPr>
        <w:t>юджет</w:t>
      </w:r>
      <w:r w:rsidR="00784BB5" w:rsidRPr="00C40B2F">
        <w:rPr>
          <w:sz w:val="24"/>
          <w:szCs w:val="24"/>
        </w:rPr>
        <w:t xml:space="preserve"> на проекта</w:t>
      </w:r>
      <w:r w:rsidR="005B71D5" w:rsidRPr="00C40B2F">
        <w:rPr>
          <w:sz w:val="24"/>
          <w:szCs w:val="24"/>
        </w:rPr>
        <w:t xml:space="preserve">“ </w:t>
      </w:r>
      <w:r w:rsidR="00784BB5" w:rsidRPr="00C40B2F">
        <w:rPr>
          <w:sz w:val="24"/>
          <w:szCs w:val="24"/>
        </w:rPr>
        <w:t xml:space="preserve">от Формуляра за кандидатстване </w:t>
      </w:r>
      <w:r w:rsidRPr="00C40B2F">
        <w:rPr>
          <w:sz w:val="24"/>
          <w:szCs w:val="24"/>
        </w:rPr>
        <w:t xml:space="preserve">във връзка с установени в процеса на оценката недопустими </w:t>
      </w:r>
      <w:r w:rsidR="00516A8B" w:rsidRPr="00C40B2F">
        <w:rPr>
          <w:sz w:val="24"/>
          <w:szCs w:val="24"/>
        </w:rPr>
        <w:t xml:space="preserve">и/или необосновани </w:t>
      </w:r>
      <w:r w:rsidR="0093572A" w:rsidRPr="00C40B2F">
        <w:rPr>
          <w:sz w:val="24"/>
          <w:szCs w:val="24"/>
        </w:rPr>
        <w:t xml:space="preserve">разходи и/или на кандидата се предоставят указания и срок за отстраняване на установените нередовности, </w:t>
      </w:r>
      <w:r w:rsidR="003B16C1" w:rsidRPr="00C40B2F">
        <w:rPr>
          <w:sz w:val="24"/>
          <w:szCs w:val="24"/>
        </w:rPr>
        <w:t xml:space="preserve">непълноти и/или </w:t>
      </w:r>
      <w:r w:rsidR="0093572A" w:rsidRPr="00C40B2F">
        <w:rPr>
          <w:sz w:val="24"/>
          <w:szCs w:val="24"/>
        </w:rPr>
        <w:t>несъответствия</w:t>
      </w:r>
      <w:r w:rsidR="003B16C1" w:rsidRPr="00C40B2F">
        <w:rPr>
          <w:sz w:val="24"/>
          <w:szCs w:val="24"/>
        </w:rPr>
        <w:t xml:space="preserve">. </w:t>
      </w:r>
      <w:r w:rsidR="0093572A" w:rsidRPr="00C40B2F">
        <w:rPr>
          <w:sz w:val="24"/>
          <w:szCs w:val="24"/>
        </w:rPr>
        <w:t xml:space="preserve"> </w:t>
      </w:r>
    </w:p>
    <w:p w:rsidR="001603B0" w:rsidRPr="00C40B2F" w:rsidRDefault="001603B0" w:rsidP="009976F4">
      <w:pPr>
        <w:pStyle w:val="Heading2"/>
        <w:spacing w:before="120" w:after="120"/>
      </w:pPr>
      <w:bookmarkStart w:id="14" w:name="_Toc442298722"/>
      <w:bookmarkStart w:id="15" w:name="_Toc476919451"/>
      <w:r w:rsidRPr="00C40B2F">
        <w:t>14.1. Условия за допустимост на разходите</w:t>
      </w:r>
      <w:bookmarkEnd w:id="14"/>
      <w:bookmarkEnd w:id="15"/>
    </w:p>
    <w:p w:rsidR="00C518FA" w:rsidRPr="00C40B2F" w:rsidRDefault="00C518FA" w:rsidP="005C187B">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C40B2F">
        <w:rPr>
          <w:sz w:val="24"/>
          <w:szCs w:val="24"/>
        </w:rPr>
        <w:t>За да бъдат допустими</w:t>
      </w:r>
      <w:r w:rsidR="005C187B" w:rsidRPr="00C40B2F">
        <w:rPr>
          <w:sz w:val="24"/>
          <w:szCs w:val="24"/>
        </w:rPr>
        <w:t>,</w:t>
      </w:r>
      <w:r w:rsidRPr="00C40B2F">
        <w:rPr>
          <w:sz w:val="24"/>
          <w:szCs w:val="24"/>
        </w:rPr>
        <w:t xml:space="preserve"> разходите по настоящата процедура чрез директно предоставяне на безвъзмездна финансова помощ трябва да отговарят на следните условия:</w:t>
      </w:r>
    </w:p>
    <w:p w:rsidR="00DF6830" w:rsidRPr="00C40B2F" w:rsidRDefault="00C518FA" w:rsidP="005C187B">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t>1/</w:t>
      </w:r>
      <w:r w:rsidR="000A6F37" w:rsidRPr="00C40B2F">
        <w:rPr>
          <w:sz w:val="24"/>
          <w:szCs w:val="24"/>
        </w:rPr>
        <w:t>.</w:t>
      </w:r>
      <w:r w:rsidRPr="00C40B2F">
        <w:rPr>
          <w:sz w:val="24"/>
          <w:szCs w:val="24"/>
        </w:rPr>
        <w:t xml:space="preserve">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w:t>
      </w:r>
    </w:p>
    <w:p w:rsidR="00C518FA" w:rsidRPr="00C40B2F" w:rsidRDefault="00DF6830" w:rsidP="005C187B">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t xml:space="preserve">С оглед определяне на реалистичността на предвидените разходи за </w:t>
      </w:r>
      <w:r w:rsidR="00A515A9" w:rsidRPr="00C40B2F">
        <w:rPr>
          <w:sz w:val="24"/>
          <w:szCs w:val="24"/>
        </w:rPr>
        <w:t xml:space="preserve">придобиване на </w:t>
      </w:r>
      <w:r w:rsidRPr="00C40B2F">
        <w:rPr>
          <w:sz w:val="24"/>
          <w:szCs w:val="24"/>
        </w:rPr>
        <w:t xml:space="preserve">активи, </w:t>
      </w:r>
      <w:r w:rsidR="00A515A9" w:rsidRPr="00C40B2F">
        <w:rPr>
          <w:sz w:val="24"/>
          <w:szCs w:val="24"/>
        </w:rPr>
        <w:t xml:space="preserve">както и на разходите за услуги, </w:t>
      </w:r>
      <w:r w:rsidRPr="00C40B2F">
        <w:rPr>
          <w:sz w:val="24"/>
          <w:szCs w:val="24"/>
        </w:rPr>
        <w:t>к</w:t>
      </w:r>
      <w:r w:rsidR="00E7628C" w:rsidRPr="00C40B2F">
        <w:rPr>
          <w:sz w:val="24"/>
          <w:szCs w:val="24"/>
        </w:rPr>
        <w:t xml:space="preserve">онкретният бенефициент </w:t>
      </w:r>
      <w:r w:rsidRPr="00C40B2F">
        <w:rPr>
          <w:sz w:val="24"/>
          <w:szCs w:val="24"/>
        </w:rPr>
        <w:t>следва да приложи към Формуляра за кандидатстване оферта и/или извлечение от каталог на производители/ доставчици и/или проучване в интернет за активи</w:t>
      </w:r>
      <w:r w:rsidR="00EE76B0" w:rsidRPr="00C40B2F">
        <w:rPr>
          <w:sz w:val="24"/>
          <w:szCs w:val="24"/>
        </w:rPr>
        <w:t xml:space="preserve"> (дълготрайни материални активи и дълготрайни нематериални активи)</w:t>
      </w:r>
      <w:r w:rsidR="00067D4F" w:rsidRPr="00C40B2F">
        <w:rPr>
          <w:sz w:val="24"/>
          <w:szCs w:val="24"/>
        </w:rPr>
        <w:t xml:space="preserve"> и оферта и/или извлечение от каталог на доставчици на услуги и/или проучване в интернет за планираните по проекта услуги</w:t>
      </w:r>
      <w:r w:rsidRPr="00C40B2F">
        <w:rPr>
          <w:sz w:val="24"/>
          <w:szCs w:val="24"/>
        </w:rPr>
        <w:t xml:space="preserve">. </w:t>
      </w:r>
    </w:p>
    <w:p w:rsidR="00982E48" w:rsidRPr="00C40B2F" w:rsidRDefault="00E7628C" w:rsidP="005C187B">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lastRenderedPageBreak/>
        <w:t>Горепосочените документи са индикативни и служат за оценка на реалистичността на заложените в бюджета на проектното предложение (т. 5 от Формуляра за кандидатстване) разходи за съответните активи</w:t>
      </w:r>
      <w:r w:rsidR="00F54FAE" w:rsidRPr="00C40B2F">
        <w:rPr>
          <w:sz w:val="24"/>
          <w:szCs w:val="24"/>
        </w:rPr>
        <w:t>/услуги</w:t>
      </w:r>
      <w:r w:rsidR="00552B9A" w:rsidRPr="00C40B2F">
        <w:rPr>
          <w:sz w:val="24"/>
          <w:szCs w:val="24"/>
        </w:rPr>
        <w:t xml:space="preserve">. По тази причина, </w:t>
      </w:r>
      <w:r w:rsidRPr="00C40B2F">
        <w:rPr>
          <w:sz w:val="24"/>
          <w:szCs w:val="24"/>
        </w:rPr>
        <w:t xml:space="preserve">в </w:t>
      </w:r>
      <w:r w:rsidRPr="00C40B2F">
        <w:rPr>
          <w:b/>
          <w:sz w:val="24"/>
          <w:szCs w:val="24"/>
        </w:rPr>
        <w:t xml:space="preserve">Приложение </w:t>
      </w:r>
      <w:r w:rsidR="0070642C" w:rsidRPr="00C40B2F">
        <w:rPr>
          <w:b/>
          <w:sz w:val="24"/>
          <w:szCs w:val="24"/>
        </w:rPr>
        <w:t>Е</w:t>
      </w:r>
      <w:r w:rsidR="00382486" w:rsidRPr="00C40B2F">
        <w:rPr>
          <w:sz w:val="24"/>
          <w:szCs w:val="24"/>
        </w:rPr>
        <w:t xml:space="preserve"> – Техническа спецификация</w:t>
      </w:r>
      <w:r w:rsidR="00251D7D" w:rsidRPr="00C40B2F">
        <w:rPr>
          <w:sz w:val="24"/>
          <w:szCs w:val="24"/>
        </w:rPr>
        <w:t xml:space="preserve">, </w:t>
      </w:r>
      <w:r w:rsidR="00F54FAE" w:rsidRPr="00C40B2F">
        <w:rPr>
          <w:sz w:val="24"/>
          <w:szCs w:val="24"/>
        </w:rPr>
        <w:t xml:space="preserve">конкретният бенефициент </w:t>
      </w:r>
      <w:r w:rsidRPr="00C40B2F">
        <w:rPr>
          <w:sz w:val="24"/>
          <w:szCs w:val="24"/>
        </w:rPr>
        <w:t>следва да посоч</w:t>
      </w:r>
      <w:r w:rsidR="002D15F2" w:rsidRPr="00C40B2F">
        <w:rPr>
          <w:sz w:val="24"/>
          <w:szCs w:val="24"/>
        </w:rPr>
        <w:t xml:space="preserve">и </w:t>
      </w:r>
      <w:r w:rsidR="007A07B7" w:rsidRPr="00C40B2F">
        <w:rPr>
          <w:sz w:val="24"/>
          <w:szCs w:val="24"/>
        </w:rPr>
        <w:t xml:space="preserve">само </w:t>
      </w:r>
      <w:r w:rsidRPr="00C40B2F">
        <w:rPr>
          <w:sz w:val="24"/>
          <w:szCs w:val="24"/>
        </w:rPr>
        <w:t>минимални технически и/или функционални характеристики на предвидените за закупуване активи</w:t>
      </w:r>
      <w:r w:rsidR="00C072C3" w:rsidRPr="00C40B2F">
        <w:rPr>
          <w:sz w:val="24"/>
          <w:szCs w:val="24"/>
        </w:rPr>
        <w:t>/услуги</w:t>
      </w:r>
      <w:r w:rsidRPr="00C40B2F">
        <w:rPr>
          <w:sz w:val="24"/>
          <w:szCs w:val="24"/>
        </w:rPr>
        <w:t>, без да указва марки, модели и други конкретни технически спецификации, които насочват към определени производители, марки и модели</w:t>
      </w:r>
      <w:r w:rsidR="00C072C3" w:rsidRPr="00C40B2F">
        <w:rPr>
          <w:sz w:val="24"/>
          <w:szCs w:val="24"/>
        </w:rPr>
        <w:t>.</w:t>
      </w:r>
      <w:r w:rsidR="003E27D4" w:rsidRPr="00C40B2F">
        <w:rPr>
          <w:sz w:val="24"/>
          <w:szCs w:val="24"/>
        </w:rPr>
        <w:t xml:space="preserve"> </w:t>
      </w:r>
      <w:r w:rsidRPr="00C40B2F">
        <w:rPr>
          <w:sz w:val="24"/>
          <w:szCs w:val="24"/>
        </w:rPr>
        <w:t xml:space="preserve">Заложените разходи следва да съответстват на представените пазарни цени, като е допустимо увеличение до 10 % от стойността на представената оферта и/или извлечение от каталог на производител/доставчик и/или проучване в интернет. </w:t>
      </w:r>
    </w:p>
    <w:p w:rsidR="00CA7467" w:rsidRPr="00C40B2F" w:rsidRDefault="00C518FA" w:rsidP="005C187B">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t>2/</w:t>
      </w:r>
      <w:r w:rsidR="000A6F37" w:rsidRPr="00C40B2F">
        <w:rPr>
          <w:sz w:val="24"/>
          <w:szCs w:val="24"/>
        </w:rPr>
        <w:t>.</w:t>
      </w:r>
      <w:r w:rsidRPr="00C40B2F">
        <w:rPr>
          <w:sz w:val="24"/>
          <w:szCs w:val="24"/>
        </w:rPr>
        <w:t xml:space="preserve"> Да бъдат извършени </w:t>
      </w:r>
      <w:r w:rsidR="00A06B3B" w:rsidRPr="00C40B2F">
        <w:rPr>
          <w:sz w:val="24"/>
          <w:szCs w:val="24"/>
        </w:rPr>
        <w:t xml:space="preserve">след датата на </w:t>
      </w:r>
      <w:r w:rsidR="00D92636" w:rsidRPr="00C40B2F">
        <w:rPr>
          <w:sz w:val="24"/>
          <w:szCs w:val="24"/>
        </w:rPr>
        <w:t xml:space="preserve">подаване на проектното предложение </w:t>
      </w:r>
      <w:r w:rsidR="00B2480B" w:rsidRPr="00C40B2F">
        <w:rPr>
          <w:sz w:val="24"/>
          <w:szCs w:val="24"/>
        </w:rPr>
        <w:t xml:space="preserve">и </w:t>
      </w:r>
      <w:r w:rsidRPr="00C40B2F">
        <w:rPr>
          <w:sz w:val="24"/>
          <w:szCs w:val="24"/>
        </w:rPr>
        <w:t>до изтичане на крайния срок, определен за представяне на финалния отчет за изпълнение на дейностите по проекта</w:t>
      </w:r>
      <w:r w:rsidR="00A06B3B" w:rsidRPr="00C40B2F">
        <w:rPr>
          <w:sz w:val="24"/>
          <w:szCs w:val="24"/>
        </w:rPr>
        <w:t xml:space="preserve">. </w:t>
      </w:r>
    </w:p>
    <w:p w:rsidR="00C518FA" w:rsidRPr="00C40B2F" w:rsidRDefault="00CA7467" w:rsidP="005C187B">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t xml:space="preserve">Изключение се допуска за разходите за консултантски услуги за разработване на технически задания, свързани с изграждането и/или надграждането на информационни системи и софтуерни компоненти, в т.ч. регистри, интернет страници, вътрешни информационни системи, потребителски интерфейси към съществуващи системи, системи за предоставяне на електронни административни услуги и за електронен документооборот съгласно изискванията на </w:t>
      </w:r>
      <w:r w:rsidRPr="00C40B2F">
        <w:rPr>
          <w:b/>
          <w:sz w:val="24"/>
          <w:szCs w:val="24"/>
        </w:rPr>
        <w:t>Наредбата за общите изисквания към информационните системи, регистрите и електронните административни услуги</w:t>
      </w:r>
      <w:r w:rsidRPr="00C40B2F">
        <w:rPr>
          <w:sz w:val="24"/>
          <w:szCs w:val="24"/>
        </w:rPr>
        <w:t>, които трябва да бъдат извършени преди подаване на проектното предложение.</w:t>
      </w:r>
    </w:p>
    <w:p w:rsidR="008C72F2" w:rsidRPr="00C40B2F" w:rsidRDefault="00C518FA" w:rsidP="005C187B">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t>Разходооправдателните документи, свързани с изпълнението на допустими</w:t>
      </w:r>
      <w:r w:rsidR="007A34EB" w:rsidRPr="00C40B2F">
        <w:rPr>
          <w:sz w:val="24"/>
          <w:szCs w:val="24"/>
        </w:rPr>
        <w:t>те</w:t>
      </w:r>
      <w:r w:rsidRPr="00C40B2F">
        <w:rPr>
          <w:sz w:val="24"/>
          <w:szCs w:val="24"/>
        </w:rPr>
        <w:t xml:space="preserve"> по проекта дейности, следва да бъдат издадени в периода </w:t>
      </w:r>
      <w:r w:rsidR="00162122" w:rsidRPr="00C40B2F">
        <w:rPr>
          <w:sz w:val="24"/>
          <w:szCs w:val="24"/>
        </w:rPr>
        <w:t>на допустимост на разходите</w:t>
      </w:r>
      <w:r w:rsidR="00D92636" w:rsidRPr="00C40B2F">
        <w:rPr>
          <w:sz w:val="24"/>
          <w:szCs w:val="24"/>
        </w:rPr>
        <w:t xml:space="preserve"> – след датата на подаване на проектното предложение и до изтичане на крайния срок, определен за предаване на междинния/финалния отчет</w:t>
      </w:r>
      <w:r w:rsidR="00487CB0" w:rsidRPr="00C40B2F">
        <w:rPr>
          <w:sz w:val="24"/>
          <w:szCs w:val="24"/>
        </w:rPr>
        <w:t>.</w:t>
      </w:r>
    </w:p>
    <w:p w:rsidR="0080216D" w:rsidRPr="00C40B2F" w:rsidRDefault="0080216D" w:rsidP="005C187B">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t xml:space="preserve">3/. Да са в съответствие с категориите разходи, включени в административния договор за предоставяне на безвъзмездна </w:t>
      </w:r>
      <w:r w:rsidR="00B34010" w:rsidRPr="00C40B2F">
        <w:rPr>
          <w:sz w:val="24"/>
          <w:szCs w:val="24"/>
        </w:rPr>
        <w:t xml:space="preserve">финансова </w:t>
      </w:r>
      <w:r w:rsidRPr="00C40B2F">
        <w:rPr>
          <w:sz w:val="24"/>
          <w:szCs w:val="24"/>
        </w:rPr>
        <w:t xml:space="preserve">помощ. </w:t>
      </w:r>
    </w:p>
    <w:p w:rsidR="00C518FA" w:rsidRPr="00C40B2F" w:rsidRDefault="009D2818" w:rsidP="005C187B">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t>4</w:t>
      </w:r>
      <w:r w:rsidR="00C518FA" w:rsidRPr="00C40B2F">
        <w:rPr>
          <w:sz w:val="24"/>
          <w:szCs w:val="24"/>
        </w:rPr>
        <w:t>/</w:t>
      </w:r>
      <w:r w:rsidRPr="00C40B2F">
        <w:rPr>
          <w:sz w:val="24"/>
          <w:szCs w:val="24"/>
        </w:rPr>
        <w:t>.</w:t>
      </w:r>
      <w:r w:rsidR="00C518FA" w:rsidRPr="00C40B2F">
        <w:rPr>
          <w:sz w:val="24"/>
          <w:szCs w:val="24"/>
        </w:rPr>
        <w:t xml:space="preserve"> За разходите да е налична адекватна одитна следа</w:t>
      </w:r>
      <w:r w:rsidRPr="00C40B2F">
        <w:rPr>
          <w:sz w:val="24"/>
          <w:szCs w:val="24"/>
        </w:rPr>
        <w:t xml:space="preserve"> в съответствие с чл. 57, ал. 1, т. 6 от ЗУСЕСИФ</w:t>
      </w:r>
      <w:r w:rsidR="00C518FA" w:rsidRPr="00C40B2F">
        <w:rPr>
          <w:sz w:val="24"/>
          <w:szCs w:val="24"/>
        </w:rPr>
        <w:t>, включително да са спазени изискванията за съхраняване на документите по чл. 14</w:t>
      </w:r>
      <w:r w:rsidR="006F50C0" w:rsidRPr="00C40B2F">
        <w:rPr>
          <w:sz w:val="24"/>
          <w:szCs w:val="24"/>
        </w:rPr>
        <w:t>0 от Регламент (ЕС) № 1303/2013.</w:t>
      </w:r>
    </w:p>
    <w:p w:rsidR="00280F8A" w:rsidRPr="00C40B2F" w:rsidRDefault="00280F8A" w:rsidP="005C187B">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t>5/. 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от страна на бенефициента. Разходи, подкрепени с протоколи за прихващане, не се считат за допустими.</w:t>
      </w:r>
    </w:p>
    <w:p w:rsidR="00470BF9" w:rsidRPr="00C40B2F" w:rsidRDefault="00983861" w:rsidP="005C187B">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t>6</w:t>
      </w:r>
      <w:r w:rsidR="00C518FA" w:rsidRPr="00C40B2F">
        <w:rPr>
          <w:sz w:val="24"/>
          <w:szCs w:val="24"/>
        </w:rPr>
        <w:t>/</w:t>
      </w:r>
      <w:r w:rsidR="007C64CA" w:rsidRPr="00C40B2F">
        <w:rPr>
          <w:sz w:val="24"/>
          <w:szCs w:val="24"/>
        </w:rPr>
        <w:t xml:space="preserve">. </w:t>
      </w:r>
      <w:r w:rsidR="00C518FA" w:rsidRPr="00C40B2F">
        <w:rPr>
          <w:sz w:val="24"/>
          <w:szCs w:val="24"/>
        </w:rPr>
        <w:t>Да са отразени в счетоводната документация на бенефициента</w:t>
      </w:r>
      <w:r w:rsidR="00470BF9" w:rsidRPr="00C40B2F">
        <w:rPr>
          <w:sz w:val="24"/>
          <w:szCs w:val="24"/>
        </w:rPr>
        <w:t xml:space="preserve"> чрез отделни счетоводни аналитични сметки </w:t>
      </w:r>
      <w:r w:rsidR="00110EF4" w:rsidRPr="00C40B2F">
        <w:rPr>
          <w:sz w:val="24"/>
          <w:szCs w:val="24"/>
        </w:rPr>
        <w:t xml:space="preserve">по проекта </w:t>
      </w:r>
      <w:r w:rsidR="00470BF9" w:rsidRPr="00C40B2F">
        <w:rPr>
          <w:sz w:val="24"/>
          <w:szCs w:val="24"/>
        </w:rPr>
        <w:t xml:space="preserve">или в отделна счетоводна система. </w:t>
      </w:r>
    </w:p>
    <w:p w:rsidR="00C518FA" w:rsidRPr="00C40B2F" w:rsidRDefault="00983861" w:rsidP="005C187B">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t>7</w:t>
      </w:r>
      <w:r w:rsidR="00C518FA" w:rsidRPr="00C40B2F">
        <w:rPr>
          <w:sz w:val="24"/>
          <w:szCs w:val="24"/>
        </w:rPr>
        <w:t>/</w:t>
      </w:r>
      <w:r w:rsidR="007C64CA" w:rsidRPr="00C40B2F">
        <w:rPr>
          <w:sz w:val="24"/>
          <w:szCs w:val="24"/>
        </w:rPr>
        <w:t xml:space="preserve">. </w:t>
      </w:r>
      <w:r w:rsidR="00C518FA" w:rsidRPr="00C40B2F">
        <w:rPr>
          <w:sz w:val="24"/>
          <w:szCs w:val="24"/>
        </w:rPr>
        <w:t xml:space="preserve"> Да могат да се установят и проверят, да бъдат подкрепени от оригинални разходо-оправдателни документи.</w:t>
      </w:r>
    </w:p>
    <w:p w:rsidR="007609B0" w:rsidRPr="00C40B2F" w:rsidRDefault="007609B0" w:rsidP="005C187B">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lastRenderedPageBreak/>
        <w:t>8/. Да са за реално доставени</w:t>
      </w:r>
      <w:r w:rsidR="00BC384B" w:rsidRPr="00C40B2F">
        <w:rPr>
          <w:sz w:val="24"/>
          <w:szCs w:val="24"/>
        </w:rPr>
        <w:t>/извършени</w:t>
      </w:r>
      <w:r w:rsidRPr="00C40B2F">
        <w:rPr>
          <w:sz w:val="24"/>
          <w:szCs w:val="24"/>
        </w:rPr>
        <w:t xml:space="preserve"> продукти</w:t>
      </w:r>
      <w:r w:rsidR="00BC384B" w:rsidRPr="00C40B2F">
        <w:rPr>
          <w:sz w:val="24"/>
          <w:szCs w:val="24"/>
        </w:rPr>
        <w:t xml:space="preserve"> </w:t>
      </w:r>
      <w:r w:rsidRPr="00C40B2F">
        <w:rPr>
          <w:sz w:val="24"/>
          <w:szCs w:val="24"/>
        </w:rPr>
        <w:t>и услуги, въз основа на договори, които са сключени при спазване изискванията на националното и европейското законодателство за възлагане на обществени поръчки</w:t>
      </w:r>
      <w:r w:rsidR="000A4D7D" w:rsidRPr="00C40B2F">
        <w:rPr>
          <w:sz w:val="24"/>
          <w:szCs w:val="24"/>
        </w:rPr>
        <w:t xml:space="preserve">. </w:t>
      </w:r>
    </w:p>
    <w:p w:rsidR="00C518FA" w:rsidRPr="00C40B2F" w:rsidRDefault="007609B0" w:rsidP="005C187B">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t>9</w:t>
      </w:r>
      <w:r w:rsidR="00C518FA" w:rsidRPr="00C40B2F">
        <w:rPr>
          <w:sz w:val="24"/>
          <w:szCs w:val="24"/>
        </w:rPr>
        <w:t>/</w:t>
      </w:r>
      <w:r w:rsidR="007C64CA" w:rsidRPr="00C40B2F">
        <w:rPr>
          <w:sz w:val="24"/>
          <w:szCs w:val="24"/>
        </w:rPr>
        <w:t xml:space="preserve">. </w:t>
      </w:r>
      <w:r w:rsidR="00C518FA" w:rsidRPr="00C40B2F">
        <w:rPr>
          <w:sz w:val="24"/>
          <w:szCs w:val="24"/>
        </w:rPr>
        <w:t xml:space="preserve">Да са за дейности, определени и извършени под отговорността на Управляващия орган и съгласно </w:t>
      </w:r>
      <w:r w:rsidR="00280F8A" w:rsidRPr="00C40B2F">
        <w:rPr>
          <w:sz w:val="24"/>
          <w:szCs w:val="24"/>
        </w:rPr>
        <w:t xml:space="preserve">Методологията и </w:t>
      </w:r>
      <w:r w:rsidR="00C518FA" w:rsidRPr="00C40B2F">
        <w:rPr>
          <w:sz w:val="24"/>
          <w:szCs w:val="24"/>
        </w:rPr>
        <w:t xml:space="preserve">критериите за подбор на операции, одобрени от Комитета за наблюдение. </w:t>
      </w:r>
    </w:p>
    <w:p w:rsidR="00C518FA" w:rsidRPr="00C40B2F" w:rsidRDefault="007609B0" w:rsidP="005C187B">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t>10</w:t>
      </w:r>
      <w:r w:rsidR="00C518FA" w:rsidRPr="00C40B2F">
        <w:rPr>
          <w:sz w:val="24"/>
          <w:szCs w:val="24"/>
        </w:rPr>
        <w:t>/</w:t>
      </w:r>
      <w:r w:rsidR="00983861" w:rsidRPr="00C40B2F">
        <w:rPr>
          <w:sz w:val="24"/>
          <w:szCs w:val="24"/>
        </w:rPr>
        <w:t>.</w:t>
      </w:r>
      <w:r w:rsidR="00C518FA" w:rsidRPr="00C40B2F">
        <w:rPr>
          <w:sz w:val="24"/>
          <w:szCs w:val="24"/>
        </w:rPr>
        <w:t xml:space="preserve"> Да не са финансирани по друг проект, програма или друга финансова схема, финансирана от публични средства на националния или европейския бюджети. </w:t>
      </w:r>
    </w:p>
    <w:p w:rsidR="001603B0" w:rsidRPr="00C40B2F" w:rsidRDefault="003639DA" w:rsidP="008D732A">
      <w:pPr>
        <w:pBdr>
          <w:top w:val="single" w:sz="4" w:space="1" w:color="auto"/>
          <w:left w:val="single" w:sz="4" w:space="4" w:color="auto"/>
          <w:bottom w:val="single" w:sz="4" w:space="1" w:color="auto"/>
          <w:right w:val="single" w:sz="4" w:space="4" w:color="auto"/>
        </w:pBdr>
        <w:spacing w:after="360" w:line="240" w:lineRule="auto"/>
        <w:jc w:val="both"/>
        <w:rPr>
          <w:sz w:val="24"/>
          <w:szCs w:val="24"/>
        </w:rPr>
      </w:pPr>
      <w:r w:rsidRPr="00C40B2F">
        <w:rPr>
          <w:b/>
          <w:sz w:val="24"/>
          <w:szCs w:val="24"/>
          <w:u w:val="single"/>
        </w:rPr>
        <w:t>ВАЖНО!:</w:t>
      </w:r>
      <w:r w:rsidRPr="00C40B2F">
        <w:rPr>
          <w:sz w:val="24"/>
          <w:szCs w:val="24"/>
        </w:rPr>
        <w:t xml:space="preserve"> </w:t>
      </w:r>
      <w:r w:rsidR="00444613" w:rsidRPr="00C40B2F">
        <w:rPr>
          <w:sz w:val="24"/>
          <w:szCs w:val="24"/>
        </w:rPr>
        <w:t xml:space="preserve">Оценката на допустимостта на разходите за дълготрайни материални и нематериални активи, посочени в бюджета на проектното предложение (т. 5 от Формуляра за кандидатстване) ще бъде извършвана </w:t>
      </w:r>
      <w:r w:rsidR="00C17C6F" w:rsidRPr="00C40B2F">
        <w:rPr>
          <w:sz w:val="24"/>
          <w:szCs w:val="24"/>
        </w:rPr>
        <w:t xml:space="preserve">в съответствие с </w:t>
      </w:r>
      <w:r w:rsidR="000B4497" w:rsidRPr="00C40B2F">
        <w:rPr>
          <w:sz w:val="24"/>
          <w:szCs w:val="24"/>
        </w:rPr>
        <w:t xml:space="preserve">българското законодателство. </w:t>
      </w:r>
    </w:p>
    <w:p w:rsidR="001603B0" w:rsidRPr="00C40B2F" w:rsidRDefault="001603B0" w:rsidP="009976F4">
      <w:pPr>
        <w:pStyle w:val="Heading2"/>
        <w:spacing w:before="120" w:after="120"/>
      </w:pPr>
      <w:bookmarkStart w:id="16" w:name="_Toc442298723"/>
      <w:bookmarkStart w:id="17" w:name="_Toc476919452"/>
      <w:r w:rsidRPr="00C40B2F">
        <w:t>14.2. Допустими разходи</w:t>
      </w:r>
      <w:bookmarkEnd w:id="16"/>
      <w:bookmarkEnd w:id="17"/>
    </w:p>
    <w:p w:rsidR="00C518FA" w:rsidRPr="00C40B2F" w:rsidRDefault="00C518FA" w:rsidP="001A0A36">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C40B2F">
        <w:rPr>
          <w:sz w:val="24"/>
          <w:szCs w:val="24"/>
        </w:rPr>
        <w:t xml:space="preserve">Допустимите разходи </w:t>
      </w:r>
      <w:r w:rsidRPr="00C40B2F">
        <w:rPr>
          <w:rFonts w:ascii="Calibri" w:eastAsia="Calibri" w:hAnsi="Calibri" w:cs="Times New Roman"/>
          <w:sz w:val="24"/>
          <w:szCs w:val="24"/>
        </w:rPr>
        <w:t xml:space="preserve">следва да са извършени законосъобразно и </w:t>
      </w:r>
      <w:r w:rsidRPr="00C40B2F">
        <w:rPr>
          <w:sz w:val="24"/>
          <w:szCs w:val="24"/>
        </w:rPr>
        <w:t xml:space="preserve">не трябва да противоречат на правилата, описани в Регламент (ЕС) № 1301/2013 на Европейския парламент и Съвета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(ЕО) № 1080/2006, Регламент (ЕС) № 1303/2013 на Европейския парламент и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w:t>
      </w:r>
      <w:r w:rsidRPr="00C40B2F">
        <w:rPr>
          <w:rFonts w:ascii="Calibri" w:eastAsia="Calibri" w:hAnsi="Calibri" w:cs="Times New Roman"/>
          <w:sz w:val="24"/>
          <w:szCs w:val="24"/>
        </w:rPr>
        <w:t>Закона за управление на средствата от Европейските структурни и инвестиционни фондове (ЗУСЕСИФ),</w:t>
      </w:r>
      <w:r w:rsidRPr="00C40B2F">
        <w:rPr>
          <w:sz w:val="24"/>
          <w:szCs w:val="24"/>
        </w:rPr>
        <w:t xml:space="preserve"> както и всички други законови и подзаконови  нормативни актове от приложимото право на Европейския съюз и българското законодателство и настоящите Условия за кандидатстване.</w:t>
      </w:r>
    </w:p>
    <w:p w:rsidR="007F06D5" w:rsidRPr="00C40B2F" w:rsidRDefault="00C518FA" w:rsidP="001A0A36">
      <w:pPr>
        <w:pBdr>
          <w:top w:val="single" w:sz="4" w:space="1" w:color="auto"/>
          <w:left w:val="single" w:sz="4" w:space="4" w:color="auto"/>
          <w:bottom w:val="single" w:sz="4" w:space="1" w:color="auto"/>
          <w:right w:val="single" w:sz="4" w:space="4" w:color="auto"/>
        </w:pBdr>
        <w:spacing w:after="240" w:line="240" w:lineRule="auto"/>
        <w:jc w:val="both"/>
        <w:rPr>
          <w:b/>
          <w:sz w:val="24"/>
          <w:szCs w:val="24"/>
        </w:rPr>
      </w:pPr>
      <w:r w:rsidRPr="00C40B2F">
        <w:rPr>
          <w:b/>
          <w:sz w:val="24"/>
          <w:szCs w:val="24"/>
        </w:rPr>
        <w:t xml:space="preserve">Допустими по </w:t>
      </w:r>
      <w:r w:rsidR="00E3330D" w:rsidRPr="00C40B2F">
        <w:rPr>
          <w:b/>
          <w:sz w:val="24"/>
          <w:szCs w:val="24"/>
        </w:rPr>
        <w:t xml:space="preserve">настоящата </w:t>
      </w:r>
      <w:r w:rsidRPr="00C40B2F">
        <w:rPr>
          <w:b/>
          <w:sz w:val="24"/>
          <w:szCs w:val="24"/>
        </w:rPr>
        <w:t>процедура са следните видове разходи:</w:t>
      </w:r>
    </w:p>
    <w:p w:rsidR="00925289" w:rsidRPr="00C40B2F" w:rsidRDefault="00925289" w:rsidP="00C40B2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t>1. Разходи за проектиране, софтуерна разработка и поддържане на единна информационна система, която да обхваща всички дейности на Патентно ведомство</w:t>
      </w:r>
    </w:p>
    <w:p w:rsidR="00925289" w:rsidRPr="00C40B2F" w:rsidRDefault="00925289" w:rsidP="00C40B2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t>2. Разходи за закупуване на хардуерно оборудване, необходимо за поддръжка на единната информационна система</w:t>
      </w:r>
    </w:p>
    <w:p w:rsidR="00925289" w:rsidRPr="00C40B2F" w:rsidRDefault="00925289" w:rsidP="00C40B2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t xml:space="preserve">3. Разходи за закупуване на </w:t>
      </w:r>
      <w:r w:rsidR="00882244" w:rsidRPr="00C40B2F">
        <w:rPr>
          <w:sz w:val="24"/>
          <w:szCs w:val="24"/>
        </w:rPr>
        <w:t xml:space="preserve">един брой </w:t>
      </w:r>
      <w:r w:rsidRPr="00C40B2F">
        <w:rPr>
          <w:sz w:val="24"/>
          <w:szCs w:val="24"/>
        </w:rPr>
        <w:t>мултифункционален скенер за дигитализиране на архивните единици на Патентно ведомство</w:t>
      </w:r>
    </w:p>
    <w:p w:rsidR="00925289" w:rsidRPr="00C40B2F" w:rsidRDefault="00925289" w:rsidP="00C40B2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lastRenderedPageBreak/>
        <w:t>4. Разходи за извършване на ограничени строително-монтажни работи (СМР) на помещенията на Централна патентна библиотека и тези за съхраняване на веществените доказателства</w:t>
      </w:r>
    </w:p>
    <w:p w:rsidR="00925289" w:rsidRPr="00C40B2F" w:rsidRDefault="00925289" w:rsidP="00C40B2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t xml:space="preserve">5. Разходи за извършване на външна патентна експертиза, свързана с ускоряване разглеждането на заявки за патенти </w:t>
      </w:r>
    </w:p>
    <w:p w:rsidR="00925289" w:rsidRPr="00C40B2F" w:rsidRDefault="00925289" w:rsidP="00C40B2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t>6. Разходи за доставка и монтаж на оборудване и обзавеждане на Централната патентна библиотека и работните помещения за съхраняване на веществените доказателства</w:t>
      </w:r>
      <w:r w:rsidR="00882244" w:rsidRPr="00C40B2F">
        <w:rPr>
          <w:sz w:val="24"/>
          <w:szCs w:val="24"/>
        </w:rPr>
        <w:t xml:space="preserve">, </w:t>
      </w:r>
      <w:r w:rsidRPr="00C40B2F">
        <w:rPr>
          <w:sz w:val="24"/>
          <w:szCs w:val="24"/>
        </w:rPr>
        <w:t xml:space="preserve"> </w:t>
      </w:r>
      <w:r w:rsidR="00882244" w:rsidRPr="00C40B2F">
        <w:rPr>
          <w:sz w:val="24"/>
          <w:szCs w:val="24"/>
        </w:rPr>
        <w:t>представляващо дълготрайни материали и дълготрайни нематериални активи</w:t>
      </w:r>
    </w:p>
    <w:p w:rsidR="00925289" w:rsidRPr="00C40B2F" w:rsidRDefault="00925289" w:rsidP="00C40B2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t>7. Разходи за доразработване, модернизиране и поддръжка на съществуващата електронна страница на Патентно ведомство във връзка с улесняване достъпа до информация</w:t>
      </w:r>
    </w:p>
    <w:p w:rsidR="00925289" w:rsidRPr="00C40B2F" w:rsidRDefault="00925289" w:rsidP="00C40B2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t>8. Разходи за разработване и отпечатване на информационни материали за системата на закрила на обектите на индустриална собственост</w:t>
      </w:r>
    </w:p>
    <w:p w:rsidR="00925289" w:rsidRPr="00C40B2F" w:rsidRDefault="00925289" w:rsidP="00C40B2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t>9. Разходи за създаване на образователни видеоклипове относно обектите на индустриална собственост</w:t>
      </w:r>
    </w:p>
    <w:p w:rsidR="00925289" w:rsidRPr="00C40B2F" w:rsidRDefault="00925289" w:rsidP="00C40B2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t>10. Разходи за закупуване на рекламно време и излъчване на образователните клипове по национална медия</w:t>
      </w:r>
    </w:p>
    <w:p w:rsidR="00925289" w:rsidRPr="00C40B2F" w:rsidRDefault="00925289" w:rsidP="00C40B2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t>11. Разходи за организиране и провеждане на конференции, семинари и кръгли маси за бизнеса и заявители във връзка с индустриалната собственост</w:t>
      </w:r>
    </w:p>
    <w:p w:rsidR="00925289" w:rsidRPr="00C40B2F" w:rsidRDefault="00925289" w:rsidP="00C40B2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t>12. Разходи за закупуване на 2 леки автомобила и 1 микробус за целите на проверките, извършвани от Патентно ведомство</w:t>
      </w:r>
    </w:p>
    <w:p w:rsidR="00925289" w:rsidRPr="00C40B2F" w:rsidRDefault="00925289" w:rsidP="00C40B2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t>13. Разходи за изготвяне на анализи и проучвания, които да подпомогнат представителите на бизнеса при заявяването, регистрирането и поддържането на права върху обектите на индустриална собственост</w:t>
      </w:r>
      <w:r w:rsidR="00FB6D4E" w:rsidRPr="00C40B2F">
        <w:rPr>
          <w:sz w:val="24"/>
          <w:szCs w:val="24"/>
        </w:rPr>
        <w:t>:</w:t>
      </w:r>
    </w:p>
    <w:p w:rsidR="002C111F" w:rsidRPr="00C40B2F" w:rsidRDefault="002C111F" w:rsidP="00C40B2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t xml:space="preserve">13.1 </w:t>
      </w:r>
      <w:r w:rsidR="00B20E8C" w:rsidRPr="00C40B2F">
        <w:rPr>
          <w:sz w:val="24"/>
          <w:szCs w:val="24"/>
        </w:rPr>
        <w:t>Преглед и а</w:t>
      </w:r>
      <w:r w:rsidRPr="00C40B2F">
        <w:rPr>
          <w:sz w:val="24"/>
          <w:szCs w:val="24"/>
        </w:rPr>
        <w:t>нализ относно добрите практики в други патентни ведомства</w:t>
      </w:r>
    </w:p>
    <w:p w:rsidR="00FB6D4E" w:rsidRPr="00C40B2F" w:rsidRDefault="00FB6D4E" w:rsidP="00C40B2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t>13.</w:t>
      </w:r>
      <w:r w:rsidR="002C111F" w:rsidRPr="00C40B2F">
        <w:rPr>
          <w:sz w:val="24"/>
          <w:szCs w:val="24"/>
        </w:rPr>
        <w:t xml:space="preserve">2 </w:t>
      </w:r>
      <w:r w:rsidRPr="00C40B2F">
        <w:rPr>
          <w:sz w:val="24"/>
          <w:szCs w:val="24"/>
        </w:rPr>
        <w:t>Проучвания за степен на удовлетвореност на клиентите на Патентно ведомство по различни показатели</w:t>
      </w:r>
    </w:p>
    <w:p w:rsidR="00FB6D4E" w:rsidRPr="00C40B2F" w:rsidRDefault="00FB6D4E" w:rsidP="00C40B2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t>13.</w:t>
      </w:r>
      <w:r w:rsidR="002C111F" w:rsidRPr="00C40B2F">
        <w:rPr>
          <w:sz w:val="24"/>
          <w:szCs w:val="24"/>
        </w:rPr>
        <w:t>3</w:t>
      </w:r>
      <w:r w:rsidRPr="00C40B2F">
        <w:rPr>
          <w:sz w:val="24"/>
          <w:szCs w:val="24"/>
        </w:rPr>
        <w:tab/>
        <w:t xml:space="preserve"> Преглед и анализ на европейското законодателство и правоприлагане в областта на защитата на индустриалната собственост</w:t>
      </w:r>
    </w:p>
    <w:p w:rsidR="00FB6D4E" w:rsidRPr="00C40B2F" w:rsidRDefault="00FB6D4E" w:rsidP="00C40B2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t>13.</w:t>
      </w:r>
      <w:r w:rsidR="002C111F" w:rsidRPr="00C40B2F">
        <w:rPr>
          <w:sz w:val="24"/>
          <w:szCs w:val="24"/>
        </w:rPr>
        <w:t>4</w:t>
      </w:r>
      <w:r w:rsidRPr="00C40B2F">
        <w:rPr>
          <w:sz w:val="24"/>
          <w:szCs w:val="24"/>
        </w:rPr>
        <w:tab/>
        <w:t xml:space="preserve"> Проучване за отношението на потребителите към стоки и продукти, обозначени с търговски марки или географски означения</w:t>
      </w:r>
    </w:p>
    <w:p w:rsidR="000B317E" w:rsidRPr="00C40B2F" w:rsidRDefault="00925289" w:rsidP="00C40B2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t>14. Разходи за консултантски услуги за разработване на документация за предвидените по проекта/ите обществени поръчки и осъществяване на контрол по изпълнението на договорите за възлагане на обществени поръчки</w:t>
      </w:r>
      <w:r w:rsidR="000B317E" w:rsidRPr="00C40B2F">
        <w:rPr>
          <w:sz w:val="24"/>
          <w:szCs w:val="24"/>
        </w:rPr>
        <w:t xml:space="preserve"> </w:t>
      </w:r>
    </w:p>
    <w:p w:rsidR="00925289" w:rsidRPr="00C40B2F" w:rsidRDefault="000B317E" w:rsidP="00C40B2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b/>
          <w:sz w:val="24"/>
          <w:szCs w:val="24"/>
          <w:u w:val="single"/>
        </w:rPr>
        <w:t>ВАЖНО!:</w:t>
      </w:r>
      <w:r w:rsidRPr="00C40B2F">
        <w:rPr>
          <w:sz w:val="24"/>
          <w:szCs w:val="24"/>
        </w:rPr>
        <w:t xml:space="preserve"> В горепосочените </w:t>
      </w:r>
      <w:r w:rsidR="006615BE" w:rsidRPr="00C40B2F">
        <w:rPr>
          <w:sz w:val="24"/>
          <w:szCs w:val="24"/>
        </w:rPr>
        <w:t xml:space="preserve">в т. 14 </w:t>
      </w:r>
      <w:r w:rsidRPr="00C40B2F">
        <w:rPr>
          <w:sz w:val="24"/>
          <w:szCs w:val="24"/>
        </w:rPr>
        <w:t xml:space="preserve">разходи се включват и разходи за консултантски услуги за разработване на технически задания, свързани с изграждането и/или надграждането на информационни системи и софтуерни компоненти, в т.ч. регистри, интернет страници, </w:t>
      </w:r>
      <w:r w:rsidRPr="00C40B2F">
        <w:rPr>
          <w:sz w:val="24"/>
          <w:szCs w:val="24"/>
        </w:rPr>
        <w:lastRenderedPageBreak/>
        <w:t>вътрешни информационни системи, потребителски интерфейси към съществуващи системи, системи за предоставяне на електронни административни услуги и за електронен документооборот съгласно изискванията на Наредбата за общите изисквания към информационните системи, регистрите и електронните административни услуги, които са направени преди сключване на административния договор за безвъзмездна финансова помощ.</w:t>
      </w:r>
    </w:p>
    <w:p w:rsidR="00925289" w:rsidRPr="00C40B2F" w:rsidRDefault="00925289" w:rsidP="00C40B2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t>15. Разходи за организация и управление на проекта/ите - до 10% от общите допустими разходи по всеки проект:</w:t>
      </w:r>
    </w:p>
    <w:p w:rsidR="00925289" w:rsidRPr="00C40B2F" w:rsidRDefault="00925289" w:rsidP="00C40B2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t xml:space="preserve">-  Разходи за възнаграждения на лица, пряко ангажирани с дейности по изпълнението и/или управлението на проекта, включително задължителните социални и здравни осигурителни вноски за сметка на осигурителя, съгласно националното законодателство </w:t>
      </w:r>
    </w:p>
    <w:p w:rsidR="00925289" w:rsidRPr="00C40B2F" w:rsidRDefault="00925289" w:rsidP="00C40B2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t xml:space="preserve">16. Разходи за командировки (пътни, дневни и квартирни пари и разходи за медицинска застраховка за времето на командировката за чужбина) в страната и чужбина, свързани с изпълнението на проекта, в съответствие с Наредбата за командировките в страната и с Наредбата за служебни командировки и специализации в чужбина </w:t>
      </w:r>
    </w:p>
    <w:p w:rsidR="00925289" w:rsidRPr="00C40B2F" w:rsidRDefault="00925289" w:rsidP="00C40B2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t>17. Разходи за одит на проекта/ите – до 10 000 лв. на проект</w:t>
      </w:r>
    </w:p>
    <w:p w:rsidR="00925289" w:rsidRPr="00C40B2F" w:rsidRDefault="00925289" w:rsidP="00C40B2F">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C40B2F">
        <w:rPr>
          <w:sz w:val="24"/>
          <w:szCs w:val="24"/>
        </w:rPr>
        <w:t xml:space="preserve">18. Разходи за информация и комуникация на проекта/ите – до 1% от общите допустими разходи по всеки един проект </w:t>
      </w:r>
    </w:p>
    <w:p w:rsidR="009976F4" w:rsidRPr="00C40B2F" w:rsidRDefault="009976F4" w:rsidP="009976F4">
      <w:pPr>
        <w:pStyle w:val="Heading2"/>
        <w:spacing w:before="120" w:after="120"/>
      </w:pPr>
      <w:bookmarkStart w:id="18" w:name="_Toc442298724"/>
      <w:bookmarkStart w:id="19" w:name="_Toc476919453"/>
      <w:r w:rsidRPr="00C40B2F">
        <w:t>14.3. Недопустими разходи</w:t>
      </w:r>
      <w:bookmarkEnd w:id="18"/>
      <w:bookmarkEnd w:id="19"/>
    </w:p>
    <w:p w:rsidR="000509F6" w:rsidRPr="00C40B2F" w:rsidRDefault="000509F6" w:rsidP="003C04A4">
      <w:pPr>
        <w:pBdr>
          <w:top w:val="single" w:sz="4" w:space="1" w:color="auto"/>
          <w:left w:val="single" w:sz="4" w:space="4" w:color="auto"/>
          <w:bottom w:val="single" w:sz="4" w:space="1" w:color="auto"/>
          <w:right w:val="single" w:sz="4" w:space="4" w:color="auto"/>
        </w:pBdr>
        <w:spacing w:after="360" w:line="240" w:lineRule="auto"/>
        <w:jc w:val="both"/>
        <w:rPr>
          <w:sz w:val="24"/>
          <w:szCs w:val="24"/>
        </w:rPr>
      </w:pPr>
      <w:r w:rsidRPr="00C40B2F">
        <w:rPr>
          <w:sz w:val="24"/>
          <w:szCs w:val="24"/>
        </w:rPr>
        <w:t xml:space="preserve">Независимо от гореизброените условия за допустимост на разходите, за недопустими ще се считат всички разходи, които са в противоречие с правилата за Структурните фондове на ЕС (Регламент (ЕС) № 1301/2013 на Европейския парламент и на Съвета относно Европейския фонд за регионално развитие и специални разпоредби по отношение на целта „Инвестиции за растеж и работни места“, Регламент (ЕС) № 1303/2013 на Съвета относно определянето на общи разпоредби за Европейския регионален фонд, Европейския социален фонд, Кохезионния фонд, Европейския земеделски фонд за развитие на селските райони и Европейския фонд за морско дело и рибарство и Регламент за изпълнение (ЕС) 2015/207 на Комисията за определяне на подробни правила за прилагането на Регламент (ЕС) № 1303/2013 на Европейския парламент и на Съвета, Регламент (ЕС, Евратом) № 966/2012 на Европейския парламент и на Съвета от 25 октомври 2012, относно финансовите правила, приложими за общия бюджет на Съюза и за отмяна на Регламент (ЕО, Евратом) № 1605/2002 на Съвета), ПОСТАНОВЛЕНИЕ № </w:t>
      </w:r>
      <w:r w:rsidR="0029744B" w:rsidRPr="00C40B2F">
        <w:rPr>
          <w:sz w:val="24"/>
          <w:szCs w:val="24"/>
        </w:rPr>
        <w:t>189</w:t>
      </w:r>
      <w:r w:rsidRPr="00C40B2F">
        <w:rPr>
          <w:sz w:val="24"/>
          <w:szCs w:val="24"/>
        </w:rPr>
        <w:t xml:space="preserve"> на МС от </w:t>
      </w:r>
      <w:r w:rsidR="0029744B" w:rsidRPr="00C40B2F">
        <w:rPr>
          <w:sz w:val="24"/>
          <w:szCs w:val="24"/>
        </w:rPr>
        <w:t>28</w:t>
      </w:r>
      <w:r w:rsidRPr="00C40B2F">
        <w:rPr>
          <w:sz w:val="24"/>
          <w:szCs w:val="24"/>
        </w:rPr>
        <w:t>.</w:t>
      </w:r>
      <w:r w:rsidR="0029744B" w:rsidRPr="00C40B2F">
        <w:rPr>
          <w:sz w:val="24"/>
          <w:szCs w:val="24"/>
        </w:rPr>
        <w:t xml:space="preserve">07.2016 г. </w:t>
      </w:r>
      <w:r w:rsidRPr="00C40B2F">
        <w:rPr>
          <w:sz w:val="24"/>
          <w:szCs w:val="24"/>
        </w:rPr>
        <w:t xml:space="preserve">за </w:t>
      </w:r>
      <w:r w:rsidR="00EE348A" w:rsidRPr="00C40B2F">
        <w:rPr>
          <w:sz w:val="24"/>
          <w:szCs w:val="24"/>
        </w:rPr>
        <w:t xml:space="preserve">определяне на </w:t>
      </w:r>
      <w:r w:rsidRPr="00C40B2F">
        <w:rPr>
          <w:sz w:val="24"/>
          <w:szCs w:val="24"/>
        </w:rPr>
        <w:t>национални правила за допустимост на разходите по програми</w:t>
      </w:r>
      <w:r w:rsidR="00EE348A" w:rsidRPr="00C40B2F">
        <w:rPr>
          <w:sz w:val="24"/>
          <w:szCs w:val="24"/>
        </w:rPr>
        <w:t>те</w:t>
      </w:r>
      <w:r w:rsidRPr="00C40B2F">
        <w:rPr>
          <w:sz w:val="24"/>
          <w:szCs w:val="24"/>
        </w:rPr>
        <w:t xml:space="preserve">, съфинансирани от </w:t>
      </w:r>
      <w:r w:rsidR="00EE348A" w:rsidRPr="00C40B2F">
        <w:rPr>
          <w:sz w:val="24"/>
          <w:szCs w:val="24"/>
        </w:rPr>
        <w:t xml:space="preserve">Европейските структурни и инвестиционни фондове, за програмен период </w:t>
      </w:r>
      <w:r w:rsidR="00AF0179" w:rsidRPr="00C40B2F">
        <w:rPr>
          <w:sz w:val="24"/>
          <w:szCs w:val="24"/>
        </w:rPr>
        <w:t xml:space="preserve">2014-2020 г., </w:t>
      </w:r>
      <w:r w:rsidRPr="00C40B2F">
        <w:rPr>
          <w:sz w:val="24"/>
          <w:szCs w:val="24"/>
        </w:rPr>
        <w:t xml:space="preserve">Закон за управление на средствата от </w:t>
      </w:r>
      <w:r w:rsidR="00D577CA" w:rsidRPr="00C40B2F">
        <w:rPr>
          <w:sz w:val="24"/>
          <w:szCs w:val="24"/>
        </w:rPr>
        <w:t>Европейските</w:t>
      </w:r>
      <w:r w:rsidRPr="00C40B2F">
        <w:rPr>
          <w:sz w:val="24"/>
          <w:szCs w:val="24"/>
        </w:rPr>
        <w:t xml:space="preserve"> структурни и инвестиционни фондове.</w:t>
      </w:r>
    </w:p>
    <w:p w:rsidR="00806286" w:rsidRPr="00C40B2F" w:rsidRDefault="00806286" w:rsidP="003C04A4">
      <w:pPr>
        <w:keepNext/>
        <w:keepLines/>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C40B2F">
        <w:rPr>
          <w:b/>
          <w:sz w:val="24"/>
          <w:szCs w:val="24"/>
        </w:rPr>
        <w:lastRenderedPageBreak/>
        <w:t xml:space="preserve">Специфични недопустими разходи: </w:t>
      </w:r>
    </w:p>
    <w:p w:rsidR="000509F6" w:rsidRPr="00C40B2F" w:rsidRDefault="00806286" w:rsidP="003C04A4">
      <w:pPr>
        <w:keepNext/>
        <w:keepLines/>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sz w:val="24"/>
          <w:szCs w:val="24"/>
        </w:rPr>
        <w:t xml:space="preserve">В допълнение към общите недопустими разходи съгласно приложимото законодателство, по настоящата процедура </w:t>
      </w:r>
      <w:r w:rsidR="008713B3" w:rsidRPr="00C40B2F">
        <w:rPr>
          <w:sz w:val="24"/>
          <w:szCs w:val="24"/>
        </w:rPr>
        <w:t xml:space="preserve">чрез </w:t>
      </w:r>
      <w:r w:rsidRPr="00C40B2F">
        <w:rPr>
          <w:sz w:val="24"/>
          <w:szCs w:val="24"/>
        </w:rPr>
        <w:t xml:space="preserve">директно предоставяне на безвъзмездна помощ за недопустими се считат и следните </w:t>
      </w:r>
      <w:r w:rsidR="008713B3" w:rsidRPr="00C40B2F">
        <w:rPr>
          <w:sz w:val="24"/>
          <w:szCs w:val="24"/>
        </w:rPr>
        <w:t xml:space="preserve">видове </w:t>
      </w:r>
      <w:r w:rsidRPr="00C40B2F">
        <w:rPr>
          <w:sz w:val="24"/>
          <w:szCs w:val="24"/>
        </w:rPr>
        <w:t>разходи</w:t>
      </w:r>
      <w:r w:rsidR="008713B3" w:rsidRPr="00C40B2F">
        <w:rPr>
          <w:sz w:val="24"/>
          <w:szCs w:val="24"/>
        </w:rPr>
        <w:t xml:space="preserve">: </w:t>
      </w:r>
    </w:p>
    <w:p w:rsidR="003B7063" w:rsidRPr="00C40B2F" w:rsidRDefault="003B7063" w:rsidP="003C04A4">
      <w:pPr>
        <w:pStyle w:val="ListParagraph"/>
        <w:keepNext/>
        <w:keepLines/>
        <w:numPr>
          <w:ilvl w:val="0"/>
          <w:numId w:val="13"/>
        </w:numPr>
        <w:pBdr>
          <w:top w:val="single" w:sz="4" w:space="1" w:color="auto"/>
          <w:left w:val="single" w:sz="4" w:space="4" w:color="auto"/>
          <w:bottom w:val="single" w:sz="4" w:space="1" w:color="auto"/>
          <w:right w:val="single" w:sz="4" w:space="4" w:color="auto"/>
        </w:pBdr>
        <w:spacing w:after="120" w:line="240" w:lineRule="auto"/>
        <w:ind w:left="284" w:hanging="284"/>
        <w:jc w:val="both"/>
        <w:rPr>
          <w:sz w:val="24"/>
          <w:szCs w:val="24"/>
        </w:rPr>
      </w:pPr>
      <w:r w:rsidRPr="00C40B2F">
        <w:rPr>
          <w:sz w:val="24"/>
          <w:szCs w:val="24"/>
        </w:rPr>
        <w:t>разходи за дълготрайни активи втора употреба</w:t>
      </w:r>
      <w:r w:rsidRPr="00C40B2F">
        <w:rPr>
          <w:rFonts w:ascii="Calibri" w:eastAsia="Calibri" w:hAnsi="Calibri" w:cs="Times New Roman"/>
          <w:sz w:val="24"/>
          <w:szCs w:val="24"/>
        </w:rPr>
        <w:t xml:space="preserve"> и за дълготрайни активи, които не са заведени за първи път от получателя на помощта (закупени от първи доставчик или производител)</w:t>
      </w:r>
      <w:r w:rsidRPr="00C40B2F">
        <w:rPr>
          <w:sz w:val="24"/>
          <w:szCs w:val="24"/>
        </w:rPr>
        <w:t>;</w:t>
      </w:r>
    </w:p>
    <w:p w:rsidR="003B7063" w:rsidRPr="00C40B2F" w:rsidRDefault="003B7063" w:rsidP="003C04A4">
      <w:pPr>
        <w:pStyle w:val="ListParagraph"/>
        <w:keepNext/>
        <w:keepLines/>
        <w:numPr>
          <w:ilvl w:val="0"/>
          <w:numId w:val="13"/>
        </w:numPr>
        <w:pBdr>
          <w:top w:val="single" w:sz="4" w:space="1" w:color="auto"/>
          <w:left w:val="single" w:sz="4" w:space="4" w:color="auto"/>
          <w:bottom w:val="single" w:sz="4" w:space="1" w:color="auto"/>
          <w:right w:val="single" w:sz="4" w:space="4" w:color="auto"/>
        </w:pBdr>
        <w:spacing w:after="120" w:line="240" w:lineRule="auto"/>
        <w:ind w:left="284" w:hanging="284"/>
        <w:jc w:val="both"/>
        <w:rPr>
          <w:sz w:val="24"/>
          <w:szCs w:val="24"/>
        </w:rPr>
      </w:pPr>
      <w:r w:rsidRPr="00C40B2F">
        <w:rPr>
          <w:sz w:val="24"/>
          <w:szCs w:val="24"/>
        </w:rPr>
        <w:t>принос в натура;</w:t>
      </w:r>
    </w:p>
    <w:p w:rsidR="003B7063" w:rsidRPr="00C40B2F" w:rsidRDefault="003B7063" w:rsidP="003C04A4">
      <w:pPr>
        <w:pStyle w:val="ListParagraph"/>
        <w:keepNext/>
        <w:keepLines/>
        <w:numPr>
          <w:ilvl w:val="0"/>
          <w:numId w:val="13"/>
        </w:numPr>
        <w:pBdr>
          <w:top w:val="single" w:sz="4" w:space="1" w:color="auto"/>
          <w:left w:val="single" w:sz="4" w:space="4" w:color="auto"/>
          <w:bottom w:val="single" w:sz="4" w:space="1" w:color="auto"/>
          <w:right w:val="single" w:sz="4" w:space="4" w:color="auto"/>
        </w:pBdr>
        <w:spacing w:after="120" w:line="240" w:lineRule="auto"/>
        <w:ind w:left="284" w:hanging="284"/>
        <w:jc w:val="both"/>
        <w:rPr>
          <w:sz w:val="24"/>
          <w:szCs w:val="24"/>
        </w:rPr>
      </w:pPr>
      <w:r w:rsidRPr="00C40B2F">
        <w:rPr>
          <w:sz w:val="24"/>
          <w:szCs w:val="24"/>
        </w:rPr>
        <w:t>разходи за възстановим ДДС;</w:t>
      </w:r>
    </w:p>
    <w:p w:rsidR="003B7063" w:rsidRPr="00C40B2F" w:rsidRDefault="008A0C8B" w:rsidP="003C04A4">
      <w:pPr>
        <w:pStyle w:val="ListParagraph"/>
        <w:keepNext/>
        <w:keepLines/>
        <w:numPr>
          <w:ilvl w:val="0"/>
          <w:numId w:val="13"/>
        </w:numPr>
        <w:pBdr>
          <w:top w:val="single" w:sz="4" w:space="1" w:color="auto"/>
          <w:left w:val="single" w:sz="4" w:space="4" w:color="auto"/>
          <w:bottom w:val="single" w:sz="4" w:space="1" w:color="auto"/>
          <w:right w:val="single" w:sz="4" w:space="4" w:color="auto"/>
        </w:pBdr>
        <w:spacing w:after="120" w:line="240" w:lineRule="auto"/>
        <w:ind w:left="284" w:hanging="284"/>
        <w:jc w:val="both"/>
        <w:rPr>
          <w:sz w:val="24"/>
          <w:szCs w:val="24"/>
        </w:rPr>
      </w:pPr>
      <w:r w:rsidRPr="00C40B2F">
        <w:rPr>
          <w:sz w:val="24"/>
          <w:szCs w:val="24"/>
        </w:rPr>
        <w:t>разходи за покриване на възможни бъдещи загуби или дългове;</w:t>
      </w:r>
    </w:p>
    <w:p w:rsidR="008A0C8B" w:rsidRPr="00C40B2F" w:rsidRDefault="008A0C8B" w:rsidP="003C04A4">
      <w:pPr>
        <w:pStyle w:val="ListParagraph"/>
        <w:keepNext/>
        <w:keepLines/>
        <w:numPr>
          <w:ilvl w:val="0"/>
          <w:numId w:val="13"/>
        </w:numPr>
        <w:pBdr>
          <w:top w:val="single" w:sz="4" w:space="1" w:color="auto"/>
          <w:left w:val="single" w:sz="4" w:space="4" w:color="auto"/>
          <w:bottom w:val="single" w:sz="4" w:space="1" w:color="auto"/>
          <w:right w:val="single" w:sz="4" w:space="4" w:color="auto"/>
        </w:pBdr>
        <w:spacing w:after="120" w:line="240" w:lineRule="auto"/>
        <w:ind w:left="284" w:hanging="284"/>
        <w:jc w:val="both"/>
        <w:rPr>
          <w:sz w:val="24"/>
          <w:szCs w:val="24"/>
        </w:rPr>
      </w:pPr>
      <w:r w:rsidRPr="00C40B2F">
        <w:rPr>
          <w:sz w:val="24"/>
          <w:szCs w:val="24"/>
        </w:rPr>
        <w:t>глоби, имуществени санкции и разходи по пра</w:t>
      </w:r>
      <w:r w:rsidR="00690DB6" w:rsidRPr="00C40B2F">
        <w:rPr>
          <w:sz w:val="24"/>
          <w:szCs w:val="24"/>
        </w:rPr>
        <w:t>вни спорове</w:t>
      </w:r>
      <w:r w:rsidRPr="00C40B2F">
        <w:rPr>
          <w:sz w:val="24"/>
          <w:szCs w:val="24"/>
        </w:rPr>
        <w:t>;</w:t>
      </w:r>
    </w:p>
    <w:p w:rsidR="008A771A" w:rsidRPr="00C40B2F" w:rsidRDefault="008A771A" w:rsidP="003C04A4">
      <w:pPr>
        <w:pStyle w:val="ListParagraph"/>
        <w:keepNext/>
        <w:keepLines/>
        <w:numPr>
          <w:ilvl w:val="0"/>
          <w:numId w:val="13"/>
        </w:numPr>
        <w:pBdr>
          <w:top w:val="single" w:sz="4" w:space="1" w:color="auto"/>
          <w:left w:val="single" w:sz="4" w:space="4" w:color="auto"/>
          <w:bottom w:val="single" w:sz="4" w:space="1" w:color="auto"/>
          <w:right w:val="single" w:sz="4" w:space="4" w:color="auto"/>
        </w:pBdr>
        <w:spacing w:after="120" w:line="240" w:lineRule="auto"/>
        <w:ind w:left="284" w:hanging="284"/>
        <w:jc w:val="both"/>
        <w:rPr>
          <w:sz w:val="24"/>
          <w:szCs w:val="24"/>
        </w:rPr>
      </w:pPr>
      <w:r w:rsidRPr="00C40B2F">
        <w:rPr>
          <w:sz w:val="24"/>
          <w:szCs w:val="24"/>
        </w:rPr>
        <w:t xml:space="preserve">загуби от обмяна на валута; </w:t>
      </w:r>
    </w:p>
    <w:p w:rsidR="00A97D30" w:rsidRPr="00C40B2F" w:rsidRDefault="00A97D30" w:rsidP="003C04A4">
      <w:pPr>
        <w:pStyle w:val="ListParagraph"/>
        <w:keepNext/>
        <w:keepLines/>
        <w:numPr>
          <w:ilvl w:val="0"/>
          <w:numId w:val="13"/>
        </w:numPr>
        <w:pBdr>
          <w:top w:val="single" w:sz="4" w:space="1" w:color="auto"/>
          <w:left w:val="single" w:sz="4" w:space="4" w:color="auto"/>
          <w:bottom w:val="single" w:sz="4" w:space="1" w:color="auto"/>
          <w:right w:val="single" w:sz="4" w:space="4" w:color="auto"/>
        </w:pBdr>
        <w:spacing w:after="120" w:line="240" w:lineRule="auto"/>
        <w:ind w:left="284" w:hanging="284"/>
        <w:jc w:val="both"/>
        <w:rPr>
          <w:sz w:val="24"/>
          <w:szCs w:val="24"/>
        </w:rPr>
      </w:pPr>
      <w:r w:rsidRPr="00C40B2F">
        <w:rPr>
          <w:sz w:val="24"/>
          <w:szCs w:val="24"/>
        </w:rPr>
        <w:t>всички разходи, които не попадат в обхвата на допустимите дейности по настоящата процедура</w:t>
      </w:r>
      <w:r w:rsidR="008A771A" w:rsidRPr="00C40B2F">
        <w:rPr>
          <w:sz w:val="24"/>
          <w:szCs w:val="24"/>
        </w:rPr>
        <w:t xml:space="preserve">, вкл. разходи за дейности, които не са описани </w:t>
      </w:r>
      <w:r w:rsidR="00D21457" w:rsidRPr="00C40B2F">
        <w:rPr>
          <w:sz w:val="24"/>
          <w:szCs w:val="24"/>
        </w:rPr>
        <w:t>във Формуляра за кандидат</w:t>
      </w:r>
      <w:r w:rsidR="00BE01B9" w:rsidRPr="00C40B2F">
        <w:rPr>
          <w:sz w:val="24"/>
          <w:szCs w:val="24"/>
        </w:rPr>
        <w:t>стване или за които от представеното описание не може да се прецени за коя дейност се отнасят и дали тя е допустима</w:t>
      </w:r>
      <w:r w:rsidRPr="00C40B2F">
        <w:rPr>
          <w:sz w:val="24"/>
          <w:szCs w:val="24"/>
        </w:rPr>
        <w:t>;</w:t>
      </w:r>
    </w:p>
    <w:p w:rsidR="00CB17FF" w:rsidRPr="00C40B2F" w:rsidRDefault="00690DB6" w:rsidP="003C04A4">
      <w:pPr>
        <w:pStyle w:val="ListParagraph"/>
        <w:keepNext/>
        <w:keepLines/>
        <w:numPr>
          <w:ilvl w:val="0"/>
          <w:numId w:val="13"/>
        </w:numPr>
        <w:pBdr>
          <w:top w:val="single" w:sz="4" w:space="1" w:color="auto"/>
          <w:left w:val="single" w:sz="4" w:space="4" w:color="auto"/>
          <w:bottom w:val="single" w:sz="4" w:space="1" w:color="auto"/>
          <w:right w:val="single" w:sz="4" w:space="4" w:color="auto"/>
        </w:pBdr>
        <w:spacing w:after="120" w:line="240" w:lineRule="auto"/>
        <w:ind w:left="284" w:hanging="284"/>
        <w:jc w:val="both"/>
        <w:rPr>
          <w:sz w:val="24"/>
          <w:szCs w:val="24"/>
        </w:rPr>
      </w:pPr>
      <w:r w:rsidRPr="00C40B2F">
        <w:rPr>
          <w:sz w:val="24"/>
          <w:szCs w:val="24"/>
        </w:rPr>
        <w:t>разходи, които са финансирани с публични средства</w:t>
      </w:r>
      <w:r w:rsidR="00C910E7" w:rsidRPr="00C40B2F">
        <w:rPr>
          <w:sz w:val="24"/>
          <w:szCs w:val="24"/>
        </w:rPr>
        <w:t xml:space="preserve"> от други публични източници</w:t>
      </w:r>
      <w:r w:rsidR="00CB17FF" w:rsidRPr="00C40B2F">
        <w:rPr>
          <w:sz w:val="24"/>
          <w:szCs w:val="24"/>
        </w:rPr>
        <w:t xml:space="preserve">; </w:t>
      </w:r>
    </w:p>
    <w:p w:rsidR="009976F4" w:rsidRPr="00C40B2F" w:rsidRDefault="001878C1" w:rsidP="003C04A4">
      <w:pPr>
        <w:keepNext/>
        <w:keepLines/>
        <w:pBdr>
          <w:top w:val="single" w:sz="4" w:space="1" w:color="auto"/>
          <w:left w:val="single" w:sz="4" w:space="4" w:color="auto"/>
          <w:bottom w:val="single" w:sz="4" w:space="1" w:color="auto"/>
          <w:right w:val="single" w:sz="4" w:space="4" w:color="auto"/>
        </w:pBdr>
        <w:spacing w:after="360" w:line="240" w:lineRule="auto"/>
        <w:jc w:val="both"/>
        <w:rPr>
          <w:sz w:val="24"/>
          <w:szCs w:val="24"/>
        </w:rPr>
      </w:pPr>
      <w:r w:rsidRPr="00C40B2F">
        <w:rPr>
          <w:sz w:val="24"/>
          <w:szCs w:val="24"/>
        </w:rPr>
        <w:t>Управляващият</w:t>
      </w:r>
      <w:r w:rsidR="00690DB6" w:rsidRPr="00C40B2F">
        <w:rPr>
          <w:sz w:val="24"/>
          <w:szCs w:val="24"/>
        </w:rPr>
        <w:t xml:space="preserve"> орган може да нанесе корекции както във Формуляра за кандидатстване, така и в бюджета на проекта </w:t>
      </w:r>
      <w:r w:rsidR="008713B3" w:rsidRPr="00C40B2F">
        <w:rPr>
          <w:sz w:val="24"/>
          <w:szCs w:val="24"/>
        </w:rPr>
        <w:t>(т. 5 от Формуляра за кандидатстване)</w:t>
      </w:r>
      <w:r w:rsidR="00C910E7" w:rsidRPr="00C40B2F">
        <w:rPr>
          <w:sz w:val="24"/>
          <w:szCs w:val="24"/>
        </w:rPr>
        <w:t xml:space="preserve"> </w:t>
      </w:r>
      <w:r w:rsidR="00690DB6" w:rsidRPr="00C40B2F">
        <w:rPr>
          <w:sz w:val="24"/>
          <w:szCs w:val="24"/>
        </w:rPr>
        <w:t xml:space="preserve">във връзка с установени в процеса на оценката </w:t>
      </w:r>
      <w:r w:rsidR="00816C51" w:rsidRPr="00C40B2F">
        <w:rPr>
          <w:sz w:val="24"/>
          <w:szCs w:val="24"/>
        </w:rPr>
        <w:t xml:space="preserve">недопустими дейности и разходи и/или на кандидата се предоставят указания и срок за отстраняване на установените нередовности, непълноти и/или несъответствия. </w:t>
      </w:r>
    </w:p>
    <w:p w:rsidR="00CB14EE" w:rsidRPr="00C40B2F" w:rsidRDefault="00CB14EE" w:rsidP="003C04A4">
      <w:pPr>
        <w:pStyle w:val="Heading2"/>
        <w:spacing w:before="120" w:after="120"/>
        <w:jc w:val="both"/>
      </w:pPr>
      <w:bookmarkStart w:id="20" w:name="_Toc476919454"/>
      <w:r w:rsidRPr="00C40B2F">
        <w:t>1</w:t>
      </w:r>
      <w:r w:rsidR="00F7626C" w:rsidRPr="00C40B2F">
        <w:t>5</w:t>
      </w:r>
      <w:r w:rsidRPr="00C40B2F">
        <w:t>. Допустими целеви групи</w:t>
      </w:r>
      <w:r w:rsidR="00EA11C9" w:rsidRPr="00C40B2F">
        <w:t xml:space="preserve"> (ако е приложимо)</w:t>
      </w:r>
      <w:r w:rsidRPr="00C40B2F">
        <w:t>:</w:t>
      </w:r>
      <w:bookmarkEnd w:id="20"/>
    </w:p>
    <w:p w:rsidR="00E40CCC" w:rsidRPr="00C40B2F" w:rsidRDefault="00E40CCC" w:rsidP="003C04A4">
      <w:pPr>
        <w:pStyle w:val="Heading2"/>
        <w:pBdr>
          <w:top w:val="single" w:sz="4" w:space="1" w:color="auto"/>
          <w:left w:val="single" w:sz="4" w:space="4" w:color="auto"/>
          <w:bottom w:val="single" w:sz="4" w:space="1" w:color="auto"/>
          <w:right w:val="single" w:sz="4" w:space="4" w:color="auto"/>
        </w:pBdr>
        <w:spacing w:before="120" w:after="120"/>
        <w:jc w:val="both"/>
        <w:rPr>
          <w:rFonts w:ascii="Calibri" w:hAnsi="Calibri"/>
          <w:b w:val="0"/>
          <w:color w:val="auto"/>
          <w:sz w:val="24"/>
          <w:szCs w:val="24"/>
        </w:rPr>
      </w:pPr>
      <w:bookmarkStart w:id="21" w:name="_Toc476919455"/>
      <w:r w:rsidRPr="00C40B2F">
        <w:rPr>
          <w:rFonts w:ascii="Calibri" w:hAnsi="Calibri"/>
          <w:color w:val="auto"/>
          <w:sz w:val="24"/>
          <w:szCs w:val="24"/>
        </w:rPr>
        <w:t>Основна целева група</w:t>
      </w:r>
      <w:r w:rsidRPr="00C40B2F">
        <w:rPr>
          <w:rFonts w:ascii="Calibri" w:hAnsi="Calibri"/>
          <w:b w:val="0"/>
          <w:color w:val="auto"/>
          <w:sz w:val="24"/>
          <w:szCs w:val="24"/>
        </w:rPr>
        <w:t xml:space="preserve"> за изпълнението на СРП е българският бизнес, в т.ч. микро, малки, средни и големи предприятия (според статистиката на уеб сайта на ведомството, той се посещава годишно от близо 70000 потребители</w:t>
      </w:r>
      <w:r w:rsidR="001873BA" w:rsidRPr="00C40B2F">
        <w:rPr>
          <w:rFonts w:ascii="Calibri" w:hAnsi="Calibri"/>
          <w:b w:val="0"/>
          <w:color w:val="auto"/>
          <w:sz w:val="24"/>
          <w:szCs w:val="24"/>
        </w:rPr>
        <w:t>, 70% от които са предприятия</w:t>
      </w:r>
      <w:r w:rsidRPr="00C40B2F">
        <w:rPr>
          <w:rFonts w:ascii="Calibri" w:hAnsi="Calibri"/>
          <w:b w:val="0"/>
          <w:color w:val="auto"/>
          <w:sz w:val="24"/>
          <w:szCs w:val="24"/>
        </w:rPr>
        <w:t>):</w:t>
      </w:r>
      <w:bookmarkEnd w:id="21"/>
    </w:p>
    <w:p w:rsidR="00E40CCC" w:rsidRPr="00C40B2F" w:rsidRDefault="00E40CCC" w:rsidP="003C04A4">
      <w:pPr>
        <w:pStyle w:val="Heading2"/>
        <w:pBdr>
          <w:top w:val="single" w:sz="4" w:space="1" w:color="auto"/>
          <w:left w:val="single" w:sz="4" w:space="4" w:color="auto"/>
          <w:bottom w:val="single" w:sz="4" w:space="1" w:color="auto"/>
          <w:right w:val="single" w:sz="4" w:space="4" w:color="auto"/>
        </w:pBdr>
        <w:spacing w:before="0" w:after="120"/>
        <w:jc w:val="both"/>
        <w:rPr>
          <w:rFonts w:ascii="Calibri" w:hAnsi="Calibri"/>
          <w:b w:val="0"/>
          <w:color w:val="auto"/>
          <w:sz w:val="24"/>
          <w:szCs w:val="24"/>
        </w:rPr>
      </w:pPr>
      <w:bookmarkStart w:id="22" w:name="_Toc476919456"/>
      <w:r w:rsidRPr="00C40B2F">
        <w:rPr>
          <w:rFonts w:ascii="Calibri" w:hAnsi="Calibri"/>
          <w:b w:val="0"/>
          <w:color w:val="auto"/>
          <w:sz w:val="24"/>
          <w:szCs w:val="24"/>
        </w:rPr>
        <w:t>- Микро, малки, средни и големи предприятия, преки ползватели на новите услуги, внедрени в дейността на Патентно ведомство</w:t>
      </w:r>
      <w:r w:rsidR="003060C6" w:rsidRPr="00C40B2F">
        <w:rPr>
          <w:rFonts w:ascii="Calibri" w:hAnsi="Calibri"/>
          <w:b w:val="0"/>
          <w:color w:val="auto"/>
          <w:sz w:val="24"/>
          <w:szCs w:val="24"/>
        </w:rPr>
        <w:t xml:space="preserve"> (според статистиката на уеб сайта на ведомството, той се посещава годишно от близо 70000 потребители, 70% от които са предприятия)</w:t>
      </w:r>
      <w:bookmarkEnd w:id="22"/>
    </w:p>
    <w:p w:rsidR="00E40CCC" w:rsidRPr="00C40B2F" w:rsidRDefault="00E40CCC" w:rsidP="003C04A4">
      <w:pPr>
        <w:pStyle w:val="Heading2"/>
        <w:pBdr>
          <w:top w:val="single" w:sz="4" w:space="1" w:color="auto"/>
          <w:left w:val="single" w:sz="4" w:space="4" w:color="auto"/>
          <w:bottom w:val="single" w:sz="4" w:space="1" w:color="auto"/>
          <w:right w:val="single" w:sz="4" w:space="4" w:color="auto"/>
        </w:pBdr>
        <w:spacing w:before="0" w:after="120"/>
        <w:jc w:val="both"/>
        <w:rPr>
          <w:rFonts w:ascii="Calibri" w:hAnsi="Calibri"/>
          <w:b w:val="0"/>
          <w:color w:val="auto"/>
          <w:sz w:val="24"/>
          <w:szCs w:val="24"/>
        </w:rPr>
      </w:pPr>
      <w:bookmarkStart w:id="23" w:name="_Toc476919457"/>
      <w:r w:rsidRPr="00C40B2F">
        <w:rPr>
          <w:rFonts w:ascii="Calibri" w:hAnsi="Calibri"/>
          <w:b w:val="0"/>
          <w:color w:val="auto"/>
          <w:sz w:val="24"/>
          <w:szCs w:val="24"/>
        </w:rPr>
        <w:t>- Физически лица, заявители и ползватели на услугите, предоставяни от П</w:t>
      </w:r>
      <w:r w:rsidR="009C1E50" w:rsidRPr="00C40B2F">
        <w:rPr>
          <w:rFonts w:ascii="Calibri" w:hAnsi="Calibri"/>
          <w:b w:val="0"/>
          <w:color w:val="auto"/>
          <w:sz w:val="24"/>
          <w:szCs w:val="24"/>
        </w:rPr>
        <w:t>атентно ведомство</w:t>
      </w:r>
      <w:r w:rsidRPr="00C40B2F">
        <w:rPr>
          <w:rFonts w:ascii="Calibri" w:hAnsi="Calibri"/>
          <w:b w:val="0"/>
          <w:color w:val="auto"/>
          <w:sz w:val="24"/>
          <w:szCs w:val="24"/>
        </w:rPr>
        <w:t>, в това число представители по индустриална собственост</w:t>
      </w:r>
      <w:r w:rsidR="003060C6" w:rsidRPr="00C40B2F">
        <w:rPr>
          <w:rFonts w:ascii="Calibri" w:hAnsi="Calibri"/>
          <w:b w:val="0"/>
          <w:color w:val="auto"/>
          <w:sz w:val="24"/>
          <w:szCs w:val="24"/>
        </w:rPr>
        <w:t xml:space="preserve"> (останалите 30%)</w:t>
      </w:r>
      <w:bookmarkEnd w:id="23"/>
    </w:p>
    <w:p w:rsidR="00E40CCC" w:rsidRPr="00C40B2F" w:rsidRDefault="00E40CCC" w:rsidP="003C04A4">
      <w:pPr>
        <w:pStyle w:val="Heading2"/>
        <w:pBdr>
          <w:top w:val="single" w:sz="4" w:space="1" w:color="auto"/>
          <w:left w:val="single" w:sz="4" w:space="4" w:color="auto"/>
          <w:bottom w:val="single" w:sz="4" w:space="1" w:color="auto"/>
          <w:right w:val="single" w:sz="4" w:space="4" w:color="auto"/>
        </w:pBdr>
        <w:spacing w:before="120" w:after="120"/>
        <w:jc w:val="both"/>
        <w:rPr>
          <w:rFonts w:ascii="Calibri" w:hAnsi="Calibri"/>
          <w:b w:val="0"/>
          <w:color w:val="auto"/>
          <w:sz w:val="24"/>
          <w:szCs w:val="24"/>
        </w:rPr>
      </w:pPr>
      <w:bookmarkStart w:id="24" w:name="_Toc476919458"/>
      <w:r w:rsidRPr="00C40B2F">
        <w:rPr>
          <w:rFonts w:ascii="Calibri" w:hAnsi="Calibri"/>
          <w:b w:val="0"/>
          <w:color w:val="auto"/>
          <w:sz w:val="24"/>
          <w:szCs w:val="24"/>
        </w:rPr>
        <w:t xml:space="preserve">Освен българският бизнес, </w:t>
      </w:r>
      <w:r w:rsidRPr="00C40B2F">
        <w:rPr>
          <w:rFonts w:ascii="Calibri" w:hAnsi="Calibri"/>
          <w:color w:val="auto"/>
          <w:sz w:val="24"/>
          <w:szCs w:val="24"/>
        </w:rPr>
        <w:t>целева група са и</w:t>
      </w:r>
      <w:r w:rsidRPr="00C40B2F">
        <w:rPr>
          <w:rFonts w:ascii="Calibri" w:hAnsi="Calibri"/>
          <w:b w:val="0"/>
          <w:color w:val="auto"/>
          <w:sz w:val="24"/>
          <w:szCs w:val="24"/>
        </w:rPr>
        <w:t>:</w:t>
      </w:r>
      <w:bookmarkEnd w:id="24"/>
    </w:p>
    <w:p w:rsidR="00E40CCC" w:rsidRPr="00C40B2F" w:rsidRDefault="00E40CCC" w:rsidP="003C04A4">
      <w:pPr>
        <w:pStyle w:val="Heading2"/>
        <w:pBdr>
          <w:top w:val="single" w:sz="4" w:space="1" w:color="auto"/>
          <w:left w:val="single" w:sz="4" w:space="4" w:color="auto"/>
          <w:bottom w:val="single" w:sz="4" w:space="1" w:color="auto"/>
          <w:right w:val="single" w:sz="4" w:space="4" w:color="auto"/>
        </w:pBdr>
        <w:spacing w:before="0" w:after="120"/>
        <w:jc w:val="both"/>
        <w:rPr>
          <w:rFonts w:ascii="Calibri" w:hAnsi="Calibri"/>
          <w:b w:val="0"/>
          <w:color w:val="auto"/>
          <w:sz w:val="24"/>
          <w:szCs w:val="24"/>
        </w:rPr>
      </w:pPr>
      <w:bookmarkStart w:id="25" w:name="_Toc476919459"/>
      <w:r w:rsidRPr="00C40B2F">
        <w:rPr>
          <w:rFonts w:ascii="Calibri" w:hAnsi="Calibri"/>
          <w:b w:val="0"/>
          <w:color w:val="auto"/>
          <w:sz w:val="24"/>
          <w:szCs w:val="24"/>
        </w:rPr>
        <w:t>- Организации, занимаващи с научно-изследователска и изобретателска дейност – 20 бр.</w:t>
      </w:r>
      <w:bookmarkEnd w:id="25"/>
    </w:p>
    <w:p w:rsidR="00E40CCC" w:rsidRPr="00C40B2F" w:rsidRDefault="00E40CCC" w:rsidP="003C04A4">
      <w:pPr>
        <w:pStyle w:val="Heading2"/>
        <w:pBdr>
          <w:top w:val="single" w:sz="4" w:space="1" w:color="auto"/>
          <w:left w:val="single" w:sz="4" w:space="4" w:color="auto"/>
          <w:bottom w:val="single" w:sz="4" w:space="1" w:color="auto"/>
          <w:right w:val="single" w:sz="4" w:space="4" w:color="auto"/>
        </w:pBdr>
        <w:spacing w:before="0" w:after="360"/>
        <w:rPr>
          <w:rFonts w:ascii="Calibri" w:hAnsi="Calibri"/>
          <w:b w:val="0"/>
          <w:color w:val="auto"/>
          <w:sz w:val="24"/>
          <w:szCs w:val="24"/>
        </w:rPr>
      </w:pPr>
      <w:bookmarkStart w:id="26" w:name="_Toc476919460"/>
      <w:r w:rsidRPr="00C40B2F">
        <w:rPr>
          <w:rFonts w:ascii="Calibri" w:hAnsi="Calibri"/>
          <w:b w:val="0"/>
          <w:color w:val="auto"/>
          <w:sz w:val="24"/>
          <w:szCs w:val="24"/>
        </w:rPr>
        <w:t>- Международни организации, работещи в областта на индустриалната собственост – 3 бр.</w:t>
      </w:r>
      <w:bookmarkEnd w:id="26"/>
      <w:r w:rsidRPr="00C40B2F">
        <w:rPr>
          <w:rFonts w:ascii="Calibri" w:hAnsi="Calibri"/>
          <w:b w:val="0"/>
          <w:color w:val="auto"/>
          <w:sz w:val="24"/>
          <w:szCs w:val="24"/>
        </w:rPr>
        <w:t xml:space="preserve">  </w:t>
      </w:r>
    </w:p>
    <w:p w:rsidR="003C04A4" w:rsidRPr="00C40B2F" w:rsidRDefault="003C04A4" w:rsidP="00AB1047">
      <w:pPr>
        <w:pStyle w:val="Heading2"/>
        <w:spacing w:before="120" w:after="120"/>
        <w:rPr>
          <w:rFonts w:ascii="Calibri" w:hAnsi="Calibri"/>
        </w:rPr>
      </w:pPr>
      <w:bookmarkStart w:id="27" w:name="_Toc476919461"/>
    </w:p>
    <w:p w:rsidR="0052720E" w:rsidRPr="00C40B2F" w:rsidRDefault="00F7626C" w:rsidP="00AB1047">
      <w:pPr>
        <w:pStyle w:val="Heading2"/>
        <w:spacing w:before="120" w:after="120"/>
        <w:rPr>
          <w:rFonts w:ascii="Calibri" w:hAnsi="Calibri"/>
        </w:rPr>
      </w:pPr>
      <w:r w:rsidRPr="00C40B2F">
        <w:rPr>
          <w:rFonts w:ascii="Calibri" w:hAnsi="Calibri"/>
        </w:rPr>
        <w:t>16. Приложим режим на минимални/държавни помощи</w:t>
      </w:r>
      <w:r w:rsidR="00EA11C9" w:rsidRPr="00C40B2F">
        <w:rPr>
          <w:rFonts w:ascii="Calibri" w:hAnsi="Calibri"/>
        </w:rPr>
        <w:t xml:space="preserve"> (ако е приложимо)</w:t>
      </w:r>
      <w:r w:rsidRPr="00C40B2F">
        <w:rPr>
          <w:rFonts w:ascii="Calibri" w:hAnsi="Calibri"/>
        </w:rPr>
        <w:t>:</w:t>
      </w:r>
      <w:bookmarkEnd w:id="27"/>
      <w:r w:rsidR="0038451C" w:rsidRPr="00C40B2F">
        <w:rPr>
          <w:rFonts w:ascii="Calibri" w:hAnsi="Calibri"/>
          <w:sz w:val="24"/>
          <w:szCs w:val="24"/>
        </w:rPr>
        <w:t xml:space="preserve"> </w:t>
      </w:r>
    </w:p>
    <w:p w:rsidR="00E4166C" w:rsidRPr="00C40B2F" w:rsidRDefault="005B764D" w:rsidP="00C6406B">
      <w:pPr>
        <w:pStyle w:val="Heading2"/>
        <w:pBdr>
          <w:top w:val="single" w:sz="4" w:space="1" w:color="auto"/>
          <w:left w:val="single" w:sz="4" w:space="4" w:color="auto"/>
          <w:bottom w:val="single" w:sz="4" w:space="1" w:color="auto"/>
          <w:right w:val="single" w:sz="4" w:space="4" w:color="auto"/>
        </w:pBdr>
        <w:rPr>
          <w:rFonts w:ascii="Calibri" w:hAnsi="Calibri"/>
          <w:b w:val="0"/>
          <w:color w:val="auto"/>
          <w:sz w:val="24"/>
          <w:szCs w:val="24"/>
        </w:rPr>
      </w:pPr>
      <w:bookmarkStart w:id="28" w:name="_Toc476919462"/>
      <w:r w:rsidRPr="00C40B2F">
        <w:rPr>
          <w:rFonts w:ascii="Calibri" w:hAnsi="Calibri"/>
          <w:b w:val="0"/>
          <w:color w:val="auto"/>
          <w:sz w:val="24"/>
          <w:szCs w:val="24"/>
        </w:rPr>
        <w:t>Неприложимо.</w:t>
      </w:r>
      <w:bookmarkEnd w:id="28"/>
    </w:p>
    <w:p w:rsidR="00747B0A" w:rsidRPr="00C40B2F" w:rsidRDefault="00747B0A" w:rsidP="00C6406B">
      <w:pPr>
        <w:pStyle w:val="Heading2"/>
        <w:pBdr>
          <w:top w:val="single" w:sz="4" w:space="1" w:color="auto"/>
          <w:left w:val="single" w:sz="4" w:space="4" w:color="auto"/>
          <w:bottom w:val="single" w:sz="4" w:space="1" w:color="auto"/>
          <w:right w:val="single" w:sz="4" w:space="4" w:color="auto"/>
        </w:pBdr>
        <w:jc w:val="both"/>
        <w:rPr>
          <w:rFonts w:ascii="Calibri" w:hAnsi="Calibri"/>
          <w:b w:val="0"/>
          <w:color w:val="auto"/>
          <w:sz w:val="24"/>
          <w:szCs w:val="24"/>
        </w:rPr>
      </w:pPr>
      <w:bookmarkStart w:id="29" w:name="_Toc476919463"/>
      <w:r w:rsidRPr="00C40B2F">
        <w:rPr>
          <w:rFonts w:ascii="Calibri" w:hAnsi="Calibri"/>
          <w:b w:val="0"/>
          <w:color w:val="auto"/>
          <w:sz w:val="24"/>
          <w:szCs w:val="24"/>
        </w:rPr>
        <w:t xml:space="preserve">Съгласно чл. 107, § 1 от ДФЕС „всяка помощ, предоставена от държава-членка или чрез ресурси на държава-членка, под каквато и да било форма, която нарушава или заплашва да наруши конкуренцията чрез поставяне в по-благоприятно положение на определени предприятия или производството на някои стоки, доколкото засяга търговията между държавите-членки, е несъвместима с вътрешния пазар“. </w:t>
      </w:r>
    </w:p>
    <w:p w:rsidR="00747B0A" w:rsidRPr="00C40B2F" w:rsidRDefault="00747B0A" w:rsidP="00C6406B">
      <w:pPr>
        <w:pStyle w:val="Heading2"/>
        <w:pBdr>
          <w:top w:val="single" w:sz="4" w:space="1" w:color="auto"/>
          <w:left w:val="single" w:sz="4" w:space="4" w:color="auto"/>
          <w:bottom w:val="single" w:sz="4" w:space="1" w:color="auto"/>
          <w:right w:val="single" w:sz="4" w:space="4" w:color="auto"/>
        </w:pBdr>
        <w:jc w:val="both"/>
        <w:rPr>
          <w:rFonts w:ascii="Calibri" w:hAnsi="Calibri"/>
          <w:b w:val="0"/>
          <w:color w:val="auto"/>
          <w:sz w:val="24"/>
          <w:szCs w:val="24"/>
        </w:rPr>
      </w:pPr>
      <w:r w:rsidRPr="00C40B2F">
        <w:rPr>
          <w:rFonts w:ascii="Calibri" w:hAnsi="Calibri"/>
          <w:b w:val="0"/>
          <w:color w:val="auto"/>
          <w:sz w:val="24"/>
          <w:szCs w:val="24"/>
        </w:rPr>
        <w:t>Според постоянната съдебна практика на Съда на ЕС „Предприятие“ се определя като субект, предоставящ стоки и услуги на пазара, независимо от правния си статут и начина на финансиране.</w:t>
      </w:r>
    </w:p>
    <w:p w:rsidR="00E4166C" w:rsidRPr="00C40B2F" w:rsidRDefault="00E4166C" w:rsidP="00C6406B">
      <w:pPr>
        <w:pStyle w:val="Heading2"/>
        <w:pBdr>
          <w:top w:val="single" w:sz="4" w:space="1" w:color="auto"/>
          <w:left w:val="single" w:sz="4" w:space="4" w:color="auto"/>
          <w:bottom w:val="single" w:sz="4" w:space="1" w:color="auto"/>
          <w:right w:val="single" w:sz="4" w:space="4" w:color="auto"/>
        </w:pBdr>
        <w:jc w:val="both"/>
        <w:rPr>
          <w:rFonts w:ascii="Calibri" w:hAnsi="Calibri"/>
          <w:b w:val="0"/>
          <w:color w:val="auto"/>
          <w:sz w:val="24"/>
          <w:szCs w:val="24"/>
        </w:rPr>
      </w:pPr>
      <w:r w:rsidRPr="00C40B2F">
        <w:rPr>
          <w:rFonts w:ascii="Calibri" w:hAnsi="Calibri"/>
          <w:b w:val="0"/>
          <w:color w:val="auto"/>
          <w:sz w:val="24"/>
          <w:szCs w:val="24"/>
        </w:rPr>
        <w:t xml:space="preserve">Патентно ведомство на Република България не действа в качеството си на предприятие по смисъла на чл.107, § 1 от Договора за функциониране на </w:t>
      </w:r>
      <w:r w:rsidR="005B764D" w:rsidRPr="00C40B2F">
        <w:rPr>
          <w:rFonts w:ascii="Calibri" w:hAnsi="Calibri"/>
          <w:b w:val="0"/>
          <w:color w:val="auto"/>
          <w:sz w:val="24"/>
          <w:szCs w:val="24"/>
        </w:rPr>
        <w:t>ЕС</w:t>
      </w:r>
      <w:r w:rsidRPr="00C40B2F">
        <w:rPr>
          <w:rFonts w:ascii="Calibri" w:hAnsi="Calibri"/>
          <w:b w:val="0"/>
          <w:color w:val="auto"/>
          <w:sz w:val="24"/>
          <w:szCs w:val="24"/>
        </w:rPr>
        <w:t xml:space="preserve"> (ДФЕС), тъй като осъществява функции, присъщи на държавата и не представлява предприятие, извършващо икономическа дейност.</w:t>
      </w:r>
      <w:bookmarkEnd w:id="29"/>
    </w:p>
    <w:p w:rsidR="00E4166C" w:rsidRPr="00C40B2F" w:rsidRDefault="00E4166C" w:rsidP="00C6406B">
      <w:pPr>
        <w:pStyle w:val="Heading2"/>
        <w:pBdr>
          <w:top w:val="single" w:sz="4" w:space="1" w:color="auto"/>
          <w:left w:val="single" w:sz="4" w:space="4" w:color="auto"/>
          <w:bottom w:val="single" w:sz="4" w:space="1" w:color="auto"/>
          <w:right w:val="single" w:sz="4" w:space="4" w:color="auto"/>
        </w:pBdr>
        <w:spacing w:before="120" w:after="120"/>
        <w:jc w:val="both"/>
        <w:rPr>
          <w:rFonts w:ascii="Calibri" w:hAnsi="Calibri"/>
          <w:b w:val="0"/>
          <w:color w:val="auto"/>
          <w:sz w:val="24"/>
          <w:szCs w:val="24"/>
        </w:rPr>
      </w:pPr>
      <w:bookmarkStart w:id="30" w:name="_Toc476919464"/>
      <w:r w:rsidRPr="00C40B2F">
        <w:rPr>
          <w:rFonts w:ascii="Calibri" w:hAnsi="Calibri"/>
          <w:b w:val="0"/>
          <w:color w:val="auto"/>
          <w:sz w:val="24"/>
          <w:szCs w:val="24"/>
        </w:rPr>
        <w:t>Поради тази причина, при предоставянето на финансовите средства и извършването на оценката на държавната помощ не са налице елементите „икономическо предимство” и „въздействие върху конкуренцията и търговията“, тъй като Патентно ведомство не осъществява дейност на  пазар, на който се осъществява търговия между държави-членки.</w:t>
      </w:r>
      <w:bookmarkEnd w:id="30"/>
    </w:p>
    <w:p w:rsidR="00747B0A" w:rsidRPr="00C40B2F" w:rsidRDefault="00747B0A" w:rsidP="00C6406B">
      <w:pPr>
        <w:pBdr>
          <w:top w:val="single" w:sz="4" w:space="1" w:color="auto"/>
          <w:left w:val="single" w:sz="4" w:space="4" w:color="auto"/>
          <w:bottom w:val="single" w:sz="4" w:space="1" w:color="auto"/>
          <w:right w:val="single" w:sz="4" w:space="4" w:color="auto"/>
        </w:pBdr>
        <w:jc w:val="both"/>
        <w:rPr>
          <w:rFonts w:ascii="Calibri" w:hAnsi="Calibri"/>
          <w:bCs/>
          <w:sz w:val="24"/>
          <w:szCs w:val="24"/>
        </w:rPr>
      </w:pPr>
      <w:r w:rsidRPr="00C40B2F">
        <w:rPr>
          <w:rFonts w:ascii="Calibri" w:hAnsi="Calibri"/>
          <w:bCs/>
          <w:sz w:val="24"/>
          <w:szCs w:val="24"/>
        </w:rPr>
        <w:t xml:space="preserve">„Закон за патентите и регистрацията на полезните модели (загл. Изм. - дв, бр. 64 от 2006 г., в сила от 09.11.2006 г.) определя Патентно ведомство </w:t>
      </w:r>
      <w:r w:rsidR="00C6406B" w:rsidRPr="00C40B2F">
        <w:rPr>
          <w:rFonts w:ascii="Calibri" w:hAnsi="Calibri"/>
          <w:bCs/>
          <w:sz w:val="24"/>
          <w:szCs w:val="24"/>
        </w:rPr>
        <w:t xml:space="preserve">като </w:t>
      </w:r>
      <w:r w:rsidRPr="00C40B2F">
        <w:rPr>
          <w:rFonts w:ascii="Calibri" w:hAnsi="Calibri"/>
          <w:bCs/>
          <w:sz w:val="24"/>
          <w:szCs w:val="24"/>
        </w:rPr>
        <w:t xml:space="preserve">национален държавен орган за правна закрила на обектите на индустриална собственост със седалище в София. Патентното ведомство извършва експертиза и взема решения по закрилата на обектите на индустриална собственост. Във връзка с реализиране на дейностите по настоящата процедура Патентно ведомство е държавен орган и  не действа в качеството си на предприятие по смисъла на чл.107, § 1 от ДФЕС, тъй като осъществяването на функциите по провеждане на държавната политика в областта на индустриална собственост, не е свързано с предоставянето на стоки и услуги, които да поставят в по-благоприятно положение определени предприятия, производството или търговията на определени стоки. </w:t>
      </w:r>
    </w:p>
    <w:p w:rsidR="00747B0A" w:rsidRPr="00C40B2F" w:rsidRDefault="00747B0A" w:rsidP="00C6406B">
      <w:pPr>
        <w:pBdr>
          <w:top w:val="single" w:sz="4" w:space="1" w:color="auto"/>
          <w:left w:val="single" w:sz="4" w:space="4" w:color="auto"/>
          <w:bottom w:val="single" w:sz="4" w:space="1" w:color="auto"/>
          <w:right w:val="single" w:sz="4" w:space="4" w:color="auto"/>
        </w:pBdr>
        <w:jc w:val="both"/>
        <w:rPr>
          <w:rFonts w:ascii="Calibri" w:hAnsi="Calibri"/>
          <w:bCs/>
          <w:sz w:val="24"/>
          <w:szCs w:val="24"/>
        </w:rPr>
      </w:pPr>
      <w:r w:rsidRPr="00C40B2F">
        <w:rPr>
          <w:rFonts w:ascii="Calibri" w:hAnsi="Calibri"/>
          <w:bCs/>
          <w:sz w:val="24"/>
          <w:szCs w:val="24"/>
        </w:rPr>
        <w:t>Допустимите дейности за финансиране по настоящата процедура попадат в компетенциите на Патентно ведомство, която осъществява функции, присъщи на държавата и не представлява предприятие, извършващо икономическа дейност.</w:t>
      </w:r>
    </w:p>
    <w:p w:rsidR="00747B0A" w:rsidRPr="00C40B2F" w:rsidRDefault="00747B0A" w:rsidP="00C6406B">
      <w:pPr>
        <w:pBdr>
          <w:top w:val="single" w:sz="4" w:space="1" w:color="auto"/>
          <w:left w:val="single" w:sz="4" w:space="4" w:color="auto"/>
          <w:bottom w:val="single" w:sz="4" w:space="1" w:color="auto"/>
          <w:right w:val="single" w:sz="4" w:space="4" w:color="auto"/>
        </w:pBdr>
        <w:jc w:val="both"/>
        <w:rPr>
          <w:rFonts w:ascii="Calibri" w:hAnsi="Calibri"/>
          <w:bCs/>
          <w:sz w:val="24"/>
          <w:szCs w:val="24"/>
        </w:rPr>
      </w:pPr>
      <w:r w:rsidRPr="00C40B2F">
        <w:rPr>
          <w:rFonts w:ascii="Calibri" w:hAnsi="Calibri"/>
          <w:bCs/>
          <w:sz w:val="24"/>
          <w:szCs w:val="24"/>
        </w:rPr>
        <w:t>В тази връзка, не съществува възможност, вкл. хипотетична, посочените дейности/услуги да могат да бъдат извършвани от други предприятия (национални или от други държави-</w:t>
      </w:r>
      <w:r w:rsidRPr="00C40B2F">
        <w:rPr>
          <w:rFonts w:ascii="Calibri" w:hAnsi="Calibri"/>
          <w:bCs/>
          <w:sz w:val="24"/>
          <w:szCs w:val="24"/>
        </w:rPr>
        <w:lastRenderedPageBreak/>
        <w:t>членки), и в този смисъл не е засегната търговията между държавите-членки на ЕС, т.е. предоставяната помощ не уврежда и не заплашва да увреди конкуренцията и търговията на Общия пазар.</w:t>
      </w:r>
    </w:p>
    <w:p w:rsidR="00747B0A" w:rsidRPr="00C40B2F" w:rsidRDefault="00747B0A" w:rsidP="00C6406B">
      <w:pPr>
        <w:pBdr>
          <w:top w:val="single" w:sz="4" w:space="1" w:color="auto"/>
          <w:left w:val="single" w:sz="4" w:space="4" w:color="auto"/>
          <w:bottom w:val="single" w:sz="4" w:space="1" w:color="auto"/>
          <w:right w:val="single" w:sz="4" w:space="4" w:color="auto"/>
        </w:pBdr>
        <w:jc w:val="both"/>
        <w:rPr>
          <w:rFonts w:ascii="Calibri" w:hAnsi="Calibri"/>
          <w:bCs/>
          <w:sz w:val="24"/>
          <w:szCs w:val="24"/>
        </w:rPr>
      </w:pPr>
      <w:r w:rsidRPr="00C40B2F">
        <w:rPr>
          <w:rFonts w:ascii="Calibri" w:hAnsi="Calibri"/>
          <w:bCs/>
          <w:sz w:val="24"/>
          <w:szCs w:val="24"/>
        </w:rPr>
        <w:t xml:space="preserve">Допълнително, по процедурата е предвидено разходването на публичния ресурс към други лица при осъществяването на дейностите по проекта да се извършва по реда на Закона за обществените поръчки  /ЗОП/, тъй като Патентно ведомство е с качество на възложител съгласно ЗОП  (със статут на публичен възложител) и по този начин дейностите по проекта ще бъдат възложени посредством процедури по ЗОП.  </w:t>
      </w:r>
    </w:p>
    <w:p w:rsidR="00747B0A" w:rsidRPr="00C40B2F" w:rsidRDefault="00747B0A" w:rsidP="00C6406B">
      <w:pPr>
        <w:pBdr>
          <w:top w:val="single" w:sz="4" w:space="1" w:color="auto"/>
          <w:left w:val="single" w:sz="4" w:space="4" w:color="auto"/>
          <w:bottom w:val="single" w:sz="4" w:space="1" w:color="auto"/>
          <w:right w:val="single" w:sz="4" w:space="4" w:color="auto"/>
        </w:pBdr>
        <w:jc w:val="both"/>
        <w:rPr>
          <w:rFonts w:ascii="Calibri" w:hAnsi="Calibri"/>
          <w:bCs/>
          <w:sz w:val="24"/>
          <w:szCs w:val="24"/>
        </w:rPr>
      </w:pPr>
      <w:r w:rsidRPr="00C40B2F">
        <w:rPr>
          <w:rFonts w:ascii="Calibri" w:hAnsi="Calibri"/>
          <w:bCs/>
          <w:sz w:val="24"/>
          <w:szCs w:val="24"/>
        </w:rPr>
        <w:t>Предвид това, подпомагането по процедурата не следва да се разглежда като попадащо в обхвата на чл. 107 § 1 от Договора за функциониране на Европейския съюз и не представлява държавна помощ.</w:t>
      </w:r>
    </w:p>
    <w:p w:rsidR="00747B0A" w:rsidRPr="00C40B2F" w:rsidRDefault="00747B0A" w:rsidP="00747B0A"/>
    <w:p w:rsidR="001D79C3" w:rsidRPr="00C40B2F" w:rsidRDefault="001D79C3" w:rsidP="00394B8E">
      <w:pPr>
        <w:pStyle w:val="Heading2"/>
        <w:spacing w:before="120" w:after="120"/>
      </w:pPr>
      <w:bookmarkStart w:id="31" w:name="_Toc476919465"/>
      <w:r w:rsidRPr="00C40B2F">
        <w:t>17. Хоризонтални политики:</w:t>
      </w:r>
      <w:bookmarkEnd w:id="31"/>
    </w:p>
    <w:p w:rsidR="00C41747" w:rsidRPr="00C40B2F" w:rsidRDefault="00C41747" w:rsidP="00C41747">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C40B2F">
        <w:rPr>
          <w:rFonts w:ascii="Calibri" w:eastAsia="Calibri" w:hAnsi="Calibri" w:cs="Times New Roman"/>
          <w:sz w:val="24"/>
          <w:szCs w:val="24"/>
        </w:rPr>
        <w:t xml:space="preserve">По настоящата процедура следва да е налице съответствие на проектното предложение и принос към </w:t>
      </w:r>
      <w:r w:rsidR="00285F18" w:rsidRPr="00C40B2F">
        <w:rPr>
          <w:rFonts w:ascii="Calibri" w:eastAsia="Calibri" w:hAnsi="Calibri" w:cs="Times New Roman"/>
          <w:sz w:val="24"/>
          <w:szCs w:val="24"/>
        </w:rPr>
        <w:t xml:space="preserve">приложимите </w:t>
      </w:r>
      <w:r w:rsidR="00227FDA" w:rsidRPr="00C40B2F">
        <w:rPr>
          <w:rFonts w:ascii="Calibri" w:eastAsia="Calibri" w:hAnsi="Calibri" w:cs="Times New Roman"/>
          <w:sz w:val="24"/>
          <w:szCs w:val="24"/>
        </w:rPr>
        <w:t xml:space="preserve">за проекта </w:t>
      </w:r>
      <w:r w:rsidRPr="00C40B2F">
        <w:rPr>
          <w:rFonts w:ascii="Calibri" w:eastAsia="Calibri" w:hAnsi="Calibri" w:cs="Times New Roman"/>
          <w:sz w:val="24"/>
          <w:szCs w:val="24"/>
        </w:rPr>
        <w:t>принципи на хоризонталните политики на ЕС:</w:t>
      </w:r>
    </w:p>
    <w:p w:rsidR="00DB31B5" w:rsidRPr="00C40B2F" w:rsidRDefault="00DB31B5" w:rsidP="00C41747">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p>
    <w:p w:rsidR="00C41747" w:rsidRPr="00C40B2F" w:rsidRDefault="00C41747" w:rsidP="00C41747">
      <w:pPr>
        <w:pBdr>
          <w:top w:val="single" w:sz="4" w:space="1" w:color="auto"/>
          <w:left w:val="single" w:sz="4" w:space="4" w:color="auto"/>
          <w:bottom w:val="single" w:sz="4" w:space="1" w:color="auto"/>
          <w:right w:val="single" w:sz="4" w:space="4" w:color="auto"/>
        </w:pBdr>
        <w:contextualSpacing/>
        <w:jc w:val="both"/>
        <w:rPr>
          <w:sz w:val="24"/>
          <w:szCs w:val="24"/>
        </w:rPr>
      </w:pPr>
      <w:r w:rsidRPr="00C40B2F">
        <w:rPr>
          <w:rFonts w:ascii="Calibri" w:eastAsia="Calibri" w:hAnsi="Calibri" w:cs="Times New Roman"/>
          <w:sz w:val="24"/>
          <w:szCs w:val="24"/>
        </w:rPr>
        <w:t xml:space="preserve">- Насърчаване на равенството между мъжете и жените и на недискриминацията – проектът насърчава равните възможности за всички, независимо от пол и етническа принадлежност, </w:t>
      </w:r>
      <w:r w:rsidR="00A949AE" w:rsidRPr="00C40B2F">
        <w:rPr>
          <w:rFonts w:ascii="Calibri" w:eastAsia="Calibri" w:hAnsi="Calibri" w:cs="Times New Roman"/>
          <w:sz w:val="24"/>
          <w:szCs w:val="24"/>
        </w:rPr>
        <w:t xml:space="preserve">религия или вероизповедание, </w:t>
      </w:r>
      <w:r w:rsidRPr="00C40B2F">
        <w:rPr>
          <w:rFonts w:ascii="Calibri" w:eastAsia="Calibri" w:hAnsi="Calibri" w:cs="Times New Roman"/>
          <w:sz w:val="24"/>
          <w:szCs w:val="24"/>
        </w:rPr>
        <w:t xml:space="preserve">включително възможностите за достъп за хора с увреждания чрез интегрирането на принципа на недискриминация. </w:t>
      </w:r>
      <w:r w:rsidR="00C02A75" w:rsidRPr="00C40B2F">
        <w:rPr>
          <w:sz w:val="24"/>
          <w:szCs w:val="24"/>
        </w:rPr>
        <w:t xml:space="preserve">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w:t>
      </w:r>
    </w:p>
    <w:p w:rsidR="00DB31B5" w:rsidRPr="00C40B2F" w:rsidRDefault="00DB31B5" w:rsidP="00C41747">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p>
    <w:p w:rsidR="00C41747" w:rsidRPr="00C40B2F" w:rsidRDefault="00C41747" w:rsidP="00C41747">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C40B2F">
        <w:rPr>
          <w:rFonts w:ascii="Calibri" w:eastAsia="Calibri" w:hAnsi="Calibri" w:cs="Times New Roman"/>
          <w:sz w:val="24"/>
          <w:szCs w:val="24"/>
        </w:rPr>
        <w:t xml:space="preserve">- </w:t>
      </w:r>
      <w:r w:rsidR="00F65DBB" w:rsidRPr="00C40B2F">
        <w:rPr>
          <w:rFonts w:ascii="Calibri" w:eastAsia="Calibri" w:hAnsi="Calibri" w:cs="Times New Roman"/>
          <w:sz w:val="24"/>
          <w:szCs w:val="24"/>
        </w:rPr>
        <w:t xml:space="preserve"> </w:t>
      </w:r>
      <w:r w:rsidRPr="00C40B2F">
        <w:rPr>
          <w:rFonts w:ascii="Calibri" w:eastAsia="Calibri" w:hAnsi="Calibri" w:cs="Times New Roman"/>
          <w:sz w:val="24"/>
          <w:szCs w:val="24"/>
        </w:rPr>
        <w:t>Устойчиво развитие – проектът допринася за опазване на околната среда, повишаване на ресурсната ефективност и смекчаване на последиците от изменение на климата и приспособяване към тях</w:t>
      </w:r>
      <w:r w:rsidR="00AE37B3" w:rsidRPr="00C40B2F">
        <w:rPr>
          <w:rFonts w:ascii="Calibri" w:eastAsia="Calibri" w:hAnsi="Calibri" w:cs="Times New Roman"/>
          <w:sz w:val="24"/>
          <w:szCs w:val="24"/>
        </w:rPr>
        <w:t>, опазване на биологичното разнообразие, устойчивостта на природни бедствия, както и превенцията и управлението на риска</w:t>
      </w:r>
      <w:r w:rsidRPr="00C40B2F">
        <w:rPr>
          <w:rFonts w:ascii="Calibri" w:eastAsia="Calibri" w:hAnsi="Calibri" w:cs="Times New Roman"/>
          <w:sz w:val="24"/>
          <w:szCs w:val="24"/>
        </w:rPr>
        <w:t>.</w:t>
      </w:r>
    </w:p>
    <w:p w:rsidR="009469A7" w:rsidRPr="00C40B2F" w:rsidRDefault="00C41747" w:rsidP="001D79C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C40B2F">
        <w:rPr>
          <w:rFonts w:ascii="Calibri" w:eastAsia="Calibri" w:hAnsi="Calibri" w:cs="Times New Roman"/>
          <w:sz w:val="24"/>
          <w:szCs w:val="24"/>
        </w:rPr>
        <w:t>В т. 11</w:t>
      </w:r>
      <w:r w:rsidR="00981A62" w:rsidRPr="00C40B2F">
        <w:rPr>
          <w:rFonts w:ascii="Calibri" w:eastAsia="Calibri" w:hAnsi="Calibri" w:cs="Times New Roman"/>
          <w:sz w:val="24"/>
          <w:szCs w:val="24"/>
        </w:rPr>
        <w:t xml:space="preserve"> „Допълнителна информация, необходима за оценка на проектното предложение“</w:t>
      </w:r>
      <w:r w:rsidRPr="00C40B2F">
        <w:rPr>
          <w:rFonts w:ascii="Calibri" w:eastAsia="Calibri" w:hAnsi="Calibri" w:cs="Times New Roman"/>
          <w:sz w:val="24"/>
          <w:szCs w:val="24"/>
        </w:rPr>
        <w:t xml:space="preserve"> от Формуляра за кандидатстване кандидатът следва да представи информация за съответствието на проектното предложение с </w:t>
      </w:r>
      <w:r w:rsidR="00330A41" w:rsidRPr="00C40B2F">
        <w:rPr>
          <w:rFonts w:ascii="Calibri" w:eastAsia="Calibri" w:hAnsi="Calibri" w:cs="Times New Roman"/>
          <w:sz w:val="24"/>
          <w:szCs w:val="24"/>
        </w:rPr>
        <w:t xml:space="preserve">приложимите за проекта </w:t>
      </w:r>
      <w:r w:rsidRPr="00C40B2F">
        <w:rPr>
          <w:rFonts w:ascii="Calibri" w:eastAsia="Calibri" w:hAnsi="Calibri" w:cs="Times New Roman"/>
          <w:sz w:val="24"/>
          <w:szCs w:val="24"/>
        </w:rPr>
        <w:t>принципи. Прилагането на заложените в проекта принципи ще се проследява на етап изпълнение на проектното предложение.</w:t>
      </w:r>
    </w:p>
    <w:p w:rsidR="00BA2E00" w:rsidRPr="00C40B2F" w:rsidRDefault="00BA2E00" w:rsidP="00394B8E">
      <w:pPr>
        <w:pStyle w:val="Heading2"/>
        <w:spacing w:before="120" w:after="120"/>
      </w:pPr>
      <w:bookmarkStart w:id="32" w:name="_Toc476919466"/>
      <w:r w:rsidRPr="00C40B2F">
        <w:lastRenderedPageBreak/>
        <w:t>1</w:t>
      </w:r>
      <w:r w:rsidR="001D79C3" w:rsidRPr="00C40B2F">
        <w:t>8</w:t>
      </w:r>
      <w:r w:rsidRPr="00C40B2F">
        <w:t>. Минимален и максимален срок за изпълнение на проекта</w:t>
      </w:r>
      <w:r w:rsidR="00EA11C9" w:rsidRPr="00C40B2F">
        <w:t xml:space="preserve"> (ако е приложимо)</w:t>
      </w:r>
      <w:r w:rsidRPr="00C40B2F">
        <w:t>:</w:t>
      </w:r>
      <w:bookmarkEnd w:id="32"/>
    </w:p>
    <w:p w:rsidR="002325A3" w:rsidRPr="00C40B2F" w:rsidRDefault="00C41747" w:rsidP="004031F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b/>
          <w:sz w:val="24"/>
          <w:szCs w:val="24"/>
        </w:rPr>
      </w:pPr>
      <w:r w:rsidRPr="00C40B2F">
        <w:rPr>
          <w:rFonts w:eastAsia="Calibri" w:cstheme="minorHAnsi"/>
          <w:sz w:val="24"/>
          <w:szCs w:val="24"/>
        </w:rPr>
        <w:t xml:space="preserve">Продължителността на изпълнение на проекта не следва да надвишава </w:t>
      </w:r>
      <w:r w:rsidR="00FA151F">
        <w:rPr>
          <w:rFonts w:eastAsia="Calibri" w:cstheme="minorHAnsi"/>
          <w:b/>
          <w:sz w:val="24"/>
          <w:szCs w:val="24"/>
        </w:rPr>
        <w:t>40</w:t>
      </w:r>
      <w:r w:rsidRPr="00C40B2F">
        <w:rPr>
          <w:rFonts w:eastAsia="Calibri" w:cstheme="minorHAnsi"/>
          <w:b/>
          <w:sz w:val="24"/>
          <w:szCs w:val="24"/>
        </w:rPr>
        <w:t xml:space="preserve"> (</w:t>
      </w:r>
      <w:r w:rsidR="00FA151F">
        <w:rPr>
          <w:rFonts w:eastAsia="Calibri" w:cstheme="minorHAnsi"/>
          <w:b/>
          <w:sz w:val="24"/>
          <w:szCs w:val="24"/>
        </w:rPr>
        <w:t>четири</w:t>
      </w:r>
      <w:r w:rsidRPr="00C40B2F">
        <w:rPr>
          <w:rFonts w:eastAsia="Calibri" w:cstheme="minorHAnsi"/>
          <w:b/>
          <w:sz w:val="24"/>
          <w:szCs w:val="24"/>
        </w:rPr>
        <w:t>десет</w:t>
      </w:r>
      <w:bookmarkStart w:id="33" w:name="_GoBack"/>
      <w:bookmarkEnd w:id="33"/>
      <w:r w:rsidRPr="00C40B2F">
        <w:rPr>
          <w:rFonts w:eastAsia="Calibri" w:cstheme="minorHAnsi"/>
          <w:b/>
          <w:sz w:val="24"/>
          <w:szCs w:val="24"/>
        </w:rPr>
        <w:t>) месеца</w:t>
      </w:r>
      <w:r w:rsidRPr="00C40B2F">
        <w:rPr>
          <w:rFonts w:eastAsia="Calibri" w:cstheme="minorHAnsi"/>
          <w:sz w:val="24"/>
          <w:szCs w:val="24"/>
        </w:rPr>
        <w:t xml:space="preserve">, считано от датата на влизане в сила на административния договор за </w:t>
      </w:r>
      <w:r w:rsidR="00DB2CF4" w:rsidRPr="00C40B2F">
        <w:rPr>
          <w:rFonts w:eastAsia="Calibri" w:cstheme="minorHAnsi"/>
          <w:sz w:val="24"/>
          <w:szCs w:val="24"/>
        </w:rPr>
        <w:t xml:space="preserve">директно </w:t>
      </w:r>
      <w:r w:rsidRPr="00C40B2F">
        <w:rPr>
          <w:rFonts w:eastAsia="Calibri" w:cstheme="minorHAnsi"/>
          <w:sz w:val="24"/>
          <w:szCs w:val="24"/>
        </w:rPr>
        <w:t xml:space="preserve">предоставяне на безвъзмездна финансова помощ. </w:t>
      </w:r>
    </w:p>
    <w:p w:rsidR="00832B19" w:rsidRPr="00C40B2F" w:rsidRDefault="00CB14EE" w:rsidP="00394B8E">
      <w:pPr>
        <w:pStyle w:val="Heading2"/>
        <w:spacing w:before="120" w:after="120"/>
      </w:pPr>
      <w:bookmarkStart w:id="34" w:name="_Toc476919467"/>
      <w:r w:rsidRPr="00C40B2F">
        <w:t>1</w:t>
      </w:r>
      <w:r w:rsidR="001D79C3" w:rsidRPr="00C40B2F">
        <w:t>9</w:t>
      </w:r>
      <w:r w:rsidR="002325A3" w:rsidRPr="00C40B2F">
        <w:t xml:space="preserve">. </w:t>
      </w:r>
      <w:r w:rsidR="007D3237" w:rsidRPr="00C40B2F">
        <w:t>Ред</w:t>
      </w:r>
      <w:r w:rsidR="002325A3" w:rsidRPr="00C40B2F">
        <w:t xml:space="preserve"> за оценяване на </w:t>
      </w:r>
      <w:r w:rsidR="00321C67" w:rsidRPr="00C40B2F">
        <w:t>концепции</w:t>
      </w:r>
      <w:r w:rsidR="007D15AC" w:rsidRPr="00C40B2F">
        <w:t>те</w:t>
      </w:r>
      <w:r w:rsidR="00321C67" w:rsidRPr="00C40B2F">
        <w:t xml:space="preserve"> за проектни предложения</w:t>
      </w:r>
      <w:r w:rsidR="002325A3" w:rsidRPr="00C40B2F">
        <w:t>:</w:t>
      </w:r>
      <w:bookmarkEnd w:id="34"/>
    </w:p>
    <w:p w:rsidR="002325A3" w:rsidRPr="00C40B2F" w:rsidRDefault="0077506F" w:rsidP="004031F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40B2F">
        <w:rPr>
          <w:sz w:val="24"/>
          <w:szCs w:val="24"/>
        </w:rPr>
        <w:t>Неприложимо</w:t>
      </w:r>
      <w:r w:rsidR="004031FA" w:rsidRPr="00C40B2F">
        <w:rPr>
          <w:sz w:val="24"/>
          <w:szCs w:val="24"/>
        </w:rPr>
        <w:t>.</w:t>
      </w:r>
    </w:p>
    <w:p w:rsidR="002C08E5" w:rsidRPr="00C40B2F" w:rsidRDefault="001D79C3" w:rsidP="00394B8E">
      <w:pPr>
        <w:pStyle w:val="Heading2"/>
        <w:spacing w:before="120" w:after="120"/>
      </w:pPr>
      <w:bookmarkStart w:id="35" w:name="_Toc476919468"/>
      <w:r w:rsidRPr="00C40B2F">
        <w:t>20</w:t>
      </w:r>
      <w:r w:rsidR="002325A3" w:rsidRPr="00C40B2F">
        <w:t xml:space="preserve">. </w:t>
      </w:r>
      <w:r w:rsidR="002C08E5" w:rsidRPr="00C40B2F">
        <w:t>Критерии</w:t>
      </w:r>
      <w:r w:rsidR="005B7309" w:rsidRPr="00C40B2F">
        <w:t xml:space="preserve"> и методика</w:t>
      </w:r>
      <w:r w:rsidR="002C08E5" w:rsidRPr="00C40B2F">
        <w:t xml:space="preserve"> за оценка на концепциите за проектни предложения:</w:t>
      </w:r>
      <w:bookmarkEnd w:id="35"/>
    </w:p>
    <w:p w:rsidR="0077506F" w:rsidRPr="00C40B2F" w:rsidRDefault="0077506F" w:rsidP="0077506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40B2F">
        <w:rPr>
          <w:sz w:val="24"/>
          <w:szCs w:val="24"/>
        </w:rPr>
        <w:t>Неприложимо</w:t>
      </w:r>
    </w:p>
    <w:p w:rsidR="007D15AC" w:rsidRPr="00C40B2F" w:rsidRDefault="007D15AC" w:rsidP="00394B8E">
      <w:pPr>
        <w:pStyle w:val="Heading2"/>
        <w:spacing w:before="120" w:after="120"/>
      </w:pPr>
      <w:bookmarkStart w:id="36" w:name="_Toc476919469"/>
      <w:r w:rsidRPr="00C40B2F">
        <w:t>21. Ред за оценяване на проектните предложения:</w:t>
      </w:r>
      <w:bookmarkEnd w:id="36"/>
      <w:r w:rsidRPr="00C40B2F">
        <w:t xml:space="preserve"> </w:t>
      </w:r>
    </w:p>
    <w:p w:rsidR="0077506F" w:rsidRPr="00C40B2F" w:rsidRDefault="0077506F" w:rsidP="0077506F">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C40B2F">
        <w:rPr>
          <w:rFonts w:ascii="Calibri" w:eastAsia="Calibri" w:hAnsi="Calibri" w:cs="Times New Roman"/>
          <w:sz w:val="24"/>
          <w:szCs w:val="24"/>
        </w:rPr>
        <w:t>Оценката на проектн</w:t>
      </w:r>
      <w:r w:rsidR="009236CB" w:rsidRPr="00C40B2F">
        <w:rPr>
          <w:rFonts w:ascii="Calibri" w:eastAsia="Calibri" w:hAnsi="Calibri" w:cs="Times New Roman"/>
          <w:sz w:val="24"/>
          <w:szCs w:val="24"/>
        </w:rPr>
        <w:t>ите</w:t>
      </w:r>
      <w:r w:rsidRPr="00C40B2F">
        <w:rPr>
          <w:rFonts w:ascii="Calibri" w:eastAsia="Calibri" w:hAnsi="Calibri" w:cs="Times New Roman"/>
          <w:sz w:val="24"/>
          <w:szCs w:val="24"/>
        </w:rPr>
        <w:t xml:space="preserve"> предложени</w:t>
      </w:r>
      <w:r w:rsidR="009236CB" w:rsidRPr="00C40B2F">
        <w:rPr>
          <w:rFonts w:ascii="Calibri" w:eastAsia="Calibri" w:hAnsi="Calibri" w:cs="Times New Roman"/>
          <w:sz w:val="24"/>
          <w:szCs w:val="24"/>
        </w:rPr>
        <w:t>я</w:t>
      </w:r>
      <w:r w:rsidRPr="00C40B2F">
        <w:rPr>
          <w:rFonts w:ascii="Calibri" w:eastAsia="Calibri" w:hAnsi="Calibri" w:cs="Times New Roman"/>
          <w:sz w:val="24"/>
          <w:szCs w:val="24"/>
        </w:rPr>
        <w:t xml:space="preserve"> по настоящата процедурата чрез директно предоставяне </w:t>
      </w:r>
      <w:r w:rsidR="00E76927" w:rsidRPr="00C40B2F">
        <w:rPr>
          <w:rFonts w:ascii="Calibri" w:eastAsia="Calibri" w:hAnsi="Calibri" w:cs="Times New Roman"/>
          <w:sz w:val="24"/>
          <w:szCs w:val="24"/>
        </w:rPr>
        <w:t xml:space="preserve">на конкретен бенефициент </w:t>
      </w:r>
      <w:r w:rsidRPr="00C40B2F">
        <w:rPr>
          <w:rFonts w:ascii="Calibri" w:eastAsia="Calibri" w:hAnsi="Calibri" w:cs="Times New Roman"/>
          <w:sz w:val="24"/>
          <w:szCs w:val="24"/>
        </w:rPr>
        <w:t xml:space="preserve">се извършва от Оценителна комисия, определена със заповед на Ръководителя на Управляващия орган. </w:t>
      </w:r>
      <w:r w:rsidR="009236CB" w:rsidRPr="00C40B2F">
        <w:rPr>
          <w:rFonts w:ascii="Calibri" w:eastAsia="Calibri" w:hAnsi="Calibri" w:cs="Times New Roman"/>
          <w:sz w:val="24"/>
          <w:szCs w:val="24"/>
        </w:rPr>
        <w:t>Всяко проектно</w:t>
      </w:r>
      <w:r w:rsidRPr="00C40B2F">
        <w:rPr>
          <w:rFonts w:ascii="Calibri" w:eastAsia="Calibri" w:hAnsi="Calibri" w:cs="Times New Roman"/>
          <w:sz w:val="24"/>
          <w:szCs w:val="24"/>
        </w:rPr>
        <w:t xml:space="preserve"> предложение се оценява за съответствие с предварително одобрените от Комитета за наблюдение Критерии и методика за оценка по процедурата, посочени в т. 22 </w:t>
      </w:r>
      <w:r w:rsidR="00237E63" w:rsidRPr="00C40B2F">
        <w:rPr>
          <w:rFonts w:ascii="Calibri" w:eastAsia="Calibri" w:hAnsi="Calibri" w:cs="Times New Roman"/>
          <w:sz w:val="24"/>
          <w:szCs w:val="24"/>
        </w:rPr>
        <w:t xml:space="preserve">„Критерии и методика за оценка на проектните предложения“ от настоящите условия </w:t>
      </w:r>
      <w:r w:rsidRPr="00C40B2F">
        <w:rPr>
          <w:rFonts w:ascii="Calibri" w:eastAsia="Calibri" w:hAnsi="Calibri" w:cs="Times New Roman"/>
          <w:sz w:val="24"/>
          <w:szCs w:val="24"/>
        </w:rPr>
        <w:t xml:space="preserve">и </w:t>
      </w:r>
      <w:r w:rsidRPr="00C40B2F">
        <w:rPr>
          <w:rFonts w:ascii="Calibri" w:eastAsia="Calibri" w:hAnsi="Calibri" w:cs="Times New Roman"/>
          <w:b/>
          <w:sz w:val="24"/>
          <w:szCs w:val="24"/>
        </w:rPr>
        <w:t xml:space="preserve">Приложение </w:t>
      </w:r>
      <w:r w:rsidR="00DB31B5" w:rsidRPr="00C40B2F">
        <w:rPr>
          <w:rFonts w:ascii="Calibri" w:eastAsia="Calibri" w:hAnsi="Calibri" w:cs="Times New Roman"/>
          <w:b/>
          <w:sz w:val="24"/>
          <w:szCs w:val="24"/>
        </w:rPr>
        <w:t>Д</w:t>
      </w:r>
      <w:r w:rsidRPr="00C40B2F">
        <w:rPr>
          <w:rFonts w:ascii="Calibri" w:eastAsia="Calibri" w:hAnsi="Calibri" w:cs="Times New Roman"/>
          <w:sz w:val="24"/>
          <w:szCs w:val="24"/>
        </w:rPr>
        <w:t xml:space="preserve"> към Условията за кандидатстване. Не се допуска въвеждането на допълнителни критерии за оценка или изменение на критериите по време на провеждането на процедурата по оценка на проектното предложение.</w:t>
      </w:r>
    </w:p>
    <w:p w:rsidR="00C64079" w:rsidRPr="00C40B2F" w:rsidRDefault="00C64079" w:rsidP="0077506F">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p>
    <w:p w:rsidR="00C52F5E" w:rsidRPr="00C40B2F" w:rsidRDefault="0077506F" w:rsidP="002D2B65">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C40B2F">
        <w:rPr>
          <w:rFonts w:ascii="Calibri" w:eastAsia="Calibri" w:hAnsi="Calibri" w:cs="Times New Roman"/>
          <w:sz w:val="24"/>
          <w:szCs w:val="24"/>
        </w:rPr>
        <w:t>В случай на установени по време на оценката нередовности, непълноти и/или несъответствия на документите за кандидатстване, Управляващият орган изпраща на конкретния бенефициент уведомление за установените нередовности</w:t>
      </w:r>
      <w:r w:rsidR="00EE1578" w:rsidRPr="00C40B2F">
        <w:rPr>
          <w:rFonts w:ascii="Calibri" w:eastAsia="Calibri" w:hAnsi="Calibri" w:cs="Times New Roman"/>
          <w:sz w:val="24"/>
          <w:szCs w:val="24"/>
        </w:rPr>
        <w:t>,</w:t>
      </w:r>
      <w:r w:rsidRPr="00C40B2F">
        <w:rPr>
          <w:rFonts w:ascii="Calibri" w:eastAsia="Calibri" w:hAnsi="Calibri" w:cs="Times New Roman"/>
          <w:sz w:val="24"/>
          <w:szCs w:val="24"/>
        </w:rPr>
        <w:t xml:space="preserve"> </w:t>
      </w:r>
      <w:r w:rsidR="00EE1578" w:rsidRPr="00C40B2F">
        <w:rPr>
          <w:rFonts w:ascii="Calibri" w:eastAsia="Calibri" w:hAnsi="Calibri" w:cs="Times New Roman"/>
          <w:sz w:val="24"/>
          <w:szCs w:val="24"/>
        </w:rPr>
        <w:t xml:space="preserve">непълноти и/или несъответствия  </w:t>
      </w:r>
      <w:r w:rsidRPr="00C40B2F">
        <w:rPr>
          <w:rFonts w:ascii="Calibri" w:eastAsia="Calibri" w:hAnsi="Calibri" w:cs="Times New Roman"/>
          <w:sz w:val="24"/>
          <w:szCs w:val="24"/>
        </w:rPr>
        <w:t>и определя разумен срок за тяхното отстраняване, който не може да</w:t>
      </w:r>
      <w:r w:rsidR="005552EE" w:rsidRPr="00C40B2F">
        <w:rPr>
          <w:rFonts w:ascii="Calibri" w:eastAsia="Calibri" w:hAnsi="Calibri" w:cs="Times New Roman"/>
          <w:sz w:val="24"/>
          <w:szCs w:val="24"/>
        </w:rPr>
        <w:t xml:space="preserve"> бъде по-кратък от една седмица, като денят на получаване на уведомлението не се брои. </w:t>
      </w:r>
      <w:r w:rsidRPr="00C40B2F">
        <w:rPr>
          <w:rFonts w:ascii="Calibri" w:eastAsia="Calibri" w:hAnsi="Calibri" w:cs="Times New Roman"/>
          <w:sz w:val="24"/>
          <w:szCs w:val="24"/>
        </w:rPr>
        <w:t>В уведомлението</w:t>
      </w:r>
      <w:r w:rsidR="004C7AB2" w:rsidRPr="00C40B2F">
        <w:rPr>
          <w:rFonts w:ascii="Calibri" w:eastAsia="Calibri" w:hAnsi="Calibri" w:cs="Times New Roman"/>
          <w:sz w:val="24"/>
          <w:szCs w:val="24"/>
        </w:rPr>
        <w:t xml:space="preserve">, което се изпраща на </w:t>
      </w:r>
      <w:r w:rsidR="00EE1578" w:rsidRPr="00C40B2F">
        <w:rPr>
          <w:rFonts w:ascii="Calibri" w:eastAsia="Calibri" w:hAnsi="Calibri" w:cs="Times New Roman"/>
          <w:sz w:val="24"/>
          <w:szCs w:val="24"/>
        </w:rPr>
        <w:t xml:space="preserve">конкретния бенефициент, </w:t>
      </w:r>
      <w:r w:rsidRPr="00C40B2F">
        <w:rPr>
          <w:rFonts w:ascii="Calibri" w:eastAsia="Calibri" w:hAnsi="Calibri" w:cs="Times New Roman"/>
          <w:sz w:val="24"/>
          <w:szCs w:val="24"/>
        </w:rPr>
        <w:t xml:space="preserve">задължително се съдържа информация, че неотстраняването на установените нередовности може да доведе до прекратяване на производството по отношение на конкретния бенефициент. Срокът за оценка на проектното предложение спира да тече до датата на отстраняването им. </w:t>
      </w:r>
    </w:p>
    <w:p w:rsidR="009E0489" w:rsidRPr="00C40B2F" w:rsidRDefault="0077506F" w:rsidP="002D2B65">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C40B2F">
        <w:rPr>
          <w:rFonts w:ascii="Calibri" w:eastAsia="Calibri" w:hAnsi="Calibri" w:cs="Times New Roman"/>
          <w:sz w:val="24"/>
          <w:szCs w:val="24"/>
        </w:rPr>
        <w:t xml:space="preserve">Искането за предоставяне на информация/документи се изпраща чрез Модула за електронни услуги на ИСУН 2020, за което конкретният бенефициент получава съобщение на електронния адрес, посочен при регистрацията на потребителя, подал проектното предложение. Предвид това, промени в профила на кандидата в ИСУН 2020 са невъзможни. </w:t>
      </w:r>
      <w:r w:rsidR="005114EC" w:rsidRPr="00C40B2F">
        <w:rPr>
          <w:rFonts w:ascii="Calibri" w:eastAsia="Calibri" w:hAnsi="Calibri" w:cs="Times New Roman"/>
          <w:sz w:val="24"/>
          <w:szCs w:val="24"/>
        </w:rPr>
        <w:t>В случай че конкретния</w:t>
      </w:r>
      <w:r w:rsidR="00EE1578" w:rsidRPr="00C40B2F">
        <w:rPr>
          <w:rFonts w:ascii="Calibri" w:eastAsia="Calibri" w:hAnsi="Calibri" w:cs="Times New Roman"/>
          <w:sz w:val="24"/>
          <w:szCs w:val="24"/>
        </w:rPr>
        <w:t>т</w:t>
      </w:r>
      <w:r w:rsidR="005114EC" w:rsidRPr="00C40B2F">
        <w:rPr>
          <w:rFonts w:ascii="Calibri" w:eastAsia="Calibri" w:hAnsi="Calibri" w:cs="Times New Roman"/>
          <w:sz w:val="24"/>
          <w:szCs w:val="24"/>
        </w:rPr>
        <w:t xml:space="preserve"> бенефициент не отстрани в срок нередовност, непълнота и/или несъответствие с изискванията</w:t>
      </w:r>
      <w:r w:rsidR="00742648" w:rsidRPr="00C40B2F">
        <w:rPr>
          <w:rFonts w:ascii="Calibri" w:eastAsia="Calibri" w:hAnsi="Calibri" w:cs="Times New Roman"/>
          <w:sz w:val="24"/>
          <w:szCs w:val="24"/>
        </w:rPr>
        <w:t xml:space="preserve">, </w:t>
      </w:r>
      <w:r w:rsidR="003871E9" w:rsidRPr="00C40B2F">
        <w:rPr>
          <w:rFonts w:ascii="Calibri" w:eastAsia="Calibri" w:hAnsi="Calibri" w:cs="Times New Roman"/>
          <w:sz w:val="24"/>
          <w:szCs w:val="24"/>
        </w:rPr>
        <w:t xml:space="preserve">производството по </w:t>
      </w:r>
      <w:r w:rsidR="00742648" w:rsidRPr="00C40B2F">
        <w:rPr>
          <w:rFonts w:ascii="Calibri" w:eastAsia="Calibri" w:hAnsi="Calibri" w:cs="Times New Roman"/>
          <w:sz w:val="24"/>
          <w:szCs w:val="24"/>
        </w:rPr>
        <w:t xml:space="preserve">процедурата може да </w:t>
      </w:r>
      <w:r w:rsidR="003871E9" w:rsidRPr="00C40B2F">
        <w:rPr>
          <w:rFonts w:ascii="Calibri" w:eastAsia="Calibri" w:hAnsi="Calibri" w:cs="Times New Roman"/>
          <w:sz w:val="24"/>
          <w:szCs w:val="24"/>
        </w:rPr>
        <w:t>бъде прекратен</w:t>
      </w:r>
      <w:r w:rsidR="00EE1578" w:rsidRPr="00C40B2F">
        <w:rPr>
          <w:rFonts w:ascii="Calibri" w:eastAsia="Calibri" w:hAnsi="Calibri" w:cs="Times New Roman"/>
          <w:sz w:val="24"/>
          <w:szCs w:val="24"/>
        </w:rPr>
        <w:t>о</w:t>
      </w:r>
      <w:r w:rsidR="003871E9" w:rsidRPr="00C40B2F">
        <w:rPr>
          <w:rFonts w:ascii="Calibri" w:eastAsia="Calibri" w:hAnsi="Calibri" w:cs="Times New Roman"/>
          <w:sz w:val="24"/>
          <w:szCs w:val="24"/>
        </w:rPr>
        <w:t xml:space="preserve">. </w:t>
      </w:r>
    </w:p>
    <w:p w:rsidR="0077506F" w:rsidRPr="00C40B2F" w:rsidRDefault="002D2B65" w:rsidP="004C0F4E">
      <w:pPr>
        <w:pBdr>
          <w:top w:val="single" w:sz="4" w:space="1" w:color="auto"/>
          <w:left w:val="single" w:sz="4" w:space="4" w:color="auto"/>
          <w:bottom w:val="single" w:sz="4" w:space="1" w:color="auto"/>
          <w:right w:val="single" w:sz="4" w:space="4" w:color="auto"/>
        </w:pBdr>
        <w:spacing w:after="360"/>
        <w:contextualSpacing/>
        <w:jc w:val="both"/>
        <w:rPr>
          <w:rFonts w:ascii="Calibri" w:eastAsia="Calibri" w:hAnsi="Calibri" w:cs="Times New Roman"/>
          <w:sz w:val="24"/>
          <w:szCs w:val="24"/>
        </w:rPr>
      </w:pPr>
      <w:r w:rsidRPr="00C40B2F">
        <w:rPr>
          <w:rFonts w:ascii="Calibri" w:eastAsia="Calibri" w:hAnsi="Calibri" w:cs="Times New Roman"/>
          <w:sz w:val="24"/>
          <w:szCs w:val="24"/>
        </w:rPr>
        <w:lastRenderedPageBreak/>
        <w:t xml:space="preserve">Подробно описание на техническия процес, свързан с електронното кандидатстване </w:t>
      </w:r>
      <w:r w:rsidR="004033B9" w:rsidRPr="00C40B2F">
        <w:rPr>
          <w:rFonts w:ascii="Calibri" w:eastAsia="Calibri" w:hAnsi="Calibri" w:cs="Times New Roman"/>
          <w:sz w:val="24"/>
          <w:szCs w:val="24"/>
        </w:rPr>
        <w:t xml:space="preserve">и представянето на допълнителна информация/документи, </w:t>
      </w:r>
      <w:r w:rsidRPr="00C40B2F">
        <w:rPr>
          <w:rFonts w:ascii="Calibri" w:eastAsia="Calibri" w:hAnsi="Calibri" w:cs="Times New Roman"/>
          <w:sz w:val="24"/>
          <w:szCs w:val="24"/>
        </w:rPr>
        <w:t>е посочено в Ръководството за потребителя за модул „Е-кандидатстване“ в ИСУН 2020</w:t>
      </w:r>
      <w:r w:rsidRPr="00C40B2F">
        <w:rPr>
          <w:rFonts w:ascii="Calibri" w:eastAsia="Calibri" w:hAnsi="Calibri" w:cs="Times New Roman"/>
        </w:rPr>
        <w:t xml:space="preserve"> (</w:t>
      </w:r>
      <w:r w:rsidRPr="00C40B2F">
        <w:rPr>
          <w:rFonts w:ascii="Calibri" w:eastAsia="Calibri" w:hAnsi="Calibri" w:cs="Times New Roman"/>
          <w:b/>
          <w:sz w:val="24"/>
          <w:szCs w:val="24"/>
        </w:rPr>
        <w:t xml:space="preserve">Приложение </w:t>
      </w:r>
      <w:r w:rsidR="005E5D3B" w:rsidRPr="00C40B2F">
        <w:rPr>
          <w:rFonts w:ascii="Calibri" w:eastAsia="Calibri" w:hAnsi="Calibri" w:cs="Times New Roman"/>
          <w:b/>
          <w:sz w:val="24"/>
          <w:szCs w:val="24"/>
        </w:rPr>
        <w:t xml:space="preserve">А </w:t>
      </w:r>
      <w:r w:rsidRPr="00C40B2F">
        <w:rPr>
          <w:rFonts w:ascii="Calibri" w:eastAsia="Calibri" w:hAnsi="Calibri" w:cs="Times New Roman"/>
          <w:sz w:val="24"/>
          <w:szCs w:val="24"/>
        </w:rPr>
        <w:t xml:space="preserve">към Условията за кандидатстване). </w:t>
      </w:r>
    </w:p>
    <w:p w:rsidR="002325A3" w:rsidRPr="00C40B2F" w:rsidRDefault="00CB14EE" w:rsidP="00394B8E">
      <w:pPr>
        <w:pStyle w:val="Heading2"/>
        <w:spacing w:before="120" w:after="120"/>
      </w:pPr>
      <w:bookmarkStart w:id="37" w:name="_Toc476919470"/>
      <w:r w:rsidRPr="00C40B2F">
        <w:t>2</w:t>
      </w:r>
      <w:r w:rsidR="007D15AC" w:rsidRPr="00C40B2F">
        <w:t>2</w:t>
      </w:r>
      <w:r w:rsidR="002C08E5" w:rsidRPr="00C40B2F">
        <w:t xml:space="preserve">. </w:t>
      </w:r>
      <w:r w:rsidR="002325A3" w:rsidRPr="00C40B2F">
        <w:t xml:space="preserve">Критерии </w:t>
      </w:r>
      <w:r w:rsidR="005B7309" w:rsidRPr="00C40B2F">
        <w:t xml:space="preserve">и методика </w:t>
      </w:r>
      <w:r w:rsidR="002325A3" w:rsidRPr="00C40B2F">
        <w:t>за оценка на проектните предложения:</w:t>
      </w:r>
      <w:bookmarkEnd w:id="37"/>
    </w:p>
    <w:p w:rsidR="0010018A" w:rsidRPr="00C40B2F" w:rsidRDefault="00B50931" w:rsidP="00AD1C0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40B2F">
        <w:rPr>
          <w:sz w:val="24"/>
          <w:szCs w:val="24"/>
        </w:rPr>
        <w:t xml:space="preserve">Оценката по настоящата процедура се извършва въз основа на критерии, одобрени от Комитета за наблюдение на ОП „Иновации и конкурентоспособност“ 2014-2020 (КН на ОПИК), подробно описани в </w:t>
      </w:r>
      <w:r w:rsidRPr="00C40B2F">
        <w:rPr>
          <w:b/>
          <w:sz w:val="24"/>
          <w:szCs w:val="24"/>
        </w:rPr>
        <w:t xml:space="preserve">Приложение </w:t>
      </w:r>
      <w:r w:rsidR="00DD1A25" w:rsidRPr="00C40B2F">
        <w:rPr>
          <w:b/>
          <w:sz w:val="24"/>
          <w:szCs w:val="24"/>
        </w:rPr>
        <w:t>Д</w:t>
      </w:r>
      <w:r w:rsidR="00E93A1E" w:rsidRPr="00C40B2F">
        <w:rPr>
          <w:b/>
          <w:sz w:val="24"/>
          <w:szCs w:val="24"/>
        </w:rPr>
        <w:t xml:space="preserve"> </w:t>
      </w:r>
      <w:r w:rsidRPr="00C40B2F">
        <w:rPr>
          <w:sz w:val="24"/>
          <w:szCs w:val="24"/>
        </w:rPr>
        <w:t>към Условията за кандидатстване. Метод</w:t>
      </w:r>
      <w:r w:rsidR="00325B30" w:rsidRPr="00C40B2F">
        <w:rPr>
          <w:sz w:val="24"/>
          <w:szCs w:val="24"/>
        </w:rPr>
        <w:t xml:space="preserve">иката </w:t>
      </w:r>
      <w:r w:rsidRPr="00C40B2F">
        <w:rPr>
          <w:sz w:val="24"/>
          <w:szCs w:val="24"/>
        </w:rPr>
        <w:t>и критериите не подлежат на изменение по време на провеждането на оценката. При извършването на оценката се проверява дали проектното предложение отговаря на всички критерии, като за всеки критерий се поставя оценката „ДА“, „НЕ“ или „Н/П“ (неприложимо).</w:t>
      </w:r>
    </w:p>
    <w:p w:rsidR="00E872B2" w:rsidRPr="00C40B2F" w:rsidRDefault="00E872B2" w:rsidP="00E872B2">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p>
    <w:tbl>
      <w:tblPr>
        <w:tblStyle w:val="TableGrid"/>
        <w:tblW w:w="9606" w:type="dxa"/>
        <w:shd w:val="pct12" w:color="auto" w:fill="auto"/>
        <w:tblLayout w:type="fixed"/>
        <w:tblLook w:val="04A0" w:firstRow="1" w:lastRow="0" w:firstColumn="1" w:lastColumn="0" w:noHBand="0" w:noVBand="1"/>
      </w:tblPr>
      <w:tblGrid>
        <w:gridCol w:w="7479"/>
        <w:gridCol w:w="709"/>
        <w:gridCol w:w="709"/>
        <w:gridCol w:w="709"/>
      </w:tblGrid>
      <w:tr w:rsidR="00376A66" w:rsidRPr="00C40B2F" w:rsidTr="00AD1C0D">
        <w:trPr>
          <w:trHeight w:val="589"/>
        </w:trPr>
        <w:tc>
          <w:tcPr>
            <w:tcW w:w="7479" w:type="dxa"/>
            <w:shd w:val="pct12" w:color="auto" w:fill="auto"/>
          </w:tcPr>
          <w:p w:rsidR="00376A66" w:rsidRPr="00C40B2F" w:rsidRDefault="00376A66" w:rsidP="00376A66">
            <w:pPr>
              <w:spacing w:before="120" w:after="120"/>
              <w:jc w:val="center"/>
              <w:rPr>
                <w:rFonts w:cstheme="minorHAnsi"/>
                <w:sz w:val="24"/>
                <w:szCs w:val="24"/>
              </w:rPr>
            </w:pPr>
            <w:r w:rsidRPr="00C40B2F">
              <w:rPr>
                <w:rFonts w:cstheme="minorHAnsi"/>
                <w:b/>
                <w:sz w:val="24"/>
                <w:szCs w:val="24"/>
              </w:rPr>
              <w:t>Критерии за техническа и финансова оценка</w:t>
            </w:r>
          </w:p>
        </w:tc>
        <w:tc>
          <w:tcPr>
            <w:tcW w:w="709" w:type="dxa"/>
            <w:shd w:val="pct12" w:color="auto" w:fill="auto"/>
            <w:vAlign w:val="center"/>
          </w:tcPr>
          <w:p w:rsidR="00376A66" w:rsidRPr="00C40B2F" w:rsidRDefault="00376A66" w:rsidP="00AD1C0D">
            <w:pPr>
              <w:jc w:val="center"/>
              <w:rPr>
                <w:rFonts w:cstheme="minorHAnsi"/>
                <w:b/>
                <w:sz w:val="24"/>
                <w:szCs w:val="24"/>
              </w:rPr>
            </w:pPr>
            <w:r w:rsidRPr="00C40B2F">
              <w:rPr>
                <w:rFonts w:cstheme="minorHAnsi"/>
                <w:b/>
                <w:sz w:val="24"/>
                <w:szCs w:val="24"/>
              </w:rPr>
              <w:t>ДА</w:t>
            </w:r>
          </w:p>
        </w:tc>
        <w:tc>
          <w:tcPr>
            <w:tcW w:w="709" w:type="dxa"/>
            <w:shd w:val="pct12" w:color="auto" w:fill="auto"/>
            <w:vAlign w:val="center"/>
          </w:tcPr>
          <w:p w:rsidR="00376A66" w:rsidRPr="00C40B2F" w:rsidRDefault="00376A66" w:rsidP="00AD1C0D">
            <w:pPr>
              <w:jc w:val="center"/>
              <w:rPr>
                <w:rFonts w:cstheme="minorHAnsi"/>
                <w:b/>
                <w:sz w:val="24"/>
                <w:szCs w:val="24"/>
              </w:rPr>
            </w:pPr>
            <w:r w:rsidRPr="00C40B2F">
              <w:rPr>
                <w:rFonts w:cstheme="minorHAnsi"/>
                <w:b/>
                <w:sz w:val="24"/>
                <w:szCs w:val="24"/>
              </w:rPr>
              <w:t>НЕ</w:t>
            </w:r>
          </w:p>
        </w:tc>
        <w:tc>
          <w:tcPr>
            <w:tcW w:w="709" w:type="dxa"/>
            <w:shd w:val="pct12" w:color="auto" w:fill="auto"/>
            <w:vAlign w:val="center"/>
          </w:tcPr>
          <w:p w:rsidR="00376A66" w:rsidRPr="00C40B2F" w:rsidRDefault="00376A66" w:rsidP="00AD1C0D">
            <w:pPr>
              <w:jc w:val="center"/>
              <w:rPr>
                <w:rFonts w:cstheme="minorHAnsi"/>
                <w:b/>
                <w:sz w:val="24"/>
                <w:szCs w:val="24"/>
              </w:rPr>
            </w:pPr>
            <w:r w:rsidRPr="00C40B2F">
              <w:rPr>
                <w:rFonts w:cstheme="minorHAnsi"/>
                <w:b/>
                <w:sz w:val="24"/>
                <w:szCs w:val="24"/>
              </w:rPr>
              <w:t>Н/П</w:t>
            </w:r>
          </w:p>
        </w:tc>
      </w:tr>
    </w:tbl>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79"/>
        <w:gridCol w:w="709"/>
        <w:gridCol w:w="709"/>
        <w:gridCol w:w="709"/>
      </w:tblGrid>
      <w:tr w:rsidR="00376A66" w:rsidRPr="00C40B2F" w:rsidTr="00AD1C0D">
        <w:trPr>
          <w:trHeight w:val="601"/>
        </w:trPr>
        <w:tc>
          <w:tcPr>
            <w:tcW w:w="9606" w:type="dxa"/>
            <w:gridSpan w:val="4"/>
            <w:shd w:val="clear" w:color="auto" w:fill="auto"/>
            <w:vAlign w:val="center"/>
          </w:tcPr>
          <w:p w:rsidR="00376A66" w:rsidRPr="00C40B2F" w:rsidRDefault="00376A66" w:rsidP="00AD1C0D">
            <w:pPr>
              <w:pStyle w:val="ListParagraph"/>
              <w:spacing w:after="0"/>
              <w:ind w:left="142"/>
              <w:jc w:val="center"/>
              <w:rPr>
                <w:sz w:val="24"/>
                <w:szCs w:val="24"/>
              </w:rPr>
            </w:pPr>
            <w:r w:rsidRPr="00C40B2F">
              <w:rPr>
                <w:b/>
                <w:sz w:val="24"/>
                <w:szCs w:val="24"/>
              </w:rPr>
              <w:t>I. Цел на проекта, описание на дейностите и организация на изпълнението</w:t>
            </w:r>
          </w:p>
        </w:tc>
      </w:tr>
      <w:tr w:rsidR="00376A66" w:rsidRPr="00C40B2F" w:rsidTr="00376A66">
        <w:trPr>
          <w:trHeight w:val="496"/>
        </w:trPr>
        <w:tc>
          <w:tcPr>
            <w:tcW w:w="7479" w:type="dxa"/>
            <w:shd w:val="clear" w:color="auto" w:fill="auto"/>
          </w:tcPr>
          <w:p w:rsidR="00376A66" w:rsidRPr="00C40B2F" w:rsidRDefault="00376A66" w:rsidP="00FE0D33">
            <w:pPr>
              <w:pStyle w:val="ListParagraph"/>
              <w:spacing w:after="360"/>
              <w:ind w:left="142"/>
              <w:jc w:val="both"/>
              <w:rPr>
                <w:sz w:val="24"/>
                <w:szCs w:val="24"/>
              </w:rPr>
            </w:pPr>
            <w:r w:rsidRPr="00C40B2F">
              <w:rPr>
                <w:sz w:val="24"/>
                <w:szCs w:val="24"/>
              </w:rPr>
              <w:t>1. Проектното предложение допринася за постигане на специфичната цел на инвестиционния приоритет и целта на настоящата процедура.</w:t>
            </w:r>
          </w:p>
        </w:tc>
        <w:tc>
          <w:tcPr>
            <w:tcW w:w="709" w:type="dxa"/>
            <w:shd w:val="clear" w:color="auto" w:fill="auto"/>
          </w:tcPr>
          <w:p w:rsidR="00376A66" w:rsidRPr="00C40B2F" w:rsidRDefault="00376A66" w:rsidP="00FE0D33">
            <w:pPr>
              <w:pStyle w:val="ListParagraph"/>
              <w:spacing w:after="360"/>
              <w:jc w:val="both"/>
              <w:rPr>
                <w:sz w:val="24"/>
                <w:szCs w:val="24"/>
              </w:rPr>
            </w:pPr>
          </w:p>
        </w:tc>
        <w:tc>
          <w:tcPr>
            <w:tcW w:w="709" w:type="dxa"/>
            <w:shd w:val="clear" w:color="auto" w:fill="auto"/>
          </w:tcPr>
          <w:p w:rsidR="00376A66" w:rsidRPr="00C40B2F" w:rsidRDefault="00376A66" w:rsidP="00FE0D33">
            <w:pPr>
              <w:pStyle w:val="ListParagraph"/>
              <w:spacing w:after="360"/>
              <w:jc w:val="both"/>
              <w:rPr>
                <w:sz w:val="24"/>
                <w:szCs w:val="24"/>
              </w:rPr>
            </w:pPr>
          </w:p>
        </w:tc>
        <w:tc>
          <w:tcPr>
            <w:tcW w:w="709" w:type="dxa"/>
            <w:shd w:val="clear" w:color="auto" w:fill="auto"/>
          </w:tcPr>
          <w:p w:rsidR="00376A66" w:rsidRPr="00C40B2F" w:rsidRDefault="00376A66" w:rsidP="00FE0D33">
            <w:pPr>
              <w:pStyle w:val="ListParagraph"/>
              <w:spacing w:after="360"/>
              <w:jc w:val="both"/>
              <w:rPr>
                <w:sz w:val="24"/>
                <w:szCs w:val="24"/>
              </w:rPr>
            </w:pPr>
          </w:p>
        </w:tc>
      </w:tr>
      <w:tr w:rsidR="00376A66" w:rsidRPr="00C40B2F" w:rsidTr="00376A66">
        <w:tc>
          <w:tcPr>
            <w:tcW w:w="7479" w:type="dxa"/>
            <w:shd w:val="clear" w:color="auto" w:fill="auto"/>
          </w:tcPr>
          <w:p w:rsidR="00376A66" w:rsidRPr="00C40B2F" w:rsidRDefault="00376A66" w:rsidP="00FE0D33">
            <w:pPr>
              <w:pStyle w:val="ListParagraph"/>
              <w:spacing w:after="360"/>
              <w:ind w:left="142"/>
              <w:jc w:val="both"/>
              <w:rPr>
                <w:sz w:val="24"/>
                <w:szCs w:val="24"/>
              </w:rPr>
            </w:pPr>
            <w:r w:rsidRPr="00C40B2F">
              <w:rPr>
                <w:sz w:val="24"/>
                <w:szCs w:val="24"/>
              </w:rPr>
              <w:t xml:space="preserve">2. Проектното предложение е в съответствие с приложимите хоризонтални политики на ЕС. </w:t>
            </w:r>
          </w:p>
        </w:tc>
        <w:tc>
          <w:tcPr>
            <w:tcW w:w="709" w:type="dxa"/>
            <w:shd w:val="clear" w:color="auto" w:fill="auto"/>
          </w:tcPr>
          <w:p w:rsidR="00376A66" w:rsidRPr="00C40B2F" w:rsidRDefault="00376A66" w:rsidP="00FE0D33">
            <w:pPr>
              <w:pStyle w:val="ListParagraph"/>
              <w:spacing w:after="360"/>
              <w:jc w:val="both"/>
              <w:rPr>
                <w:sz w:val="24"/>
                <w:szCs w:val="24"/>
              </w:rPr>
            </w:pPr>
          </w:p>
        </w:tc>
        <w:tc>
          <w:tcPr>
            <w:tcW w:w="709" w:type="dxa"/>
            <w:shd w:val="clear" w:color="auto" w:fill="auto"/>
          </w:tcPr>
          <w:p w:rsidR="00376A66" w:rsidRPr="00C40B2F" w:rsidRDefault="00376A66" w:rsidP="00FE0D33">
            <w:pPr>
              <w:pStyle w:val="ListParagraph"/>
              <w:spacing w:after="360"/>
              <w:jc w:val="both"/>
              <w:rPr>
                <w:sz w:val="24"/>
                <w:szCs w:val="24"/>
              </w:rPr>
            </w:pPr>
          </w:p>
        </w:tc>
        <w:tc>
          <w:tcPr>
            <w:tcW w:w="709" w:type="dxa"/>
            <w:shd w:val="clear" w:color="auto" w:fill="auto"/>
          </w:tcPr>
          <w:p w:rsidR="00376A66" w:rsidRPr="00C40B2F" w:rsidRDefault="00376A66" w:rsidP="00FE0D33">
            <w:pPr>
              <w:pStyle w:val="ListParagraph"/>
              <w:spacing w:after="360"/>
              <w:jc w:val="both"/>
              <w:rPr>
                <w:sz w:val="24"/>
                <w:szCs w:val="24"/>
              </w:rPr>
            </w:pPr>
          </w:p>
        </w:tc>
      </w:tr>
      <w:tr w:rsidR="00376A66" w:rsidRPr="00C40B2F" w:rsidTr="00376A66">
        <w:tc>
          <w:tcPr>
            <w:tcW w:w="7479" w:type="dxa"/>
            <w:shd w:val="clear" w:color="auto" w:fill="auto"/>
          </w:tcPr>
          <w:p w:rsidR="00376A66" w:rsidRPr="00C40B2F" w:rsidRDefault="00376A66" w:rsidP="00FE0D33">
            <w:pPr>
              <w:pStyle w:val="ListParagraph"/>
              <w:spacing w:after="360"/>
              <w:ind w:left="142"/>
              <w:jc w:val="both"/>
              <w:rPr>
                <w:sz w:val="24"/>
                <w:szCs w:val="24"/>
              </w:rPr>
            </w:pPr>
            <w:r w:rsidRPr="00C40B2F">
              <w:rPr>
                <w:sz w:val="24"/>
                <w:szCs w:val="24"/>
              </w:rPr>
              <w:t>3. Проектното предложение демонстрира ясна връзка между цели, дейности и резултати.</w:t>
            </w:r>
          </w:p>
        </w:tc>
        <w:tc>
          <w:tcPr>
            <w:tcW w:w="709" w:type="dxa"/>
            <w:shd w:val="clear" w:color="auto" w:fill="auto"/>
          </w:tcPr>
          <w:p w:rsidR="00376A66" w:rsidRPr="00C40B2F" w:rsidRDefault="00376A66" w:rsidP="00FE0D33">
            <w:pPr>
              <w:pStyle w:val="ListParagraph"/>
              <w:spacing w:after="360"/>
              <w:jc w:val="both"/>
              <w:rPr>
                <w:sz w:val="24"/>
                <w:szCs w:val="24"/>
              </w:rPr>
            </w:pPr>
          </w:p>
        </w:tc>
        <w:tc>
          <w:tcPr>
            <w:tcW w:w="709" w:type="dxa"/>
            <w:shd w:val="clear" w:color="auto" w:fill="auto"/>
          </w:tcPr>
          <w:p w:rsidR="00376A66" w:rsidRPr="00C40B2F" w:rsidRDefault="00376A66" w:rsidP="00FE0D33">
            <w:pPr>
              <w:pStyle w:val="ListParagraph"/>
              <w:spacing w:after="360"/>
              <w:jc w:val="both"/>
              <w:rPr>
                <w:sz w:val="24"/>
                <w:szCs w:val="24"/>
              </w:rPr>
            </w:pPr>
          </w:p>
        </w:tc>
        <w:tc>
          <w:tcPr>
            <w:tcW w:w="709" w:type="dxa"/>
            <w:shd w:val="clear" w:color="auto" w:fill="auto"/>
          </w:tcPr>
          <w:p w:rsidR="00376A66" w:rsidRPr="00C40B2F" w:rsidRDefault="00376A66" w:rsidP="00FE0D33">
            <w:pPr>
              <w:pStyle w:val="ListParagraph"/>
              <w:spacing w:after="360"/>
              <w:jc w:val="both"/>
              <w:rPr>
                <w:sz w:val="24"/>
                <w:szCs w:val="24"/>
              </w:rPr>
            </w:pPr>
          </w:p>
        </w:tc>
      </w:tr>
      <w:tr w:rsidR="00376A66" w:rsidRPr="00C40B2F" w:rsidTr="00AD1C0D">
        <w:trPr>
          <w:trHeight w:val="569"/>
        </w:trPr>
        <w:tc>
          <w:tcPr>
            <w:tcW w:w="9606" w:type="dxa"/>
            <w:gridSpan w:val="4"/>
            <w:shd w:val="clear" w:color="auto" w:fill="auto"/>
            <w:vAlign w:val="center"/>
          </w:tcPr>
          <w:p w:rsidR="00376A66" w:rsidRPr="00C40B2F" w:rsidRDefault="00376A66" w:rsidP="00AD1C0D">
            <w:pPr>
              <w:pStyle w:val="ListParagraph"/>
              <w:spacing w:after="0"/>
              <w:ind w:left="142"/>
              <w:jc w:val="center"/>
              <w:rPr>
                <w:sz w:val="24"/>
                <w:szCs w:val="24"/>
              </w:rPr>
            </w:pPr>
            <w:r w:rsidRPr="00C40B2F">
              <w:rPr>
                <w:b/>
                <w:sz w:val="24"/>
                <w:szCs w:val="24"/>
              </w:rPr>
              <w:t>II. Ефективност на дейностите</w:t>
            </w:r>
          </w:p>
        </w:tc>
      </w:tr>
      <w:tr w:rsidR="00376A66" w:rsidRPr="00C40B2F" w:rsidTr="00376A66">
        <w:tc>
          <w:tcPr>
            <w:tcW w:w="7479" w:type="dxa"/>
            <w:shd w:val="clear" w:color="auto" w:fill="auto"/>
          </w:tcPr>
          <w:p w:rsidR="00376A66" w:rsidRPr="00C40B2F" w:rsidRDefault="00376A66" w:rsidP="00FE0D33">
            <w:pPr>
              <w:pStyle w:val="ListParagraph"/>
              <w:spacing w:after="360"/>
              <w:ind w:left="142"/>
              <w:jc w:val="both"/>
              <w:rPr>
                <w:sz w:val="24"/>
                <w:szCs w:val="24"/>
              </w:rPr>
            </w:pPr>
            <w:r w:rsidRPr="00C40B2F">
              <w:rPr>
                <w:sz w:val="24"/>
                <w:szCs w:val="24"/>
              </w:rPr>
              <w:t>1. Всички дейности по проекта са ясно и последователно описани, като са посочени причините за избора на всяка една дейност и нейният принос за постигане на очакваните резултати.</w:t>
            </w:r>
          </w:p>
        </w:tc>
        <w:tc>
          <w:tcPr>
            <w:tcW w:w="709" w:type="dxa"/>
            <w:shd w:val="clear" w:color="auto" w:fill="auto"/>
          </w:tcPr>
          <w:p w:rsidR="00376A66" w:rsidRPr="00C40B2F" w:rsidRDefault="00376A66" w:rsidP="00FE0D33">
            <w:pPr>
              <w:pStyle w:val="ListParagraph"/>
              <w:spacing w:after="360"/>
              <w:jc w:val="both"/>
              <w:rPr>
                <w:sz w:val="24"/>
                <w:szCs w:val="24"/>
              </w:rPr>
            </w:pPr>
          </w:p>
        </w:tc>
        <w:tc>
          <w:tcPr>
            <w:tcW w:w="709" w:type="dxa"/>
            <w:shd w:val="clear" w:color="auto" w:fill="auto"/>
          </w:tcPr>
          <w:p w:rsidR="00376A66" w:rsidRPr="00C40B2F" w:rsidRDefault="00376A66" w:rsidP="00FE0D33">
            <w:pPr>
              <w:pStyle w:val="ListParagraph"/>
              <w:spacing w:after="360"/>
              <w:jc w:val="both"/>
              <w:rPr>
                <w:sz w:val="24"/>
                <w:szCs w:val="24"/>
              </w:rPr>
            </w:pPr>
          </w:p>
        </w:tc>
        <w:tc>
          <w:tcPr>
            <w:tcW w:w="709" w:type="dxa"/>
            <w:shd w:val="clear" w:color="auto" w:fill="auto"/>
          </w:tcPr>
          <w:p w:rsidR="00376A66" w:rsidRPr="00C40B2F" w:rsidRDefault="00376A66" w:rsidP="00FE0D33">
            <w:pPr>
              <w:pStyle w:val="ListParagraph"/>
              <w:spacing w:after="360"/>
              <w:jc w:val="both"/>
              <w:rPr>
                <w:sz w:val="24"/>
                <w:szCs w:val="24"/>
              </w:rPr>
            </w:pPr>
          </w:p>
        </w:tc>
      </w:tr>
      <w:tr w:rsidR="00376A66" w:rsidRPr="00C40B2F" w:rsidTr="00376A66">
        <w:tc>
          <w:tcPr>
            <w:tcW w:w="7479" w:type="dxa"/>
            <w:shd w:val="clear" w:color="auto" w:fill="auto"/>
          </w:tcPr>
          <w:p w:rsidR="00376A66" w:rsidRPr="00C40B2F" w:rsidRDefault="00376A66" w:rsidP="00FE0D33">
            <w:pPr>
              <w:pStyle w:val="ListParagraph"/>
              <w:spacing w:after="360"/>
              <w:ind w:left="142"/>
              <w:jc w:val="both"/>
              <w:rPr>
                <w:sz w:val="24"/>
                <w:szCs w:val="24"/>
              </w:rPr>
            </w:pPr>
            <w:r w:rsidRPr="00C40B2F">
              <w:rPr>
                <w:sz w:val="24"/>
                <w:szCs w:val="24"/>
              </w:rPr>
              <w:t xml:space="preserve">2. Планът за изпълнение на дейностите е реалистично планиран и осъществим, като е съобразен с плана за външно възлагане.  </w:t>
            </w:r>
          </w:p>
        </w:tc>
        <w:tc>
          <w:tcPr>
            <w:tcW w:w="709" w:type="dxa"/>
            <w:shd w:val="clear" w:color="auto" w:fill="auto"/>
          </w:tcPr>
          <w:p w:rsidR="00376A66" w:rsidRPr="00C40B2F" w:rsidRDefault="00376A66" w:rsidP="00FE0D33">
            <w:pPr>
              <w:pStyle w:val="ListParagraph"/>
              <w:spacing w:after="360"/>
              <w:jc w:val="both"/>
              <w:rPr>
                <w:sz w:val="24"/>
                <w:szCs w:val="24"/>
              </w:rPr>
            </w:pPr>
          </w:p>
        </w:tc>
        <w:tc>
          <w:tcPr>
            <w:tcW w:w="709" w:type="dxa"/>
            <w:shd w:val="clear" w:color="auto" w:fill="auto"/>
          </w:tcPr>
          <w:p w:rsidR="00376A66" w:rsidRPr="00C40B2F" w:rsidRDefault="00376A66" w:rsidP="00FE0D33">
            <w:pPr>
              <w:pStyle w:val="ListParagraph"/>
              <w:spacing w:after="360"/>
              <w:jc w:val="both"/>
              <w:rPr>
                <w:sz w:val="24"/>
                <w:szCs w:val="24"/>
              </w:rPr>
            </w:pPr>
          </w:p>
        </w:tc>
        <w:tc>
          <w:tcPr>
            <w:tcW w:w="709" w:type="dxa"/>
            <w:shd w:val="clear" w:color="auto" w:fill="auto"/>
          </w:tcPr>
          <w:p w:rsidR="00376A66" w:rsidRPr="00C40B2F" w:rsidRDefault="00376A66" w:rsidP="00FE0D33">
            <w:pPr>
              <w:pStyle w:val="ListParagraph"/>
              <w:spacing w:after="360"/>
              <w:jc w:val="both"/>
              <w:rPr>
                <w:sz w:val="24"/>
                <w:szCs w:val="24"/>
              </w:rPr>
            </w:pPr>
          </w:p>
        </w:tc>
      </w:tr>
      <w:tr w:rsidR="00376A66" w:rsidRPr="00C40B2F" w:rsidTr="00376A66">
        <w:tc>
          <w:tcPr>
            <w:tcW w:w="7479" w:type="dxa"/>
            <w:shd w:val="clear" w:color="auto" w:fill="auto"/>
          </w:tcPr>
          <w:p w:rsidR="00376A66" w:rsidRPr="00C40B2F" w:rsidRDefault="00376A66" w:rsidP="00FE0D33">
            <w:pPr>
              <w:pStyle w:val="ListParagraph"/>
              <w:spacing w:after="360"/>
              <w:ind w:left="142"/>
              <w:jc w:val="both"/>
              <w:rPr>
                <w:sz w:val="24"/>
                <w:szCs w:val="24"/>
              </w:rPr>
            </w:pPr>
            <w:r w:rsidRPr="00C40B2F">
              <w:rPr>
                <w:sz w:val="24"/>
                <w:szCs w:val="24"/>
              </w:rPr>
              <w:t>3. Планът за външно възлагане е в съответствие с предвидените дейности, като кандидатът е предвидил механизми, позволяващи мониторинг и текущ контрол на изпълнението на предвидените поръчки и своевременното предприемане на корективни мерки.</w:t>
            </w:r>
          </w:p>
        </w:tc>
        <w:tc>
          <w:tcPr>
            <w:tcW w:w="709" w:type="dxa"/>
            <w:shd w:val="clear" w:color="auto" w:fill="auto"/>
          </w:tcPr>
          <w:p w:rsidR="00376A66" w:rsidRPr="00C40B2F" w:rsidRDefault="00376A66" w:rsidP="00FE0D33">
            <w:pPr>
              <w:pStyle w:val="ListParagraph"/>
              <w:spacing w:after="360"/>
              <w:jc w:val="both"/>
              <w:rPr>
                <w:sz w:val="24"/>
                <w:szCs w:val="24"/>
              </w:rPr>
            </w:pPr>
          </w:p>
        </w:tc>
        <w:tc>
          <w:tcPr>
            <w:tcW w:w="709" w:type="dxa"/>
            <w:shd w:val="clear" w:color="auto" w:fill="auto"/>
          </w:tcPr>
          <w:p w:rsidR="00376A66" w:rsidRPr="00C40B2F" w:rsidRDefault="00376A66" w:rsidP="00FE0D33">
            <w:pPr>
              <w:pStyle w:val="ListParagraph"/>
              <w:spacing w:after="360"/>
              <w:jc w:val="both"/>
              <w:rPr>
                <w:sz w:val="24"/>
                <w:szCs w:val="24"/>
              </w:rPr>
            </w:pPr>
          </w:p>
        </w:tc>
        <w:tc>
          <w:tcPr>
            <w:tcW w:w="709" w:type="dxa"/>
            <w:shd w:val="clear" w:color="auto" w:fill="auto"/>
          </w:tcPr>
          <w:p w:rsidR="00376A66" w:rsidRPr="00C40B2F" w:rsidRDefault="00376A66" w:rsidP="00FE0D33">
            <w:pPr>
              <w:pStyle w:val="ListParagraph"/>
              <w:spacing w:after="360"/>
              <w:jc w:val="both"/>
              <w:rPr>
                <w:sz w:val="24"/>
                <w:szCs w:val="24"/>
              </w:rPr>
            </w:pPr>
          </w:p>
        </w:tc>
      </w:tr>
      <w:tr w:rsidR="00376A66" w:rsidRPr="00C40B2F" w:rsidTr="00376A66">
        <w:tc>
          <w:tcPr>
            <w:tcW w:w="7479" w:type="dxa"/>
            <w:shd w:val="clear" w:color="auto" w:fill="auto"/>
          </w:tcPr>
          <w:p w:rsidR="00376A66" w:rsidRPr="00C40B2F" w:rsidRDefault="00376A66" w:rsidP="00FE0D33">
            <w:pPr>
              <w:pStyle w:val="ListParagraph"/>
              <w:spacing w:after="360"/>
              <w:ind w:left="142"/>
              <w:jc w:val="both"/>
              <w:rPr>
                <w:sz w:val="24"/>
                <w:szCs w:val="24"/>
              </w:rPr>
            </w:pPr>
            <w:r w:rsidRPr="00C40B2F">
              <w:rPr>
                <w:sz w:val="24"/>
                <w:szCs w:val="24"/>
              </w:rPr>
              <w:t>4. В проектното предложение са описани начините, чрез които се планира да бъде осигурена устойчивостта на резултатите и ефекта от изпълнението на проекта.</w:t>
            </w:r>
          </w:p>
        </w:tc>
        <w:tc>
          <w:tcPr>
            <w:tcW w:w="709" w:type="dxa"/>
            <w:shd w:val="clear" w:color="auto" w:fill="auto"/>
          </w:tcPr>
          <w:p w:rsidR="00376A66" w:rsidRPr="00C40B2F" w:rsidRDefault="00376A66" w:rsidP="00FE0D33">
            <w:pPr>
              <w:pStyle w:val="ListParagraph"/>
              <w:spacing w:after="360"/>
              <w:jc w:val="both"/>
              <w:rPr>
                <w:sz w:val="24"/>
                <w:szCs w:val="24"/>
              </w:rPr>
            </w:pPr>
          </w:p>
        </w:tc>
        <w:tc>
          <w:tcPr>
            <w:tcW w:w="709" w:type="dxa"/>
            <w:shd w:val="clear" w:color="auto" w:fill="auto"/>
          </w:tcPr>
          <w:p w:rsidR="00376A66" w:rsidRPr="00C40B2F" w:rsidRDefault="00376A66" w:rsidP="00FE0D33">
            <w:pPr>
              <w:pStyle w:val="ListParagraph"/>
              <w:spacing w:after="360"/>
              <w:jc w:val="both"/>
              <w:rPr>
                <w:sz w:val="24"/>
                <w:szCs w:val="24"/>
              </w:rPr>
            </w:pPr>
          </w:p>
        </w:tc>
        <w:tc>
          <w:tcPr>
            <w:tcW w:w="709" w:type="dxa"/>
            <w:shd w:val="clear" w:color="auto" w:fill="auto"/>
          </w:tcPr>
          <w:p w:rsidR="00376A66" w:rsidRPr="00C40B2F" w:rsidRDefault="00376A66" w:rsidP="00FE0D33">
            <w:pPr>
              <w:pStyle w:val="ListParagraph"/>
              <w:spacing w:after="360"/>
              <w:jc w:val="both"/>
              <w:rPr>
                <w:sz w:val="24"/>
                <w:szCs w:val="24"/>
              </w:rPr>
            </w:pPr>
          </w:p>
        </w:tc>
      </w:tr>
      <w:tr w:rsidR="00376A66" w:rsidRPr="00C40B2F" w:rsidTr="00376A66">
        <w:tc>
          <w:tcPr>
            <w:tcW w:w="7479" w:type="dxa"/>
            <w:shd w:val="clear" w:color="auto" w:fill="auto"/>
          </w:tcPr>
          <w:p w:rsidR="00376A66" w:rsidRPr="00C40B2F" w:rsidRDefault="00376A66" w:rsidP="00FE0D33">
            <w:pPr>
              <w:pStyle w:val="ListParagraph"/>
              <w:spacing w:after="360"/>
              <w:ind w:left="142"/>
              <w:jc w:val="both"/>
              <w:rPr>
                <w:sz w:val="24"/>
                <w:szCs w:val="24"/>
              </w:rPr>
            </w:pPr>
            <w:r w:rsidRPr="00C40B2F">
              <w:rPr>
                <w:sz w:val="24"/>
                <w:szCs w:val="24"/>
              </w:rPr>
              <w:t xml:space="preserve">5. Конкретният бенефициент е предложил екип с подходяща </w:t>
            </w:r>
            <w:r w:rsidRPr="00C40B2F">
              <w:rPr>
                <w:sz w:val="24"/>
                <w:szCs w:val="24"/>
              </w:rPr>
              <w:lastRenderedPageBreak/>
              <w:t xml:space="preserve">квалификация и опит за изпълнението на дейностите по проекта. Предложено е ясно разделение на отговорностите и функциите между отделните членове на екипа. </w:t>
            </w:r>
          </w:p>
        </w:tc>
        <w:tc>
          <w:tcPr>
            <w:tcW w:w="709" w:type="dxa"/>
            <w:shd w:val="clear" w:color="auto" w:fill="auto"/>
          </w:tcPr>
          <w:p w:rsidR="00376A66" w:rsidRPr="00C40B2F" w:rsidRDefault="00376A66" w:rsidP="00FE0D33">
            <w:pPr>
              <w:pStyle w:val="ListParagraph"/>
              <w:spacing w:after="360"/>
              <w:jc w:val="both"/>
              <w:rPr>
                <w:sz w:val="24"/>
                <w:szCs w:val="24"/>
              </w:rPr>
            </w:pPr>
          </w:p>
          <w:p w:rsidR="00376A66" w:rsidRPr="00C40B2F" w:rsidRDefault="00376A66" w:rsidP="00FE0D33">
            <w:pPr>
              <w:pStyle w:val="ListParagraph"/>
              <w:spacing w:after="360"/>
              <w:jc w:val="both"/>
              <w:rPr>
                <w:sz w:val="24"/>
                <w:szCs w:val="24"/>
              </w:rPr>
            </w:pPr>
          </w:p>
        </w:tc>
        <w:tc>
          <w:tcPr>
            <w:tcW w:w="709" w:type="dxa"/>
            <w:shd w:val="clear" w:color="auto" w:fill="auto"/>
          </w:tcPr>
          <w:p w:rsidR="00376A66" w:rsidRPr="00C40B2F" w:rsidRDefault="00376A66" w:rsidP="00FE0D33">
            <w:pPr>
              <w:pStyle w:val="ListParagraph"/>
              <w:spacing w:after="360"/>
              <w:jc w:val="both"/>
              <w:rPr>
                <w:sz w:val="24"/>
                <w:szCs w:val="24"/>
              </w:rPr>
            </w:pPr>
          </w:p>
        </w:tc>
        <w:tc>
          <w:tcPr>
            <w:tcW w:w="709" w:type="dxa"/>
            <w:shd w:val="clear" w:color="auto" w:fill="auto"/>
          </w:tcPr>
          <w:p w:rsidR="00376A66" w:rsidRPr="00C40B2F" w:rsidRDefault="00376A66" w:rsidP="00FE0D33">
            <w:pPr>
              <w:pStyle w:val="ListParagraph"/>
              <w:spacing w:after="360"/>
              <w:jc w:val="both"/>
              <w:rPr>
                <w:sz w:val="24"/>
                <w:szCs w:val="24"/>
              </w:rPr>
            </w:pPr>
          </w:p>
          <w:p w:rsidR="00376A66" w:rsidRPr="00C40B2F" w:rsidRDefault="00376A66" w:rsidP="00FE0D33">
            <w:pPr>
              <w:pStyle w:val="ListParagraph"/>
              <w:spacing w:after="360"/>
              <w:jc w:val="both"/>
              <w:rPr>
                <w:sz w:val="24"/>
                <w:szCs w:val="24"/>
              </w:rPr>
            </w:pPr>
          </w:p>
          <w:p w:rsidR="00376A66" w:rsidRPr="00C40B2F" w:rsidRDefault="00376A66" w:rsidP="00FE0D33">
            <w:pPr>
              <w:pStyle w:val="ListParagraph"/>
              <w:spacing w:after="360"/>
              <w:jc w:val="both"/>
              <w:rPr>
                <w:sz w:val="24"/>
                <w:szCs w:val="24"/>
              </w:rPr>
            </w:pPr>
          </w:p>
        </w:tc>
      </w:tr>
      <w:tr w:rsidR="00376A66" w:rsidRPr="00C40B2F" w:rsidTr="00AD1C0D">
        <w:trPr>
          <w:trHeight w:val="608"/>
        </w:trPr>
        <w:tc>
          <w:tcPr>
            <w:tcW w:w="9606" w:type="dxa"/>
            <w:gridSpan w:val="4"/>
            <w:shd w:val="clear" w:color="auto" w:fill="auto"/>
            <w:vAlign w:val="center"/>
          </w:tcPr>
          <w:p w:rsidR="00376A66" w:rsidRPr="00C40B2F" w:rsidRDefault="00376A66" w:rsidP="00AD1C0D">
            <w:pPr>
              <w:pStyle w:val="ListParagraph"/>
              <w:spacing w:after="0"/>
              <w:ind w:left="142"/>
              <w:jc w:val="center"/>
              <w:rPr>
                <w:sz w:val="24"/>
                <w:szCs w:val="24"/>
              </w:rPr>
            </w:pPr>
            <w:r w:rsidRPr="00C40B2F">
              <w:rPr>
                <w:b/>
                <w:sz w:val="24"/>
                <w:szCs w:val="24"/>
              </w:rPr>
              <w:lastRenderedPageBreak/>
              <w:t>III. Бюджет и ефективност на разходите</w:t>
            </w:r>
          </w:p>
        </w:tc>
      </w:tr>
      <w:tr w:rsidR="00376A66" w:rsidRPr="00C40B2F" w:rsidTr="00376A66">
        <w:tc>
          <w:tcPr>
            <w:tcW w:w="7479" w:type="dxa"/>
            <w:shd w:val="clear" w:color="auto" w:fill="auto"/>
          </w:tcPr>
          <w:p w:rsidR="00376A66" w:rsidRPr="00C40B2F" w:rsidRDefault="00376A66" w:rsidP="00FE0D33">
            <w:pPr>
              <w:pStyle w:val="ListParagraph"/>
              <w:spacing w:after="360"/>
              <w:ind w:left="142"/>
              <w:jc w:val="both"/>
              <w:rPr>
                <w:sz w:val="24"/>
                <w:szCs w:val="24"/>
              </w:rPr>
            </w:pPr>
            <w:r w:rsidRPr="00C40B2F">
              <w:rPr>
                <w:sz w:val="24"/>
                <w:szCs w:val="24"/>
              </w:rPr>
              <w:t>1. Кандидатът не е получил финансиране от източник с публичен характер (друг проект/програма/бюджетна линия или друга финансова схема с източник националния бюджет, бюджета на ЕС или друга донорска програма) за същите разходи, за финансирането на които кандидатства по настоящата процедура.</w:t>
            </w:r>
          </w:p>
        </w:tc>
        <w:tc>
          <w:tcPr>
            <w:tcW w:w="709" w:type="dxa"/>
            <w:shd w:val="clear" w:color="auto" w:fill="auto"/>
          </w:tcPr>
          <w:p w:rsidR="00376A66" w:rsidRPr="00C40B2F" w:rsidRDefault="00376A66" w:rsidP="00FE0D33">
            <w:pPr>
              <w:pStyle w:val="ListParagraph"/>
              <w:spacing w:after="360"/>
              <w:jc w:val="both"/>
              <w:rPr>
                <w:sz w:val="24"/>
                <w:szCs w:val="24"/>
              </w:rPr>
            </w:pPr>
          </w:p>
        </w:tc>
        <w:tc>
          <w:tcPr>
            <w:tcW w:w="709" w:type="dxa"/>
            <w:shd w:val="clear" w:color="auto" w:fill="auto"/>
          </w:tcPr>
          <w:p w:rsidR="00376A66" w:rsidRPr="00C40B2F" w:rsidRDefault="00376A66" w:rsidP="00FE0D33">
            <w:pPr>
              <w:pStyle w:val="ListParagraph"/>
              <w:spacing w:after="360"/>
              <w:jc w:val="both"/>
              <w:rPr>
                <w:sz w:val="24"/>
                <w:szCs w:val="24"/>
              </w:rPr>
            </w:pPr>
          </w:p>
        </w:tc>
        <w:tc>
          <w:tcPr>
            <w:tcW w:w="709" w:type="dxa"/>
            <w:shd w:val="clear" w:color="auto" w:fill="auto"/>
          </w:tcPr>
          <w:p w:rsidR="00376A66" w:rsidRPr="00C40B2F" w:rsidRDefault="00376A66" w:rsidP="00FE0D33">
            <w:pPr>
              <w:pStyle w:val="ListParagraph"/>
              <w:spacing w:after="360"/>
              <w:jc w:val="both"/>
              <w:rPr>
                <w:sz w:val="24"/>
                <w:szCs w:val="24"/>
              </w:rPr>
            </w:pPr>
          </w:p>
        </w:tc>
      </w:tr>
      <w:tr w:rsidR="00376A66" w:rsidRPr="00C40B2F" w:rsidTr="00376A66">
        <w:tc>
          <w:tcPr>
            <w:tcW w:w="7479" w:type="dxa"/>
            <w:shd w:val="clear" w:color="auto" w:fill="auto"/>
          </w:tcPr>
          <w:p w:rsidR="00376A66" w:rsidRPr="00C40B2F" w:rsidRDefault="00376A66" w:rsidP="00FE0D33">
            <w:pPr>
              <w:pStyle w:val="ListParagraph"/>
              <w:spacing w:after="360"/>
              <w:ind w:left="142"/>
              <w:jc w:val="both"/>
              <w:rPr>
                <w:sz w:val="24"/>
                <w:szCs w:val="24"/>
              </w:rPr>
            </w:pPr>
            <w:r w:rsidRPr="00C40B2F">
              <w:rPr>
                <w:sz w:val="24"/>
                <w:szCs w:val="24"/>
              </w:rPr>
              <w:t>2. Всички разходи, включени в бюджета на проектното предложение съответстват изцяло на дейностите, предвидени за изпълнение.</w:t>
            </w:r>
          </w:p>
        </w:tc>
        <w:tc>
          <w:tcPr>
            <w:tcW w:w="709" w:type="dxa"/>
            <w:shd w:val="clear" w:color="auto" w:fill="auto"/>
          </w:tcPr>
          <w:p w:rsidR="00376A66" w:rsidRPr="00C40B2F" w:rsidRDefault="00376A66" w:rsidP="00FE0D33">
            <w:pPr>
              <w:pStyle w:val="ListParagraph"/>
              <w:spacing w:after="360"/>
              <w:jc w:val="both"/>
              <w:rPr>
                <w:sz w:val="24"/>
                <w:szCs w:val="24"/>
              </w:rPr>
            </w:pPr>
          </w:p>
        </w:tc>
        <w:tc>
          <w:tcPr>
            <w:tcW w:w="709" w:type="dxa"/>
            <w:shd w:val="clear" w:color="auto" w:fill="auto"/>
          </w:tcPr>
          <w:p w:rsidR="00376A66" w:rsidRPr="00C40B2F" w:rsidRDefault="00376A66" w:rsidP="00FE0D33">
            <w:pPr>
              <w:pStyle w:val="ListParagraph"/>
              <w:spacing w:after="360"/>
              <w:jc w:val="both"/>
              <w:rPr>
                <w:sz w:val="24"/>
                <w:szCs w:val="24"/>
              </w:rPr>
            </w:pPr>
          </w:p>
        </w:tc>
        <w:tc>
          <w:tcPr>
            <w:tcW w:w="709" w:type="dxa"/>
            <w:shd w:val="clear" w:color="auto" w:fill="auto"/>
          </w:tcPr>
          <w:p w:rsidR="00376A66" w:rsidRPr="00C40B2F" w:rsidRDefault="00376A66" w:rsidP="00FE0D33">
            <w:pPr>
              <w:pStyle w:val="ListParagraph"/>
              <w:spacing w:after="360"/>
              <w:jc w:val="both"/>
              <w:rPr>
                <w:sz w:val="24"/>
                <w:szCs w:val="24"/>
              </w:rPr>
            </w:pPr>
          </w:p>
        </w:tc>
      </w:tr>
      <w:tr w:rsidR="00376A66" w:rsidRPr="00C40B2F" w:rsidTr="00376A66">
        <w:tc>
          <w:tcPr>
            <w:tcW w:w="7479" w:type="dxa"/>
            <w:shd w:val="clear" w:color="auto" w:fill="auto"/>
          </w:tcPr>
          <w:p w:rsidR="00376A66" w:rsidRPr="00C40B2F" w:rsidRDefault="00376A66" w:rsidP="00FE0D33">
            <w:pPr>
              <w:pStyle w:val="ListParagraph"/>
              <w:spacing w:after="360"/>
              <w:ind w:left="142"/>
              <w:jc w:val="both"/>
              <w:rPr>
                <w:sz w:val="24"/>
                <w:szCs w:val="24"/>
              </w:rPr>
            </w:pPr>
            <w:r w:rsidRPr="00C40B2F">
              <w:rPr>
                <w:sz w:val="24"/>
                <w:szCs w:val="24"/>
              </w:rPr>
              <w:t xml:space="preserve">3. Съотношението между предвидените разходи и планираните резултати е оптимално, като е съобразено с реалните пазарни цени, съгласно Условията за кандидатстване.  </w:t>
            </w:r>
          </w:p>
        </w:tc>
        <w:tc>
          <w:tcPr>
            <w:tcW w:w="709" w:type="dxa"/>
            <w:shd w:val="clear" w:color="auto" w:fill="auto"/>
          </w:tcPr>
          <w:p w:rsidR="00376A66" w:rsidRPr="00C40B2F" w:rsidRDefault="00376A66" w:rsidP="00FE0D33">
            <w:pPr>
              <w:pStyle w:val="ListParagraph"/>
              <w:spacing w:after="360"/>
              <w:jc w:val="both"/>
              <w:rPr>
                <w:sz w:val="24"/>
                <w:szCs w:val="24"/>
              </w:rPr>
            </w:pPr>
          </w:p>
        </w:tc>
        <w:tc>
          <w:tcPr>
            <w:tcW w:w="709" w:type="dxa"/>
            <w:shd w:val="clear" w:color="auto" w:fill="auto"/>
          </w:tcPr>
          <w:p w:rsidR="00376A66" w:rsidRPr="00C40B2F" w:rsidRDefault="00376A66" w:rsidP="00FE0D33">
            <w:pPr>
              <w:pStyle w:val="ListParagraph"/>
              <w:spacing w:after="360"/>
              <w:jc w:val="both"/>
              <w:rPr>
                <w:sz w:val="24"/>
                <w:szCs w:val="24"/>
              </w:rPr>
            </w:pPr>
          </w:p>
        </w:tc>
        <w:tc>
          <w:tcPr>
            <w:tcW w:w="709" w:type="dxa"/>
            <w:shd w:val="clear" w:color="auto" w:fill="auto"/>
          </w:tcPr>
          <w:p w:rsidR="00376A66" w:rsidRPr="00C40B2F" w:rsidRDefault="00376A66" w:rsidP="00FE0D33">
            <w:pPr>
              <w:pStyle w:val="ListParagraph"/>
              <w:spacing w:after="360"/>
              <w:jc w:val="both"/>
              <w:rPr>
                <w:sz w:val="24"/>
                <w:szCs w:val="24"/>
              </w:rPr>
            </w:pPr>
          </w:p>
        </w:tc>
      </w:tr>
      <w:tr w:rsidR="00376A66" w:rsidRPr="00C40B2F" w:rsidTr="00376A66">
        <w:tc>
          <w:tcPr>
            <w:tcW w:w="7479" w:type="dxa"/>
            <w:shd w:val="clear" w:color="auto" w:fill="auto"/>
          </w:tcPr>
          <w:p w:rsidR="00376A66" w:rsidRPr="00C40B2F" w:rsidRDefault="00376A66" w:rsidP="00FE0D33">
            <w:pPr>
              <w:pStyle w:val="ListParagraph"/>
              <w:spacing w:after="360"/>
              <w:ind w:left="142"/>
              <w:jc w:val="both"/>
              <w:rPr>
                <w:sz w:val="24"/>
                <w:szCs w:val="24"/>
              </w:rPr>
            </w:pPr>
            <w:r w:rsidRPr="00C40B2F">
              <w:rPr>
                <w:sz w:val="24"/>
                <w:szCs w:val="24"/>
              </w:rPr>
              <w:t xml:space="preserve">4. Размерът на исканата безвъзмездна финансова помощ е в съответствие с максималния размер, указан в Условията за кандидатстване.  </w:t>
            </w:r>
          </w:p>
        </w:tc>
        <w:tc>
          <w:tcPr>
            <w:tcW w:w="709" w:type="dxa"/>
            <w:shd w:val="clear" w:color="auto" w:fill="auto"/>
          </w:tcPr>
          <w:p w:rsidR="00376A66" w:rsidRPr="00C40B2F" w:rsidRDefault="00376A66" w:rsidP="00FE0D33">
            <w:pPr>
              <w:pStyle w:val="ListParagraph"/>
              <w:spacing w:after="360"/>
              <w:jc w:val="both"/>
              <w:rPr>
                <w:sz w:val="24"/>
                <w:szCs w:val="24"/>
              </w:rPr>
            </w:pPr>
          </w:p>
        </w:tc>
        <w:tc>
          <w:tcPr>
            <w:tcW w:w="709" w:type="dxa"/>
            <w:shd w:val="clear" w:color="auto" w:fill="auto"/>
          </w:tcPr>
          <w:p w:rsidR="00376A66" w:rsidRPr="00C40B2F" w:rsidRDefault="00376A66" w:rsidP="00FE0D33">
            <w:pPr>
              <w:pStyle w:val="ListParagraph"/>
              <w:spacing w:after="360"/>
              <w:jc w:val="both"/>
              <w:rPr>
                <w:sz w:val="24"/>
                <w:szCs w:val="24"/>
              </w:rPr>
            </w:pPr>
          </w:p>
        </w:tc>
        <w:tc>
          <w:tcPr>
            <w:tcW w:w="709" w:type="dxa"/>
            <w:shd w:val="clear" w:color="auto" w:fill="auto"/>
          </w:tcPr>
          <w:p w:rsidR="00376A66" w:rsidRPr="00C40B2F" w:rsidRDefault="00376A66" w:rsidP="00FE0D33">
            <w:pPr>
              <w:pStyle w:val="ListParagraph"/>
              <w:spacing w:after="360"/>
              <w:jc w:val="both"/>
              <w:rPr>
                <w:sz w:val="24"/>
                <w:szCs w:val="24"/>
              </w:rPr>
            </w:pPr>
          </w:p>
        </w:tc>
      </w:tr>
      <w:tr w:rsidR="00376A66" w:rsidRPr="00C40B2F" w:rsidTr="00376A66">
        <w:tc>
          <w:tcPr>
            <w:tcW w:w="7479" w:type="dxa"/>
            <w:shd w:val="clear" w:color="auto" w:fill="auto"/>
          </w:tcPr>
          <w:p w:rsidR="00376A66" w:rsidRPr="00C40B2F" w:rsidRDefault="00376A66" w:rsidP="00FE0D33">
            <w:pPr>
              <w:pStyle w:val="ListParagraph"/>
              <w:spacing w:after="360"/>
              <w:ind w:left="142"/>
              <w:jc w:val="both"/>
              <w:rPr>
                <w:sz w:val="24"/>
                <w:szCs w:val="24"/>
              </w:rPr>
            </w:pPr>
            <w:r w:rsidRPr="00C40B2F">
              <w:rPr>
                <w:sz w:val="24"/>
                <w:szCs w:val="24"/>
              </w:rPr>
              <w:t>5. Общата стойност на разходите за организация и управление на проекта не надхвърля 10 % от стойността на общите допустими разходи по проекта.</w:t>
            </w:r>
          </w:p>
        </w:tc>
        <w:tc>
          <w:tcPr>
            <w:tcW w:w="709" w:type="dxa"/>
            <w:shd w:val="clear" w:color="auto" w:fill="auto"/>
          </w:tcPr>
          <w:p w:rsidR="00376A66" w:rsidRPr="00C40B2F" w:rsidRDefault="00376A66" w:rsidP="00FE0D33">
            <w:pPr>
              <w:pStyle w:val="ListParagraph"/>
              <w:spacing w:after="360"/>
              <w:jc w:val="both"/>
              <w:rPr>
                <w:sz w:val="24"/>
                <w:szCs w:val="24"/>
              </w:rPr>
            </w:pPr>
          </w:p>
        </w:tc>
        <w:tc>
          <w:tcPr>
            <w:tcW w:w="709" w:type="dxa"/>
            <w:shd w:val="clear" w:color="auto" w:fill="auto"/>
          </w:tcPr>
          <w:p w:rsidR="00376A66" w:rsidRPr="00C40B2F" w:rsidRDefault="00376A66" w:rsidP="00FE0D33">
            <w:pPr>
              <w:pStyle w:val="ListParagraph"/>
              <w:spacing w:after="360"/>
              <w:jc w:val="both"/>
              <w:rPr>
                <w:sz w:val="24"/>
                <w:szCs w:val="24"/>
              </w:rPr>
            </w:pPr>
          </w:p>
        </w:tc>
        <w:tc>
          <w:tcPr>
            <w:tcW w:w="709" w:type="dxa"/>
            <w:shd w:val="clear" w:color="auto" w:fill="auto"/>
          </w:tcPr>
          <w:p w:rsidR="00376A66" w:rsidRPr="00C40B2F" w:rsidRDefault="00376A66" w:rsidP="00FE0D33">
            <w:pPr>
              <w:pStyle w:val="ListParagraph"/>
              <w:spacing w:after="360"/>
              <w:jc w:val="both"/>
              <w:rPr>
                <w:sz w:val="24"/>
                <w:szCs w:val="24"/>
              </w:rPr>
            </w:pPr>
          </w:p>
        </w:tc>
      </w:tr>
      <w:tr w:rsidR="00376A66" w:rsidRPr="00C40B2F" w:rsidTr="00376A66">
        <w:tc>
          <w:tcPr>
            <w:tcW w:w="7479" w:type="dxa"/>
            <w:shd w:val="clear" w:color="auto" w:fill="auto"/>
          </w:tcPr>
          <w:p w:rsidR="00376A66" w:rsidRPr="00C40B2F" w:rsidRDefault="00376A66" w:rsidP="00FE0D33">
            <w:pPr>
              <w:pStyle w:val="ListParagraph"/>
              <w:spacing w:after="360"/>
              <w:ind w:left="142"/>
              <w:jc w:val="both"/>
              <w:rPr>
                <w:sz w:val="24"/>
                <w:szCs w:val="24"/>
              </w:rPr>
            </w:pPr>
            <w:r w:rsidRPr="00C40B2F">
              <w:rPr>
                <w:sz w:val="24"/>
                <w:szCs w:val="24"/>
              </w:rPr>
              <w:t xml:space="preserve">6. Кандидатът е предвидил разходи за  извършване на независим одит на проекта, като общата стойност на разходите за одит не надхвърля 10 000 лв.  </w:t>
            </w:r>
          </w:p>
        </w:tc>
        <w:tc>
          <w:tcPr>
            <w:tcW w:w="709" w:type="dxa"/>
            <w:shd w:val="clear" w:color="auto" w:fill="auto"/>
          </w:tcPr>
          <w:p w:rsidR="00376A66" w:rsidRPr="00C40B2F" w:rsidRDefault="00376A66" w:rsidP="00FE0D33">
            <w:pPr>
              <w:pStyle w:val="ListParagraph"/>
              <w:spacing w:after="360"/>
              <w:jc w:val="both"/>
              <w:rPr>
                <w:sz w:val="24"/>
                <w:szCs w:val="24"/>
              </w:rPr>
            </w:pPr>
          </w:p>
        </w:tc>
        <w:tc>
          <w:tcPr>
            <w:tcW w:w="709" w:type="dxa"/>
            <w:shd w:val="clear" w:color="auto" w:fill="auto"/>
          </w:tcPr>
          <w:p w:rsidR="00376A66" w:rsidRPr="00C40B2F" w:rsidRDefault="00376A66" w:rsidP="00FE0D33">
            <w:pPr>
              <w:pStyle w:val="ListParagraph"/>
              <w:spacing w:after="360"/>
              <w:jc w:val="both"/>
              <w:rPr>
                <w:sz w:val="24"/>
                <w:szCs w:val="24"/>
              </w:rPr>
            </w:pPr>
          </w:p>
        </w:tc>
        <w:tc>
          <w:tcPr>
            <w:tcW w:w="709" w:type="dxa"/>
            <w:shd w:val="clear" w:color="auto" w:fill="auto"/>
          </w:tcPr>
          <w:p w:rsidR="00376A66" w:rsidRPr="00C40B2F" w:rsidRDefault="00376A66" w:rsidP="00FE0D33">
            <w:pPr>
              <w:pStyle w:val="ListParagraph"/>
              <w:spacing w:after="360"/>
              <w:jc w:val="both"/>
              <w:rPr>
                <w:sz w:val="24"/>
                <w:szCs w:val="24"/>
              </w:rPr>
            </w:pPr>
          </w:p>
        </w:tc>
      </w:tr>
      <w:tr w:rsidR="00376A66" w:rsidRPr="00C40B2F" w:rsidTr="00431FE3">
        <w:tc>
          <w:tcPr>
            <w:tcW w:w="7479" w:type="dxa"/>
            <w:tcBorders>
              <w:bottom w:val="single" w:sz="4" w:space="0" w:color="auto"/>
            </w:tcBorders>
            <w:shd w:val="clear" w:color="auto" w:fill="auto"/>
          </w:tcPr>
          <w:p w:rsidR="00376A66" w:rsidRPr="00C40B2F" w:rsidRDefault="00376A66" w:rsidP="00FE0D33">
            <w:pPr>
              <w:pStyle w:val="ListParagraph"/>
              <w:spacing w:after="360"/>
              <w:ind w:left="142"/>
              <w:jc w:val="both"/>
              <w:rPr>
                <w:sz w:val="24"/>
                <w:szCs w:val="24"/>
              </w:rPr>
            </w:pPr>
            <w:r w:rsidRPr="00C40B2F">
              <w:rPr>
                <w:sz w:val="24"/>
                <w:szCs w:val="24"/>
              </w:rPr>
              <w:t xml:space="preserve">7. Предвидени са разходи за информация и комуникация, в съответствие с изискванията на Регламент (ЕС) № 1303/2013, Приложение XII „Информация и комуникация относно подкрепата от фондовете“. </w:t>
            </w:r>
          </w:p>
        </w:tc>
        <w:tc>
          <w:tcPr>
            <w:tcW w:w="709" w:type="dxa"/>
            <w:tcBorders>
              <w:bottom w:val="single" w:sz="4" w:space="0" w:color="auto"/>
            </w:tcBorders>
            <w:shd w:val="clear" w:color="auto" w:fill="auto"/>
          </w:tcPr>
          <w:p w:rsidR="00376A66" w:rsidRPr="00C40B2F" w:rsidRDefault="00376A66" w:rsidP="00FE0D33">
            <w:pPr>
              <w:pStyle w:val="ListParagraph"/>
              <w:spacing w:after="360"/>
              <w:jc w:val="both"/>
              <w:rPr>
                <w:sz w:val="24"/>
                <w:szCs w:val="24"/>
              </w:rPr>
            </w:pPr>
          </w:p>
        </w:tc>
        <w:tc>
          <w:tcPr>
            <w:tcW w:w="709" w:type="dxa"/>
            <w:tcBorders>
              <w:bottom w:val="single" w:sz="4" w:space="0" w:color="auto"/>
            </w:tcBorders>
            <w:shd w:val="clear" w:color="auto" w:fill="auto"/>
          </w:tcPr>
          <w:p w:rsidR="00376A66" w:rsidRPr="00C40B2F" w:rsidRDefault="00376A66" w:rsidP="00FE0D33">
            <w:pPr>
              <w:pStyle w:val="ListParagraph"/>
              <w:spacing w:after="360"/>
              <w:jc w:val="both"/>
              <w:rPr>
                <w:sz w:val="24"/>
                <w:szCs w:val="24"/>
              </w:rPr>
            </w:pPr>
          </w:p>
        </w:tc>
        <w:tc>
          <w:tcPr>
            <w:tcW w:w="709" w:type="dxa"/>
            <w:tcBorders>
              <w:bottom w:val="single" w:sz="4" w:space="0" w:color="auto"/>
            </w:tcBorders>
            <w:shd w:val="clear" w:color="auto" w:fill="auto"/>
          </w:tcPr>
          <w:p w:rsidR="00376A66" w:rsidRPr="00C40B2F" w:rsidRDefault="00376A66" w:rsidP="00FE0D33">
            <w:pPr>
              <w:pStyle w:val="ListParagraph"/>
              <w:spacing w:after="360"/>
              <w:jc w:val="both"/>
              <w:rPr>
                <w:sz w:val="24"/>
                <w:szCs w:val="24"/>
              </w:rPr>
            </w:pPr>
          </w:p>
        </w:tc>
      </w:tr>
      <w:tr w:rsidR="00376A66" w:rsidRPr="00C40B2F" w:rsidTr="00376A66">
        <w:tc>
          <w:tcPr>
            <w:tcW w:w="7479" w:type="dxa"/>
            <w:shd w:val="clear" w:color="auto" w:fill="auto"/>
          </w:tcPr>
          <w:p w:rsidR="00376A66" w:rsidRPr="00C40B2F" w:rsidRDefault="00376A66" w:rsidP="00FE0D33">
            <w:pPr>
              <w:pStyle w:val="ListParagraph"/>
              <w:spacing w:after="360"/>
              <w:ind w:left="142"/>
              <w:jc w:val="both"/>
              <w:rPr>
                <w:sz w:val="24"/>
                <w:szCs w:val="24"/>
              </w:rPr>
            </w:pPr>
            <w:r w:rsidRPr="00C40B2F">
              <w:rPr>
                <w:sz w:val="24"/>
                <w:szCs w:val="24"/>
              </w:rPr>
              <w:t xml:space="preserve">8. Общата стойност на разходите за информация и комуникация не надхвърля 1% от стойността на общата стойност на допустимите разходи по проекта.  </w:t>
            </w:r>
          </w:p>
        </w:tc>
        <w:tc>
          <w:tcPr>
            <w:tcW w:w="709" w:type="dxa"/>
            <w:shd w:val="clear" w:color="auto" w:fill="auto"/>
          </w:tcPr>
          <w:p w:rsidR="00376A66" w:rsidRPr="00C40B2F" w:rsidRDefault="00376A66" w:rsidP="00FE0D33">
            <w:pPr>
              <w:pStyle w:val="ListParagraph"/>
              <w:spacing w:after="360"/>
              <w:jc w:val="both"/>
              <w:rPr>
                <w:sz w:val="24"/>
                <w:szCs w:val="24"/>
              </w:rPr>
            </w:pPr>
          </w:p>
        </w:tc>
        <w:tc>
          <w:tcPr>
            <w:tcW w:w="709" w:type="dxa"/>
            <w:shd w:val="clear" w:color="auto" w:fill="auto"/>
          </w:tcPr>
          <w:p w:rsidR="00376A66" w:rsidRPr="00C40B2F" w:rsidRDefault="00376A66" w:rsidP="00FE0D33">
            <w:pPr>
              <w:pStyle w:val="ListParagraph"/>
              <w:spacing w:after="360"/>
              <w:jc w:val="both"/>
              <w:rPr>
                <w:sz w:val="24"/>
                <w:szCs w:val="24"/>
              </w:rPr>
            </w:pPr>
          </w:p>
        </w:tc>
        <w:tc>
          <w:tcPr>
            <w:tcW w:w="709" w:type="dxa"/>
            <w:shd w:val="clear" w:color="auto" w:fill="auto"/>
          </w:tcPr>
          <w:p w:rsidR="00376A66" w:rsidRPr="00C40B2F" w:rsidRDefault="00376A66" w:rsidP="00FE0D33">
            <w:pPr>
              <w:pStyle w:val="ListParagraph"/>
              <w:spacing w:after="360"/>
              <w:jc w:val="both"/>
              <w:rPr>
                <w:sz w:val="24"/>
                <w:szCs w:val="24"/>
              </w:rPr>
            </w:pPr>
          </w:p>
        </w:tc>
      </w:tr>
    </w:tbl>
    <w:p w:rsidR="00E872B2" w:rsidRPr="00C40B2F" w:rsidRDefault="00E872B2" w:rsidP="00E81A1A">
      <w:pPr>
        <w:pBdr>
          <w:top w:val="single" w:sz="4" w:space="1" w:color="auto"/>
          <w:left w:val="single" w:sz="4" w:space="4" w:color="auto"/>
          <w:bottom w:val="single" w:sz="4" w:space="1" w:color="auto"/>
          <w:right w:val="single" w:sz="4" w:space="4" w:color="auto"/>
        </w:pBdr>
        <w:contextualSpacing/>
        <w:jc w:val="both"/>
        <w:rPr>
          <w:rFonts w:ascii="Verdana" w:eastAsia="Times New Roman" w:hAnsi="Verdana" w:cs="Times New Roman"/>
          <w:b/>
          <w:sz w:val="20"/>
          <w:szCs w:val="20"/>
          <w:u w:val="single"/>
          <w:lang w:eastAsia="bg-BG"/>
        </w:rPr>
      </w:pPr>
    </w:p>
    <w:p w:rsidR="00B50931" w:rsidRPr="00C40B2F" w:rsidRDefault="00E62212" w:rsidP="00E81A1A">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C40B2F">
        <w:rPr>
          <w:rFonts w:ascii="Verdana" w:eastAsia="Times New Roman" w:hAnsi="Verdana" w:cs="Times New Roman"/>
          <w:b/>
          <w:sz w:val="20"/>
          <w:szCs w:val="20"/>
          <w:u w:val="single"/>
          <w:lang w:eastAsia="bg-BG"/>
        </w:rPr>
        <w:t>ВАЖНО!:</w:t>
      </w:r>
      <w:r w:rsidRPr="00C40B2F">
        <w:rPr>
          <w:rFonts w:ascii="Verdana" w:eastAsia="Times New Roman" w:hAnsi="Verdana" w:cs="Times New Roman"/>
          <w:b/>
          <w:sz w:val="20"/>
          <w:szCs w:val="20"/>
          <w:lang w:eastAsia="bg-BG"/>
        </w:rPr>
        <w:t xml:space="preserve"> </w:t>
      </w:r>
      <w:r w:rsidR="00854FF3" w:rsidRPr="00C40B2F">
        <w:rPr>
          <w:rFonts w:ascii="Calibri" w:eastAsia="Calibri" w:hAnsi="Calibri" w:cs="Times New Roman"/>
          <w:sz w:val="24"/>
          <w:szCs w:val="24"/>
        </w:rPr>
        <w:t xml:space="preserve">По време на оценката, предложените индикативни цени за активи/услуги ще подлежат на проверка от страна на Оценителната комисия по отношение на реалистичност спрямо документите, представени съгласно посоченото в букви </w:t>
      </w:r>
      <w:r w:rsidR="00DD1A25" w:rsidRPr="00C40B2F">
        <w:rPr>
          <w:rFonts w:ascii="Calibri" w:eastAsia="Calibri" w:hAnsi="Calibri" w:cs="Times New Roman"/>
          <w:sz w:val="24"/>
          <w:szCs w:val="24"/>
        </w:rPr>
        <w:t>д</w:t>
      </w:r>
      <w:r w:rsidR="00854FF3" w:rsidRPr="00C40B2F">
        <w:rPr>
          <w:rFonts w:ascii="Calibri" w:eastAsia="Calibri" w:hAnsi="Calibri" w:cs="Times New Roman"/>
          <w:sz w:val="24"/>
          <w:szCs w:val="24"/>
        </w:rPr>
        <w:t xml:space="preserve">/ и </w:t>
      </w:r>
      <w:r w:rsidR="00DD1A25" w:rsidRPr="00C40B2F">
        <w:rPr>
          <w:rFonts w:ascii="Calibri" w:eastAsia="Calibri" w:hAnsi="Calibri" w:cs="Times New Roman"/>
          <w:sz w:val="24"/>
          <w:szCs w:val="24"/>
        </w:rPr>
        <w:t>е</w:t>
      </w:r>
      <w:r w:rsidR="00854FF3" w:rsidRPr="00C40B2F">
        <w:rPr>
          <w:rFonts w:ascii="Calibri" w:eastAsia="Calibri" w:hAnsi="Calibri" w:cs="Times New Roman"/>
          <w:sz w:val="24"/>
          <w:szCs w:val="24"/>
        </w:rPr>
        <w:t>/ от т.</w:t>
      </w:r>
      <w:r w:rsidR="009375EE" w:rsidRPr="00C40B2F">
        <w:rPr>
          <w:rFonts w:ascii="Calibri" w:eastAsia="Calibri" w:hAnsi="Calibri" w:cs="Times New Roman"/>
          <w:sz w:val="24"/>
          <w:szCs w:val="24"/>
        </w:rPr>
        <w:t xml:space="preserve"> </w:t>
      </w:r>
      <w:r w:rsidR="00854FF3" w:rsidRPr="00C40B2F">
        <w:rPr>
          <w:rFonts w:ascii="Calibri" w:eastAsia="Calibri" w:hAnsi="Calibri" w:cs="Times New Roman"/>
          <w:sz w:val="24"/>
          <w:szCs w:val="24"/>
        </w:rPr>
        <w:t xml:space="preserve">24 от настоящите Условия за кандидатстване. </w:t>
      </w:r>
      <w:r w:rsidR="00696A5A" w:rsidRPr="00C40B2F">
        <w:rPr>
          <w:rFonts w:ascii="Calibri" w:eastAsia="Calibri" w:hAnsi="Calibri" w:cs="Times New Roman"/>
          <w:sz w:val="24"/>
          <w:szCs w:val="24"/>
        </w:rPr>
        <w:t>В случай че по време на оценката се установи наличие на недопустими или необосновани разходи, Оценителната комисия служебно премахва/коригира съответните разходи от бюджета на проекта</w:t>
      </w:r>
      <w:r w:rsidR="00574F40" w:rsidRPr="00C40B2F">
        <w:rPr>
          <w:rFonts w:ascii="Calibri" w:eastAsia="Calibri" w:hAnsi="Calibri" w:cs="Times New Roman"/>
          <w:sz w:val="24"/>
          <w:szCs w:val="24"/>
        </w:rPr>
        <w:t>/или на кандидата се предоставят указания и срок за отстраняване на установените нередовности, непълноти и/или несъответствия</w:t>
      </w:r>
      <w:r w:rsidR="00696A5A" w:rsidRPr="00C40B2F">
        <w:rPr>
          <w:rFonts w:ascii="Calibri" w:eastAsia="Calibri" w:hAnsi="Calibri" w:cs="Times New Roman"/>
          <w:sz w:val="24"/>
          <w:szCs w:val="24"/>
        </w:rPr>
        <w:t>.</w:t>
      </w:r>
    </w:p>
    <w:p w:rsidR="002325A3" w:rsidRPr="00C40B2F" w:rsidRDefault="00696A5A" w:rsidP="004C0F4E">
      <w:pPr>
        <w:pBdr>
          <w:top w:val="single" w:sz="4" w:space="1" w:color="auto"/>
          <w:left w:val="single" w:sz="4" w:space="4" w:color="auto"/>
          <w:bottom w:val="single" w:sz="4" w:space="1" w:color="auto"/>
          <w:right w:val="single" w:sz="4" w:space="4" w:color="auto"/>
        </w:pBdr>
        <w:spacing w:after="360"/>
        <w:contextualSpacing/>
        <w:jc w:val="both"/>
        <w:rPr>
          <w:rFonts w:ascii="Calibri" w:eastAsia="Calibri" w:hAnsi="Calibri" w:cs="Times New Roman"/>
          <w:sz w:val="24"/>
          <w:szCs w:val="24"/>
        </w:rPr>
      </w:pPr>
      <w:r w:rsidRPr="00C40B2F">
        <w:rPr>
          <w:rFonts w:ascii="Calibri" w:eastAsia="Calibri" w:hAnsi="Calibri" w:cs="Times New Roman"/>
          <w:sz w:val="24"/>
          <w:szCs w:val="24"/>
        </w:rPr>
        <w:lastRenderedPageBreak/>
        <w:t xml:space="preserve">След оценката на проектното предложение, при положително становище, решението на Ръководителя на УО да предостави безвъзмездна финансова помощ се обективира в административен договор за </w:t>
      </w:r>
      <w:r w:rsidR="00F65E76" w:rsidRPr="00C40B2F">
        <w:rPr>
          <w:rFonts w:ascii="Calibri" w:eastAsia="Calibri" w:hAnsi="Calibri" w:cs="Times New Roman"/>
          <w:sz w:val="24"/>
          <w:szCs w:val="24"/>
        </w:rPr>
        <w:t xml:space="preserve">директно </w:t>
      </w:r>
      <w:r w:rsidRPr="00C40B2F">
        <w:rPr>
          <w:rFonts w:ascii="Calibri" w:eastAsia="Calibri" w:hAnsi="Calibri" w:cs="Times New Roman"/>
          <w:sz w:val="24"/>
          <w:szCs w:val="24"/>
        </w:rPr>
        <w:t>предоставяне на безвъзмездна финансова помощ на конкретния бенефициент</w:t>
      </w:r>
      <w:r w:rsidR="00572507" w:rsidRPr="00C40B2F">
        <w:rPr>
          <w:rFonts w:ascii="Calibri" w:eastAsia="Calibri" w:hAnsi="Calibri" w:cs="Times New Roman"/>
          <w:sz w:val="24"/>
          <w:szCs w:val="24"/>
        </w:rPr>
        <w:t>.</w:t>
      </w:r>
    </w:p>
    <w:p w:rsidR="00832B19" w:rsidRPr="00C40B2F" w:rsidRDefault="00CB14EE" w:rsidP="00394B8E">
      <w:pPr>
        <w:pStyle w:val="Heading2"/>
        <w:spacing w:before="120" w:after="120"/>
      </w:pPr>
      <w:bookmarkStart w:id="38" w:name="_Toc476919471"/>
      <w:r w:rsidRPr="00C40B2F">
        <w:t>2</w:t>
      </w:r>
      <w:r w:rsidR="007D15AC" w:rsidRPr="00C40B2F">
        <w:t>3</w:t>
      </w:r>
      <w:r w:rsidR="002D4B6A" w:rsidRPr="00C40B2F">
        <w:t>.</w:t>
      </w:r>
      <w:r w:rsidR="00F366E3" w:rsidRPr="00C40B2F">
        <w:t xml:space="preserve"> </w:t>
      </w:r>
      <w:r w:rsidR="002D4B6A" w:rsidRPr="00C40B2F">
        <w:t>Начин на подаване на проектните предложения:</w:t>
      </w:r>
      <w:bookmarkEnd w:id="38"/>
      <w:r w:rsidR="00EA11C9" w:rsidRPr="00C40B2F">
        <w:t xml:space="preserve"> </w:t>
      </w:r>
    </w:p>
    <w:p w:rsidR="00893102" w:rsidRPr="00C40B2F" w:rsidRDefault="00893102" w:rsidP="00893102">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b/>
          <w:sz w:val="24"/>
          <w:szCs w:val="24"/>
        </w:rPr>
      </w:pPr>
      <w:r w:rsidRPr="00C40B2F">
        <w:rPr>
          <w:rFonts w:ascii="Calibri" w:eastAsia="Calibri" w:hAnsi="Calibri" w:cs="Times New Roman"/>
          <w:sz w:val="24"/>
          <w:szCs w:val="24"/>
        </w:rPr>
        <w:t>Подаването на проектн</w:t>
      </w:r>
      <w:r w:rsidR="00B7626A" w:rsidRPr="00C40B2F">
        <w:rPr>
          <w:rFonts w:ascii="Calibri" w:eastAsia="Calibri" w:hAnsi="Calibri" w:cs="Times New Roman"/>
          <w:sz w:val="24"/>
          <w:szCs w:val="24"/>
        </w:rPr>
        <w:t>ите</w:t>
      </w:r>
      <w:r w:rsidRPr="00C40B2F">
        <w:rPr>
          <w:rFonts w:ascii="Calibri" w:eastAsia="Calibri" w:hAnsi="Calibri" w:cs="Times New Roman"/>
          <w:sz w:val="24"/>
          <w:szCs w:val="24"/>
        </w:rPr>
        <w:t xml:space="preserve"> предложени</w:t>
      </w:r>
      <w:r w:rsidR="00B7626A" w:rsidRPr="00C40B2F">
        <w:rPr>
          <w:rFonts w:ascii="Calibri" w:eastAsia="Calibri" w:hAnsi="Calibri" w:cs="Times New Roman"/>
          <w:sz w:val="24"/>
          <w:szCs w:val="24"/>
        </w:rPr>
        <w:t>я</w:t>
      </w:r>
      <w:r w:rsidRPr="00C40B2F">
        <w:rPr>
          <w:rFonts w:ascii="Calibri" w:eastAsia="Calibri" w:hAnsi="Calibri" w:cs="Times New Roman"/>
          <w:sz w:val="24"/>
          <w:szCs w:val="24"/>
        </w:rPr>
        <w:t xml:space="preserve">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C40B2F">
        <w:rPr>
          <w:rFonts w:ascii="Calibri" w:eastAsia="Calibri" w:hAnsi="Calibri" w:cs="Times New Roman"/>
          <w:b/>
          <w:sz w:val="24"/>
          <w:szCs w:val="24"/>
        </w:rPr>
        <w:t xml:space="preserve"> Информационната система за управление и наблюдение на Структурните инструменти на ЕС в България </w:t>
      </w:r>
      <w:r w:rsidRPr="00C40B2F">
        <w:rPr>
          <w:rFonts w:ascii="Calibri" w:eastAsia="Calibri" w:hAnsi="Calibri" w:cs="Times New Roman"/>
          <w:sz w:val="24"/>
          <w:szCs w:val="24"/>
        </w:rPr>
        <w:t xml:space="preserve">(ИСУН 2020) единствено с използването на </w:t>
      </w:r>
      <w:r w:rsidRPr="00C40B2F">
        <w:rPr>
          <w:rFonts w:ascii="Calibri" w:eastAsia="Calibri" w:hAnsi="Calibri" w:cs="Times New Roman"/>
          <w:b/>
          <w:sz w:val="24"/>
          <w:szCs w:val="24"/>
        </w:rPr>
        <w:t>Квалифициран електронен подпис</w:t>
      </w:r>
      <w:r w:rsidRPr="00C40B2F">
        <w:rPr>
          <w:rFonts w:ascii="Calibri" w:eastAsia="Calibri" w:hAnsi="Calibri" w:cs="Times New Roman"/>
          <w:sz w:val="24"/>
          <w:szCs w:val="24"/>
        </w:rPr>
        <w:t xml:space="preserve"> (КЕП), чрез модула „Е-кандидатстване“ на следния интернет адрес: </w:t>
      </w:r>
      <w:r w:rsidRPr="00C40B2F">
        <w:rPr>
          <w:rFonts w:ascii="Calibri" w:eastAsia="Calibri" w:hAnsi="Calibri" w:cs="Times New Roman"/>
          <w:b/>
          <w:sz w:val="24"/>
          <w:szCs w:val="24"/>
        </w:rPr>
        <w:t>https://eumis2020.government.bg.</w:t>
      </w:r>
    </w:p>
    <w:p w:rsidR="00893102" w:rsidRPr="00C40B2F" w:rsidRDefault="00893102" w:rsidP="00893102">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sz w:val="24"/>
          <w:szCs w:val="24"/>
        </w:rPr>
      </w:pPr>
      <w:r w:rsidRPr="00C40B2F">
        <w:rPr>
          <w:rFonts w:ascii="Calibri" w:eastAsia="Calibri" w:hAnsi="Calibri" w:cs="Times New Roman"/>
          <w:sz w:val="24"/>
          <w:szCs w:val="24"/>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w:t>
      </w:r>
      <w:r w:rsidR="00A24DC7" w:rsidRPr="00C40B2F">
        <w:rPr>
          <w:rFonts w:ascii="Calibri" w:eastAsia="Calibri" w:hAnsi="Calibri" w:cs="Times New Roman"/>
          <w:sz w:val="24"/>
          <w:szCs w:val="24"/>
        </w:rPr>
        <w:t xml:space="preserve">чрез директно предоставяне </w:t>
      </w:r>
      <w:r w:rsidRPr="00C40B2F">
        <w:rPr>
          <w:rFonts w:ascii="Calibri" w:eastAsia="Calibri" w:hAnsi="Calibri" w:cs="Times New Roman"/>
          <w:sz w:val="24"/>
          <w:szCs w:val="24"/>
        </w:rPr>
        <w:t>от „Отворени процедури“</w:t>
      </w:r>
      <w:r w:rsidR="00B7626A" w:rsidRPr="00C40B2F">
        <w:rPr>
          <w:rFonts w:ascii="Calibri" w:eastAsia="Calibri" w:hAnsi="Calibri" w:cs="Times New Roman"/>
          <w:sz w:val="24"/>
          <w:szCs w:val="24"/>
        </w:rPr>
        <w:t xml:space="preserve"> </w:t>
      </w:r>
      <w:r w:rsidRPr="00C40B2F">
        <w:rPr>
          <w:rFonts w:ascii="Calibri" w:eastAsia="Calibri" w:hAnsi="Calibri" w:cs="Times New Roman"/>
          <w:sz w:val="24"/>
          <w:szCs w:val="24"/>
        </w:rPr>
        <w:t>и създава ново проектно предложение.</w:t>
      </w:r>
    </w:p>
    <w:p w:rsidR="00A24DC7" w:rsidRPr="00C40B2F" w:rsidRDefault="00A24DC7" w:rsidP="00A24DC7">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sz w:val="24"/>
          <w:szCs w:val="24"/>
        </w:rPr>
      </w:pPr>
      <w:r w:rsidRPr="00C40B2F">
        <w:rPr>
          <w:rFonts w:ascii="Calibri" w:eastAsia="Calibri" w:hAnsi="Calibri" w:cs="Times New Roman"/>
          <w:sz w:val="24"/>
          <w:szCs w:val="24"/>
        </w:rPr>
        <w:t>Проектното предложение по настоящата процедура се изготвя от кандидата, съгласно инструкциите на УО дадени в Указанията за електронно кандидатстване (</w:t>
      </w:r>
      <w:r w:rsidRPr="00C40B2F">
        <w:rPr>
          <w:rFonts w:ascii="Calibri" w:eastAsia="Calibri" w:hAnsi="Calibri" w:cs="Times New Roman"/>
          <w:b/>
          <w:sz w:val="24"/>
          <w:szCs w:val="24"/>
        </w:rPr>
        <w:t>Приложение А)</w:t>
      </w:r>
      <w:r w:rsidRPr="00C40B2F">
        <w:rPr>
          <w:rFonts w:ascii="Calibri" w:eastAsia="Calibri" w:hAnsi="Calibri" w:cs="Times New Roman"/>
          <w:sz w:val="24"/>
          <w:szCs w:val="24"/>
        </w:rPr>
        <w:t xml:space="preserve">. </w:t>
      </w:r>
    </w:p>
    <w:p w:rsidR="00A24DC7" w:rsidRPr="00C40B2F" w:rsidRDefault="00A24DC7" w:rsidP="00A24DC7">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sz w:val="24"/>
          <w:szCs w:val="24"/>
        </w:rPr>
      </w:pPr>
      <w:r w:rsidRPr="00C40B2F">
        <w:rPr>
          <w:rFonts w:ascii="Calibri" w:eastAsia="Calibri" w:hAnsi="Calibri" w:cs="Times New Roman"/>
          <w:b/>
          <w:sz w:val="24"/>
          <w:szCs w:val="24"/>
        </w:rPr>
        <w:t>Изискващите се съгласно т. 24 от Условията за кандидатстване</w:t>
      </w:r>
      <w:r w:rsidRPr="00C40B2F" w:rsidDel="001610D6">
        <w:rPr>
          <w:rFonts w:ascii="Calibri" w:eastAsia="Calibri" w:hAnsi="Calibri" w:cs="Times New Roman"/>
          <w:b/>
          <w:sz w:val="24"/>
          <w:szCs w:val="24"/>
        </w:rPr>
        <w:t xml:space="preserve"> </w:t>
      </w:r>
      <w:r w:rsidRPr="00C40B2F">
        <w:rPr>
          <w:rFonts w:ascii="Calibri" w:eastAsia="Calibri" w:hAnsi="Calibri" w:cs="Times New Roman"/>
          <w:b/>
          <w:sz w:val="24"/>
          <w:szCs w:val="24"/>
        </w:rPr>
        <w:t>придружителни документи</w:t>
      </w:r>
      <w:r w:rsidR="00E70163" w:rsidRPr="00C40B2F">
        <w:rPr>
          <w:rFonts w:ascii="Calibri" w:eastAsia="Calibri" w:hAnsi="Calibri" w:cs="Times New Roman"/>
          <w:sz w:val="24"/>
          <w:szCs w:val="24"/>
        </w:rPr>
        <w:t xml:space="preserve"> към Ф</w:t>
      </w:r>
      <w:r w:rsidRPr="00C40B2F">
        <w:rPr>
          <w:rFonts w:ascii="Calibri" w:eastAsia="Calibri" w:hAnsi="Calibri" w:cs="Times New Roman"/>
          <w:sz w:val="24"/>
          <w:szCs w:val="24"/>
        </w:rPr>
        <w:t xml:space="preserve">ормуляра за кандидатстване също </w:t>
      </w:r>
      <w:r w:rsidRPr="00C40B2F">
        <w:rPr>
          <w:rFonts w:ascii="Calibri" w:eastAsia="Calibri" w:hAnsi="Calibri" w:cs="Times New Roman"/>
          <w:b/>
          <w:sz w:val="24"/>
          <w:szCs w:val="24"/>
        </w:rPr>
        <w:t>се подават изцяло електронно</w:t>
      </w:r>
      <w:r w:rsidRPr="00C40B2F">
        <w:rPr>
          <w:rFonts w:ascii="Calibri" w:eastAsia="Calibri" w:hAnsi="Calibri" w:cs="Times New Roman"/>
          <w:sz w:val="24"/>
          <w:szCs w:val="24"/>
        </w:rPr>
        <w:t xml:space="preserve">. Посочените документи се описват в т. 12 </w:t>
      </w:r>
      <w:r w:rsidR="008F2E05" w:rsidRPr="00C40B2F">
        <w:rPr>
          <w:rFonts w:ascii="Calibri" w:eastAsia="Calibri" w:hAnsi="Calibri" w:cs="Times New Roman"/>
          <w:sz w:val="24"/>
          <w:szCs w:val="24"/>
        </w:rPr>
        <w:t xml:space="preserve">„Прикачени електронно подписани документи“  </w:t>
      </w:r>
      <w:r w:rsidRPr="00C40B2F">
        <w:rPr>
          <w:rFonts w:ascii="Calibri" w:eastAsia="Calibri" w:hAnsi="Calibri" w:cs="Times New Roman"/>
          <w:sz w:val="24"/>
          <w:szCs w:val="24"/>
        </w:rPr>
        <w:t>от Формуляра преди подаването му.</w:t>
      </w:r>
      <w:r w:rsidR="007F04FB" w:rsidRPr="00C40B2F">
        <w:t xml:space="preserve"> </w:t>
      </w:r>
      <w:r w:rsidRPr="00C40B2F">
        <w:rPr>
          <w:rFonts w:ascii="Calibri" w:eastAsia="Calibri" w:hAnsi="Calibri" w:cs="Times New Roman"/>
          <w:sz w:val="24"/>
          <w:szCs w:val="24"/>
        </w:rPr>
        <w:t xml:space="preserve">Всички документи се представят на български език без корекции. Документ, чийто оригинал е на чужд език, се представя и в превод на български език. </w:t>
      </w:r>
    </w:p>
    <w:p w:rsidR="00A24DC7" w:rsidRPr="00C40B2F" w:rsidRDefault="00A24DC7" w:rsidP="00A24DC7">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sz w:val="24"/>
          <w:szCs w:val="24"/>
        </w:rPr>
      </w:pPr>
      <w:r w:rsidRPr="00C40B2F">
        <w:rPr>
          <w:rFonts w:ascii="Calibri" w:eastAsia="Calibri" w:hAnsi="Calibri" w:cs="Times New Roman"/>
          <w:b/>
          <w:sz w:val="24"/>
          <w:szCs w:val="24"/>
          <w:u w:val="single"/>
        </w:rPr>
        <w:t>ВАЖНО</w:t>
      </w:r>
      <w:r w:rsidR="008F2E05" w:rsidRPr="00C40B2F">
        <w:rPr>
          <w:rFonts w:ascii="Calibri" w:eastAsia="Calibri" w:hAnsi="Calibri" w:cs="Times New Roman"/>
          <w:b/>
          <w:sz w:val="24"/>
          <w:szCs w:val="24"/>
          <w:u w:val="single"/>
        </w:rPr>
        <w:t>!</w:t>
      </w:r>
      <w:r w:rsidRPr="00C40B2F">
        <w:rPr>
          <w:rFonts w:ascii="Calibri" w:eastAsia="Calibri" w:hAnsi="Calibri" w:cs="Times New Roman"/>
          <w:b/>
          <w:sz w:val="24"/>
          <w:szCs w:val="24"/>
          <w:u w:val="single"/>
        </w:rPr>
        <w:t>:</w:t>
      </w:r>
      <w:r w:rsidRPr="00C40B2F">
        <w:rPr>
          <w:rFonts w:ascii="Calibri" w:eastAsia="Calibri" w:hAnsi="Calibri" w:cs="Times New Roman"/>
          <w:sz w:val="24"/>
          <w:szCs w:val="24"/>
        </w:rPr>
        <w:t xml:space="preserve"> Проектното предложение се подава електронно чрез ИСУН 2020, като се подписва с </w:t>
      </w:r>
      <w:r w:rsidR="00450EF1" w:rsidRPr="00C40B2F">
        <w:rPr>
          <w:rFonts w:ascii="Calibri" w:eastAsia="Calibri" w:hAnsi="Calibri" w:cs="Times New Roman"/>
          <w:sz w:val="24"/>
          <w:szCs w:val="24"/>
        </w:rPr>
        <w:t xml:space="preserve">валиден </w:t>
      </w:r>
      <w:r w:rsidRPr="00C40B2F">
        <w:rPr>
          <w:rFonts w:ascii="Calibri" w:eastAsia="Calibri" w:hAnsi="Calibri" w:cs="Times New Roman"/>
          <w:sz w:val="24"/>
          <w:szCs w:val="24"/>
        </w:rPr>
        <w:t xml:space="preserve">КЕП от </w:t>
      </w:r>
      <w:r w:rsidR="00F77002" w:rsidRPr="00C40B2F">
        <w:rPr>
          <w:rFonts w:ascii="Calibri" w:eastAsia="Calibri" w:hAnsi="Calibri" w:cs="Times New Roman"/>
          <w:sz w:val="24"/>
          <w:szCs w:val="24"/>
        </w:rPr>
        <w:t xml:space="preserve">законния представител на кандидата </w:t>
      </w:r>
      <w:r w:rsidRPr="00C40B2F">
        <w:rPr>
          <w:rFonts w:ascii="Calibri" w:eastAsia="Calibri" w:hAnsi="Calibri" w:cs="Times New Roman"/>
          <w:sz w:val="24"/>
          <w:szCs w:val="24"/>
        </w:rPr>
        <w:t xml:space="preserve">или </w:t>
      </w:r>
      <w:r w:rsidR="001662B2" w:rsidRPr="00C40B2F">
        <w:rPr>
          <w:rFonts w:ascii="Calibri" w:eastAsia="Calibri" w:hAnsi="Calibri" w:cs="Times New Roman"/>
          <w:sz w:val="24"/>
          <w:szCs w:val="24"/>
        </w:rPr>
        <w:t xml:space="preserve">надлежно </w:t>
      </w:r>
      <w:r w:rsidR="007C3DCF" w:rsidRPr="00C40B2F">
        <w:rPr>
          <w:rFonts w:ascii="Calibri" w:eastAsia="Calibri" w:hAnsi="Calibri" w:cs="Times New Roman"/>
          <w:sz w:val="24"/>
          <w:szCs w:val="24"/>
        </w:rPr>
        <w:t xml:space="preserve">оправомощено </w:t>
      </w:r>
      <w:r w:rsidR="003D03CC" w:rsidRPr="00C40B2F">
        <w:rPr>
          <w:rFonts w:ascii="Calibri" w:eastAsia="Calibri" w:hAnsi="Calibri" w:cs="Times New Roman"/>
          <w:sz w:val="24"/>
          <w:szCs w:val="24"/>
        </w:rPr>
        <w:t>за целите на подаване на проектното предложение</w:t>
      </w:r>
      <w:r w:rsidRPr="00C40B2F">
        <w:rPr>
          <w:rFonts w:ascii="Calibri" w:eastAsia="Calibri" w:hAnsi="Calibri" w:cs="Times New Roman"/>
          <w:sz w:val="24"/>
          <w:szCs w:val="24"/>
        </w:rPr>
        <w:t xml:space="preserve"> лице. При </w:t>
      </w:r>
      <w:r w:rsidR="007C3DCF" w:rsidRPr="00C40B2F">
        <w:rPr>
          <w:rFonts w:ascii="Calibri" w:eastAsia="Calibri" w:hAnsi="Calibri" w:cs="Times New Roman"/>
          <w:sz w:val="24"/>
          <w:szCs w:val="24"/>
        </w:rPr>
        <w:t xml:space="preserve">оправомощаване </w:t>
      </w:r>
      <w:r w:rsidRPr="00C40B2F">
        <w:rPr>
          <w:rFonts w:ascii="Calibri" w:eastAsia="Calibri" w:hAnsi="Calibri" w:cs="Times New Roman"/>
          <w:sz w:val="24"/>
          <w:szCs w:val="24"/>
        </w:rPr>
        <w:t xml:space="preserve">следва да се приложи </w:t>
      </w:r>
      <w:r w:rsidR="001662B2" w:rsidRPr="00C40B2F">
        <w:rPr>
          <w:rFonts w:ascii="Calibri" w:eastAsia="Calibri" w:hAnsi="Calibri" w:cs="Times New Roman"/>
          <w:sz w:val="24"/>
          <w:szCs w:val="24"/>
        </w:rPr>
        <w:t>документ</w:t>
      </w:r>
      <w:r w:rsidR="00F77002" w:rsidRPr="00C40B2F">
        <w:rPr>
          <w:rFonts w:ascii="Calibri" w:eastAsia="Calibri" w:hAnsi="Calibri" w:cs="Times New Roman"/>
          <w:sz w:val="24"/>
          <w:szCs w:val="24"/>
        </w:rPr>
        <w:t xml:space="preserve"> за оправомощаване</w:t>
      </w:r>
      <w:r w:rsidR="00D43834" w:rsidRPr="00C40B2F">
        <w:rPr>
          <w:rFonts w:ascii="Calibri" w:eastAsia="Calibri" w:hAnsi="Calibri" w:cs="Times New Roman"/>
          <w:sz w:val="24"/>
          <w:szCs w:val="24"/>
        </w:rPr>
        <w:t xml:space="preserve">, </w:t>
      </w:r>
      <w:r w:rsidRPr="00C40B2F">
        <w:rPr>
          <w:rFonts w:ascii="Calibri" w:eastAsia="Calibri" w:hAnsi="Calibri" w:cs="Times New Roman"/>
          <w:sz w:val="24"/>
          <w:szCs w:val="24"/>
        </w:rPr>
        <w:t xml:space="preserve">подписан с КЕП от </w:t>
      </w:r>
      <w:r w:rsidR="00F77002" w:rsidRPr="00C40B2F">
        <w:rPr>
          <w:rFonts w:ascii="Calibri" w:eastAsia="Calibri" w:hAnsi="Calibri" w:cs="Times New Roman"/>
          <w:sz w:val="24"/>
          <w:szCs w:val="24"/>
        </w:rPr>
        <w:t xml:space="preserve">законния представител на </w:t>
      </w:r>
      <w:r w:rsidRPr="00C40B2F">
        <w:rPr>
          <w:rFonts w:ascii="Calibri" w:eastAsia="Calibri" w:hAnsi="Calibri" w:cs="Times New Roman"/>
          <w:sz w:val="24"/>
          <w:szCs w:val="24"/>
        </w:rPr>
        <w:t>кандидата</w:t>
      </w:r>
      <w:r w:rsidR="003D2FA8" w:rsidRPr="00C40B2F">
        <w:rPr>
          <w:rFonts w:ascii="Calibri" w:eastAsia="Calibri" w:hAnsi="Calibri" w:cs="Times New Roman"/>
          <w:sz w:val="24"/>
          <w:szCs w:val="24"/>
        </w:rPr>
        <w:t xml:space="preserve">. </w:t>
      </w:r>
      <w:r w:rsidRPr="00C40B2F">
        <w:rPr>
          <w:rFonts w:ascii="Calibri" w:eastAsia="Calibri" w:hAnsi="Calibri" w:cs="Times New Roman"/>
          <w:sz w:val="24"/>
          <w:szCs w:val="24"/>
        </w:rPr>
        <w:t xml:space="preserve">От текста на </w:t>
      </w:r>
      <w:r w:rsidR="003D2FA8" w:rsidRPr="00C40B2F">
        <w:rPr>
          <w:rFonts w:ascii="Calibri" w:eastAsia="Calibri" w:hAnsi="Calibri" w:cs="Times New Roman"/>
          <w:sz w:val="24"/>
          <w:szCs w:val="24"/>
        </w:rPr>
        <w:t xml:space="preserve">документа </w:t>
      </w:r>
      <w:r w:rsidRPr="00C40B2F">
        <w:rPr>
          <w:rFonts w:ascii="Calibri" w:eastAsia="Calibri" w:hAnsi="Calibri" w:cs="Times New Roman"/>
          <w:sz w:val="24"/>
          <w:szCs w:val="24"/>
        </w:rPr>
        <w:t xml:space="preserve">следва да става ясно, че </w:t>
      </w:r>
      <w:r w:rsidR="007B1947" w:rsidRPr="00C40B2F">
        <w:rPr>
          <w:rFonts w:ascii="Calibri" w:eastAsia="Calibri" w:hAnsi="Calibri" w:cs="Times New Roman"/>
          <w:sz w:val="24"/>
          <w:szCs w:val="24"/>
        </w:rPr>
        <w:t xml:space="preserve">законният представител оправомощава съответното лице </w:t>
      </w:r>
      <w:r w:rsidRPr="00C40B2F">
        <w:rPr>
          <w:rFonts w:ascii="Calibri" w:eastAsia="Calibri" w:hAnsi="Calibri" w:cs="Times New Roman"/>
          <w:sz w:val="24"/>
          <w:szCs w:val="24"/>
        </w:rPr>
        <w:t>да подаде</w:t>
      </w:r>
      <w:r w:rsidR="00DC254B" w:rsidRPr="00C40B2F">
        <w:rPr>
          <w:rFonts w:ascii="Calibri" w:eastAsia="Calibri" w:hAnsi="Calibri" w:cs="Times New Roman"/>
          <w:sz w:val="24"/>
          <w:szCs w:val="24"/>
        </w:rPr>
        <w:t xml:space="preserve"> </w:t>
      </w:r>
      <w:r w:rsidRPr="00C40B2F">
        <w:rPr>
          <w:rFonts w:ascii="Calibri" w:eastAsia="Calibri" w:hAnsi="Calibri" w:cs="Times New Roman"/>
          <w:sz w:val="24"/>
          <w:szCs w:val="24"/>
        </w:rPr>
        <w:t xml:space="preserve">проектното предложение и да подпише с КЕП документите, за които не е изрично отбелязано в т. 24 </w:t>
      </w:r>
      <w:r w:rsidR="00DC254B" w:rsidRPr="00C40B2F">
        <w:rPr>
          <w:rFonts w:ascii="Calibri" w:eastAsia="Calibri" w:hAnsi="Calibri" w:cs="Times New Roman"/>
          <w:sz w:val="24"/>
          <w:szCs w:val="24"/>
        </w:rPr>
        <w:t xml:space="preserve">„Списък на документите, които се подават на етап кандидатстване“ </w:t>
      </w:r>
      <w:r w:rsidRPr="00C40B2F">
        <w:rPr>
          <w:rFonts w:ascii="Calibri" w:eastAsia="Calibri" w:hAnsi="Calibri" w:cs="Times New Roman"/>
          <w:sz w:val="24"/>
          <w:szCs w:val="24"/>
        </w:rPr>
        <w:t xml:space="preserve">от Условията, че не могат да се подписват от </w:t>
      </w:r>
      <w:r w:rsidR="003263C0" w:rsidRPr="00C40B2F">
        <w:rPr>
          <w:rFonts w:ascii="Calibri" w:eastAsia="Calibri" w:hAnsi="Calibri" w:cs="Times New Roman"/>
          <w:sz w:val="24"/>
          <w:szCs w:val="24"/>
        </w:rPr>
        <w:t xml:space="preserve">оправомощени </w:t>
      </w:r>
      <w:r w:rsidRPr="00C40B2F">
        <w:rPr>
          <w:rFonts w:ascii="Calibri" w:eastAsia="Calibri" w:hAnsi="Calibri" w:cs="Times New Roman"/>
          <w:sz w:val="24"/>
          <w:szCs w:val="24"/>
        </w:rPr>
        <w:t>лица, тъй като с тях се декларират данни, за които се носи наказателна отговорност в лично качество.</w:t>
      </w:r>
    </w:p>
    <w:p w:rsidR="00566E30" w:rsidRPr="00C40B2F" w:rsidRDefault="003263C0" w:rsidP="00A24DC7">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b/>
          <w:sz w:val="24"/>
          <w:szCs w:val="24"/>
        </w:rPr>
      </w:pPr>
      <w:r w:rsidRPr="00C40B2F">
        <w:rPr>
          <w:rFonts w:ascii="Calibri" w:eastAsia="Calibri" w:hAnsi="Calibri" w:cs="Times New Roman"/>
          <w:sz w:val="24"/>
          <w:szCs w:val="24"/>
        </w:rPr>
        <w:t>П</w:t>
      </w:r>
      <w:r w:rsidR="00A24DC7" w:rsidRPr="00C40B2F">
        <w:rPr>
          <w:rFonts w:ascii="Calibri" w:eastAsia="Calibri" w:hAnsi="Calibri" w:cs="Times New Roman"/>
          <w:sz w:val="24"/>
          <w:szCs w:val="24"/>
        </w:rPr>
        <w:t xml:space="preserve">репоръчително </w:t>
      </w:r>
      <w:r w:rsidRPr="00C40B2F">
        <w:rPr>
          <w:rFonts w:ascii="Calibri" w:eastAsia="Calibri" w:hAnsi="Calibri" w:cs="Times New Roman"/>
          <w:sz w:val="24"/>
          <w:szCs w:val="24"/>
        </w:rPr>
        <w:t xml:space="preserve">е </w:t>
      </w:r>
      <w:r w:rsidR="00A24DC7" w:rsidRPr="00C40B2F">
        <w:rPr>
          <w:rFonts w:ascii="Calibri" w:eastAsia="Calibri" w:hAnsi="Calibri" w:cs="Times New Roman"/>
          <w:sz w:val="24"/>
          <w:szCs w:val="24"/>
        </w:rPr>
        <w:t xml:space="preserve">проектното предложение да се подава винаги от профила на кандидата, а не от друг профил, тъй като впоследствие именно този профил ще бъде използван за комуникация с Управляващия орган и за отстраняване на </w:t>
      </w:r>
      <w:r w:rsidRPr="00C40B2F">
        <w:rPr>
          <w:rFonts w:ascii="Calibri" w:eastAsia="Calibri" w:hAnsi="Calibri" w:cs="Times New Roman"/>
          <w:sz w:val="24"/>
          <w:szCs w:val="24"/>
        </w:rPr>
        <w:t>установени</w:t>
      </w:r>
      <w:r w:rsidR="004674D9" w:rsidRPr="00C40B2F">
        <w:rPr>
          <w:rFonts w:ascii="Calibri" w:eastAsia="Calibri" w:hAnsi="Calibri" w:cs="Times New Roman"/>
          <w:sz w:val="24"/>
          <w:szCs w:val="24"/>
        </w:rPr>
        <w:t>те</w:t>
      </w:r>
      <w:r w:rsidRPr="00C40B2F">
        <w:rPr>
          <w:rFonts w:ascii="Calibri" w:eastAsia="Calibri" w:hAnsi="Calibri" w:cs="Times New Roman"/>
          <w:sz w:val="24"/>
          <w:szCs w:val="24"/>
        </w:rPr>
        <w:t xml:space="preserve"> нередовности </w:t>
      </w:r>
      <w:r w:rsidR="00566E30" w:rsidRPr="00C40B2F">
        <w:rPr>
          <w:rFonts w:ascii="Calibri" w:eastAsia="Calibri" w:hAnsi="Calibri" w:cs="Times New Roman"/>
          <w:sz w:val="24"/>
          <w:szCs w:val="24"/>
        </w:rPr>
        <w:t xml:space="preserve">по време на оценката на проектното </w:t>
      </w:r>
      <w:r w:rsidR="00A24DC7" w:rsidRPr="00C40B2F">
        <w:rPr>
          <w:rFonts w:ascii="Calibri" w:eastAsia="Calibri" w:hAnsi="Calibri" w:cs="Times New Roman"/>
          <w:sz w:val="24"/>
          <w:szCs w:val="24"/>
        </w:rPr>
        <w:t>предложени</w:t>
      </w:r>
      <w:r w:rsidR="00566E30" w:rsidRPr="00C40B2F">
        <w:rPr>
          <w:rFonts w:ascii="Calibri" w:eastAsia="Calibri" w:hAnsi="Calibri" w:cs="Times New Roman"/>
          <w:sz w:val="24"/>
          <w:szCs w:val="24"/>
        </w:rPr>
        <w:t>е</w:t>
      </w:r>
      <w:r w:rsidR="00A24DC7" w:rsidRPr="00C40B2F">
        <w:rPr>
          <w:rFonts w:ascii="Calibri" w:eastAsia="Calibri" w:hAnsi="Calibri" w:cs="Times New Roman"/>
          <w:sz w:val="24"/>
          <w:szCs w:val="24"/>
        </w:rPr>
        <w:t>.</w:t>
      </w:r>
      <w:r w:rsidR="00A24DC7" w:rsidRPr="00C40B2F">
        <w:rPr>
          <w:rFonts w:ascii="Calibri" w:eastAsia="Calibri" w:hAnsi="Calibri" w:cs="Times New Roman"/>
        </w:rPr>
        <w:t xml:space="preserve"> </w:t>
      </w:r>
      <w:r w:rsidR="00566E30" w:rsidRPr="00C40B2F">
        <w:rPr>
          <w:rFonts w:ascii="Calibri" w:eastAsia="Calibri" w:hAnsi="Calibri" w:cs="Times New Roman"/>
          <w:sz w:val="24"/>
          <w:szCs w:val="24"/>
        </w:rPr>
        <w:t xml:space="preserve">По време на оценката комуникацията с кандидата и отстраняването на нередовностите по подаденото проектно предложение ще се извършват електронно чрез профила на кандидата в ИСУН 2020, от </w:t>
      </w:r>
      <w:r w:rsidR="00566E30" w:rsidRPr="00C40B2F">
        <w:rPr>
          <w:rFonts w:ascii="Calibri" w:eastAsia="Calibri" w:hAnsi="Calibri" w:cs="Times New Roman"/>
          <w:sz w:val="24"/>
          <w:szCs w:val="24"/>
        </w:rPr>
        <w:lastRenderedPageBreak/>
        <w:t xml:space="preserve">който е подаден проектът и промени на посочения профил (вкл. промяна на имейл адреса, асоцииран към съответния профил) </w:t>
      </w:r>
      <w:r w:rsidR="00566E30" w:rsidRPr="00C40B2F">
        <w:rPr>
          <w:rFonts w:ascii="Calibri" w:eastAsia="Calibri" w:hAnsi="Calibri" w:cs="Times New Roman"/>
          <w:b/>
          <w:sz w:val="24"/>
          <w:szCs w:val="24"/>
        </w:rPr>
        <w:t>са недопустими.</w:t>
      </w:r>
    </w:p>
    <w:p w:rsidR="00305B7D" w:rsidRPr="00C40B2F" w:rsidRDefault="00A24DC7" w:rsidP="00305B7D">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sz w:val="24"/>
          <w:szCs w:val="24"/>
        </w:rPr>
      </w:pPr>
      <w:r w:rsidRPr="00C40B2F">
        <w:rPr>
          <w:rFonts w:ascii="Calibri" w:eastAsia="Calibri" w:hAnsi="Calibri" w:cs="Times New Roman"/>
          <w:sz w:val="24"/>
          <w:szCs w:val="24"/>
        </w:rPr>
        <w:t xml:space="preserve">При съставянето на т. 5 „Бюджет“ от Формуляра за кандидатстване следва да се има предвид, че той ще бъде разходван като се спазват правилата на приложимото национално законодателство, </w:t>
      </w:r>
      <w:r w:rsidR="00D63195" w:rsidRPr="00C40B2F">
        <w:rPr>
          <w:rFonts w:ascii="Calibri" w:eastAsia="Calibri" w:hAnsi="Calibri" w:cs="Times New Roman"/>
          <w:sz w:val="24"/>
          <w:szCs w:val="24"/>
        </w:rPr>
        <w:t xml:space="preserve">и по-конкретно – </w:t>
      </w:r>
      <w:r w:rsidRPr="00C40B2F">
        <w:rPr>
          <w:rFonts w:ascii="Calibri" w:eastAsia="Calibri" w:hAnsi="Calibri" w:cs="Times New Roman"/>
          <w:sz w:val="24"/>
          <w:szCs w:val="24"/>
        </w:rPr>
        <w:t>Закон</w:t>
      </w:r>
      <w:r w:rsidR="00001633" w:rsidRPr="00C40B2F">
        <w:rPr>
          <w:rFonts w:ascii="Calibri" w:eastAsia="Calibri" w:hAnsi="Calibri" w:cs="Times New Roman"/>
          <w:sz w:val="24"/>
          <w:szCs w:val="24"/>
        </w:rPr>
        <w:t>а</w:t>
      </w:r>
      <w:r w:rsidRPr="00C40B2F">
        <w:rPr>
          <w:rFonts w:ascii="Calibri" w:eastAsia="Calibri" w:hAnsi="Calibri" w:cs="Times New Roman"/>
          <w:sz w:val="24"/>
          <w:szCs w:val="24"/>
        </w:rPr>
        <w:t xml:space="preserve"> за обществените поръчки и актовете по неговото прилагане</w:t>
      </w:r>
      <w:r w:rsidR="00305B7D" w:rsidRPr="00C40B2F">
        <w:rPr>
          <w:rFonts w:ascii="Calibri" w:eastAsia="Calibri" w:hAnsi="Calibri" w:cs="Times New Roman"/>
          <w:sz w:val="24"/>
          <w:szCs w:val="24"/>
        </w:rPr>
        <w:t>. Кандидатът следва да съобрази, че съгласно посоченото национално законодателство, редът за провеждане на процедурите за определяне на изпълнител/и се определя въз основа на стойността и предмета на услугата или доставката, независимо в кой раздел или перо на бюджета са предвидени съответните разходи. Не се допуска разделяне на предмета на услугата или доставката с цел заобикаляне прилагането на посочените нормативни актове.</w:t>
      </w:r>
    </w:p>
    <w:p w:rsidR="001B40FC" w:rsidRPr="00C40B2F" w:rsidRDefault="00F51277" w:rsidP="001B40FC">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sz w:val="24"/>
          <w:szCs w:val="24"/>
        </w:rPr>
      </w:pPr>
      <w:r w:rsidRPr="00C40B2F">
        <w:rPr>
          <w:rFonts w:ascii="Calibri" w:eastAsia="Calibri" w:hAnsi="Calibri" w:cs="Times New Roman"/>
          <w:b/>
          <w:sz w:val="24"/>
          <w:szCs w:val="24"/>
          <w:u w:val="single"/>
        </w:rPr>
        <w:t>ВАЖНО!:</w:t>
      </w:r>
      <w:r w:rsidRPr="00C40B2F">
        <w:rPr>
          <w:rFonts w:ascii="Calibri" w:eastAsia="Calibri" w:hAnsi="Calibri" w:cs="Times New Roman"/>
          <w:sz w:val="24"/>
          <w:szCs w:val="24"/>
        </w:rPr>
        <w:t xml:space="preserve"> При избора на изпълнител/и на дейностите по проекта, в случай че е приложимо, конкретният бенефициент</w:t>
      </w:r>
      <w:r w:rsidR="00297E7F" w:rsidRPr="00C40B2F">
        <w:rPr>
          <w:rFonts w:ascii="Calibri" w:eastAsia="Calibri" w:hAnsi="Calibri" w:cs="Times New Roman"/>
          <w:sz w:val="24"/>
          <w:szCs w:val="24"/>
        </w:rPr>
        <w:t>,</w:t>
      </w:r>
      <w:r w:rsidRPr="00C40B2F">
        <w:rPr>
          <w:rFonts w:ascii="Calibri" w:eastAsia="Calibri" w:hAnsi="Calibri" w:cs="Times New Roman"/>
          <w:sz w:val="24"/>
          <w:szCs w:val="24"/>
        </w:rPr>
        <w:t xml:space="preserve">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w:t>
      </w:r>
    </w:p>
    <w:p w:rsidR="004A58E5" w:rsidRPr="00C40B2F" w:rsidRDefault="001B40FC" w:rsidP="004C0F4E">
      <w:pPr>
        <w:pBdr>
          <w:top w:val="single" w:sz="4" w:space="1" w:color="auto"/>
          <w:left w:val="single" w:sz="4" w:space="4" w:color="auto"/>
          <w:bottom w:val="single" w:sz="4" w:space="0" w:color="auto"/>
          <w:right w:val="single" w:sz="4" w:space="4" w:color="auto"/>
        </w:pBdr>
        <w:spacing w:after="360" w:line="240" w:lineRule="auto"/>
        <w:jc w:val="both"/>
        <w:rPr>
          <w:rFonts w:ascii="Calibri" w:eastAsia="Calibri" w:hAnsi="Calibri" w:cs="Times New Roman"/>
          <w:sz w:val="24"/>
          <w:szCs w:val="24"/>
        </w:rPr>
      </w:pPr>
      <w:r w:rsidRPr="00C40B2F">
        <w:rPr>
          <w:rFonts w:ascii="Calibri" w:eastAsia="Calibri" w:hAnsi="Calibri" w:cs="Times New Roman"/>
          <w:b/>
          <w:sz w:val="24"/>
          <w:szCs w:val="24"/>
          <w:u w:val="single"/>
        </w:rPr>
        <w:t xml:space="preserve">ВАЖНО!: </w:t>
      </w:r>
      <w:r w:rsidRPr="00C40B2F">
        <w:rPr>
          <w:rFonts w:ascii="Calibri" w:eastAsia="Calibri" w:hAnsi="Calibri" w:cs="Times New Roman"/>
          <w:sz w:val="24"/>
          <w:szCs w:val="24"/>
        </w:rPr>
        <w:t xml:space="preserve">При избора на изпълнител/и на дейностите по проекта, касаещи изграждането и/или надграждането на информационни системи и софтуерни компоненти, в т.ч. регистри, интернет страници, вътрешни информационни системи, потребителски интерфейси към съществуващи системи, системи за предоставяне на електронни административни услуги и за електронен документооборот, конкретният бенефициент следва да предвиди при възлагането на обществени поръчки осигуряването на съответствие на предвидените технически задания и спецификации с изискванията на чл. 38 от </w:t>
      </w:r>
      <w:r w:rsidRPr="00C40B2F">
        <w:rPr>
          <w:rFonts w:ascii="Calibri" w:eastAsia="Calibri" w:hAnsi="Calibri" w:cs="Times New Roman"/>
          <w:b/>
          <w:sz w:val="24"/>
          <w:szCs w:val="24"/>
        </w:rPr>
        <w:t>Наредбата за спазване на общите изисквания към информационните системи, регистрите и електронните административни  услуги</w:t>
      </w:r>
      <w:r w:rsidRPr="00C40B2F">
        <w:rPr>
          <w:rFonts w:ascii="Calibri" w:eastAsia="Calibri" w:hAnsi="Calibri" w:cs="Times New Roman"/>
          <w:sz w:val="24"/>
          <w:szCs w:val="24"/>
        </w:rPr>
        <w:t xml:space="preserve">. </w:t>
      </w:r>
      <w:r w:rsidR="00F51277" w:rsidRPr="00C40B2F">
        <w:rPr>
          <w:rFonts w:ascii="Calibri" w:eastAsia="Calibri" w:hAnsi="Calibri" w:cs="Times New Roman"/>
          <w:sz w:val="24"/>
          <w:szCs w:val="24"/>
        </w:rPr>
        <w:t xml:space="preserve"> </w:t>
      </w:r>
    </w:p>
    <w:p w:rsidR="004A58E5" w:rsidRPr="00C40B2F" w:rsidRDefault="004A58E5" w:rsidP="00394B8E">
      <w:pPr>
        <w:pStyle w:val="Heading2"/>
        <w:spacing w:before="120" w:after="120"/>
      </w:pPr>
      <w:bookmarkStart w:id="39" w:name="_Toc476919472"/>
      <w:r w:rsidRPr="00C40B2F">
        <w:t>2</w:t>
      </w:r>
      <w:r w:rsidR="007D15AC" w:rsidRPr="00C40B2F">
        <w:t>4</w:t>
      </w:r>
      <w:r w:rsidRPr="00C40B2F">
        <w:t>. Списък на документите, които се подават на етап кандидатстване:</w:t>
      </w:r>
      <w:bookmarkEnd w:id="39"/>
    </w:p>
    <w:p w:rsidR="00F1051E" w:rsidRPr="00C40B2F" w:rsidRDefault="00124EBE" w:rsidP="00124EBE">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C40B2F">
        <w:rPr>
          <w:rFonts w:ascii="Calibri" w:eastAsia="Calibri" w:hAnsi="Calibri" w:cs="Times New Roman"/>
          <w:sz w:val="24"/>
          <w:szCs w:val="24"/>
        </w:rPr>
        <w:t xml:space="preserve">Кандидатът по настоящата процедура чрез директно предоставяне следва </w:t>
      </w:r>
      <w:r w:rsidR="00B7626A" w:rsidRPr="00C40B2F">
        <w:rPr>
          <w:rFonts w:ascii="Calibri" w:eastAsia="Calibri" w:hAnsi="Calibri" w:cs="Times New Roman"/>
          <w:sz w:val="24"/>
          <w:szCs w:val="24"/>
        </w:rPr>
        <w:t>да представи следните документи</w:t>
      </w:r>
      <w:r w:rsidRPr="00C40B2F">
        <w:rPr>
          <w:rFonts w:ascii="Calibri" w:eastAsia="Calibri" w:hAnsi="Calibri" w:cs="Times New Roman"/>
          <w:sz w:val="24"/>
          <w:szCs w:val="24"/>
        </w:rPr>
        <w:t xml:space="preserve"> п</w:t>
      </w:r>
    </w:p>
    <w:p w:rsidR="00124EBE" w:rsidRPr="00C40B2F" w:rsidRDefault="00124EBE" w:rsidP="00124EBE">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C40B2F">
        <w:rPr>
          <w:rFonts w:ascii="Calibri" w:eastAsia="Calibri" w:hAnsi="Calibri" w:cs="Times New Roman"/>
          <w:sz w:val="24"/>
          <w:szCs w:val="24"/>
        </w:rPr>
        <w:t>о изцяло електронен път чрез ИСУН 2020 с помощта на КЕП:</w:t>
      </w:r>
    </w:p>
    <w:p w:rsidR="00124EBE" w:rsidRPr="00C40B2F" w:rsidRDefault="00124EBE" w:rsidP="00B7626A">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Calibri" w:eastAsia="Calibri" w:hAnsi="Calibri" w:cs="Times New Roman"/>
          <w:sz w:val="24"/>
          <w:szCs w:val="24"/>
        </w:rPr>
      </w:pPr>
      <w:r w:rsidRPr="00C40B2F">
        <w:rPr>
          <w:rFonts w:ascii="Calibri" w:eastAsia="Calibri" w:hAnsi="Calibri" w:cs="Times New Roman"/>
          <w:b/>
          <w:sz w:val="24"/>
          <w:szCs w:val="24"/>
        </w:rPr>
        <w:t xml:space="preserve">а/ </w:t>
      </w:r>
      <w:r w:rsidRPr="00C40B2F">
        <w:rPr>
          <w:rFonts w:ascii="Calibri" w:eastAsia="Calibri" w:hAnsi="Calibri" w:cs="Times New Roman"/>
          <w:sz w:val="24"/>
          <w:szCs w:val="24"/>
        </w:rPr>
        <w:t xml:space="preserve">Декларация, че кандидатът е запознат с условията за кандидатстване и условията за изпълнение – попълнена по образец </w:t>
      </w:r>
      <w:r w:rsidRPr="00C40B2F">
        <w:rPr>
          <w:rFonts w:ascii="Calibri" w:eastAsia="Calibri" w:hAnsi="Calibri" w:cs="Times New Roman"/>
          <w:b/>
          <w:sz w:val="24"/>
          <w:szCs w:val="24"/>
        </w:rPr>
        <w:t>(Приложение</w:t>
      </w:r>
      <w:r w:rsidR="00EF25C2" w:rsidRPr="00C40B2F">
        <w:rPr>
          <w:rFonts w:ascii="Calibri" w:eastAsia="Calibri" w:hAnsi="Calibri" w:cs="Times New Roman"/>
          <w:b/>
          <w:sz w:val="24"/>
          <w:szCs w:val="24"/>
        </w:rPr>
        <w:t xml:space="preserve"> Б</w:t>
      </w:r>
      <w:r w:rsidRPr="00C40B2F">
        <w:rPr>
          <w:rFonts w:ascii="Calibri" w:eastAsia="Calibri" w:hAnsi="Calibri" w:cs="Times New Roman"/>
          <w:b/>
          <w:sz w:val="24"/>
          <w:szCs w:val="24"/>
        </w:rPr>
        <w:t>)</w:t>
      </w:r>
      <w:r w:rsidRPr="00C40B2F">
        <w:rPr>
          <w:rFonts w:ascii="Calibri" w:eastAsia="Calibri" w:hAnsi="Calibri" w:cs="Times New Roman"/>
          <w:sz w:val="24"/>
          <w:szCs w:val="24"/>
        </w:rPr>
        <w:t xml:space="preserve"> към Условията за кандидатстване </w:t>
      </w:r>
      <w:r w:rsidRPr="00C40B2F">
        <w:rPr>
          <w:rFonts w:ascii="Calibri" w:eastAsia="Calibri" w:hAnsi="Calibri" w:cs="Times New Roman"/>
          <w:b/>
          <w:sz w:val="24"/>
          <w:szCs w:val="24"/>
        </w:rPr>
        <w:t>–</w:t>
      </w:r>
      <w:r w:rsidRPr="00C40B2F">
        <w:rPr>
          <w:rFonts w:ascii="Calibri" w:eastAsia="Calibri" w:hAnsi="Calibri" w:cs="Times New Roman"/>
          <w:b/>
        </w:rPr>
        <w:t xml:space="preserve"> </w:t>
      </w:r>
      <w:r w:rsidRPr="00C40B2F">
        <w:rPr>
          <w:rFonts w:ascii="Calibri" w:eastAsia="Calibri" w:hAnsi="Calibri" w:cs="Times New Roman"/>
          <w:b/>
          <w:sz w:val="24"/>
          <w:szCs w:val="24"/>
        </w:rPr>
        <w:t xml:space="preserve">подписана с КЕП от </w:t>
      </w:r>
      <w:r w:rsidR="00D73D31" w:rsidRPr="00C40B2F">
        <w:rPr>
          <w:rFonts w:ascii="Calibri" w:eastAsia="Calibri" w:hAnsi="Calibri" w:cs="Times New Roman"/>
          <w:b/>
          <w:sz w:val="24"/>
          <w:szCs w:val="24"/>
        </w:rPr>
        <w:t xml:space="preserve">законния представител на </w:t>
      </w:r>
      <w:r w:rsidRPr="00C40B2F">
        <w:rPr>
          <w:rFonts w:ascii="Calibri" w:eastAsia="Calibri" w:hAnsi="Calibri" w:cs="Times New Roman"/>
          <w:b/>
          <w:sz w:val="24"/>
          <w:szCs w:val="24"/>
        </w:rPr>
        <w:t>кандидата и прикачена в ИСУН 2020.</w:t>
      </w:r>
      <w:r w:rsidRPr="00C40B2F" w:rsidDel="00D55411">
        <w:rPr>
          <w:rFonts w:ascii="Calibri" w:eastAsia="Calibri" w:hAnsi="Calibri" w:cs="Times New Roman"/>
          <w:b/>
          <w:sz w:val="24"/>
          <w:szCs w:val="24"/>
        </w:rPr>
        <w:t xml:space="preserve"> </w:t>
      </w:r>
      <w:r w:rsidRPr="00C40B2F">
        <w:rPr>
          <w:rFonts w:ascii="Calibri" w:eastAsia="Calibri" w:hAnsi="Calibri" w:cs="Times New Roman"/>
          <w:sz w:val="24"/>
          <w:szCs w:val="24"/>
        </w:rPr>
        <w:t xml:space="preserve"> </w:t>
      </w:r>
    </w:p>
    <w:p w:rsidR="00B7626A" w:rsidRPr="00C40B2F" w:rsidRDefault="007F5577" w:rsidP="00B7626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b/>
          <w:sz w:val="24"/>
          <w:szCs w:val="24"/>
        </w:rPr>
      </w:pPr>
      <w:r w:rsidRPr="00C40B2F">
        <w:rPr>
          <w:rFonts w:ascii="Calibri" w:eastAsia="Calibri" w:hAnsi="Calibri" w:cs="Times New Roman"/>
          <w:b/>
          <w:sz w:val="24"/>
          <w:szCs w:val="24"/>
        </w:rPr>
        <w:t>б</w:t>
      </w:r>
      <w:r w:rsidR="00FD29FC" w:rsidRPr="00C40B2F">
        <w:rPr>
          <w:rFonts w:ascii="Calibri" w:eastAsia="Calibri" w:hAnsi="Calibri" w:cs="Times New Roman"/>
          <w:b/>
          <w:sz w:val="24"/>
          <w:szCs w:val="24"/>
        </w:rPr>
        <w:t xml:space="preserve">/ </w:t>
      </w:r>
      <w:r w:rsidR="00FD29FC" w:rsidRPr="00C40B2F">
        <w:rPr>
          <w:rFonts w:ascii="Calibri" w:eastAsia="Calibri" w:hAnsi="Calibri" w:cs="Times New Roman"/>
          <w:sz w:val="24"/>
          <w:szCs w:val="24"/>
        </w:rPr>
        <w:t xml:space="preserve">Декларация относно статута по ЗДДС – </w:t>
      </w:r>
      <w:r w:rsidR="00FD29FC" w:rsidRPr="00C40B2F">
        <w:rPr>
          <w:sz w:val="24"/>
          <w:szCs w:val="24"/>
        </w:rPr>
        <w:t xml:space="preserve">попълнена по образец </w:t>
      </w:r>
      <w:r w:rsidR="00FD29FC" w:rsidRPr="00C40B2F">
        <w:rPr>
          <w:b/>
          <w:sz w:val="24"/>
          <w:szCs w:val="24"/>
        </w:rPr>
        <w:t xml:space="preserve">(Приложение </w:t>
      </w:r>
      <w:r w:rsidRPr="00C40B2F">
        <w:rPr>
          <w:b/>
          <w:sz w:val="24"/>
          <w:szCs w:val="24"/>
        </w:rPr>
        <w:t>В</w:t>
      </w:r>
      <w:r w:rsidR="00FD29FC" w:rsidRPr="00C40B2F">
        <w:rPr>
          <w:b/>
          <w:sz w:val="24"/>
          <w:szCs w:val="24"/>
        </w:rPr>
        <w:t>)</w:t>
      </w:r>
      <w:r w:rsidR="00FD29FC" w:rsidRPr="00C40B2F">
        <w:rPr>
          <w:sz w:val="24"/>
          <w:szCs w:val="24"/>
        </w:rPr>
        <w:t xml:space="preserve"> към Условията за кандидатстване </w:t>
      </w:r>
      <w:r w:rsidR="00FD29FC" w:rsidRPr="00C40B2F">
        <w:rPr>
          <w:rFonts w:ascii="Calibri" w:eastAsia="Calibri" w:hAnsi="Calibri" w:cs="Times New Roman"/>
          <w:sz w:val="24"/>
          <w:szCs w:val="24"/>
        </w:rPr>
        <w:t xml:space="preserve"> – </w:t>
      </w:r>
      <w:r w:rsidR="00FD29FC" w:rsidRPr="00C40B2F">
        <w:rPr>
          <w:rFonts w:ascii="Calibri" w:eastAsia="Calibri" w:hAnsi="Calibri" w:cs="Times New Roman"/>
          <w:b/>
          <w:sz w:val="24"/>
          <w:szCs w:val="24"/>
        </w:rPr>
        <w:t xml:space="preserve">подписана с КЕП от </w:t>
      </w:r>
      <w:r w:rsidR="0010642B" w:rsidRPr="00C40B2F">
        <w:rPr>
          <w:rFonts w:ascii="Calibri" w:eastAsia="Calibri" w:hAnsi="Calibri" w:cs="Times New Roman"/>
          <w:b/>
          <w:sz w:val="24"/>
          <w:szCs w:val="24"/>
        </w:rPr>
        <w:t xml:space="preserve">законния представител на </w:t>
      </w:r>
      <w:r w:rsidR="00FD29FC" w:rsidRPr="00C40B2F">
        <w:rPr>
          <w:rFonts w:ascii="Calibri" w:eastAsia="Calibri" w:hAnsi="Calibri" w:cs="Times New Roman"/>
          <w:b/>
          <w:sz w:val="24"/>
          <w:szCs w:val="24"/>
        </w:rPr>
        <w:t>кандидата</w:t>
      </w:r>
      <w:r w:rsidR="0010642B" w:rsidRPr="00C40B2F">
        <w:rPr>
          <w:rFonts w:ascii="Calibri" w:eastAsia="Calibri" w:hAnsi="Calibri" w:cs="Times New Roman"/>
          <w:b/>
          <w:sz w:val="24"/>
          <w:szCs w:val="24"/>
        </w:rPr>
        <w:t xml:space="preserve"> и </w:t>
      </w:r>
      <w:r w:rsidR="00FD29FC" w:rsidRPr="00C40B2F">
        <w:rPr>
          <w:rFonts w:ascii="Calibri" w:eastAsia="Calibri" w:hAnsi="Calibri" w:cs="Times New Roman"/>
          <w:b/>
          <w:sz w:val="24"/>
          <w:szCs w:val="24"/>
        </w:rPr>
        <w:t xml:space="preserve">прикачена в ИСУН 2020. </w:t>
      </w:r>
    </w:p>
    <w:p w:rsidR="000F1B7B" w:rsidRPr="00C40B2F" w:rsidRDefault="00574B97" w:rsidP="000F1B7B">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b/>
          <w:sz w:val="24"/>
          <w:szCs w:val="24"/>
        </w:rPr>
      </w:pPr>
      <w:r w:rsidRPr="00C40B2F">
        <w:rPr>
          <w:rFonts w:ascii="Calibri" w:eastAsia="Calibri" w:hAnsi="Calibri" w:cs="Times New Roman"/>
          <w:b/>
          <w:sz w:val="24"/>
          <w:szCs w:val="24"/>
        </w:rPr>
        <w:t>в</w:t>
      </w:r>
      <w:r w:rsidR="00FD29FC" w:rsidRPr="00C40B2F">
        <w:rPr>
          <w:rFonts w:ascii="Calibri" w:eastAsia="Calibri" w:hAnsi="Calibri" w:cs="Times New Roman"/>
          <w:b/>
          <w:sz w:val="24"/>
          <w:szCs w:val="24"/>
        </w:rPr>
        <w:t xml:space="preserve">/ </w:t>
      </w:r>
      <w:r w:rsidR="0010642B" w:rsidRPr="00C40B2F">
        <w:rPr>
          <w:rFonts w:ascii="Calibri" w:eastAsia="Calibri" w:hAnsi="Calibri" w:cs="Times New Roman"/>
          <w:sz w:val="24"/>
          <w:szCs w:val="24"/>
        </w:rPr>
        <w:t xml:space="preserve">Документ за оправомощаване </w:t>
      </w:r>
      <w:r w:rsidR="00FD29FC" w:rsidRPr="00C40B2F">
        <w:rPr>
          <w:rFonts w:ascii="Calibri" w:eastAsia="Calibri" w:hAnsi="Calibri" w:cs="Times New Roman"/>
          <w:sz w:val="24"/>
          <w:szCs w:val="24"/>
        </w:rPr>
        <w:t xml:space="preserve"> на лицето, което подписва с КЕП от името на кандидата документите за кандидатстване по проектното предложение в ИСУН 2020 (в случай, че е </w:t>
      </w:r>
      <w:r w:rsidR="00FD29FC" w:rsidRPr="00C40B2F">
        <w:rPr>
          <w:rFonts w:ascii="Calibri" w:eastAsia="Calibri" w:hAnsi="Calibri" w:cs="Times New Roman"/>
          <w:sz w:val="24"/>
          <w:szCs w:val="24"/>
        </w:rPr>
        <w:lastRenderedPageBreak/>
        <w:t>приложимо)</w:t>
      </w:r>
      <w:r w:rsidR="006E5775" w:rsidRPr="00C40B2F">
        <w:rPr>
          <w:rFonts w:ascii="Calibri" w:eastAsia="Calibri" w:hAnsi="Calibri" w:cs="Times New Roman"/>
          <w:sz w:val="24"/>
          <w:szCs w:val="24"/>
        </w:rPr>
        <w:t xml:space="preserve"> и/или </w:t>
      </w:r>
      <w:r w:rsidR="00125ED2" w:rsidRPr="00C40B2F">
        <w:rPr>
          <w:rFonts w:ascii="Calibri" w:eastAsia="Calibri" w:hAnsi="Calibri" w:cs="Times New Roman"/>
          <w:sz w:val="24"/>
          <w:szCs w:val="24"/>
        </w:rPr>
        <w:t>подписва</w:t>
      </w:r>
      <w:r w:rsidR="00472A05" w:rsidRPr="00C40B2F">
        <w:rPr>
          <w:rFonts w:ascii="Calibri" w:eastAsia="Calibri" w:hAnsi="Calibri" w:cs="Times New Roman"/>
          <w:sz w:val="24"/>
          <w:szCs w:val="24"/>
        </w:rPr>
        <w:t xml:space="preserve"> последва</w:t>
      </w:r>
      <w:r w:rsidR="00125ED2" w:rsidRPr="00C40B2F">
        <w:rPr>
          <w:rFonts w:ascii="Calibri" w:eastAsia="Calibri" w:hAnsi="Calibri" w:cs="Times New Roman"/>
          <w:sz w:val="24"/>
          <w:szCs w:val="24"/>
        </w:rPr>
        <w:t>щ</w:t>
      </w:r>
      <w:r w:rsidR="00472A05" w:rsidRPr="00C40B2F">
        <w:rPr>
          <w:rFonts w:ascii="Calibri" w:eastAsia="Calibri" w:hAnsi="Calibri" w:cs="Times New Roman"/>
          <w:sz w:val="24"/>
          <w:szCs w:val="24"/>
        </w:rPr>
        <w:t xml:space="preserve">а </w:t>
      </w:r>
      <w:r w:rsidR="006E5775" w:rsidRPr="00C40B2F">
        <w:rPr>
          <w:rFonts w:ascii="Calibri" w:eastAsia="Calibri" w:hAnsi="Calibri" w:cs="Times New Roman"/>
          <w:sz w:val="24"/>
          <w:szCs w:val="24"/>
        </w:rPr>
        <w:t>кореспонденция</w:t>
      </w:r>
      <w:r w:rsidR="00F52DB8" w:rsidRPr="00C40B2F">
        <w:rPr>
          <w:rFonts w:ascii="Calibri" w:eastAsia="Calibri" w:hAnsi="Calibri" w:cs="Times New Roman"/>
          <w:sz w:val="24"/>
          <w:szCs w:val="24"/>
        </w:rPr>
        <w:t xml:space="preserve"> между УО и </w:t>
      </w:r>
      <w:r w:rsidR="00125ED2" w:rsidRPr="00C40B2F">
        <w:rPr>
          <w:rFonts w:ascii="Calibri" w:eastAsia="Calibri" w:hAnsi="Calibri" w:cs="Times New Roman"/>
          <w:sz w:val="24"/>
          <w:szCs w:val="24"/>
        </w:rPr>
        <w:t>к</w:t>
      </w:r>
      <w:r w:rsidR="00F52DB8" w:rsidRPr="00C40B2F">
        <w:rPr>
          <w:rFonts w:ascii="Calibri" w:eastAsia="Calibri" w:hAnsi="Calibri" w:cs="Times New Roman"/>
          <w:sz w:val="24"/>
          <w:szCs w:val="24"/>
        </w:rPr>
        <w:t>андидата</w:t>
      </w:r>
      <w:r w:rsidR="00FD29FC" w:rsidRPr="00C40B2F">
        <w:rPr>
          <w:rFonts w:ascii="Calibri" w:eastAsia="Calibri" w:hAnsi="Calibri" w:cs="Times New Roman"/>
          <w:sz w:val="24"/>
          <w:szCs w:val="24"/>
        </w:rPr>
        <w:t xml:space="preserve"> - </w:t>
      </w:r>
      <w:r w:rsidR="00FD29FC" w:rsidRPr="00C40B2F">
        <w:rPr>
          <w:rFonts w:ascii="Calibri" w:eastAsia="Calibri" w:hAnsi="Calibri" w:cs="Times New Roman"/>
          <w:b/>
          <w:sz w:val="24"/>
          <w:szCs w:val="24"/>
        </w:rPr>
        <w:t>подписано с КЕП</w:t>
      </w:r>
      <w:r w:rsidR="00FD29FC" w:rsidRPr="00C40B2F">
        <w:rPr>
          <w:rFonts w:ascii="Calibri" w:eastAsia="Calibri" w:hAnsi="Calibri" w:cs="Times New Roman"/>
          <w:sz w:val="24"/>
          <w:szCs w:val="24"/>
        </w:rPr>
        <w:t xml:space="preserve"> </w:t>
      </w:r>
      <w:r w:rsidR="00FD29FC" w:rsidRPr="00C40B2F">
        <w:rPr>
          <w:rFonts w:ascii="Calibri" w:eastAsia="Calibri" w:hAnsi="Calibri" w:cs="Times New Roman"/>
          <w:b/>
          <w:sz w:val="24"/>
          <w:szCs w:val="24"/>
        </w:rPr>
        <w:t xml:space="preserve">от </w:t>
      </w:r>
      <w:r w:rsidR="00716B83" w:rsidRPr="00C40B2F">
        <w:rPr>
          <w:rFonts w:ascii="Calibri" w:eastAsia="Calibri" w:hAnsi="Calibri" w:cs="Times New Roman"/>
          <w:b/>
          <w:sz w:val="24"/>
          <w:szCs w:val="24"/>
        </w:rPr>
        <w:t xml:space="preserve">законния представител на кандидата и прикачено в ИСУН 2020. </w:t>
      </w:r>
      <w:r w:rsidR="00FD29FC" w:rsidRPr="00C40B2F">
        <w:rPr>
          <w:sz w:val="24"/>
          <w:szCs w:val="24"/>
        </w:rPr>
        <w:t xml:space="preserve"> </w:t>
      </w:r>
      <w:r w:rsidR="00FD29FC" w:rsidRPr="00C40B2F">
        <w:rPr>
          <w:rFonts w:ascii="Calibri" w:eastAsia="Calibri" w:hAnsi="Calibri" w:cs="Times New Roman"/>
          <w:b/>
          <w:sz w:val="24"/>
          <w:szCs w:val="24"/>
        </w:rPr>
        <w:t xml:space="preserve"> </w:t>
      </w:r>
    </w:p>
    <w:p w:rsidR="000F1B7B" w:rsidRPr="00C40B2F" w:rsidRDefault="00574B97" w:rsidP="000F1B7B">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b/>
          <w:sz w:val="24"/>
          <w:szCs w:val="24"/>
        </w:rPr>
      </w:pPr>
      <w:r w:rsidRPr="00C40B2F">
        <w:rPr>
          <w:rFonts w:ascii="Calibri" w:eastAsia="Calibri" w:hAnsi="Calibri" w:cs="Times New Roman"/>
          <w:b/>
          <w:sz w:val="24"/>
          <w:szCs w:val="24"/>
        </w:rPr>
        <w:t>г</w:t>
      </w:r>
      <w:r w:rsidR="00FD29FC" w:rsidRPr="00C40B2F">
        <w:rPr>
          <w:rFonts w:ascii="Calibri" w:eastAsia="Calibri" w:hAnsi="Calibri" w:cs="Times New Roman"/>
          <w:b/>
          <w:sz w:val="24"/>
          <w:szCs w:val="24"/>
        </w:rPr>
        <w:t>/</w:t>
      </w:r>
      <w:r w:rsidR="00FD29FC" w:rsidRPr="00C40B2F">
        <w:rPr>
          <w:rFonts w:ascii="Calibri" w:eastAsia="Calibri" w:hAnsi="Calibri" w:cs="Times New Roman"/>
          <w:sz w:val="24"/>
          <w:szCs w:val="24"/>
        </w:rPr>
        <w:t xml:space="preserve"> Декларация за съгласие данните от статистическите изследвания необходими за кандидатстване, оценка на проектн</w:t>
      </w:r>
      <w:r w:rsidR="00FB1B61" w:rsidRPr="00C40B2F">
        <w:rPr>
          <w:rFonts w:ascii="Calibri" w:eastAsia="Calibri" w:hAnsi="Calibri" w:cs="Times New Roman"/>
          <w:sz w:val="24"/>
          <w:szCs w:val="24"/>
        </w:rPr>
        <w:t xml:space="preserve">ото </w:t>
      </w:r>
      <w:r w:rsidR="00FD29FC" w:rsidRPr="00C40B2F">
        <w:rPr>
          <w:rFonts w:ascii="Calibri" w:eastAsia="Calibri" w:hAnsi="Calibri" w:cs="Times New Roman"/>
          <w:sz w:val="24"/>
          <w:szCs w:val="24"/>
        </w:rPr>
        <w:t>предложени</w:t>
      </w:r>
      <w:r w:rsidR="00FB1B61" w:rsidRPr="00C40B2F">
        <w:rPr>
          <w:rFonts w:ascii="Calibri" w:eastAsia="Calibri" w:hAnsi="Calibri" w:cs="Times New Roman"/>
          <w:sz w:val="24"/>
          <w:szCs w:val="24"/>
        </w:rPr>
        <w:t>е</w:t>
      </w:r>
      <w:r w:rsidR="00FD29FC" w:rsidRPr="00C40B2F">
        <w:rPr>
          <w:rFonts w:ascii="Calibri" w:eastAsia="Calibri" w:hAnsi="Calibri" w:cs="Times New Roman"/>
          <w:sz w:val="24"/>
          <w:szCs w:val="24"/>
        </w:rPr>
        <w:t>, мониторинг, измерване и отчитане на резултатите от изпълнението и контрола по изпълнението на ОПИК</w:t>
      </w:r>
      <w:r w:rsidR="004E7D39" w:rsidRPr="00C40B2F">
        <w:rPr>
          <w:rFonts w:ascii="Calibri" w:eastAsia="Calibri" w:hAnsi="Calibri" w:cs="Times New Roman"/>
          <w:sz w:val="24"/>
          <w:szCs w:val="24"/>
        </w:rPr>
        <w:t xml:space="preserve"> за </w:t>
      </w:r>
      <w:r w:rsidR="00FD29FC" w:rsidRPr="00C40B2F">
        <w:rPr>
          <w:rFonts w:ascii="Calibri" w:eastAsia="Calibri" w:hAnsi="Calibri" w:cs="Times New Roman"/>
          <w:sz w:val="24"/>
          <w:szCs w:val="24"/>
        </w:rPr>
        <w:t xml:space="preserve">периода до приключване на програмата да бъдат  предоставяни от Националния статистически институт - попълнена по образец </w:t>
      </w:r>
      <w:r w:rsidR="00FD29FC" w:rsidRPr="00C40B2F">
        <w:rPr>
          <w:rFonts w:ascii="Calibri" w:eastAsia="Calibri" w:hAnsi="Calibri" w:cs="Times New Roman"/>
          <w:b/>
          <w:sz w:val="24"/>
          <w:szCs w:val="24"/>
        </w:rPr>
        <w:t xml:space="preserve">(Приложение </w:t>
      </w:r>
      <w:r w:rsidRPr="00C40B2F">
        <w:rPr>
          <w:rFonts w:ascii="Calibri" w:eastAsia="Calibri" w:hAnsi="Calibri" w:cs="Times New Roman"/>
          <w:b/>
          <w:sz w:val="24"/>
          <w:szCs w:val="24"/>
        </w:rPr>
        <w:t>Г</w:t>
      </w:r>
      <w:r w:rsidR="00FD29FC" w:rsidRPr="00C40B2F">
        <w:rPr>
          <w:rFonts w:ascii="Calibri" w:eastAsia="Calibri" w:hAnsi="Calibri" w:cs="Times New Roman"/>
          <w:b/>
          <w:sz w:val="24"/>
          <w:szCs w:val="24"/>
        </w:rPr>
        <w:t>)</w:t>
      </w:r>
      <w:r w:rsidR="00FD29FC" w:rsidRPr="00C40B2F">
        <w:rPr>
          <w:rFonts w:ascii="Calibri" w:eastAsia="Calibri" w:hAnsi="Calibri" w:cs="Times New Roman"/>
          <w:sz w:val="24"/>
          <w:szCs w:val="24"/>
        </w:rPr>
        <w:t xml:space="preserve"> към Условията за кандидатстване -   </w:t>
      </w:r>
      <w:r w:rsidR="00FD29FC" w:rsidRPr="00C40B2F">
        <w:rPr>
          <w:rFonts w:ascii="Calibri" w:eastAsia="Calibri" w:hAnsi="Calibri" w:cs="Times New Roman"/>
          <w:b/>
          <w:sz w:val="24"/>
          <w:szCs w:val="24"/>
        </w:rPr>
        <w:t xml:space="preserve">– подписана с КЕП от </w:t>
      </w:r>
      <w:r w:rsidR="004E7D39" w:rsidRPr="00C40B2F">
        <w:rPr>
          <w:rFonts w:ascii="Calibri" w:eastAsia="Calibri" w:hAnsi="Calibri" w:cs="Times New Roman"/>
          <w:b/>
          <w:sz w:val="24"/>
          <w:szCs w:val="24"/>
        </w:rPr>
        <w:t xml:space="preserve">законния представител на </w:t>
      </w:r>
      <w:r w:rsidR="00FD29FC" w:rsidRPr="00C40B2F">
        <w:rPr>
          <w:rFonts w:ascii="Calibri" w:eastAsia="Calibri" w:hAnsi="Calibri" w:cs="Times New Roman"/>
          <w:b/>
          <w:sz w:val="24"/>
          <w:szCs w:val="24"/>
        </w:rPr>
        <w:t>кандидата и  прикачена в ИСУН 2020.</w:t>
      </w:r>
    </w:p>
    <w:p w:rsidR="00F1051E" w:rsidRPr="00C40B2F" w:rsidRDefault="00F1051E" w:rsidP="000F1B7B">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b/>
          <w:sz w:val="24"/>
          <w:szCs w:val="24"/>
          <w:u w:val="single"/>
        </w:rPr>
      </w:pPr>
    </w:p>
    <w:p w:rsidR="007E0E65" w:rsidRPr="00C40B2F" w:rsidRDefault="00D14B78" w:rsidP="000F1B7B">
      <w:pPr>
        <w:pBdr>
          <w:top w:val="single" w:sz="4" w:space="1" w:color="auto"/>
          <w:left w:val="single" w:sz="4" w:space="4" w:color="auto"/>
          <w:bottom w:val="single" w:sz="4" w:space="1" w:color="auto"/>
          <w:right w:val="single" w:sz="4" w:space="4" w:color="auto"/>
        </w:pBdr>
        <w:spacing w:before="120" w:after="120" w:line="240" w:lineRule="auto"/>
        <w:contextualSpacing/>
        <w:jc w:val="both"/>
        <w:rPr>
          <w:sz w:val="24"/>
          <w:szCs w:val="24"/>
        </w:rPr>
      </w:pPr>
      <w:r w:rsidRPr="00C40B2F">
        <w:rPr>
          <w:rFonts w:ascii="Calibri" w:eastAsia="Calibri" w:hAnsi="Calibri" w:cs="Times New Roman"/>
          <w:b/>
          <w:sz w:val="24"/>
          <w:szCs w:val="24"/>
          <w:u w:val="single"/>
        </w:rPr>
        <w:t>ВАЖНО!:</w:t>
      </w:r>
      <w:r w:rsidRPr="00C40B2F">
        <w:rPr>
          <w:b/>
          <w:sz w:val="24"/>
          <w:szCs w:val="24"/>
        </w:rPr>
        <w:t xml:space="preserve"> </w:t>
      </w:r>
      <w:r w:rsidRPr="00C40B2F">
        <w:rPr>
          <w:rFonts w:ascii="Calibri" w:eastAsia="Calibri" w:hAnsi="Calibri" w:cs="Times New Roman"/>
          <w:sz w:val="24"/>
          <w:szCs w:val="24"/>
        </w:rPr>
        <w:t>Законният представител/и на кандидата няма/т право да оправомощава/т други лица да подписват декларациите</w:t>
      </w:r>
      <w:r w:rsidR="0036048D" w:rsidRPr="00C40B2F">
        <w:rPr>
          <w:rFonts w:ascii="Calibri" w:eastAsia="Calibri" w:hAnsi="Calibri" w:cs="Times New Roman"/>
          <w:sz w:val="24"/>
          <w:szCs w:val="24"/>
        </w:rPr>
        <w:t>/документите</w:t>
      </w:r>
      <w:r w:rsidRPr="00C40B2F">
        <w:rPr>
          <w:rFonts w:ascii="Calibri" w:eastAsia="Calibri" w:hAnsi="Calibri" w:cs="Times New Roman"/>
          <w:sz w:val="24"/>
          <w:szCs w:val="24"/>
        </w:rPr>
        <w:t xml:space="preserve"> </w:t>
      </w:r>
      <w:r w:rsidRPr="00C40B2F">
        <w:rPr>
          <w:sz w:val="24"/>
          <w:szCs w:val="24"/>
        </w:rPr>
        <w:t>по букви а/, б/</w:t>
      </w:r>
      <w:r w:rsidR="00FB597F" w:rsidRPr="00C40B2F">
        <w:rPr>
          <w:sz w:val="24"/>
          <w:szCs w:val="24"/>
        </w:rPr>
        <w:t xml:space="preserve">, </w:t>
      </w:r>
      <w:r w:rsidR="0036048D" w:rsidRPr="00C40B2F">
        <w:rPr>
          <w:sz w:val="24"/>
          <w:szCs w:val="24"/>
        </w:rPr>
        <w:t xml:space="preserve">в/, </w:t>
      </w:r>
      <w:r w:rsidR="00890269" w:rsidRPr="00C40B2F">
        <w:rPr>
          <w:sz w:val="24"/>
          <w:szCs w:val="24"/>
        </w:rPr>
        <w:t xml:space="preserve">и </w:t>
      </w:r>
      <w:r w:rsidR="005F5803" w:rsidRPr="00C40B2F">
        <w:rPr>
          <w:sz w:val="24"/>
          <w:szCs w:val="24"/>
        </w:rPr>
        <w:t>г</w:t>
      </w:r>
      <w:r w:rsidRPr="00C40B2F">
        <w:rPr>
          <w:sz w:val="24"/>
          <w:szCs w:val="24"/>
        </w:rPr>
        <w:t>/, тъй като с тях се декларират данни, които декларатора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rsidR="00F1051E" w:rsidRPr="00C40B2F" w:rsidRDefault="00F1051E" w:rsidP="000F1B7B">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p>
    <w:p w:rsidR="007E0E65" w:rsidRPr="00C40B2F" w:rsidRDefault="00574B97" w:rsidP="007E0E65">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rFonts w:ascii="Calibri" w:eastAsia="Times New Roman" w:hAnsi="Calibri" w:cs="Calibri"/>
          <w:b/>
          <w:bCs/>
          <w:snapToGrid w:val="0"/>
          <w:sz w:val="24"/>
          <w:szCs w:val="24"/>
        </w:rPr>
        <w:t>д</w:t>
      </w:r>
      <w:r w:rsidR="003814B3" w:rsidRPr="00C40B2F">
        <w:rPr>
          <w:rFonts w:ascii="Calibri" w:eastAsia="Times New Roman" w:hAnsi="Calibri" w:cs="Calibri"/>
          <w:b/>
          <w:bCs/>
          <w:snapToGrid w:val="0"/>
          <w:sz w:val="24"/>
          <w:szCs w:val="24"/>
        </w:rPr>
        <w:t>/</w:t>
      </w:r>
      <w:r w:rsidR="003814B3" w:rsidRPr="00C40B2F">
        <w:rPr>
          <w:rFonts w:ascii="Calibri" w:eastAsia="Times New Roman" w:hAnsi="Calibri" w:cs="Calibri"/>
          <w:bCs/>
          <w:snapToGrid w:val="0"/>
          <w:sz w:val="24"/>
          <w:szCs w:val="24"/>
        </w:rPr>
        <w:t xml:space="preserve"> Техническа спецификация </w:t>
      </w:r>
      <w:r w:rsidR="00931C30" w:rsidRPr="00C40B2F">
        <w:rPr>
          <w:rFonts w:ascii="Calibri" w:eastAsia="Times New Roman" w:hAnsi="Calibri" w:cs="Calibri"/>
          <w:bCs/>
          <w:snapToGrid w:val="0"/>
          <w:sz w:val="24"/>
          <w:szCs w:val="24"/>
        </w:rPr>
        <w:t>на п</w:t>
      </w:r>
      <w:r w:rsidR="00C36B75" w:rsidRPr="00C40B2F">
        <w:rPr>
          <w:rFonts w:ascii="Calibri" w:eastAsia="Times New Roman" w:hAnsi="Calibri" w:cs="Calibri"/>
          <w:bCs/>
          <w:snapToGrid w:val="0"/>
          <w:sz w:val="24"/>
          <w:szCs w:val="24"/>
        </w:rPr>
        <w:t xml:space="preserve">редвидените за закупуване </w:t>
      </w:r>
      <w:r w:rsidR="00952AAC" w:rsidRPr="00C40B2F">
        <w:rPr>
          <w:rFonts w:ascii="Calibri" w:eastAsia="Times New Roman" w:hAnsi="Calibri" w:cs="Calibri"/>
          <w:bCs/>
          <w:snapToGrid w:val="0"/>
          <w:sz w:val="24"/>
          <w:szCs w:val="24"/>
        </w:rPr>
        <w:t>активи</w:t>
      </w:r>
      <w:r w:rsidR="00C36B75" w:rsidRPr="00C40B2F">
        <w:rPr>
          <w:rFonts w:ascii="Calibri" w:eastAsia="Times New Roman" w:hAnsi="Calibri" w:cs="Calibri"/>
          <w:bCs/>
          <w:snapToGrid w:val="0"/>
          <w:sz w:val="24"/>
          <w:szCs w:val="24"/>
        </w:rPr>
        <w:t xml:space="preserve">, </w:t>
      </w:r>
      <w:r w:rsidR="00931C30" w:rsidRPr="00C40B2F">
        <w:rPr>
          <w:rFonts w:ascii="Calibri" w:eastAsia="Times New Roman" w:hAnsi="Calibri" w:cs="Calibri"/>
          <w:bCs/>
          <w:snapToGrid w:val="0"/>
          <w:sz w:val="24"/>
          <w:szCs w:val="24"/>
        </w:rPr>
        <w:t xml:space="preserve"> попълнена по образец (</w:t>
      </w:r>
      <w:r w:rsidR="00931C30" w:rsidRPr="00C40B2F">
        <w:rPr>
          <w:rFonts w:ascii="Calibri" w:eastAsia="Times New Roman" w:hAnsi="Calibri" w:cs="Calibri"/>
          <w:b/>
          <w:bCs/>
          <w:snapToGrid w:val="0"/>
          <w:sz w:val="24"/>
          <w:szCs w:val="24"/>
        </w:rPr>
        <w:t xml:space="preserve">Приложение </w:t>
      </w:r>
      <w:r w:rsidRPr="00C40B2F">
        <w:rPr>
          <w:rFonts w:ascii="Calibri" w:eastAsia="Times New Roman" w:hAnsi="Calibri" w:cs="Calibri"/>
          <w:b/>
          <w:bCs/>
          <w:snapToGrid w:val="0"/>
          <w:sz w:val="24"/>
          <w:szCs w:val="24"/>
        </w:rPr>
        <w:t>Е</w:t>
      </w:r>
      <w:r w:rsidR="00931C30" w:rsidRPr="00C40B2F">
        <w:rPr>
          <w:rFonts w:ascii="Calibri" w:eastAsia="Times New Roman" w:hAnsi="Calibri" w:cs="Calibri"/>
          <w:bCs/>
          <w:snapToGrid w:val="0"/>
          <w:sz w:val="24"/>
          <w:szCs w:val="24"/>
        </w:rPr>
        <w:t>)</w:t>
      </w:r>
      <w:r w:rsidR="00780926" w:rsidRPr="00C40B2F">
        <w:rPr>
          <w:rFonts w:ascii="Calibri" w:eastAsia="Times New Roman" w:hAnsi="Calibri" w:cs="Calibri"/>
          <w:bCs/>
          <w:snapToGrid w:val="0"/>
          <w:sz w:val="24"/>
          <w:szCs w:val="24"/>
        </w:rPr>
        <w:t>.</w:t>
      </w:r>
    </w:p>
    <w:p w:rsidR="00FD51CD" w:rsidRPr="00C40B2F" w:rsidRDefault="00574B97" w:rsidP="00541906">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Calibri" w:eastAsia="Times New Roman" w:hAnsi="Calibri" w:cs="Calibri"/>
          <w:bCs/>
          <w:snapToGrid w:val="0"/>
          <w:sz w:val="24"/>
          <w:szCs w:val="24"/>
        </w:rPr>
      </w:pPr>
      <w:r w:rsidRPr="00C40B2F">
        <w:rPr>
          <w:rFonts w:ascii="Calibri" w:eastAsia="Times New Roman" w:hAnsi="Calibri" w:cs="Calibri"/>
          <w:b/>
          <w:bCs/>
          <w:snapToGrid w:val="0"/>
          <w:sz w:val="24"/>
          <w:szCs w:val="24"/>
        </w:rPr>
        <w:t>е</w:t>
      </w:r>
      <w:r w:rsidR="00676D6E" w:rsidRPr="00C40B2F">
        <w:rPr>
          <w:rFonts w:ascii="Calibri" w:eastAsia="Times New Roman" w:hAnsi="Calibri" w:cs="Calibri"/>
          <w:b/>
          <w:bCs/>
          <w:snapToGrid w:val="0"/>
          <w:sz w:val="24"/>
          <w:szCs w:val="24"/>
        </w:rPr>
        <w:t>/</w:t>
      </w:r>
      <w:r w:rsidR="00676D6E" w:rsidRPr="00C40B2F">
        <w:rPr>
          <w:rFonts w:ascii="Calibri" w:eastAsia="Times New Roman" w:hAnsi="Calibri" w:cs="Calibri"/>
          <w:bCs/>
          <w:snapToGrid w:val="0"/>
          <w:sz w:val="24"/>
          <w:szCs w:val="24"/>
        </w:rPr>
        <w:t xml:space="preserve"> </w:t>
      </w:r>
      <w:r w:rsidR="003D07EA" w:rsidRPr="00C40B2F">
        <w:rPr>
          <w:rFonts w:ascii="Calibri" w:eastAsia="Times New Roman" w:hAnsi="Calibri" w:cs="Calibri"/>
          <w:bCs/>
          <w:snapToGrid w:val="0"/>
          <w:sz w:val="24"/>
          <w:szCs w:val="24"/>
        </w:rPr>
        <w:t>Оферта и/или извлечение от кат</w:t>
      </w:r>
      <w:r w:rsidR="005648BD" w:rsidRPr="00C40B2F">
        <w:rPr>
          <w:rFonts w:ascii="Calibri" w:eastAsia="Times New Roman" w:hAnsi="Calibri" w:cs="Calibri"/>
          <w:bCs/>
          <w:snapToGrid w:val="0"/>
          <w:sz w:val="24"/>
          <w:szCs w:val="24"/>
        </w:rPr>
        <w:t>а</w:t>
      </w:r>
      <w:r w:rsidR="00067D00" w:rsidRPr="00C40B2F">
        <w:rPr>
          <w:rFonts w:ascii="Calibri" w:eastAsia="Times New Roman" w:hAnsi="Calibri" w:cs="Calibri"/>
          <w:bCs/>
          <w:snapToGrid w:val="0"/>
          <w:sz w:val="24"/>
          <w:szCs w:val="24"/>
        </w:rPr>
        <w:t xml:space="preserve">лог на производител/ доставчик </w:t>
      </w:r>
      <w:r w:rsidR="005648BD" w:rsidRPr="00C40B2F">
        <w:rPr>
          <w:rFonts w:ascii="Calibri" w:eastAsia="Times New Roman" w:hAnsi="Calibri" w:cs="Calibri"/>
          <w:bCs/>
          <w:snapToGrid w:val="0"/>
          <w:sz w:val="24"/>
          <w:szCs w:val="24"/>
        </w:rPr>
        <w:t xml:space="preserve">и/или проучване в интернет </w:t>
      </w:r>
      <w:r w:rsidR="003D07EA" w:rsidRPr="00C40B2F">
        <w:rPr>
          <w:rFonts w:ascii="Calibri" w:eastAsia="Times New Roman" w:hAnsi="Calibri" w:cs="Calibri"/>
          <w:bCs/>
          <w:snapToGrid w:val="0"/>
          <w:sz w:val="24"/>
          <w:szCs w:val="24"/>
        </w:rPr>
        <w:t xml:space="preserve">за </w:t>
      </w:r>
      <w:r w:rsidR="005648BD" w:rsidRPr="00C40B2F">
        <w:rPr>
          <w:rFonts w:ascii="Calibri" w:eastAsia="Times New Roman" w:hAnsi="Calibri" w:cs="Calibri"/>
          <w:bCs/>
          <w:snapToGrid w:val="0"/>
          <w:sz w:val="24"/>
          <w:szCs w:val="24"/>
        </w:rPr>
        <w:t xml:space="preserve">активи/услуги </w:t>
      </w:r>
      <w:r w:rsidR="003D07EA" w:rsidRPr="00C40B2F">
        <w:rPr>
          <w:rFonts w:ascii="Calibri" w:eastAsia="Times New Roman" w:hAnsi="Calibri" w:cs="Calibri"/>
          <w:bCs/>
          <w:snapToGrid w:val="0"/>
          <w:sz w:val="24"/>
          <w:szCs w:val="24"/>
        </w:rPr>
        <w:t>– с предложена ц</w:t>
      </w:r>
      <w:r w:rsidR="005648BD" w:rsidRPr="00C40B2F">
        <w:rPr>
          <w:rFonts w:ascii="Calibri" w:eastAsia="Times New Roman" w:hAnsi="Calibri" w:cs="Calibri"/>
          <w:bCs/>
          <w:snapToGrid w:val="0"/>
          <w:sz w:val="24"/>
          <w:szCs w:val="24"/>
        </w:rPr>
        <w:t>ена от производителя/доставчика</w:t>
      </w:r>
      <w:r w:rsidR="00782EDD" w:rsidRPr="00C40B2F">
        <w:rPr>
          <w:rFonts w:ascii="Calibri" w:eastAsia="Times New Roman" w:hAnsi="Calibri" w:cs="Calibri"/>
          <w:bCs/>
          <w:snapToGrid w:val="0"/>
          <w:sz w:val="24"/>
          <w:szCs w:val="24"/>
        </w:rPr>
        <w:t>.</w:t>
      </w:r>
    </w:p>
    <w:p w:rsidR="00541906" w:rsidRPr="00C40B2F" w:rsidRDefault="00541906" w:rsidP="00541906">
      <w:pPr>
        <w:pStyle w:val="ListParagraph"/>
        <w:pBdr>
          <w:top w:val="single" w:sz="4" w:space="1" w:color="auto"/>
          <w:left w:val="single" w:sz="4" w:space="4" w:color="auto"/>
          <w:bottom w:val="single" w:sz="4" w:space="1" w:color="auto"/>
          <w:right w:val="single" w:sz="4" w:space="4" w:color="auto"/>
        </w:pBdr>
        <w:spacing w:before="120" w:after="360" w:line="240" w:lineRule="auto"/>
        <w:ind w:left="0"/>
        <w:jc w:val="both"/>
        <w:rPr>
          <w:rFonts w:ascii="Calibri" w:eastAsia="Calibri" w:hAnsi="Calibri" w:cs="Times New Roman"/>
          <w:b/>
          <w:sz w:val="24"/>
          <w:szCs w:val="24"/>
          <w:u w:val="single"/>
        </w:rPr>
      </w:pPr>
    </w:p>
    <w:p w:rsidR="0084205E" w:rsidRPr="00C40B2F" w:rsidRDefault="0084205E" w:rsidP="00541906">
      <w:pPr>
        <w:pStyle w:val="ListParagraph"/>
        <w:pBdr>
          <w:top w:val="single" w:sz="4" w:space="1" w:color="auto"/>
          <w:left w:val="single" w:sz="4" w:space="4" w:color="auto"/>
          <w:bottom w:val="single" w:sz="4" w:space="1" w:color="auto"/>
          <w:right w:val="single" w:sz="4" w:space="4" w:color="auto"/>
        </w:pBdr>
        <w:spacing w:before="120" w:after="360" w:line="240" w:lineRule="auto"/>
        <w:ind w:left="0"/>
        <w:jc w:val="both"/>
        <w:rPr>
          <w:sz w:val="24"/>
          <w:szCs w:val="24"/>
        </w:rPr>
      </w:pPr>
      <w:r w:rsidRPr="00C40B2F">
        <w:rPr>
          <w:rFonts w:ascii="Calibri" w:eastAsia="Calibri" w:hAnsi="Calibri" w:cs="Times New Roman"/>
          <w:b/>
          <w:sz w:val="24"/>
          <w:szCs w:val="24"/>
          <w:u w:val="single"/>
        </w:rPr>
        <w:t>ВАЖНО</w:t>
      </w:r>
      <w:r w:rsidR="00B132E9" w:rsidRPr="00C40B2F">
        <w:rPr>
          <w:rFonts w:ascii="Calibri" w:eastAsia="Calibri" w:hAnsi="Calibri" w:cs="Times New Roman"/>
          <w:b/>
          <w:sz w:val="24"/>
          <w:szCs w:val="24"/>
          <w:u w:val="single"/>
        </w:rPr>
        <w:t>!</w:t>
      </w:r>
      <w:r w:rsidRPr="00C40B2F">
        <w:rPr>
          <w:rFonts w:ascii="Calibri" w:eastAsia="Calibri" w:hAnsi="Calibri" w:cs="Times New Roman"/>
          <w:b/>
          <w:sz w:val="24"/>
          <w:szCs w:val="24"/>
          <w:u w:val="single"/>
        </w:rPr>
        <w:t>:</w:t>
      </w:r>
      <w:r w:rsidRPr="00C40B2F">
        <w:rPr>
          <w:sz w:val="24"/>
          <w:szCs w:val="24"/>
        </w:rPr>
        <w:t xml:space="preserve">  Документите по буква </w:t>
      </w:r>
      <w:r w:rsidR="003E6D24" w:rsidRPr="00C40B2F">
        <w:rPr>
          <w:b/>
          <w:sz w:val="24"/>
          <w:szCs w:val="24"/>
        </w:rPr>
        <w:t>е</w:t>
      </w:r>
      <w:r w:rsidRPr="00C40B2F">
        <w:rPr>
          <w:b/>
          <w:sz w:val="24"/>
          <w:szCs w:val="24"/>
        </w:rPr>
        <w:t>/</w:t>
      </w:r>
      <w:r w:rsidRPr="00C40B2F">
        <w:rPr>
          <w:sz w:val="24"/>
          <w:szCs w:val="24"/>
        </w:rPr>
        <w:t xml:space="preserve"> трябва да съдържат информация за: наименование на оферента; технически и/или функционални характеристики на актива</w:t>
      </w:r>
      <w:r w:rsidR="0086438B" w:rsidRPr="00C40B2F">
        <w:rPr>
          <w:sz w:val="24"/>
          <w:szCs w:val="24"/>
        </w:rPr>
        <w:t>/услуга</w:t>
      </w:r>
      <w:r w:rsidR="009B739A" w:rsidRPr="00C40B2F">
        <w:rPr>
          <w:sz w:val="24"/>
          <w:szCs w:val="24"/>
        </w:rPr>
        <w:t>та</w:t>
      </w:r>
      <w:r w:rsidR="008E607E" w:rsidRPr="00C40B2F">
        <w:rPr>
          <w:sz w:val="24"/>
          <w:szCs w:val="24"/>
        </w:rPr>
        <w:t>, съответстващи на посочените в</w:t>
      </w:r>
      <w:r w:rsidR="001256C4" w:rsidRPr="00C40B2F">
        <w:rPr>
          <w:sz w:val="24"/>
          <w:szCs w:val="24"/>
        </w:rPr>
        <w:t xml:space="preserve"> </w:t>
      </w:r>
      <w:r w:rsidR="008E607E" w:rsidRPr="00C40B2F">
        <w:rPr>
          <w:b/>
          <w:sz w:val="24"/>
          <w:szCs w:val="24"/>
        </w:rPr>
        <w:t xml:space="preserve">Приложение </w:t>
      </w:r>
      <w:r w:rsidR="00A6797C" w:rsidRPr="00C40B2F">
        <w:rPr>
          <w:b/>
          <w:sz w:val="24"/>
          <w:szCs w:val="24"/>
        </w:rPr>
        <w:t>Е</w:t>
      </w:r>
      <w:r w:rsidR="0030355F" w:rsidRPr="00C40B2F">
        <w:rPr>
          <w:sz w:val="24"/>
          <w:szCs w:val="24"/>
        </w:rPr>
        <w:t xml:space="preserve"> </w:t>
      </w:r>
      <w:r w:rsidR="008E607E" w:rsidRPr="00C40B2F">
        <w:rPr>
          <w:sz w:val="24"/>
          <w:szCs w:val="24"/>
        </w:rPr>
        <w:t xml:space="preserve">минимални технически и/или функционални </w:t>
      </w:r>
      <w:r w:rsidR="007311C2" w:rsidRPr="00C40B2F">
        <w:rPr>
          <w:sz w:val="24"/>
          <w:szCs w:val="24"/>
        </w:rPr>
        <w:t xml:space="preserve">характеристики, цена и </w:t>
      </w:r>
      <w:r w:rsidRPr="00C40B2F">
        <w:rPr>
          <w:sz w:val="24"/>
          <w:szCs w:val="24"/>
        </w:rPr>
        <w:t>вид на валутата</w:t>
      </w:r>
      <w:r w:rsidR="008F3AE4" w:rsidRPr="00C40B2F">
        <w:rPr>
          <w:sz w:val="24"/>
          <w:szCs w:val="24"/>
        </w:rPr>
        <w:t xml:space="preserve">. </w:t>
      </w:r>
    </w:p>
    <w:p w:rsidR="007311C2" w:rsidRPr="00C40B2F" w:rsidRDefault="007311C2" w:rsidP="008E607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p>
    <w:p w:rsidR="003E6D24" w:rsidRPr="00C40B2F" w:rsidRDefault="008E607E" w:rsidP="00E96CC8">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C40B2F">
        <w:rPr>
          <w:sz w:val="24"/>
          <w:szCs w:val="24"/>
        </w:rPr>
        <w:t>В случай</w:t>
      </w:r>
      <w:r w:rsidR="001E38BC" w:rsidRPr="00C40B2F">
        <w:rPr>
          <w:sz w:val="24"/>
          <w:szCs w:val="24"/>
        </w:rPr>
        <w:t>,</w:t>
      </w:r>
      <w:r w:rsidRPr="00C40B2F">
        <w:rPr>
          <w:sz w:val="24"/>
          <w:szCs w:val="24"/>
        </w:rPr>
        <w:t xml:space="preserve"> че кандидатът представя оферта, от нея следва да е видно лицето, което я е издало от името на оферента, като напр. подпис, електронен подпис или  разпечатка на електронно</w:t>
      </w:r>
      <w:r w:rsidR="0030355F" w:rsidRPr="00C40B2F">
        <w:rPr>
          <w:sz w:val="24"/>
          <w:szCs w:val="24"/>
        </w:rPr>
        <w:t xml:space="preserve"> съобщение, с което е получена. </w:t>
      </w:r>
    </w:p>
    <w:p w:rsidR="008E607E" w:rsidRPr="00C40B2F" w:rsidRDefault="008E607E" w:rsidP="00E96CC8">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C40B2F">
        <w:rPr>
          <w:sz w:val="24"/>
          <w:szCs w:val="24"/>
        </w:rPr>
        <w:t>В случай</w:t>
      </w:r>
      <w:r w:rsidR="001E38BC" w:rsidRPr="00C40B2F">
        <w:rPr>
          <w:sz w:val="24"/>
          <w:szCs w:val="24"/>
        </w:rPr>
        <w:t>,</w:t>
      </w:r>
      <w:r w:rsidRPr="00C40B2F">
        <w:rPr>
          <w:sz w:val="24"/>
          <w:szCs w:val="24"/>
        </w:rPr>
        <w:t xml:space="preserve"> че кандидатът представя проучвания в интернет, следва да приложи разпечатка на съответната интернет страница на производителя/доставчика и </w:t>
      </w:r>
      <w:r w:rsidR="00F1051E" w:rsidRPr="00C40B2F">
        <w:rPr>
          <w:sz w:val="24"/>
          <w:szCs w:val="24"/>
        </w:rPr>
        <w:t>да я прикачи</w:t>
      </w:r>
      <w:r w:rsidRPr="00C40B2F">
        <w:rPr>
          <w:sz w:val="24"/>
          <w:szCs w:val="24"/>
        </w:rPr>
        <w:t xml:space="preserve"> в ИСУН 2020</w:t>
      </w:r>
      <w:r w:rsidR="007A0A4C" w:rsidRPr="00C40B2F">
        <w:rPr>
          <w:sz w:val="24"/>
          <w:szCs w:val="24"/>
        </w:rPr>
        <w:t>.</w:t>
      </w:r>
    </w:p>
    <w:p w:rsidR="00FC6157" w:rsidRPr="00C40B2F" w:rsidRDefault="00460A3F" w:rsidP="00FC6157">
      <w:pPr>
        <w:pBdr>
          <w:top w:val="single" w:sz="4" w:space="1" w:color="auto"/>
          <w:left w:val="single" w:sz="4" w:space="4" w:color="auto"/>
          <w:bottom w:val="single" w:sz="4" w:space="1" w:color="auto"/>
          <w:right w:val="single" w:sz="4" w:space="4" w:color="auto"/>
        </w:pBdr>
        <w:spacing w:after="120" w:line="240" w:lineRule="auto"/>
        <w:jc w:val="both"/>
        <w:rPr>
          <w:rFonts w:ascii="Calibri" w:eastAsia="Times New Roman" w:hAnsi="Calibri" w:cs="Calibri"/>
          <w:bCs/>
          <w:snapToGrid w:val="0"/>
          <w:sz w:val="24"/>
          <w:szCs w:val="24"/>
        </w:rPr>
      </w:pPr>
      <w:r w:rsidRPr="00C40B2F">
        <w:rPr>
          <w:b/>
          <w:sz w:val="24"/>
          <w:szCs w:val="24"/>
        </w:rPr>
        <w:t xml:space="preserve">ж/ </w:t>
      </w:r>
      <w:r w:rsidRPr="00C40B2F">
        <w:rPr>
          <w:sz w:val="24"/>
          <w:szCs w:val="24"/>
        </w:rPr>
        <w:t xml:space="preserve">Средносрочна рамкова програма за подкрепа на дейности по ОПИК 2014-2020, </w:t>
      </w:r>
      <w:r w:rsidR="00DA7C7A" w:rsidRPr="00C40B2F">
        <w:rPr>
          <w:sz w:val="24"/>
          <w:szCs w:val="24"/>
        </w:rPr>
        <w:t>(</w:t>
      </w:r>
      <w:r w:rsidR="00DA7C7A" w:rsidRPr="00C40B2F">
        <w:rPr>
          <w:b/>
          <w:sz w:val="24"/>
          <w:szCs w:val="24"/>
        </w:rPr>
        <w:t xml:space="preserve">Приложение </w:t>
      </w:r>
      <w:r w:rsidR="009F4540" w:rsidRPr="00C40B2F">
        <w:rPr>
          <w:b/>
          <w:sz w:val="24"/>
          <w:szCs w:val="24"/>
        </w:rPr>
        <w:t>Ж</w:t>
      </w:r>
      <w:r w:rsidR="00DA7C7A" w:rsidRPr="00C40B2F">
        <w:rPr>
          <w:sz w:val="24"/>
          <w:szCs w:val="24"/>
        </w:rPr>
        <w:t>)</w:t>
      </w:r>
      <w:r w:rsidR="00D12206" w:rsidRPr="00C40B2F">
        <w:rPr>
          <w:b/>
          <w:sz w:val="24"/>
          <w:szCs w:val="24"/>
        </w:rPr>
        <w:t>.</w:t>
      </w:r>
      <w:r w:rsidR="00FC6157" w:rsidRPr="00C40B2F">
        <w:rPr>
          <w:rFonts w:ascii="Calibri" w:eastAsia="Times New Roman" w:hAnsi="Calibri" w:cs="Calibri"/>
          <w:bCs/>
          <w:snapToGrid w:val="0"/>
          <w:sz w:val="24"/>
          <w:szCs w:val="24"/>
        </w:rPr>
        <w:t xml:space="preserve"> </w:t>
      </w:r>
    </w:p>
    <w:p w:rsidR="00FC6157" w:rsidRPr="00C40B2F" w:rsidRDefault="00FC6157" w:rsidP="00FC6157">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40B2F">
        <w:rPr>
          <w:b/>
          <w:bCs/>
          <w:sz w:val="24"/>
          <w:szCs w:val="24"/>
        </w:rPr>
        <w:t xml:space="preserve">з/  </w:t>
      </w:r>
      <w:r w:rsidRPr="00C40B2F">
        <w:rPr>
          <w:bCs/>
          <w:sz w:val="24"/>
          <w:szCs w:val="24"/>
        </w:rPr>
        <w:t xml:space="preserve">Писмо/Становище от Държавната агенция „Електронно управление“ за утвърждаване на проектното предложение по реда на Наредбата за общите изисквания към информационните системи, регистрите и електронните административни услуги, приета с ПМС № 3/09.01.2017 г., в сила от 01.03.2017 г. </w:t>
      </w:r>
    </w:p>
    <w:p w:rsidR="00D64D49" w:rsidRPr="00C40B2F" w:rsidRDefault="00460A3F" w:rsidP="00FC6157">
      <w:pPr>
        <w:pBdr>
          <w:top w:val="single" w:sz="4" w:space="1" w:color="auto"/>
          <w:left w:val="single" w:sz="4" w:space="4" w:color="auto"/>
          <w:bottom w:val="single" w:sz="4" w:space="1" w:color="auto"/>
          <w:right w:val="single" w:sz="4" w:space="4" w:color="auto"/>
        </w:pBdr>
        <w:spacing w:after="120" w:line="240" w:lineRule="auto"/>
        <w:jc w:val="both"/>
        <w:rPr>
          <w:rFonts w:ascii="Calibri" w:eastAsia="Times New Roman" w:hAnsi="Calibri" w:cs="Calibri"/>
          <w:snapToGrid w:val="0"/>
          <w:sz w:val="24"/>
          <w:szCs w:val="24"/>
        </w:rPr>
      </w:pPr>
      <w:r w:rsidRPr="00C40B2F">
        <w:rPr>
          <w:b/>
          <w:sz w:val="24"/>
          <w:szCs w:val="24"/>
        </w:rPr>
        <w:t xml:space="preserve"> </w:t>
      </w:r>
      <w:r w:rsidR="00D64D49" w:rsidRPr="00C40B2F">
        <w:rPr>
          <w:rFonts w:ascii="Calibri" w:eastAsia="Calibri" w:hAnsi="Calibri" w:cs="Times New Roman"/>
          <w:b/>
          <w:sz w:val="24"/>
          <w:szCs w:val="24"/>
          <w:u w:val="single"/>
        </w:rPr>
        <w:t>ВАЖНО!:</w:t>
      </w:r>
      <w:r w:rsidR="00D64D49" w:rsidRPr="00C40B2F">
        <w:rPr>
          <w:rFonts w:ascii="Calibri" w:eastAsia="Calibri" w:hAnsi="Calibri" w:cs="Times New Roman"/>
          <w:sz w:val="24"/>
          <w:szCs w:val="24"/>
        </w:rPr>
        <w:t xml:space="preserve"> </w:t>
      </w:r>
      <w:r w:rsidR="00D64D49" w:rsidRPr="00C40B2F">
        <w:rPr>
          <w:rFonts w:ascii="Calibri" w:eastAsia="Times New Roman" w:hAnsi="Calibri" w:cs="Calibri"/>
          <w:snapToGrid w:val="0"/>
          <w:sz w:val="24"/>
          <w:szCs w:val="24"/>
        </w:rPr>
        <w:t>Кандидатът следва да се увери, че всички документи са представени в изискуемата форма</w:t>
      </w:r>
      <w:r w:rsidR="001220E0" w:rsidRPr="00C40B2F">
        <w:rPr>
          <w:rFonts w:ascii="Calibri" w:eastAsia="Times New Roman" w:hAnsi="Calibri" w:cs="Calibri"/>
          <w:snapToGrid w:val="0"/>
          <w:sz w:val="24"/>
          <w:szCs w:val="24"/>
        </w:rPr>
        <w:t xml:space="preserve">. </w:t>
      </w:r>
      <w:r w:rsidR="00B53EAE" w:rsidRPr="00C40B2F">
        <w:rPr>
          <w:rFonts w:ascii="Calibri" w:eastAsia="Times New Roman" w:hAnsi="Calibri" w:cs="Calibri"/>
          <w:snapToGrid w:val="0"/>
          <w:sz w:val="24"/>
          <w:szCs w:val="24"/>
        </w:rPr>
        <w:t>Електронни документи</w:t>
      </w:r>
      <w:r w:rsidR="00E14B2F" w:rsidRPr="00C40B2F">
        <w:rPr>
          <w:rFonts w:ascii="Calibri" w:eastAsia="Times New Roman" w:hAnsi="Calibri" w:cs="Calibri"/>
          <w:snapToGrid w:val="0"/>
          <w:sz w:val="24"/>
          <w:szCs w:val="24"/>
        </w:rPr>
        <w:t>, изискани в о</w:t>
      </w:r>
      <w:r w:rsidR="004F355A" w:rsidRPr="00C40B2F">
        <w:rPr>
          <w:rFonts w:ascii="Calibri" w:eastAsia="Times New Roman" w:hAnsi="Calibri" w:cs="Calibri"/>
          <w:snapToGrid w:val="0"/>
          <w:sz w:val="24"/>
          <w:szCs w:val="24"/>
        </w:rPr>
        <w:t>ригинал (в</w:t>
      </w:r>
      <w:r w:rsidR="00D64D49" w:rsidRPr="00C40B2F">
        <w:rPr>
          <w:rFonts w:ascii="Calibri" w:eastAsia="Times New Roman" w:hAnsi="Calibri" w:cs="Calibri"/>
          <w:snapToGrid w:val="0"/>
          <w:sz w:val="24"/>
          <w:szCs w:val="24"/>
        </w:rPr>
        <w:t>сички декларации</w:t>
      </w:r>
      <w:r w:rsidR="00D53ED5" w:rsidRPr="00C40B2F">
        <w:rPr>
          <w:rFonts w:ascii="Calibri" w:eastAsia="Times New Roman" w:hAnsi="Calibri" w:cs="Calibri"/>
          <w:snapToGrid w:val="0"/>
          <w:sz w:val="24"/>
          <w:szCs w:val="24"/>
        </w:rPr>
        <w:t xml:space="preserve"> и документът за оправомощаване</w:t>
      </w:r>
      <w:r w:rsidR="00B53EAE" w:rsidRPr="00C40B2F">
        <w:rPr>
          <w:rFonts w:ascii="Calibri" w:eastAsia="Times New Roman" w:hAnsi="Calibri" w:cs="Calibri"/>
          <w:snapToGrid w:val="0"/>
          <w:sz w:val="24"/>
          <w:szCs w:val="24"/>
        </w:rPr>
        <w:t>)</w:t>
      </w:r>
      <w:r w:rsidR="00D64D49" w:rsidRPr="00C40B2F">
        <w:rPr>
          <w:rFonts w:ascii="Calibri" w:eastAsia="Times New Roman" w:hAnsi="Calibri" w:cs="Calibri"/>
          <w:snapToGrid w:val="0"/>
          <w:sz w:val="24"/>
          <w:szCs w:val="24"/>
        </w:rPr>
        <w:t xml:space="preserve"> са попълнени по образец и са подписани с КЕП съгласно изискванията на настоящите Условия за кандидатстване. </w:t>
      </w:r>
      <w:r w:rsidR="00E14B2F" w:rsidRPr="00C40B2F">
        <w:rPr>
          <w:rFonts w:ascii="Calibri" w:eastAsia="Times New Roman" w:hAnsi="Calibri" w:cs="Calibri"/>
          <w:snapToGrid w:val="0"/>
          <w:sz w:val="24"/>
          <w:szCs w:val="24"/>
        </w:rPr>
        <w:t>Е</w:t>
      </w:r>
      <w:r w:rsidR="001220E0" w:rsidRPr="00C40B2F">
        <w:rPr>
          <w:rFonts w:ascii="Calibri" w:eastAsia="Times New Roman" w:hAnsi="Calibri" w:cs="Calibri"/>
          <w:snapToGrid w:val="0"/>
          <w:sz w:val="24"/>
          <w:szCs w:val="24"/>
        </w:rPr>
        <w:t>лектронни копия на документи</w:t>
      </w:r>
      <w:r w:rsidR="004F355A" w:rsidRPr="00C40B2F">
        <w:rPr>
          <w:rFonts w:ascii="Calibri" w:eastAsia="Times New Roman" w:hAnsi="Calibri" w:cs="Calibri"/>
          <w:snapToGrid w:val="0"/>
          <w:sz w:val="24"/>
          <w:szCs w:val="24"/>
        </w:rPr>
        <w:t xml:space="preserve">, </w:t>
      </w:r>
      <w:r w:rsidR="004F355A" w:rsidRPr="00C40B2F">
        <w:rPr>
          <w:rFonts w:ascii="Calibri" w:eastAsia="Times New Roman" w:hAnsi="Calibri" w:cs="Calibri"/>
          <w:snapToGrid w:val="0"/>
          <w:sz w:val="24"/>
          <w:szCs w:val="24"/>
        </w:rPr>
        <w:lastRenderedPageBreak/>
        <w:t>приложени към формуляра за кандидатстване</w:t>
      </w:r>
      <w:r w:rsidR="0025596B" w:rsidRPr="00C40B2F">
        <w:rPr>
          <w:rFonts w:ascii="Calibri" w:eastAsia="Times New Roman" w:hAnsi="Calibri" w:cs="Calibri"/>
          <w:snapToGrid w:val="0"/>
          <w:sz w:val="24"/>
          <w:szCs w:val="24"/>
        </w:rPr>
        <w:t xml:space="preserve"> не се подписват с КЕП, като </w:t>
      </w:r>
      <w:r w:rsidR="00C553DB" w:rsidRPr="00C40B2F">
        <w:rPr>
          <w:rFonts w:ascii="Calibri" w:eastAsia="Times New Roman" w:hAnsi="Calibri" w:cs="Calibri"/>
          <w:snapToGrid w:val="0"/>
          <w:sz w:val="24"/>
          <w:szCs w:val="24"/>
        </w:rPr>
        <w:t xml:space="preserve">достоверността им се </w:t>
      </w:r>
      <w:r w:rsidR="00533C98" w:rsidRPr="00C40B2F">
        <w:rPr>
          <w:rFonts w:ascii="Calibri" w:eastAsia="Times New Roman" w:hAnsi="Calibri" w:cs="Calibri"/>
          <w:snapToGrid w:val="0"/>
          <w:sz w:val="24"/>
          <w:szCs w:val="24"/>
        </w:rPr>
        <w:t xml:space="preserve">удостоверява единствено чрез подписването на формуляра </w:t>
      </w:r>
      <w:r w:rsidR="004D12F8" w:rsidRPr="00C40B2F">
        <w:rPr>
          <w:rFonts w:ascii="Calibri" w:eastAsia="Times New Roman" w:hAnsi="Calibri" w:cs="Calibri"/>
          <w:snapToGrid w:val="0"/>
          <w:sz w:val="24"/>
          <w:szCs w:val="24"/>
        </w:rPr>
        <w:t xml:space="preserve">за кандидатстване </w:t>
      </w:r>
      <w:r w:rsidR="00533C98" w:rsidRPr="00C40B2F">
        <w:rPr>
          <w:rFonts w:ascii="Calibri" w:eastAsia="Times New Roman" w:hAnsi="Calibri" w:cs="Calibri"/>
          <w:snapToGrid w:val="0"/>
          <w:sz w:val="24"/>
          <w:szCs w:val="24"/>
        </w:rPr>
        <w:t>посредством ИСУН.</w:t>
      </w:r>
    </w:p>
    <w:p w:rsidR="00124EBE" w:rsidRPr="00C40B2F" w:rsidRDefault="00D64D49" w:rsidP="004A58E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Calibri" w:eastAsia="Times New Roman" w:hAnsi="Calibri" w:cs="Calibri"/>
          <w:snapToGrid w:val="0"/>
          <w:sz w:val="24"/>
          <w:szCs w:val="24"/>
        </w:rPr>
      </w:pPr>
      <w:r w:rsidRPr="00C40B2F">
        <w:rPr>
          <w:rFonts w:ascii="Calibri" w:eastAsia="Times New Roman" w:hAnsi="Calibri" w:cs="Calibri"/>
          <w:snapToGrid w:val="0"/>
          <w:sz w:val="24"/>
          <w:szCs w:val="24"/>
        </w:rPr>
        <w:t>В случай</w:t>
      </w:r>
      <w:r w:rsidR="00144458" w:rsidRPr="00C40B2F">
        <w:rPr>
          <w:rFonts w:ascii="Calibri" w:eastAsia="Times New Roman" w:hAnsi="Calibri" w:cs="Calibri"/>
          <w:snapToGrid w:val="0"/>
          <w:sz w:val="24"/>
          <w:szCs w:val="24"/>
        </w:rPr>
        <w:t>,</w:t>
      </w:r>
      <w:r w:rsidRPr="00C40B2F">
        <w:rPr>
          <w:rFonts w:ascii="Calibri" w:eastAsia="Times New Roman" w:hAnsi="Calibri" w:cs="Calibri"/>
          <w:snapToGrid w:val="0"/>
          <w:sz w:val="24"/>
          <w:szCs w:val="24"/>
        </w:rPr>
        <w:t xml:space="preserve"> че при оценката на проектното предложение бъде установена липса на документи и/или друга нередовност, Оценителната комисия ще изпрати до кандидата уведомление за установените нередовности. </w:t>
      </w:r>
      <w:r w:rsidR="00A46332" w:rsidRPr="00C40B2F">
        <w:rPr>
          <w:rFonts w:ascii="Calibri" w:eastAsia="Times New Roman" w:hAnsi="Calibri" w:cs="Calibri"/>
          <w:snapToGrid w:val="0"/>
          <w:sz w:val="24"/>
          <w:szCs w:val="24"/>
        </w:rPr>
        <w:t>Уведомлението за установени нередовности се изпраща през ИСУН 2020 чрез електронния профил на кандидата, като кандидатът ще бъде известяван за посоченото чрез електронния адрес, асоцииран към неговия профил</w:t>
      </w:r>
      <w:r w:rsidR="00EB0447" w:rsidRPr="00C40B2F">
        <w:rPr>
          <w:rFonts w:ascii="Calibri" w:eastAsia="Times New Roman" w:hAnsi="Calibri" w:cs="Calibri"/>
          <w:snapToGrid w:val="0"/>
          <w:sz w:val="24"/>
          <w:szCs w:val="24"/>
        </w:rPr>
        <w:t xml:space="preserve">. </w:t>
      </w:r>
      <w:r w:rsidRPr="00C40B2F">
        <w:rPr>
          <w:rFonts w:ascii="Calibri" w:eastAsia="Times New Roman" w:hAnsi="Calibri" w:cs="Calibri"/>
          <w:snapToGrid w:val="0"/>
          <w:sz w:val="24"/>
          <w:szCs w:val="24"/>
        </w:rPr>
        <w:t>Кандидатът следва да представи липсващите документи</w:t>
      </w:r>
      <w:r w:rsidR="00757857" w:rsidRPr="00C40B2F">
        <w:rPr>
          <w:rStyle w:val="FootnoteReference"/>
          <w:rFonts w:ascii="Calibri" w:eastAsia="Times New Roman" w:hAnsi="Calibri" w:cs="Calibri"/>
          <w:snapToGrid w:val="0"/>
          <w:sz w:val="24"/>
          <w:szCs w:val="24"/>
        </w:rPr>
        <w:footnoteReference w:id="2"/>
      </w:r>
      <w:r w:rsidRPr="00C40B2F">
        <w:rPr>
          <w:rFonts w:ascii="Calibri" w:eastAsia="Times New Roman" w:hAnsi="Calibri" w:cs="Calibri"/>
          <w:snapToGrid w:val="0"/>
          <w:sz w:val="24"/>
          <w:szCs w:val="24"/>
        </w:rPr>
        <w:t>/отстрани нередовностите в определения за целта срок, който не може да бъде по-кратък  от една седмица</w:t>
      </w:r>
      <w:r w:rsidR="00AB543A" w:rsidRPr="00C40B2F">
        <w:rPr>
          <w:rFonts w:ascii="Calibri" w:eastAsia="Times New Roman" w:hAnsi="Calibri" w:cs="Calibri"/>
          <w:snapToGrid w:val="0"/>
          <w:sz w:val="24"/>
          <w:szCs w:val="24"/>
        </w:rPr>
        <w:t>. С</w:t>
      </w:r>
      <w:r w:rsidR="00AB1154" w:rsidRPr="00C40B2F">
        <w:rPr>
          <w:rFonts w:ascii="Calibri" w:eastAsia="Times New Roman" w:hAnsi="Calibri" w:cs="Calibri"/>
          <w:snapToGrid w:val="0"/>
          <w:sz w:val="24"/>
          <w:szCs w:val="24"/>
        </w:rPr>
        <w:t>рокът започва да тече</w:t>
      </w:r>
      <w:r w:rsidR="00CE1F8E" w:rsidRPr="00C40B2F">
        <w:rPr>
          <w:rFonts w:ascii="Calibri" w:eastAsia="Times New Roman" w:hAnsi="Calibri" w:cs="Calibri"/>
          <w:snapToGrid w:val="0"/>
          <w:sz w:val="24"/>
          <w:szCs w:val="24"/>
        </w:rPr>
        <w:t xml:space="preserve"> </w:t>
      </w:r>
      <w:r w:rsidR="0070350E" w:rsidRPr="00C40B2F">
        <w:rPr>
          <w:rFonts w:ascii="Calibri" w:eastAsia="Times New Roman" w:hAnsi="Calibri" w:cs="Calibri"/>
          <w:snapToGrid w:val="0"/>
          <w:sz w:val="24"/>
          <w:szCs w:val="24"/>
        </w:rPr>
        <w:t>на</w:t>
      </w:r>
      <w:r w:rsidR="00CE1F8E" w:rsidRPr="00C40B2F">
        <w:rPr>
          <w:rFonts w:ascii="Calibri" w:eastAsia="Times New Roman" w:hAnsi="Calibri" w:cs="Calibri"/>
          <w:snapToGrid w:val="0"/>
          <w:sz w:val="24"/>
          <w:szCs w:val="24"/>
        </w:rPr>
        <w:t xml:space="preserve"> следващ</w:t>
      </w:r>
      <w:r w:rsidR="00F1051E" w:rsidRPr="00C40B2F">
        <w:rPr>
          <w:rFonts w:ascii="Calibri" w:eastAsia="Times New Roman" w:hAnsi="Calibri" w:cs="Calibri"/>
          <w:snapToGrid w:val="0"/>
          <w:sz w:val="24"/>
          <w:szCs w:val="24"/>
        </w:rPr>
        <w:t>ия</w:t>
      </w:r>
      <w:r w:rsidR="00AB543A" w:rsidRPr="00C40B2F">
        <w:rPr>
          <w:rFonts w:ascii="Calibri" w:eastAsia="Times New Roman" w:hAnsi="Calibri" w:cs="Calibri"/>
          <w:snapToGrid w:val="0"/>
          <w:sz w:val="24"/>
          <w:szCs w:val="24"/>
        </w:rPr>
        <w:t xml:space="preserve"> </w:t>
      </w:r>
      <w:r w:rsidR="00F1051E" w:rsidRPr="00C40B2F">
        <w:rPr>
          <w:rFonts w:ascii="Calibri" w:eastAsia="Times New Roman" w:hAnsi="Calibri" w:cs="Calibri"/>
          <w:snapToGrid w:val="0"/>
          <w:sz w:val="24"/>
          <w:szCs w:val="24"/>
        </w:rPr>
        <w:t>ден</w:t>
      </w:r>
      <w:r w:rsidR="00127FC6" w:rsidRPr="00C40B2F">
        <w:rPr>
          <w:rFonts w:ascii="Calibri" w:eastAsia="Times New Roman" w:hAnsi="Calibri" w:cs="Calibri"/>
          <w:snapToGrid w:val="0"/>
          <w:sz w:val="24"/>
          <w:szCs w:val="24"/>
        </w:rPr>
        <w:t xml:space="preserve"> </w:t>
      </w:r>
      <w:r w:rsidR="00CE1F8E" w:rsidRPr="00C40B2F">
        <w:rPr>
          <w:rFonts w:ascii="Calibri" w:eastAsia="Times New Roman" w:hAnsi="Calibri" w:cs="Calibri"/>
          <w:snapToGrid w:val="0"/>
          <w:sz w:val="24"/>
          <w:szCs w:val="24"/>
        </w:rPr>
        <w:t>от дата</w:t>
      </w:r>
      <w:r w:rsidR="00F1051E" w:rsidRPr="00C40B2F">
        <w:rPr>
          <w:rFonts w:ascii="Calibri" w:eastAsia="Times New Roman" w:hAnsi="Calibri" w:cs="Calibri"/>
          <w:snapToGrid w:val="0"/>
          <w:sz w:val="24"/>
          <w:szCs w:val="24"/>
        </w:rPr>
        <w:t>та</w:t>
      </w:r>
      <w:r w:rsidR="00CE1F8E" w:rsidRPr="00C40B2F">
        <w:rPr>
          <w:rFonts w:ascii="Calibri" w:eastAsia="Times New Roman" w:hAnsi="Calibri" w:cs="Calibri"/>
          <w:snapToGrid w:val="0"/>
          <w:sz w:val="24"/>
          <w:szCs w:val="24"/>
        </w:rPr>
        <w:t xml:space="preserve"> на </w:t>
      </w:r>
      <w:r w:rsidR="008E6093" w:rsidRPr="00C40B2F">
        <w:rPr>
          <w:rFonts w:ascii="Calibri" w:eastAsia="Times New Roman" w:hAnsi="Calibri" w:cs="Calibri"/>
          <w:snapToGrid w:val="0"/>
          <w:sz w:val="24"/>
          <w:szCs w:val="24"/>
        </w:rPr>
        <w:t>изпращане</w:t>
      </w:r>
      <w:r w:rsidR="00AB1154" w:rsidRPr="00C40B2F">
        <w:rPr>
          <w:rFonts w:ascii="Calibri" w:eastAsia="Times New Roman" w:hAnsi="Calibri" w:cs="Calibri"/>
          <w:snapToGrid w:val="0"/>
          <w:sz w:val="24"/>
          <w:szCs w:val="24"/>
        </w:rPr>
        <w:t xml:space="preserve"> </w:t>
      </w:r>
      <w:r w:rsidR="00CE1F8E" w:rsidRPr="00C40B2F">
        <w:rPr>
          <w:rFonts w:ascii="Calibri" w:eastAsia="Times New Roman" w:hAnsi="Calibri" w:cs="Calibri"/>
          <w:snapToGrid w:val="0"/>
          <w:sz w:val="24"/>
          <w:szCs w:val="24"/>
        </w:rPr>
        <w:t xml:space="preserve">на електронното </w:t>
      </w:r>
      <w:r w:rsidR="0070350E" w:rsidRPr="00C40B2F">
        <w:rPr>
          <w:rFonts w:ascii="Calibri" w:eastAsia="Times New Roman" w:hAnsi="Calibri" w:cs="Calibri"/>
          <w:snapToGrid w:val="0"/>
          <w:sz w:val="24"/>
          <w:szCs w:val="24"/>
        </w:rPr>
        <w:t>уведомление в ИСУН.</w:t>
      </w:r>
      <w:r w:rsidRPr="00C40B2F">
        <w:rPr>
          <w:rFonts w:ascii="Calibri" w:eastAsia="Times New Roman" w:hAnsi="Calibri" w:cs="Calibri"/>
          <w:snapToGrid w:val="0"/>
          <w:sz w:val="24"/>
          <w:szCs w:val="24"/>
        </w:rPr>
        <w:t xml:space="preserve"> Неотстраняването в</w:t>
      </w:r>
      <w:r w:rsidR="00707567" w:rsidRPr="00C40B2F">
        <w:rPr>
          <w:rFonts w:ascii="Calibri" w:eastAsia="Times New Roman" w:hAnsi="Calibri" w:cs="Calibri"/>
          <w:snapToGrid w:val="0"/>
          <w:sz w:val="24"/>
          <w:szCs w:val="24"/>
        </w:rPr>
        <w:t xml:space="preserve"> </w:t>
      </w:r>
      <w:r w:rsidRPr="00C40B2F">
        <w:rPr>
          <w:rFonts w:ascii="Calibri" w:eastAsia="Times New Roman" w:hAnsi="Calibri" w:cs="Calibri"/>
          <w:snapToGrid w:val="0"/>
          <w:sz w:val="24"/>
          <w:szCs w:val="24"/>
        </w:rPr>
        <w:t>срок на установените нередовности може да доведе до прекратяване на производството по отношение на конкретния бенефициент</w:t>
      </w:r>
      <w:r w:rsidR="004018C5" w:rsidRPr="00C40B2F">
        <w:rPr>
          <w:rFonts w:ascii="Calibri" w:eastAsia="Times New Roman" w:hAnsi="Calibri" w:cs="Calibri"/>
          <w:snapToGrid w:val="0"/>
          <w:sz w:val="24"/>
          <w:szCs w:val="24"/>
        </w:rPr>
        <w:t>.</w:t>
      </w:r>
    </w:p>
    <w:p w:rsidR="002D4B6A" w:rsidRPr="00C40B2F" w:rsidRDefault="00CB14EE" w:rsidP="00394B8E">
      <w:pPr>
        <w:pStyle w:val="Heading2"/>
        <w:spacing w:before="120" w:after="120"/>
        <w:rPr>
          <w:b w:val="0"/>
          <w:sz w:val="24"/>
          <w:szCs w:val="24"/>
        </w:rPr>
      </w:pPr>
      <w:bookmarkStart w:id="40" w:name="_Toc476919473"/>
      <w:r w:rsidRPr="00C40B2F">
        <w:t>2</w:t>
      </w:r>
      <w:r w:rsidR="007D15AC" w:rsidRPr="00C40B2F">
        <w:t>5</w:t>
      </w:r>
      <w:r w:rsidR="002D4B6A" w:rsidRPr="00C40B2F">
        <w:t xml:space="preserve">. </w:t>
      </w:r>
      <w:r w:rsidR="0063166B" w:rsidRPr="00C40B2F">
        <w:t>Краен срок за подаване на проектните предложения:</w:t>
      </w:r>
      <w:bookmarkEnd w:id="40"/>
      <w:r w:rsidR="0063166B" w:rsidRPr="00C40B2F" w:rsidDel="0063166B">
        <w:t xml:space="preserve"> </w:t>
      </w:r>
    </w:p>
    <w:p w:rsidR="00BB5C5B" w:rsidRPr="00C40B2F" w:rsidRDefault="002B01F8" w:rsidP="00BB5C5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C40B2F">
        <w:rPr>
          <w:sz w:val="24"/>
          <w:szCs w:val="24"/>
        </w:rPr>
        <w:t xml:space="preserve">Ще се прилага процедура чрез директно предоставяне на безвъзмездна финансова помощ </w:t>
      </w:r>
      <w:r w:rsidR="00E96A73" w:rsidRPr="00C40B2F">
        <w:rPr>
          <w:sz w:val="24"/>
          <w:szCs w:val="24"/>
        </w:rPr>
        <w:t xml:space="preserve">на конкретен бенефициент </w:t>
      </w:r>
      <w:r w:rsidRPr="00C40B2F">
        <w:rPr>
          <w:sz w:val="24"/>
          <w:szCs w:val="24"/>
        </w:rPr>
        <w:t xml:space="preserve">с </w:t>
      </w:r>
      <w:r w:rsidR="008B3467" w:rsidRPr="00C40B2F">
        <w:rPr>
          <w:b/>
          <w:sz w:val="24"/>
          <w:szCs w:val="24"/>
        </w:rPr>
        <w:t>краен срок</w:t>
      </w:r>
      <w:r w:rsidRPr="00C40B2F">
        <w:rPr>
          <w:sz w:val="24"/>
          <w:szCs w:val="24"/>
        </w:rPr>
        <w:t xml:space="preserve"> </w:t>
      </w:r>
      <w:r w:rsidRPr="00C40B2F">
        <w:rPr>
          <w:b/>
          <w:sz w:val="24"/>
          <w:szCs w:val="24"/>
        </w:rPr>
        <w:t xml:space="preserve">за </w:t>
      </w:r>
      <w:r w:rsidR="00BB5C5B" w:rsidRPr="00C40B2F">
        <w:rPr>
          <w:b/>
          <w:sz w:val="24"/>
          <w:szCs w:val="24"/>
        </w:rPr>
        <w:t xml:space="preserve">подаване на </w:t>
      </w:r>
      <w:r w:rsidR="00E46420" w:rsidRPr="00C40B2F">
        <w:rPr>
          <w:b/>
          <w:sz w:val="24"/>
          <w:szCs w:val="24"/>
        </w:rPr>
        <w:t>проектните предложения</w:t>
      </w:r>
      <w:r w:rsidR="008C21D1" w:rsidRPr="00C40B2F">
        <w:rPr>
          <w:b/>
          <w:sz w:val="24"/>
          <w:szCs w:val="24"/>
        </w:rPr>
        <w:t xml:space="preserve">: </w:t>
      </w:r>
      <w:r w:rsidR="009F70A2" w:rsidRPr="00C40B2F">
        <w:rPr>
          <w:b/>
          <w:sz w:val="24"/>
          <w:szCs w:val="24"/>
        </w:rPr>
        <w:t xml:space="preserve">17:30 часа на </w:t>
      </w:r>
      <w:r w:rsidR="00C40B2F" w:rsidRPr="00C40B2F">
        <w:rPr>
          <w:b/>
          <w:sz w:val="24"/>
          <w:szCs w:val="24"/>
        </w:rPr>
        <w:t>31.08.</w:t>
      </w:r>
      <w:r w:rsidR="009F70A2" w:rsidRPr="00C40B2F">
        <w:rPr>
          <w:b/>
          <w:sz w:val="24"/>
          <w:szCs w:val="24"/>
        </w:rPr>
        <w:t>2017</w:t>
      </w:r>
      <w:r w:rsidR="00BB5C5B" w:rsidRPr="00C40B2F">
        <w:rPr>
          <w:b/>
          <w:sz w:val="24"/>
          <w:szCs w:val="24"/>
        </w:rPr>
        <w:t xml:space="preserve"> г.</w:t>
      </w:r>
    </w:p>
    <w:p w:rsidR="00BB5C5B" w:rsidRPr="00C40B2F" w:rsidRDefault="00BB5C5B" w:rsidP="00BB5C5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p>
    <w:p w:rsidR="0063166B" w:rsidRPr="00C40B2F" w:rsidRDefault="002C08E5" w:rsidP="00394B8E">
      <w:pPr>
        <w:pStyle w:val="Heading2"/>
        <w:spacing w:before="120" w:after="120"/>
      </w:pPr>
      <w:bookmarkStart w:id="41" w:name="_Toc476919474"/>
      <w:r w:rsidRPr="00C40B2F">
        <w:t>2</w:t>
      </w:r>
      <w:r w:rsidR="007D15AC" w:rsidRPr="00C40B2F">
        <w:t>6</w:t>
      </w:r>
      <w:r w:rsidR="002D4B6A" w:rsidRPr="00C40B2F">
        <w:t xml:space="preserve">. </w:t>
      </w:r>
      <w:r w:rsidR="0063166B" w:rsidRPr="00C40B2F">
        <w:t>Адрес за подава</w:t>
      </w:r>
      <w:r w:rsidR="00FF4E45" w:rsidRPr="00C40B2F">
        <w:t>не на проектните предложения</w:t>
      </w:r>
      <w:r w:rsidR="0063166B" w:rsidRPr="00C40B2F">
        <w:t>:</w:t>
      </w:r>
      <w:bookmarkEnd w:id="41"/>
    </w:p>
    <w:p w:rsidR="003429B7" w:rsidRPr="00C40B2F" w:rsidRDefault="006A5D98" w:rsidP="00067D0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40B2F">
        <w:rPr>
          <w:sz w:val="24"/>
          <w:szCs w:val="24"/>
        </w:rPr>
        <w:t>Проектн</w:t>
      </w:r>
      <w:r w:rsidR="000A6EF2" w:rsidRPr="00C40B2F">
        <w:rPr>
          <w:sz w:val="24"/>
          <w:szCs w:val="24"/>
        </w:rPr>
        <w:t>ото</w:t>
      </w:r>
      <w:r w:rsidRPr="00C40B2F">
        <w:rPr>
          <w:sz w:val="24"/>
          <w:szCs w:val="24"/>
        </w:rPr>
        <w:t xml:space="preserve"> предложени</w:t>
      </w:r>
      <w:r w:rsidR="000A6EF2" w:rsidRPr="00C40B2F">
        <w:rPr>
          <w:sz w:val="24"/>
          <w:szCs w:val="24"/>
        </w:rPr>
        <w:t>е</w:t>
      </w:r>
      <w:r w:rsidRPr="00C40B2F">
        <w:rPr>
          <w:sz w:val="24"/>
          <w:szCs w:val="24"/>
        </w:rPr>
        <w:t xml:space="preserve"> по настоящата процедура се подава изцяло </w:t>
      </w:r>
      <w:r w:rsidR="003B7DE9" w:rsidRPr="00C40B2F">
        <w:rPr>
          <w:sz w:val="24"/>
          <w:szCs w:val="24"/>
        </w:rPr>
        <w:t xml:space="preserve">по </w:t>
      </w:r>
      <w:r w:rsidRPr="00C40B2F">
        <w:rPr>
          <w:sz w:val="24"/>
          <w:szCs w:val="24"/>
        </w:rPr>
        <w:t>електронен път чрез ИСУН 2020  на следния интернет адрес:</w:t>
      </w:r>
      <w:r w:rsidR="003B7DE9" w:rsidRPr="00C40B2F">
        <w:t xml:space="preserve"> </w:t>
      </w:r>
      <w:hyperlink r:id="rId10" w:history="1">
        <w:r w:rsidR="003B7DE9" w:rsidRPr="00C40B2F">
          <w:rPr>
            <w:rStyle w:val="Hyperlink"/>
            <w:sz w:val="24"/>
            <w:szCs w:val="24"/>
          </w:rPr>
          <w:t>https://eumis2020.government.bg</w:t>
        </w:r>
      </w:hyperlink>
      <w:r w:rsidRPr="00C40B2F">
        <w:rPr>
          <w:sz w:val="24"/>
          <w:szCs w:val="24"/>
        </w:rPr>
        <w:t xml:space="preserve">. </w:t>
      </w:r>
    </w:p>
    <w:p w:rsidR="00490683" w:rsidRPr="00C40B2F" w:rsidRDefault="00CB14EE" w:rsidP="00490683">
      <w:pPr>
        <w:pStyle w:val="Heading2"/>
        <w:spacing w:before="120" w:after="120"/>
      </w:pPr>
      <w:bookmarkStart w:id="42" w:name="_Toc476919475"/>
      <w:r w:rsidRPr="00C40B2F">
        <w:t>2</w:t>
      </w:r>
      <w:r w:rsidR="007D15AC" w:rsidRPr="00C40B2F">
        <w:t>7</w:t>
      </w:r>
      <w:r w:rsidR="003429B7" w:rsidRPr="00C40B2F">
        <w:t>. Допълнителна информация</w:t>
      </w:r>
      <w:bookmarkEnd w:id="42"/>
    </w:p>
    <w:p w:rsidR="006A5D98" w:rsidRPr="00C40B2F" w:rsidRDefault="006A5D98" w:rsidP="006A5D9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C40B2F">
        <w:rPr>
          <w:b/>
          <w:sz w:val="24"/>
          <w:szCs w:val="24"/>
        </w:rPr>
        <w:t>Решение за предоставяне на безвъзмездна финансова помощ и сключване на административен договор</w:t>
      </w:r>
      <w:r w:rsidR="002E1C25" w:rsidRPr="00C40B2F">
        <w:rPr>
          <w:b/>
          <w:sz w:val="24"/>
          <w:szCs w:val="24"/>
        </w:rPr>
        <w:t>:</w:t>
      </w:r>
    </w:p>
    <w:p w:rsidR="00EA74C9" w:rsidRPr="00C40B2F" w:rsidRDefault="00EA74C9" w:rsidP="00EA74C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Cs/>
          <w:sz w:val="24"/>
          <w:szCs w:val="24"/>
        </w:rPr>
      </w:pPr>
      <w:r w:rsidRPr="00C40B2F">
        <w:rPr>
          <w:bCs/>
          <w:sz w:val="24"/>
          <w:szCs w:val="24"/>
        </w:rPr>
        <w:t xml:space="preserve">В едноседмичен срок от приключване на оценяването Ръководителят на управляващия орган (РУО) взема решение за предоставянето на безвъзмездна финансова помощ за одобреното проектно предложение. Решението на РУО се обективира в административен договор за предоставяне на безвъзмездна финансова помощ на конкретния бенефициент.   </w:t>
      </w:r>
    </w:p>
    <w:p w:rsidR="00EA74C9" w:rsidRPr="00C40B2F" w:rsidRDefault="00EA74C9" w:rsidP="00EA74C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Cs/>
          <w:sz w:val="24"/>
          <w:szCs w:val="24"/>
        </w:rPr>
      </w:pPr>
      <w:r w:rsidRPr="00C40B2F">
        <w:rPr>
          <w:bCs/>
          <w:sz w:val="24"/>
          <w:szCs w:val="24"/>
        </w:rPr>
        <w:t xml:space="preserve">Решение за прекратяване на процедурата чрез директно предоставяне може да се вземе при следните случаи: </w:t>
      </w:r>
    </w:p>
    <w:p w:rsidR="00EA74C9" w:rsidRPr="00C40B2F" w:rsidRDefault="00EA74C9" w:rsidP="00EA74C9">
      <w:pPr>
        <w:pStyle w:val="ListParagraph"/>
        <w:numPr>
          <w:ilvl w:val="0"/>
          <w:numId w:val="9"/>
        </w:numPr>
        <w:pBdr>
          <w:top w:val="single" w:sz="4" w:space="1" w:color="auto"/>
          <w:left w:val="single" w:sz="4" w:space="4" w:color="auto"/>
          <w:bottom w:val="single" w:sz="4" w:space="1" w:color="auto"/>
          <w:right w:val="single" w:sz="4" w:space="4" w:color="auto"/>
        </w:pBdr>
        <w:spacing w:after="360" w:line="240" w:lineRule="auto"/>
        <w:ind w:left="284" w:hanging="284"/>
        <w:jc w:val="both"/>
        <w:rPr>
          <w:bCs/>
          <w:sz w:val="24"/>
          <w:szCs w:val="24"/>
        </w:rPr>
      </w:pPr>
      <w:r w:rsidRPr="00C40B2F">
        <w:rPr>
          <w:bCs/>
          <w:sz w:val="24"/>
          <w:szCs w:val="24"/>
        </w:rPr>
        <w:lastRenderedPageBreak/>
        <w:t xml:space="preserve">Когато няма постъпили проектни предложения, в случай че е определен краен срок за подаване или когато всички подадени проектни предложения са оттеглени; </w:t>
      </w:r>
    </w:p>
    <w:p w:rsidR="00EA74C9" w:rsidRPr="00C40B2F" w:rsidRDefault="00EA74C9" w:rsidP="00EA74C9">
      <w:pPr>
        <w:pStyle w:val="ListParagraph"/>
        <w:numPr>
          <w:ilvl w:val="0"/>
          <w:numId w:val="9"/>
        </w:numPr>
        <w:pBdr>
          <w:top w:val="single" w:sz="4" w:space="1" w:color="auto"/>
          <w:left w:val="single" w:sz="4" w:space="4" w:color="auto"/>
          <w:bottom w:val="single" w:sz="4" w:space="1" w:color="auto"/>
          <w:right w:val="single" w:sz="4" w:space="4" w:color="auto"/>
        </w:pBdr>
        <w:spacing w:after="360" w:line="240" w:lineRule="auto"/>
        <w:ind w:left="284" w:hanging="284"/>
        <w:jc w:val="both"/>
        <w:rPr>
          <w:bCs/>
          <w:sz w:val="24"/>
          <w:szCs w:val="24"/>
        </w:rPr>
      </w:pPr>
      <w:r w:rsidRPr="00C40B2F">
        <w:rPr>
          <w:bCs/>
          <w:sz w:val="24"/>
          <w:szCs w:val="24"/>
        </w:rPr>
        <w:t xml:space="preserve">При спиране на финансирането по съответната програма или по част от нея; </w:t>
      </w:r>
    </w:p>
    <w:p w:rsidR="00EA74C9" w:rsidRPr="00C40B2F" w:rsidRDefault="00EA74C9" w:rsidP="00EA74C9">
      <w:pPr>
        <w:pStyle w:val="ListParagraph"/>
        <w:numPr>
          <w:ilvl w:val="0"/>
          <w:numId w:val="9"/>
        </w:numPr>
        <w:pBdr>
          <w:top w:val="single" w:sz="4" w:space="1" w:color="auto"/>
          <w:left w:val="single" w:sz="4" w:space="4" w:color="auto"/>
          <w:bottom w:val="single" w:sz="4" w:space="1" w:color="auto"/>
          <w:right w:val="single" w:sz="4" w:space="4" w:color="auto"/>
        </w:pBdr>
        <w:spacing w:after="360" w:line="240" w:lineRule="auto"/>
        <w:ind w:left="284" w:hanging="284"/>
        <w:jc w:val="both"/>
        <w:rPr>
          <w:bCs/>
          <w:sz w:val="24"/>
          <w:szCs w:val="24"/>
        </w:rPr>
      </w:pPr>
      <w:r w:rsidRPr="00C40B2F">
        <w:rPr>
          <w:bCs/>
          <w:sz w:val="24"/>
          <w:szCs w:val="24"/>
        </w:rPr>
        <w:t>В случай, че конкретният бенефициент не отстрани в срок нередовност, непълнота и/или несъответствие с</w:t>
      </w:r>
      <w:r w:rsidR="00F7442C" w:rsidRPr="00C40B2F">
        <w:rPr>
          <w:bCs/>
          <w:sz w:val="24"/>
          <w:szCs w:val="24"/>
        </w:rPr>
        <w:t xml:space="preserve"> изискванията.</w:t>
      </w:r>
    </w:p>
    <w:p w:rsidR="009A60AB" w:rsidRPr="00C40B2F" w:rsidRDefault="009A60AB" w:rsidP="0044230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Cs/>
          <w:sz w:val="24"/>
          <w:szCs w:val="24"/>
        </w:rPr>
      </w:pPr>
    </w:p>
    <w:p w:rsidR="009A60AB" w:rsidRPr="00C40B2F" w:rsidRDefault="009A60AB" w:rsidP="009A60A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Cs/>
          <w:sz w:val="24"/>
          <w:szCs w:val="24"/>
        </w:rPr>
      </w:pPr>
      <w:r w:rsidRPr="00C40B2F">
        <w:rPr>
          <w:bCs/>
          <w:sz w:val="24"/>
          <w:szCs w:val="24"/>
        </w:rPr>
        <w:t>При наличие на положителен резултат от оценяването, в писменото уведомление към конкретния бенефициент Управляващият орган го информира за необходимостта от представяне на следните документи</w:t>
      </w:r>
      <w:r w:rsidR="00F7442C" w:rsidRPr="00C40B2F">
        <w:rPr>
          <w:bCs/>
          <w:sz w:val="24"/>
          <w:szCs w:val="24"/>
        </w:rPr>
        <w:t>:</w:t>
      </w:r>
    </w:p>
    <w:p w:rsidR="009D0818" w:rsidRPr="00C40B2F" w:rsidRDefault="009D0818" w:rsidP="009D0818">
      <w:pPr>
        <w:pStyle w:val="ListParagraph"/>
        <w:numPr>
          <w:ilvl w:val="0"/>
          <w:numId w:val="8"/>
        </w:numPr>
        <w:pBdr>
          <w:top w:val="single" w:sz="4" w:space="1" w:color="auto"/>
          <w:left w:val="single" w:sz="4" w:space="4" w:color="auto"/>
          <w:bottom w:val="single" w:sz="4" w:space="1" w:color="auto"/>
          <w:right w:val="single" w:sz="4" w:space="4" w:color="auto"/>
        </w:pBdr>
        <w:tabs>
          <w:tab w:val="clear" w:pos="360"/>
          <w:tab w:val="num" w:pos="284"/>
        </w:tabs>
        <w:spacing w:after="360" w:line="240" w:lineRule="auto"/>
        <w:ind w:left="284" w:hanging="284"/>
        <w:jc w:val="both"/>
        <w:rPr>
          <w:sz w:val="24"/>
          <w:szCs w:val="24"/>
        </w:rPr>
      </w:pPr>
      <w:r w:rsidRPr="00C40B2F">
        <w:rPr>
          <w:bCs/>
          <w:sz w:val="24"/>
          <w:szCs w:val="24"/>
        </w:rPr>
        <w:t xml:space="preserve">Нотариално заверено пълномощно, в случаите, когато административният договор за безвъзмездна финансова помощ ще бъде подписан от лице, различно от законния/ите представител/и на кандидата, съгласно Удостоверението за актуално състояние –  </w:t>
      </w:r>
      <w:r w:rsidRPr="00C40B2F">
        <w:rPr>
          <w:b/>
          <w:bCs/>
          <w:sz w:val="24"/>
          <w:szCs w:val="24"/>
        </w:rPr>
        <w:t xml:space="preserve">оригинал или </w:t>
      </w:r>
      <w:r w:rsidRPr="00C40B2F">
        <w:rPr>
          <w:b/>
        </w:rPr>
        <w:t>нотариално заверено копие</w:t>
      </w:r>
      <w:r w:rsidRPr="00C40B2F">
        <w:t>.</w:t>
      </w:r>
    </w:p>
    <w:p w:rsidR="009D0818" w:rsidRPr="00C40B2F" w:rsidRDefault="009A60AB" w:rsidP="009D0818">
      <w:pPr>
        <w:pStyle w:val="ListParagraph"/>
        <w:numPr>
          <w:ilvl w:val="0"/>
          <w:numId w:val="8"/>
        </w:numPr>
        <w:pBdr>
          <w:top w:val="single" w:sz="4" w:space="1" w:color="auto"/>
          <w:left w:val="single" w:sz="4" w:space="4" w:color="auto"/>
          <w:bottom w:val="single" w:sz="4" w:space="1" w:color="auto"/>
          <w:right w:val="single" w:sz="4" w:space="4" w:color="auto"/>
        </w:pBdr>
        <w:tabs>
          <w:tab w:val="clear" w:pos="360"/>
          <w:tab w:val="num" w:pos="284"/>
        </w:tabs>
        <w:spacing w:after="360" w:line="240" w:lineRule="auto"/>
        <w:ind w:left="284" w:hanging="284"/>
        <w:jc w:val="both"/>
        <w:rPr>
          <w:sz w:val="24"/>
          <w:szCs w:val="24"/>
        </w:rPr>
      </w:pPr>
      <w:r w:rsidRPr="00C40B2F">
        <w:rPr>
          <w:bCs/>
          <w:sz w:val="24"/>
          <w:szCs w:val="24"/>
        </w:rPr>
        <w:t>Заявление за профил за достъп на ръководител на бенефициента до ИСУН 2020 (</w:t>
      </w:r>
      <w:r w:rsidRPr="00C40B2F">
        <w:rPr>
          <w:b/>
          <w:bCs/>
          <w:sz w:val="24"/>
          <w:szCs w:val="24"/>
        </w:rPr>
        <w:t xml:space="preserve">Приложение </w:t>
      </w:r>
      <w:r w:rsidR="0080007D" w:rsidRPr="00C40B2F">
        <w:rPr>
          <w:b/>
          <w:bCs/>
          <w:sz w:val="24"/>
          <w:szCs w:val="24"/>
        </w:rPr>
        <w:t>М</w:t>
      </w:r>
      <w:r w:rsidRPr="00C40B2F">
        <w:rPr>
          <w:b/>
          <w:bCs/>
          <w:sz w:val="24"/>
          <w:szCs w:val="24"/>
        </w:rPr>
        <w:t>1</w:t>
      </w:r>
      <w:r w:rsidRPr="00C40B2F">
        <w:rPr>
          <w:bCs/>
          <w:sz w:val="24"/>
          <w:szCs w:val="24"/>
        </w:rPr>
        <w:t xml:space="preserve"> към Условията за изпълнение) и/или Заявление за профил за достъп на оправомощени от бенефициента лица до ИСУН 2020 (</w:t>
      </w:r>
      <w:r w:rsidRPr="00C40B2F">
        <w:rPr>
          <w:b/>
          <w:bCs/>
          <w:sz w:val="24"/>
          <w:szCs w:val="24"/>
        </w:rPr>
        <w:t xml:space="preserve">Приложение </w:t>
      </w:r>
      <w:r w:rsidR="0080007D" w:rsidRPr="00C40B2F">
        <w:rPr>
          <w:b/>
          <w:bCs/>
          <w:sz w:val="24"/>
          <w:szCs w:val="24"/>
        </w:rPr>
        <w:t>М</w:t>
      </w:r>
      <w:r w:rsidRPr="00C40B2F">
        <w:rPr>
          <w:b/>
          <w:bCs/>
          <w:sz w:val="24"/>
          <w:szCs w:val="24"/>
        </w:rPr>
        <w:t>2</w:t>
      </w:r>
      <w:r w:rsidRPr="00C40B2F">
        <w:rPr>
          <w:bCs/>
          <w:sz w:val="24"/>
          <w:szCs w:val="24"/>
        </w:rPr>
        <w:t xml:space="preserve"> към Условията за изпълнение) – подписано от законния</w:t>
      </w:r>
      <w:r w:rsidR="009D0818" w:rsidRPr="00C40B2F">
        <w:rPr>
          <w:bCs/>
          <w:sz w:val="24"/>
          <w:szCs w:val="24"/>
        </w:rPr>
        <w:t>/те</w:t>
      </w:r>
      <w:r w:rsidRPr="00C40B2F">
        <w:rPr>
          <w:bCs/>
          <w:sz w:val="24"/>
          <w:szCs w:val="24"/>
        </w:rPr>
        <w:t xml:space="preserve"> представител</w:t>
      </w:r>
      <w:r w:rsidR="009D0818" w:rsidRPr="00C40B2F">
        <w:rPr>
          <w:bCs/>
          <w:sz w:val="24"/>
          <w:szCs w:val="24"/>
        </w:rPr>
        <w:t>/и</w:t>
      </w:r>
      <w:r w:rsidRPr="00C40B2F">
        <w:rPr>
          <w:bCs/>
          <w:sz w:val="24"/>
          <w:szCs w:val="24"/>
        </w:rPr>
        <w:t xml:space="preserve"> на кандидата.</w:t>
      </w:r>
    </w:p>
    <w:p w:rsidR="009A60AB" w:rsidRPr="00C40B2F" w:rsidRDefault="009A60AB" w:rsidP="009D0818">
      <w:pPr>
        <w:pStyle w:val="ListParagraph"/>
        <w:numPr>
          <w:ilvl w:val="0"/>
          <w:numId w:val="8"/>
        </w:numPr>
        <w:pBdr>
          <w:top w:val="single" w:sz="4" w:space="1" w:color="auto"/>
          <w:left w:val="single" w:sz="4" w:space="4" w:color="auto"/>
          <w:bottom w:val="single" w:sz="4" w:space="1" w:color="auto"/>
          <w:right w:val="single" w:sz="4" w:space="4" w:color="auto"/>
        </w:pBdr>
        <w:tabs>
          <w:tab w:val="clear" w:pos="360"/>
          <w:tab w:val="num" w:pos="284"/>
        </w:tabs>
        <w:spacing w:after="360" w:line="240" w:lineRule="auto"/>
        <w:ind w:left="284" w:hanging="284"/>
        <w:jc w:val="both"/>
        <w:rPr>
          <w:sz w:val="24"/>
          <w:szCs w:val="24"/>
        </w:rPr>
      </w:pPr>
      <w:r w:rsidRPr="00C40B2F">
        <w:rPr>
          <w:bCs/>
          <w:sz w:val="24"/>
          <w:szCs w:val="24"/>
        </w:rPr>
        <w:t>Декларация за нередности (</w:t>
      </w:r>
      <w:r w:rsidRPr="00C40B2F">
        <w:rPr>
          <w:b/>
          <w:bCs/>
          <w:sz w:val="24"/>
          <w:szCs w:val="24"/>
        </w:rPr>
        <w:t>Приложение К</w:t>
      </w:r>
      <w:r w:rsidRPr="00C40B2F">
        <w:rPr>
          <w:bCs/>
          <w:sz w:val="24"/>
          <w:szCs w:val="24"/>
        </w:rPr>
        <w:t xml:space="preserve"> към Условията за изпълнение)</w:t>
      </w:r>
    </w:p>
    <w:p w:rsidR="009A60AB" w:rsidRPr="00C40B2F" w:rsidRDefault="009A60AB" w:rsidP="009A60A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bCs/>
          <w:sz w:val="24"/>
          <w:szCs w:val="24"/>
        </w:rPr>
      </w:pPr>
    </w:p>
    <w:p w:rsidR="009A60AB" w:rsidRPr="00C40B2F" w:rsidRDefault="009A60AB" w:rsidP="0044230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Cs/>
          <w:sz w:val="24"/>
          <w:szCs w:val="24"/>
        </w:rPr>
      </w:pPr>
      <w:r w:rsidRPr="00C40B2F">
        <w:rPr>
          <w:b/>
          <w:bCs/>
          <w:sz w:val="24"/>
          <w:szCs w:val="24"/>
        </w:rPr>
        <w:t>Уведомяването на конкретния бенефициент за сключване на административния договор за директно предоставяне на безвъзмездна финансова помощ се извършва писмено.</w:t>
      </w:r>
    </w:p>
    <w:p w:rsidR="006A2DB8" w:rsidRPr="00C40B2F" w:rsidRDefault="00CB14EE" w:rsidP="00394B8E">
      <w:pPr>
        <w:pStyle w:val="Heading2"/>
        <w:spacing w:before="120" w:after="120"/>
      </w:pPr>
      <w:bookmarkStart w:id="43" w:name="_Toc476919476"/>
      <w:r w:rsidRPr="00C40B2F">
        <w:t>2</w:t>
      </w:r>
      <w:r w:rsidR="007D15AC" w:rsidRPr="00C40B2F">
        <w:t>8</w:t>
      </w:r>
      <w:r w:rsidR="006A2DB8" w:rsidRPr="00C40B2F">
        <w:t xml:space="preserve">. Приложения към </w:t>
      </w:r>
      <w:r w:rsidR="00EA11C9" w:rsidRPr="00C40B2F">
        <w:t>Условията за кандидатстване</w:t>
      </w:r>
      <w:r w:rsidR="006A2DB8" w:rsidRPr="00C40B2F">
        <w:t xml:space="preserve"> за кандидатстване:</w:t>
      </w:r>
      <w:bookmarkEnd w:id="43"/>
    </w:p>
    <w:p w:rsidR="00663477" w:rsidRPr="00C40B2F" w:rsidRDefault="00663477" w:rsidP="004C0F4E">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C40B2F">
        <w:rPr>
          <w:rFonts w:ascii="Calibri" w:eastAsia="Calibri" w:hAnsi="Calibri" w:cs="Times New Roman"/>
          <w:sz w:val="24"/>
          <w:szCs w:val="24"/>
        </w:rPr>
        <w:t xml:space="preserve">Ръководство за потребителя за модул „Е-кандидатстване“ – </w:t>
      </w:r>
      <w:r w:rsidRPr="00C40B2F">
        <w:rPr>
          <w:rFonts w:ascii="Calibri" w:eastAsia="Calibri" w:hAnsi="Calibri" w:cs="Times New Roman"/>
          <w:b/>
          <w:sz w:val="24"/>
          <w:szCs w:val="24"/>
        </w:rPr>
        <w:t>Приложение А</w:t>
      </w:r>
    </w:p>
    <w:p w:rsidR="00663477" w:rsidRPr="00C40B2F" w:rsidRDefault="00663477" w:rsidP="004C0F4E">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C40B2F">
        <w:rPr>
          <w:rFonts w:ascii="Calibri" w:eastAsia="Calibri" w:hAnsi="Calibri" w:cs="Times New Roman"/>
          <w:sz w:val="24"/>
          <w:szCs w:val="24"/>
        </w:rPr>
        <w:t xml:space="preserve">Декларация, че кандидатът е запознат с условията за кандидатстване и условията за изпълнение – </w:t>
      </w:r>
      <w:r w:rsidRPr="00C40B2F">
        <w:rPr>
          <w:rFonts w:ascii="Calibri" w:eastAsia="Calibri" w:hAnsi="Calibri" w:cs="Times New Roman"/>
          <w:b/>
          <w:sz w:val="24"/>
          <w:szCs w:val="24"/>
        </w:rPr>
        <w:t>Приложение Б</w:t>
      </w:r>
    </w:p>
    <w:p w:rsidR="00663477" w:rsidRPr="00C40B2F" w:rsidRDefault="00663477" w:rsidP="004C0F4E">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C40B2F">
        <w:rPr>
          <w:rFonts w:ascii="Calibri" w:eastAsia="Calibri" w:hAnsi="Calibri" w:cs="Times New Roman"/>
          <w:sz w:val="24"/>
          <w:szCs w:val="24"/>
        </w:rPr>
        <w:t xml:space="preserve">Декларация относно статута по ЗДДС – </w:t>
      </w:r>
      <w:r w:rsidRPr="00C40B2F">
        <w:rPr>
          <w:rFonts w:ascii="Calibri" w:eastAsia="Calibri" w:hAnsi="Calibri" w:cs="Times New Roman"/>
          <w:b/>
          <w:sz w:val="24"/>
          <w:szCs w:val="24"/>
        </w:rPr>
        <w:t xml:space="preserve">Приложение </w:t>
      </w:r>
      <w:r w:rsidR="00DD1A25" w:rsidRPr="00C40B2F">
        <w:rPr>
          <w:rFonts w:ascii="Calibri" w:eastAsia="Calibri" w:hAnsi="Calibri" w:cs="Times New Roman"/>
          <w:b/>
          <w:sz w:val="24"/>
          <w:szCs w:val="24"/>
        </w:rPr>
        <w:t>В</w:t>
      </w:r>
    </w:p>
    <w:p w:rsidR="00663477" w:rsidRPr="00C40B2F" w:rsidRDefault="00663477" w:rsidP="004C0F4E">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b/>
          <w:sz w:val="24"/>
          <w:szCs w:val="24"/>
        </w:rPr>
      </w:pPr>
      <w:r w:rsidRPr="00C40B2F">
        <w:rPr>
          <w:rFonts w:ascii="Calibri" w:eastAsia="Calibri" w:hAnsi="Calibri" w:cs="Times New Roman"/>
          <w:sz w:val="24"/>
          <w:szCs w:val="24"/>
        </w:rPr>
        <w:t xml:space="preserve">Декларация за съгласие данните от статистическите изследвания да бъдат предоставяни от НСИ – </w:t>
      </w:r>
      <w:r w:rsidRPr="00C40B2F">
        <w:rPr>
          <w:rFonts w:ascii="Calibri" w:eastAsia="Calibri" w:hAnsi="Calibri" w:cs="Times New Roman"/>
          <w:b/>
          <w:sz w:val="24"/>
          <w:szCs w:val="24"/>
        </w:rPr>
        <w:t xml:space="preserve">Приложение </w:t>
      </w:r>
      <w:r w:rsidR="00DD1A25" w:rsidRPr="00C40B2F">
        <w:rPr>
          <w:rFonts w:ascii="Calibri" w:eastAsia="Calibri" w:hAnsi="Calibri" w:cs="Times New Roman"/>
          <w:b/>
          <w:sz w:val="24"/>
          <w:szCs w:val="24"/>
        </w:rPr>
        <w:t>Г</w:t>
      </w:r>
    </w:p>
    <w:p w:rsidR="00663477" w:rsidRPr="00C40B2F" w:rsidRDefault="00C72B3F" w:rsidP="004C0F4E">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b/>
          <w:sz w:val="24"/>
          <w:szCs w:val="24"/>
        </w:rPr>
      </w:pPr>
      <w:r w:rsidRPr="00C40B2F">
        <w:rPr>
          <w:rFonts w:ascii="Calibri" w:eastAsia="Calibri" w:hAnsi="Calibri" w:cs="Times New Roman"/>
          <w:sz w:val="24"/>
          <w:szCs w:val="24"/>
        </w:rPr>
        <w:t>Критерии и м</w:t>
      </w:r>
      <w:r w:rsidR="00663477" w:rsidRPr="00C40B2F">
        <w:rPr>
          <w:rFonts w:ascii="Calibri" w:eastAsia="Calibri" w:hAnsi="Calibri" w:cs="Times New Roman"/>
          <w:sz w:val="24"/>
          <w:szCs w:val="24"/>
        </w:rPr>
        <w:t xml:space="preserve">етодика за оценка – </w:t>
      </w:r>
      <w:r w:rsidR="00663477" w:rsidRPr="00C40B2F">
        <w:rPr>
          <w:rFonts w:ascii="Calibri" w:eastAsia="Calibri" w:hAnsi="Calibri" w:cs="Times New Roman"/>
          <w:b/>
          <w:sz w:val="24"/>
          <w:szCs w:val="24"/>
        </w:rPr>
        <w:t xml:space="preserve">Приложение </w:t>
      </w:r>
      <w:r w:rsidR="00DD1A25" w:rsidRPr="00C40B2F">
        <w:rPr>
          <w:rFonts w:ascii="Calibri" w:eastAsia="Calibri" w:hAnsi="Calibri" w:cs="Times New Roman"/>
          <w:b/>
          <w:sz w:val="24"/>
          <w:szCs w:val="24"/>
        </w:rPr>
        <w:t>Д</w:t>
      </w:r>
    </w:p>
    <w:p w:rsidR="00663477" w:rsidRPr="00C40B2F" w:rsidRDefault="00C72B3F" w:rsidP="004C0F4E">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C40B2F">
        <w:rPr>
          <w:rFonts w:ascii="Calibri" w:eastAsia="Calibri" w:hAnsi="Calibri" w:cs="Times New Roman"/>
          <w:sz w:val="24"/>
          <w:szCs w:val="24"/>
        </w:rPr>
        <w:t xml:space="preserve">Техническа спецификация на предвидените за закупуване по проекта </w:t>
      </w:r>
      <w:r w:rsidR="00ED4624" w:rsidRPr="00C40B2F">
        <w:rPr>
          <w:rFonts w:ascii="Calibri" w:eastAsia="Calibri" w:hAnsi="Calibri" w:cs="Times New Roman"/>
          <w:sz w:val="24"/>
          <w:szCs w:val="24"/>
        </w:rPr>
        <w:t xml:space="preserve">активи/услуги  </w:t>
      </w:r>
      <w:r w:rsidR="00663477" w:rsidRPr="00C40B2F">
        <w:rPr>
          <w:rFonts w:ascii="Calibri" w:eastAsia="Calibri" w:hAnsi="Calibri" w:cs="Times New Roman"/>
          <w:sz w:val="24"/>
          <w:szCs w:val="24"/>
        </w:rPr>
        <w:t xml:space="preserve">– </w:t>
      </w:r>
      <w:r w:rsidR="00663477" w:rsidRPr="00C40B2F">
        <w:rPr>
          <w:rFonts w:ascii="Calibri" w:eastAsia="Calibri" w:hAnsi="Calibri" w:cs="Times New Roman"/>
          <w:b/>
          <w:sz w:val="24"/>
          <w:szCs w:val="24"/>
        </w:rPr>
        <w:t xml:space="preserve">Приложение </w:t>
      </w:r>
      <w:r w:rsidR="00DD1A25" w:rsidRPr="00C40B2F">
        <w:rPr>
          <w:rFonts w:ascii="Calibri" w:eastAsia="Calibri" w:hAnsi="Calibri" w:cs="Times New Roman"/>
          <w:b/>
          <w:sz w:val="24"/>
          <w:szCs w:val="24"/>
        </w:rPr>
        <w:t>Е</w:t>
      </w:r>
    </w:p>
    <w:p w:rsidR="00FD3359" w:rsidRPr="00C40B2F" w:rsidRDefault="00FD3359" w:rsidP="004C0F4E">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b/>
          <w:sz w:val="24"/>
          <w:szCs w:val="24"/>
        </w:rPr>
      </w:pPr>
      <w:r w:rsidRPr="00C40B2F">
        <w:rPr>
          <w:rFonts w:ascii="Calibri" w:eastAsia="Calibri" w:hAnsi="Calibri" w:cs="Times New Roman"/>
          <w:sz w:val="24"/>
          <w:szCs w:val="24"/>
        </w:rPr>
        <w:t>Образец на средносрочна рамкова програма за подкрепа на дейности по ОПИК 2014-2020</w:t>
      </w:r>
      <w:r w:rsidRPr="00C40B2F">
        <w:rPr>
          <w:rFonts w:ascii="Calibri" w:eastAsia="Calibri" w:hAnsi="Calibri" w:cs="Times New Roman"/>
          <w:b/>
          <w:sz w:val="24"/>
          <w:szCs w:val="24"/>
        </w:rPr>
        <w:t xml:space="preserve"> – Приложение </w:t>
      </w:r>
      <w:r w:rsidR="009F4540" w:rsidRPr="00C40B2F">
        <w:rPr>
          <w:rFonts w:ascii="Calibri" w:eastAsia="Calibri" w:hAnsi="Calibri" w:cs="Times New Roman"/>
          <w:b/>
          <w:sz w:val="24"/>
          <w:szCs w:val="24"/>
        </w:rPr>
        <w:t>Ж</w:t>
      </w:r>
    </w:p>
    <w:p w:rsidR="00EA37BA" w:rsidRPr="00C40B2F" w:rsidRDefault="00663477" w:rsidP="0066347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Calibri" w:eastAsia="Calibri" w:hAnsi="Calibri" w:cs="Times New Roman"/>
          <w:b/>
          <w:sz w:val="24"/>
          <w:szCs w:val="24"/>
        </w:rPr>
      </w:pPr>
      <w:r w:rsidRPr="00C40B2F">
        <w:rPr>
          <w:rFonts w:ascii="Calibri" w:eastAsia="Calibri" w:hAnsi="Calibri" w:cs="Times New Roman"/>
          <w:sz w:val="24"/>
          <w:szCs w:val="24"/>
        </w:rPr>
        <w:t>Указание на министъра на финансите относно третиране на данък върху добавената стойност като допустим разход при изпълнение на п</w:t>
      </w:r>
      <w:r w:rsidR="004C0F4E" w:rsidRPr="00C40B2F">
        <w:rPr>
          <w:rFonts w:ascii="Calibri" w:eastAsia="Calibri" w:hAnsi="Calibri" w:cs="Times New Roman"/>
          <w:sz w:val="24"/>
          <w:szCs w:val="24"/>
        </w:rPr>
        <w:t>роекти по Оперативните програми</w:t>
      </w:r>
      <w:r w:rsidRPr="00C40B2F">
        <w:rPr>
          <w:rFonts w:ascii="Calibri" w:eastAsia="Calibri" w:hAnsi="Calibri" w:cs="Times New Roman"/>
          <w:sz w:val="24"/>
          <w:szCs w:val="24"/>
        </w:rPr>
        <w:t xml:space="preserve"> за финансовата рамка 2014 – 2020 г</w:t>
      </w:r>
      <w:r w:rsidR="007706CB" w:rsidRPr="00C40B2F">
        <w:rPr>
          <w:rFonts w:ascii="Calibri" w:eastAsia="Calibri" w:hAnsi="Calibri" w:cs="Times New Roman"/>
          <w:sz w:val="24"/>
          <w:szCs w:val="24"/>
        </w:rPr>
        <w:t xml:space="preserve"> – </w:t>
      </w:r>
      <w:r w:rsidR="007706CB" w:rsidRPr="00C40B2F">
        <w:rPr>
          <w:rFonts w:ascii="Calibri" w:eastAsia="Calibri" w:hAnsi="Calibri" w:cs="Times New Roman"/>
          <w:b/>
          <w:sz w:val="24"/>
          <w:szCs w:val="24"/>
        </w:rPr>
        <w:t xml:space="preserve">Приложение </w:t>
      </w:r>
      <w:r w:rsidR="00A83E55" w:rsidRPr="00C40B2F">
        <w:rPr>
          <w:rFonts w:ascii="Calibri" w:eastAsia="Calibri" w:hAnsi="Calibri" w:cs="Times New Roman"/>
          <w:b/>
          <w:sz w:val="24"/>
          <w:szCs w:val="24"/>
        </w:rPr>
        <w:t>З</w:t>
      </w:r>
    </w:p>
    <w:sectPr w:rsidR="00EA37BA" w:rsidRPr="00C40B2F" w:rsidSect="008D732A">
      <w:headerReference w:type="default" r:id="rId11"/>
      <w:footerReference w:type="default" r:id="rId12"/>
      <w:pgSz w:w="11906" w:h="16838"/>
      <w:pgMar w:top="851"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64BB" w:rsidRDefault="008A64BB" w:rsidP="002325A3">
      <w:pPr>
        <w:spacing w:after="0" w:line="240" w:lineRule="auto"/>
      </w:pPr>
      <w:r>
        <w:separator/>
      </w:r>
    </w:p>
  </w:endnote>
  <w:endnote w:type="continuationSeparator" w:id="0">
    <w:p w:rsidR="008A64BB" w:rsidRDefault="008A64BB"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AFF" w:usb1="C000E47F" w:usb2="00000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noProof/>
      </w:rPr>
    </w:sdtEndPr>
    <w:sdtContent>
      <w:p w:rsidR="00CA7467" w:rsidRDefault="00CA7467">
        <w:pPr>
          <w:pStyle w:val="Footer"/>
          <w:jc w:val="right"/>
        </w:pPr>
        <w:r>
          <w:fldChar w:fldCharType="begin"/>
        </w:r>
        <w:r>
          <w:instrText xml:space="preserve"> PAGE   \* MERGEFORMAT </w:instrText>
        </w:r>
        <w:r>
          <w:fldChar w:fldCharType="separate"/>
        </w:r>
        <w:r w:rsidR="00FA151F">
          <w:rPr>
            <w:noProof/>
          </w:rPr>
          <w:t>19</w:t>
        </w:r>
        <w:r>
          <w:rPr>
            <w:noProof/>
          </w:rPr>
          <w:fldChar w:fldCharType="end"/>
        </w:r>
      </w:p>
    </w:sdtContent>
  </w:sdt>
  <w:p w:rsidR="00CA7467" w:rsidRDefault="00CA74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64BB" w:rsidRDefault="008A64BB" w:rsidP="002325A3">
      <w:pPr>
        <w:spacing w:after="0" w:line="240" w:lineRule="auto"/>
      </w:pPr>
      <w:r>
        <w:separator/>
      </w:r>
    </w:p>
  </w:footnote>
  <w:footnote w:type="continuationSeparator" w:id="0">
    <w:p w:rsidR="008A64BB" w:rsidRDefault="008A64BB" w:rsidP="002325A3">
      <w:pPr>
        <w:spacing w:after="0" w:line="240" w:lineRule="auto"/>
      </w:pPr>
      <w:r>
        <w:continuationSeparator/>
      </w:r>
    </w:p>
  </w:footnote>
  <w:footnote w:id="1">
    <w:p w:rsidR="00CA7467" w:rsidRPr="005F20CD" w:rsidRDefault="00CA7467" w:rsidP="0014313D">
      <w:pPr>
        <w:pStyle w:val="FootnoteText"/>
        <w:jc w:val="both"/>
        <w:rPr>
          <w:sz w:val="16"/>
          <w:szCs w:val="16"/>
        </w:rPr>
      </w:pPr>
      <w:r w:rsidRPr="000914E0">
        <w:rPr>
          <w:rStyle w:val="FootnoteReference"/>
          <w:sz w:val="16"/>
          <w:szCs w:val="16"/>
        </w:rPr>
        <w:footnoteRef/>
      </w:r>
      <w:r w:rsidRPr="000914E0">
        <w:rPr>
          <w:sz w:val="16"/>
          <w:szCs w:val="16"/>
        </w:rPr>
        <w:t xml:space="preserve"> </w:t>
      </w:r>
      <w:r w:rsidRPr="000914E0">
        <w:rPr>
          <w:rFonts w:ascii="Verdana" w:hAnsi="Verdana"/>
          <w:sz w:val="16"/>
          <w:szCs w:val="16"/>
        </w:rPr>
        <w:t xml:space="preserve">За целите на настоящата процедура ограничени </w:t>
      </w:r>
      <w:r>
        <w:rPr>
          <w:rFonts w:ascii="Verdana" w:hAnsi="Verdana"/>
          <w:sz w:val="16"/>
          <w:szCs w:val="16"/>
        </w:rPr>
        <w:t>строително-монтажни работи (</w:t>
      </w:r>
      <w:r w:rsidRPr="000914E0">
        <w:rPr>
          <w:rFonts w:ascii="Verdana" w:hAnsi="Verdana"/>
          <w:sz w:val="16"/>
          <w:szCs w:val="16"/>
        </w:rPr>
        <w:t>СМР</w:t>
      </w:r>
      <w:r>
        <w:rPr>
          <w:rFonts w:ascii="Verdana" w:hAnsi="Verdana"/>
          <w:sz w:val="16"/>
          <w:szCs w:val="16"/>
        </w:rPr>
        <w:t>)</w:t>
      </w:r>
      <w:r w:rsidRPr="000914E0">
        <w:rPr>
          <w:rFonts w:ascii="Verdana" w:hAnsi="Verdana"/>
          <w:sz w:val="16"/>
          <w:szCs w:val="16"/>
        </w:rPr>
        <w:t xml:space="preserve"> </w:t>
      </w:r>
      <w:r>
        <w:rPr>
          <w:rFonts w:ascii="Verdana" w:hAnsi="Verdana"/>
          <w:sz w:val="16"/>
          <w:szCs w:val="16"/>
        </w:rPr>
        <w:t xml:space="preserve">означава </w:t>
      </w:r>
      <w:r w:rsidRPr="000914E0">
        <w:rPr>
          <w:rFonts w:ascii="Verdana" w:hAnsi="Verdana"/>
          <w:sz w:val="16"/>
          <w:szCs w:val="16"/>
        </w:rPr>
        <w:t>извършване на ремонтни и/или освежителни дейности по работните помещения, което изключва извършването на цялостно изграждане на нови помещения или сгради</w:t>
      </w:r>
      <w:r>
        <w:rPr>
          <w:rFonts w:ascii="Verdana" w:hAnsi="Verdana"/>
          <w:sz w:val="16"/>
          <w:szCs w:val="16"/>
        </w:rPr>
        <w:t xml:space="preserve">, </w:t>
      </w:r>
      <w:r w:rsidRPr="0073158C">
        <w:rPr>
          <w:rFonts w:ascii="Verdana" w:hAnsi="Verdana"/>
          <w:sz w:val="16"/>
          <w:szCs w:val="16"/>
        </w:rPr>
        <w:t>извършване на преустройство или конструктивни изменения</w:t>
      </w:r>
    </w:p>
  </w:footnote>
  <w:footnote w:id="2">
    <w:p w:rsidR="00CA7467" w:rsidRDefault="00CA7467" w:rsidP="00610A7D">
      <w:pPr>
        <w:pStyle w:val="FootnoteText"/>
        <w:jc w:val="both"/>
      </w:pPr>
      <w:r>
        <w:rPr>
          <w:rStyle w:val="FootnoteReference"/>
        </w:rPr>
        <w:footnoteRef/>
      </w:r>
      <w:r>
        <w:t xml:space="preserve"> Повторно изискани </w:t>
      </w:r>
      <w:r w:rsidRPr="00AF083A">
        <w:t xml:space="preserve">декларации и/или документ за оправомощаване </w:t>
      </w:r>
      <w:r>
        <w:t>се подписват с КЕП съгласно настоящите Условия за кандидатстване. Повторно изискани копия на документи, приложени към формуляра за кандидатстване както и представянето на разяснения от кандидата,  не се подписват с КЕП, като достоверността им се удостоверява единствено чрез подписване на електронния  отговор  на кандидата от з</w:t>
      </w:r>
      <w:r w:rsidRPr="006D323A">
        <w:t>аконният представител/и на кандидата</w:t>
      </w:r>
      <w:r>
        <w:t xml:space="preserve"> или оправомощено от него лице/а, както и документа за оправомощаване.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83" w:type="dxa"/>
      <w:tblCellMar>
        <w:left w:w="70" w:type="dxa"/>
        <w:right w:w="70" w:type="dxa"/>
      </w:tblCellMar>
      <w:tblLook w:val="0000" w:firstRow="0" w:lastRow="0" w:firstColumn="0" w:lastColumn="0" w:noHBand="0" w:noVBand="0"/>
    </w:tblPr>
    <w:tblGrid>
      <w:gridCol w:w="2621"/>
      <w:gridCol w:w="1823"/>
      <w:gridCol w:w="4639"/>
    </w:tblGrid>
    <w:tr w:rsidR="00CA7467" w:rsidRPr="002210CA" w:rsidTr="002210CA">
      <w:trPr>
        <w:trHeight w:val="1418"/>
      </w:trPr>
      <w:tc>
        <w:tcPr>
          <w:tcW w:w="2621" w:type="dxa"/>
        </w:tcPr>
        <w:p w:rsidR="00CA7467" w:rsidRPr="002210CA" w:rsidRDefault="00CA7467" w:rsidP="002210CA">
          <w:pPr>
            <w:jc w:val="center"/>
            <w:rPr>
              <w:rFonts w:ascii="Calibri" w:eastAsia="Calibri" w:hAnsi="Calibri" w:cs="Times New Roman"/>
              <w:snapToGrid w:val="0"/>
              <w:sz w:val="28"/>
              <w:szCs w:val="28"/>
              <w:lang w:val="en-GB"/>
            </w:rPr>
          </w:pPr>
          <w:r w:rsidRPr="002210CA">
            <w:rPr>
              <w:rFonts w:ascii="Times New Roman" w:eastAsia="Times New Roman" w:hAnsi="Times New Roman" w:cs="Times New Roman"/>
              <w:noProof/>
              <w:sz w:val="24"/>
              <w:szCs w:val="20"/>
              <w:lang w:eastAsia="bg-BG"/>
            </w:rPr>
            <w:drawing>
              <wp:anchor distT="0" distB="0" distL="114300" distR="114300" simplePos="0" relativeHeight="251659264" behindDoc="0" locked="0" layoutInCell="1" allowOverlap="1" wp14:anchorId="13472EF3" wp14:editId="2CE0ED61">
                <wp:simplePos x="0" y="0"/>
                <wp:positionH relativeFrom="column">
                  <wp:posOffset>65405</wp:posOffset>
                </wp:positionH>
                <wp:positionV relativeFrom="paragraph">
                  <wp:posOffset>85725</wp:posOffset>
                </wp:positionV>
                <wp:extent cx="1133475" cy="646430"/>
                <wp:effectExtent l="0" t="0" r="9525" b="1270"/>
                <wp:wrapNone/>
                <wp:docPr id="3" name="Picture 3"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133475"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7467" w:rsidRPr="002210CA" w:rsidRDefault="00CA7467" w:rsidP="002210CA">
          <w:pPr>
            <w:jc w:val="center"/>
            <w:rPr>
              <w:rFonts w:ascii="Calibri" w:eastAsia="Calibri" w:hAnsi="Calibri" w:cs="Times New Roman"/>
              <w:b/>
              <w:snapToGrid w:val="0"/>
              <w:sz w:val="14"/>
              <w:szCs w:val="14"/>
              <w:lang w:val="en-GB"/>
            </w:rPr>
          </w:pPr>
        </w:p>
        <w:p w:rsidR="00CA7467" w:rsidRPr="002210CA" w:rsidRDefault="00CA7467" w:rsidP="002210CA">
          <w:pPr>
            <w:jc w:val="center"/>
            <w:rPr>
              <w:rFonts w:ascii="Calibri" w:eastAsia="Calibri" w:hAnsi="Calibri" w:cs="Times New Roman"/>
              <w:b/>
              <w:snapToGrid w:val="0"/>
              <w:sz w:val="14"/>
              <w:szCs w:val="14"/>
              <w:lang w:val="en-GB"/>
            </w:rPr>
          </w:pPr>
        </w:p>
        <w:p w:rsidR="00CA7467" w:rsidRPr="002210CA" w:rsidRDefault="00CA7467" w:rsidP="002210CA">
          <w:pPr>
            <w:rPr>
              <w:rFonts w:ascii="Calibri" w:eastAsia="Calibri" w:hAnsi="Calibri" w:cs="Times New Roman"/>
              <w:b/>
              <w:snapToGrid w:val="0"/>
              <w:sz w:val="18"/>
              <w:szCs w:val="18"/>
              <w:lang w:val="en-GB"/>
            </w:rPr>
          </w:pPr>
          <w:r w:rsidRPr="002210CA">
            <w:rPr>
              <w:rFonts w:ascii="Calibri" w:eastAsia="Calibri" w:hAnsi="Calibri" w:cs="Times New Roman"/>
              <w:b/>
              <w:snapToGrid w:val="0"/>
              <w:sz w:val="18"/>
              <w:szCs w:val="18"/>
              <w:lang w:val="en-GB"/>
            </w:rPr>
            <w:t xml:space="preserve">      ЕВРОПЕЙСКИ СЪЮЗ</w:t>
          </w:r>
        </w:p>
      </w:tc>
      <w:tc>
        <w:tcPr>
          <w:tcW w:w="1823" w:type="dxa"/>
        </w:tcPr>
        <w:p w:rsidR="00CA7467" w:rsidRPr="002210CA" w:rsidRDefault="00CA7467" w:rsidP="002210CA">
          <w:pPr>
            <w:jc w:val="center"/>
            <w:rPr>
              <w:rFonts w:ascii="Calibri" w:eastAsia="Calibri" w:hAnsi="Calibri" w:cs="Times New Roman"/>
              <w:snapToGrid w:val="0"/>
              <w:lang w:val="en-GB"/>
            </w:rPr>
          </w:pPr>
        </w:p>
        <w:p w:rsidR="00CA7467" w:rsidRPr="002210CA" w:rsidRDefault="00CA7467" w:rsidP="002210CA">
          <w:pPr>
            <w:jc w:val="center"/>
            <w:rPr>
              <w:rFonts w:ascii="Calibri" w:eastAsia="Calibri" w:hAnsi="Calibri" w:cs="Times New Roman"/>
              <w:snapToGrid w:val="0"/>
              <w:lang w:val="en-GB"/>
            </w:rPr>
          </w:pPr>
        </w:p>
        <w:p w:rsidR="00CA7467" w:rsidRPr="002210CA" w:rsidRDefault="00CA7467" w:rsidP="002210CA">
          <w:pPr>
            <w:jc w:val="center"/>
            <w:rPr>
              <w:rFonts w:ascii="Calibri" w:eastAsia="Calibri" w:hAnsi="Calibri" w:cs="Times New Roman"/>
              <w:snapToGrid w:val="0"/>
              <w:lang w:val="en-GB"/>
            </w:rPr>
          </w:pPr>
        </w:p>
      </w:tc>
      <w:tc>
        <w:tcPr>
          <w:tcW w:w="4639" w:type="dxa"/>
        </w:tcPr>
        <w:p w:rsidR="00CA7467" w:rsidRPr="002210CA" w:rsidRDefault="00CA7467" w:rsidP="002210CA">
          <w:pPr>
            <w:tabs>
              <w:tab w:val="left" w:pos="2465"/>
            </w:tabs>
            <w:ind w:left="697" w:right="182"/>
            <w:jc w:val="center"/>
            <w:rPr>
              <w:rFonts w:ascii="Calibri" w:eastAsia="Calibri" w:hAnsi="Calibri" w:cs="Times New Roman"/>
              <w:snapToGrid w:val="0"/>
              <w:lang w:val="en-GB"/>
            </w:rPr>
          </w:pPr>
          <w:r w:rsidRPr="002210CA">
            <w:rPr>
              <w:rFonts w:ascii="Calibri" w:eastAsia="Calibri" w:hAnsi="Calibri" w:cs="Times New Roman"/>
              <w:noProof/>
              <w:lang w:eastAsia="bg-BG"/>
            </w:rPr>
            <w:drawing>
              <wp:inline distT="0" distB="0" distL="0" distR="0" wp14:anchorId="4BFF788E" wp14:editId="22C0C305">
                <wp:extent cx="2286000" cy="9353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286000" cy="935355"/>
                        </a:xfrm>
                        <a:prstGeom prst="rect">
                          <a:avLst/>
                        </a:prstGeom>
                        <a:noFill/>
                        <a:ln>
                          <a:noFill/>
                        </a:ln>
                      </pic:spPr>
                    </pic:pic>
                  </a:graphicData>
                </a:graphic>
              </wp:inline>
            </w:drawing>
          </w:r>
        </w:p>
      </w:tc>
    </w:tr>
  </w:tbl>
  <w:p w:rsidR="00CA7467" w:rsidRDefault="00CA74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63A5D"/>
    <w:multiLevelType w:val="hybridMultilevel"/>
    <w:tmpl w:val="9AD6AEC6"/>
    <w:lvl w:ilvl="0" w:tplc="076AB4E8">
      <w:start w:val="2016"/>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20C00C90"/>
    <w:multiLevelType w:val="hybridMultilevel"/>
    <w:tmpl w:val="96F48A8E"/>
    <w:lvl w:ilvl="0" w:tplc="76F4E8E0">
      <w:numFmt w:val="bullet"/>
      <w:lvlText w:val="•"/>
      <w:lvlJc w:val="left"/>
      <w:pPr>
        <w:ind w:left="720" w:hanging="360"/>
      </w:pPr>
      <w:rPr>
        <w:rFonts w:ascii="Calibri" w:eastAsiaTheme="minorHAnsi" w:hAnsi="Calibri"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36EB1DCB"/>
    <w:multiLevelType w:val="hybridMultilevel"/>
    <w:tmpl w:val="4FEECA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37114651"/>
    <w:multiLevelType w:val="hybridMultilevel"/>
    <w:tmpl w:val="060676DC"/>
    <w:lvl w:ilvl="0" w:tplc="6B8C4BE6">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BCA3DDB"/>
    <w:multiLevelType w:val="hybridMultilevel"/>
    <w:tmpl w:val="F66AF7EC"/>
    <w:lvl w:ilvl="0" w:tplc="526C709E">
      <w:start w:val="1"/>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5EA65395"/>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7" w15:restartNumberingAfterBreak="0">
    <w:nsid w:val="5EAA5F62"/>
    <w:multiLevelType w:val="hybridMultilevel"/>
    <w:tmpl w:val="E26E3180"/>
    <w:lvl w:ilvl="0" w:tplc="04020001">
      <w:start w:val="1"/>
      <w:numFmt w:val="bullet"/>
      <w:lvlText w:val=""/>
      <w:lvlJc w:val="left"/>
      <w:pPr>
        <w:tabs>
          <w:tab w:val="num" w:pos="720"/>
        </w:tabs>
        <w:ind w:left="720" w:hanging="360"/>
      </w:pPr>
      <w:rPr>
        <w:rFonts w:ascii="Symbol" w:hAnsi="Symbol" w:hint="default"/>
        <w:color w:val="000000"/>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664C31D7"/>
    <w:multiLevelType w:val="hybridMultilevel"/>
    <w:tmpl w:val="9FC8439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15:restartNumberingAfterBreak="0">
    <w:nsid w:val="684B4937"/>
    <w:multiLevelType w:val="hybridMultilevel"/>
    <w:tmpl w:val="8ADECF60"/>
    <w:lvl w:ilvl="0" w:tplc="531A92CE">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73217E04"/>
    <w:multiLevelType w:val="hybridMultilevel"/>
    <w:tmpl w:val="62FAAD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num w:numId="1">
    <w:abstractNumId w:val="8"/>
  </w:num>
  <w:num w:numId="2">
    <w:abstractNumId w:val="2"/>
  </w:num>
  <w:num w:numId="3">
    <w:abstractNumId w:val="9"/>
  </w:num>
  <w:num w:numId="4">
    <w:abstractNumId w:val="4"/>
  </w:num>
  <w:num w:numId="5">
    <w:abstractNumId w:val="11"/>
  </w:num>
  <w:num w:numId="6">
    <w:abstractNumId w:val="7"/>
  </w:num>
  <w:num w:numId="7">
    <w:abstractNumId w:val="0"/>
  </w:num>
  <w:num w:numId="8">
    <w:abstractNumId w:val="13"/>
  </w:num>
  <w:num w:numId="9">
    <w:abstractNumId w:val="12"/>
  </w:num>
  <w:num w:numId="10">
    <w:abstractNumId w:val="10"/>
  </w:num>
  <w:num w:numId="11">
    <w:abstractNumId w:val="5"/>
  </w:num>
  <w:num w:numId="12">
    <w:abstractNumId w:val="6"/>
  </w:num>
  <w:num w:numId="13">
    <w:abstractNumId w:val="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10A3"/>
    <w:rsid w:val="00001633"/>
    <w:rsid w:val="00002AC7"/>
    <w:rsid w:val="00002C33"/>
    <w:rsid w:val="00005803"/>
    <w:rsid w:val="00010055"/>
    <w:rsid w:val="000115A9"/>
    <w:rsid w:val="000116B8"/>
    <w:rsid w:val="00012083"/>
    <w:rsid w:val="0001214B"/>
    <w:rsid w:val="000128B4"/>
    <w:rsid w:val="00014042"/>
    <w:rsid w:val="00014BC8"/>
    <w:rsid w:val="00017F87"/>
    <w:rsid w:val="00020926"/>
    <w:rsid w:val="00022988"/>
    <w:rsid w:val="00024732"/>
    <w:rsid w:val="000252A0"/>
    <w:rsid w:val="0002620B"/>
    <w:rsid w:val="000278A9"/>
    <w:rsid w:val="00027C95"/>
    <w:rsid w:val="000301F9"/>
    <w:rsid w:val="00031D4A"/>
    <w:rsid w:val="000349EF"/>
    <w:rsid w:val="00035458"/>
    <w:rsid w:val="00035C06"/>
    <w:rsid w:val="00036C55"/>
    <w:rsid w:val="000377EF"/>
    <w:rsid w:val="000402A3"/>
    <w:rsid w:val="00040E36"/>
    <w:rsid w:val="000423E7"/>
    <w:rsid w:val="000432F5"/>
    <w:rsid w:val="000436F6"/>
    <w:rsid w:val="000459AC"/>
    <w:rsid w:val="00045E73"/>
    <w:rsid w:val="0004629F"/>
    <w:rsid w:val="00046A7E"/>
    <w:rsid w:val="00046E74"/>
    <w:rsid w:val="000473F0"/>
    <w:rsid w:val="00047427"/>
    <w:rsid w:val="00047B3E"/>
    <w:rsid w:val="00050091"/>
    <w:rsid w:val="0005088E"/>
    <w:rsid w:val="000509F6"/>
    <w:rsid w:val="00052675"/>
    <w:rsid w:val="0005356D"/>
    <w:rsid w:val="000553B8"/>
    <w:rsid w:val="00056283"/>
    <w:rsid w:val="00056B9A"/>
    <w:rsid w:val="00056D68"/>
    <w:rsid w:val="0005712B"/>
    <w:rsid w:val="000574EB"/>
    <w:rsid w:val="00057F33"/>
    <w:rsid w:val="00060346"/>
    <w:rsid w:val="00060C5B"/>
    <w:rsid w:val="00060E2F"/>
    <w:rsid w:val="000620CD"/>
    <w:rsid w:val="00066584"/>
    <w:rsid w:val="00066C41"/>
    <w:rsid w:val="00066F93"/>
    <w:rsid w:val="00067D00"/>
    <w:rsid w:val="00067D4F"/>
    <w:rsid w:val="00070DC1"/>
    <w:rsid w:val="00071479"/>
    <w:rsid w:val="00071A11"/>
    <w:rsid w:val="00071A8D"/>
    <w:rsid w:val="0007337E"/>
    <w:rsid w:val="0007399B"/>
    <w:rsid w:val="000739B6"/>
    <w:rsid w:val="000742DD"/>
    <w:rsid w:val="00075358"/>
    <w:rsid w:val="0007610D"/>
    <w:rsid w:val="0008285A"/>
    <w:rsid w:val="00083545"/>
    <w:rsid w:val="00084F1B"/>
    <w:rsid w:val="000861A3"/>
    <w:rsid w:val="000903E4"/>
    <w:rsid w:val="00090804"/>
    <w:rsid w:val="0009155E"/>
    <w:rsid w:val="00091DB8"/>
    <w:rsid w:val="00091E13"/>
    <w:rsid w:val="00092EF9"/>
    <w:rsid w:val="000940D3"/>
    <w:rsid w:val="000944BF"/>
    <w:rsid w:val="000950B2"/>
    <w:rsid w:val="00095257"/>
    <w:rsid w:val="00096A5C"/>
    <w:rsid w:val="00096DF5"/>
    <w:rsid w:val="00097895"/>
    <w:rsid w:val="000A002A"/>
    <w:rsid w:val="000A4D7D"/>
    <w:rsid w:val="000A5AB3"/>
    <w:rsid w:val="000A5C6D"/>
    <w:rsid w:val="000A684E"/>
    <w:rsid w:val="000A6EF2"/>
    <w:rsid w:val="000A6F37"/>
    <w:rsid w:val="000B0399"/>
    <w:rsid w:val="000B28E5"/>
    <w:rsid w:val="000B2F9F"/>
    <w:rsid w:val="000B317E"/>
    <w:rsid w:val="000B3343"/>
    <w:rsid w:val="000B3E9B"/>
    <w:rsid w:val="000B4491"/>
    <w:rsid w:val="000B4497"/>
    <w:rsid w:val="000B4939"/>
    <w:rsid w:val="000B4A17"/>
    <w:rsid w:val="000B5BAC"/>
    <w:rsid w:val="000B6B49"/>
    <w:rsid w:val="000C3EB2"/>
    <w:rsid w:val="000C4657"/>
    <w:rsid w:val="000C47B7"/>
    <w:rsid w:val="000C55BC"/>
    <w:rsid w:val="000C5FC4"/>
    <w:rsid w:val="000C7245"/>
    <w:rsid w:val="000D043C"/>
    <w:rsid w:val="000D1164"/>
    <w:rsid w:val="000D14F4"/>
    <w:rsid w:val="000D1939"/>
    <w:rsid w:val="000D4760"/>
    <w:rsid w:val="000D47F1"/>
    <w:rsid w:val="000D4F7C"/>
    <w:rsid w:val="000D50DD"/>
    <w:rsid w:val="000D51A1"/>
    <w:rsid w:val="000E04DF"/>
    <w:rsid w:val="000E1C35"/>
    <w:rsid w:val="000E2186"/>
    <w:rsid w:val="000E33A4"/>
    <w:rsid w:val="000E388A"/>
    <w:rsid w:val="000E48A7"/>
    <w:rsid w:val="000E6257"/>
    <w:rsid w:val="000E7AAF"/>
    <w:rsid w:val="000F1B7B"/>
    <w:rsid w:val="000F2334"/>
    <w:rsid w:val="000F3D1F"/>
    <w:rsid w:val="000F3F75"/>
    <w:rsid w:val="000F5783"/>
    <w:rsid w:val="001000AA"/>
    <w:rsid w:val="0010018A"/>
    <w:rsid w:val="00100D65"/>
    <w:rsid w:val="001028C1"/>
    <w:rsid w:val="00102A2D"/>
    <w:rsid w:val="00103CE2"/>
    <w:rsid w:val="0010642B"/>
    <w:rsid w:val="0010652A"/>
    <w:rsid w:val="00107588"/>
    <w:rsid w:val="001108BC"/>
    <w:rsid w:val="0011098D"/>
    <w:rsid w:val="00110EF4"/>
    <w:rsid w:val="00111092"/>
    <w:rsid w:val="001122FB"/>
    <w:rsid w:val="00112A1D"/>
    <w:rsid w:val="0011443E"/>
    <w:rsid w:val="001156E8"/>
    <w:rsid w:val="001158E5"/>
    <w:rsid w:val="00116217"/>
    <w:rsid w:val="00116515"/>
    <w:rsid w:val="001173F0"/>
    <w:rsid w:val="001203F8"/>
    <w:rsid w:val="00120E65"/>
    <w:rsid w:val="00121C2A"/>
    <w:rsid w:val="00121C94"/>
    <w:rsid w:val="001220E0"/>
    <w:rsid w:val="0012280A"/>
    <w:rsid w:val="00122997"/>
    <w:rsid w:val="00124EBE"/>
    <w:rsid w:val="001256C4"/>
    <w:rsid w:val="00125E98"/>
    <w:rsid w:val="00125ED2"/>
    <w:rsid w:val="001266F5"/>
    <w:rsid w:val="00127FC6"/>
    <w:rsid w:val="00131D95"/>
    <w:rsid w:val="001366D1"/>
    <w:rsid w:val="001378B1"/>
    <w:rsid w:val="00137AA9"/>
    <w:rsid w:val="0014144C"/>
    <w:rsid w:val="001417B7"/>
    <w:rsid w:val="00142A7B"/>
    <w:rsid w:val="0014313D"/>
    <w:rsid w:val="001434A4"/>
    <w:rsid w:val="00143716"/>
    <w:rsid w:val="00144458"/>
    <w:rsid w:val="00145623"/>
    <w:rsid w:val="00146ACF"/>
    <w:rsid w:val="0015146F"/>
    <w:rsid w:val="00151627"/>
    <w:rsid w:val="001520B5"/>
    <w:rsid w:val="00152CFC"/>
    <w:rsid w:val="001539A5"/>
    <w:rsid w:val="001543C2"/>
    <w:rsid w:val="001543CD"/>
    <w:rsid w:val="0015457D"/>
    <w:rsid w:val="00155802"/>
    <w:rsid w:val="00155D13"/>
    <w:rsid w:val="00155F3F"/>
    <w:rsid w:val="00156597"/>
    <w:rsid w:val="00156B1C"/>
    <w:rsid w:val="0016031A"/>
    <w:rsid w:val="001603B0"/>
    <w:rsid w:val="00160767"/>
    <w:rsid w:val="0016127A"/>
    <w:rsid w:val="00162122"/>
    <w:rsid w:val="001621F2"/>
    <w:rsid w:val="00162273"/>
    <w:rsid w:val="00163465"/>
    <w:rsid w:val="00163775"/>
    <w:rsid w:val="0016406D"/>
    <w:rsid w:val="00166081"/>
    <w:rsid w:val="001662B2"/>
    <w:rsid w:val="001714A6"/>
    <w:rsid w:val="00171BAE"/>
    <w:rsid w:val="001736FC"/>
    <w:rsid w:val="00176857"/>
    <w:rsid w:val="001778F6"/>
    <w:rsid w:val="0018150B"/>
    <w:rsid w:val="00181FE0"/>
    <w:rsid w:val="001868C4"/>
    <w:rsid w:val="001873BA"/>
    <w:rsid w:val="001878C1"/>
    <w:rsid w:val="0019140F"/>
    <w:rsid w:val="00191789"/>
    <w:rsid w:val="001932E5"/>
    <w:rsid w:val="00195E31"/>
    <w:rsid w:val="0019602D"/>
    <w:rsid w:val="0019706C"/>
    <w:rsid w:val="001A0A36"/>
    <w:rsid w:val="001A15D4"/>
    <w:rsid w:val="001A1B6D"/>
    <w:rsid w:val="001A619B"/>
    <w:rsid w:val="001A6457"/>
    <w:rsid w:val="001A65E8"/>
    <w:rsid w:val="001A76D4"/>
    <w:rsid w:val="001B0796"/>
    <w:rsid w:val="001B0BD9"/>
    <w:rsid w:val="001B0D62"/>
    <w:rsid w:val="001B40FC"/>
    <w:rsid w:val="001B4977"/>
    <w:rsid w:val="001B52F1"/>
    <w:rsid w:val="001B5708"/>
    <w:rsid w:val="001C497C"/>
    <w:rsid w:val="001C4EB5"/>
    <w:rsid w:val="001C6703"/>
    <w:rsid w:val="001C6A12"/>
    <w:rsid w:val="001D0E58"/>
    <w:rsid w:val="001D26B8"/>
    <w:rsid w:val="001D3341"/>
    <w:rsid w:val="001D373C"/>
    <w:rsid w:val="001D6560"/>
    <w:rsid w:val="001D6727"/>
    <w:rsid w:val="001D67F7"/>
    <w:rsid w:val="001D68A0"/>
    <w:rsid w:val="001D7406"/>
    <w:rsid w:val="001D79C3"/>
    <w:rsid w:val="001E1769"/>
    <w:rsid w:val="001E1D08"/>
    <w:rsid w:val="001E38BC"/>
    <w:rsid w:val="001E6246"/>
    <w:rsid w:val="001F09A1"/>
    <w:rsid w:val="001F4D85"/>
    <w:rsid w:val="001F4F60"/>
    <w:rsid w:val="001F5ED2"/>
    <w:rsid w:val="0020188C"/>
    <w:rsid w:val="00202ED3"/>
    <w:rsid w:val="002071E9"/>
    <w:rsid w:val="002122E3"/>
    <w:rsid w:val="002124FB"/>
    <w:rsid w:val="002132EA"/>
    <w:rsid w:val="002137B2"/>
    <w:rsid w:val="0021417F"/>
    <w:rsid w:val="00214A41"/>
    <w:rsid w:val="00214B0A"/>
    <w:rsid w:val="002152CB"/>
    <w:rsid w:val="00215FC3"/>
    <w:rsid w:val="0022067A"/>
    <w:rsid w:val="002210CA"/>
    <w:rsid w:val="00224209"/>
    <w:rsid w:val="00224A9A"/>
    <w:rsid w:val="0022567D"/>
    <w:rsid w:val="00227375"/>
    <w:rsid w:val="00227FDA"/>
    <w:rsid w:val="0023186D"/>
    <w:rsid w:val="002325A3"/>
    <w:rsid w:val="002336E0"/>
    <w:rsid w:val="00233BF5"/>
    <w:rsid w:val="002342AD"/>
    <w:rsid w:val="00234461"/>
    <w:rsid w:val="002347A2"/>
    <w:rsid w:val="0023606E"/>
    <w:rsid w:val="00236740"/>
    <w:rsid w:val="002375EC"/>
    <w:rsid w:val="00237E63"/>
    <w:rsid w:val="00240428"/>
    <w:rsid w:val="0024057E"/>
    <w:rsid w:val="002406DA"/>
    <w:rsid w:val="00240D17"/>
    <w:rsid w:val="00240E5D"/>
    <w:rsid w:val="00241E4C"/>
    <w:rsid w:val="0024410D"/>
    <w:rsid w:val="0024413F"/>
    <w:rsid w:val="0024416C"/>
    <w:rsid w:val="00246252"/>
    <w:rsid w:val="00246D07"/>
    <w:rsid w:val="002472B1"/>
    <w:rsid w:val="002476D1"/>
    <w:rsid w:val="00247E7B"/>
    <w:rsid w:val="002508F3"/>
    <w:rsid w:val="00251D7D"/>
    <w:rsid w:val="00252486"/>
    <w:rsid w:val="0025287B"/>
    <w:rsid w:val="00253DA2"/>
    <w:rsid w:val="00254DDC"/>
    <w:rsid w:val="00254E80"/>
    <w:rsid w:val="0025596B"/>
    <w:rsid w:val="00255A29"/>
    <w:rsid w:val="002564A0"/>
    <w:rsid w:val="00260F64"/>
    <w:rsid w:val="00261056"/>
    <w:rsid w:val="002610FF"/>
    <w:rsid w:val="00261A59"/>
    <w:rsid w:val="00262A1C"/>
    <w:rsid w:val="00263947"/>
    <w:rsid w:val="00265735"/>
    <w:rsid w:val="00266599"/>
    <w:rsid w:val="00271D0B"/>
    <w:rsid w:val="0027274E"/>
    <w:rsid w:val="00275813"/>
    <w:rsid w:val="00280F8A"/>
    <w:rsid w:val="0028156C"/>
    <w:rsid w:val="00281F60"/>
    <w:rsid w:val="0028448B"/>
    <w:rsid w:val="00285F18"/>
    <w:rsid w:val="00287C1D"/>
    <w:rsid w:val="0029152A"/>
    <w:rsid w:val="002944C6"/>
    <w:rsid w:val="00294802"/>
    <w:rsid w:val="00294E1A"/>
    <w:rsid w:val="00295EF0"/>
    <w:rsid w:val="0029608B"/>
    <w:rsid w:val="00296FF1"/>
    <w:rsid w:val="0029712A"/>
    <w:rsid w:val="00297270"/>
    <w:rsid w:val="0029744B"/>
    <w:rsid w:val="00297E7F"/>
    <w:rsid w:val="002A14FE"/>
    <w:rsid w:val="002A2703"/>
    <w:rsid w:val="002A3659"/>
    <w:rsid w:val="002A42C5"/>
    <w:rsid w:val="002A4844"/>
    <w:rsid w:val="002A69AE"/>
    <w:rsid w:val="002B01F8"/>
    <w:rsid w:val="002B0F5D"/>
    <w:rsid w:val="002B1475"/>
    <w:rsid w:val="002B1AAE"/>
    <w:rsid w:val="002B2086"/>
    <w:rsid w:val="002B3C3D"/>
    <w:rsid w:val="002B4BA9"/>
    <w:rsid w:val="002B5616"/>
    <w:rsid w:val="002B6C5A"/>
    <w:rsid w:val="002B6E60"/>
    <w:rsid w:val="002C08E5"/>
    <w:rsid w:val="002C111F"/>
    <w:rsid w:val="002C158D"/>
    <w:rsid w:val="002C60B4"/>
    <w:rsid w:val="002C6441"/>
    <w:rsid w:val="002C7B42"/>
    <w:rsid w:val="002D0353"/>
    <w:rsid w:val="002D15F2"/>
    <w:rsid w:val="002D296B"/>
    <w:rsid w:val="002D2B65"/>
    <w:rsid w:val="002D3EA3"/>
    <w:rsid w:val="002D4790"/>
    <w:rsid w:val="002D4B6A"/>
    <w:rsid w:val="002D4B86"/>
    <w:rsid w:val="002D68F9"/>
    <w:rsid w:val="002E0039"/>
    <w:rsid w:val="002E0273"/>
    <w:rsid w:val="002E1C25"/>
    <w:rsid w:val="002E1C76"/>
    <w:rsid w:val="002E1F57"/>
    <w:rsid w:val="002E386E"/>
    <w:rsid w:val="002E64CC"/>
    <w:rsid w:val="002F0874"/>
    <w:rsid w:val="002F16AE"/>
    <w:rsid w:val="002F425A"/>
    <w:rsid w:val="002F4D77"/>
    <w:rsid w:val="00300324"/>
    <w:rsid w:val="00301323"/>
    <w:rsid w:val="00301BC6"/>
    <w:rsid w:val="00301E5A"/>
    <w:rsid w:val="00302132"/>
    <w:rsid w:val="0030355F"/>
    <w:rsid w:val="00305106"/>
    <w:rsid w:val="00305B7D"/>
    <w:rsid w:val="003060C6"/>
    <w:rsid w:val="003100EA"/>
    <w:rsid w:val="00311110"/>
    <w:rsid w:val="003147A3"/>
    <w:rsid w:val="0031587C"/>
    <w:rsid w:val="00316555"/>
    <w:rsid w:val="003216BD"/>
    <w:rsid w:val="00321C67"/>
    <w:rsid w:val="00323A7D"/>
    <w:rsid w:val="00325B30"/>
    <w:rsid w:val="003263C0"/>
    <w:rsid w:val="00327352"/>
    <w:rsid w:val="00327654"/>
    <w:rsid w:val="00327670"/>
    <w:rsid w:val="00327D58"/>
    <w:rsid w:val="0033005B"/>
    <w:rsid w:val="00330A41"/>
    <w:rsid w:val="00331016"/>
    <w:rsid w:val="00334417"/>
    <w:rsid w:val="0033448B"/>
    <w:rsid w:val="00336831"/>
    <w:rsid w:val="00341AA2"/>
    <w:rsid w:val="003429B7"/>
    <w:rsid w:val="00342CCB"/>
    <w:rsid w:val="003467C0"/>
    <w:rsid w:val="0035013C"/>
    <w:rsid w:val="00353659"/>
    <w:rsid w:val="0035367F"/>
    <w:rsid w:val="003558FF"/>
    <w:rsid w:val="00356B86"/>
    <w:rsid w:val="00357FC6"/>
    <w:rsid w:val="0036048D"/>
    <w:rsid w:val="0036111A"/>
    <w:rsid w:val="0036124D"/>
    <w:rsid w:val="0036145F"/>
    <w:rsid w:val="00362BE9"/>
    <w:rsid w:val="003631DA"/>
    <w:rsid w:val="003635BC"/>
    <w:rsid w:val="003639DA"/>
    <w:rsid w:val="00363A9D"/>
    <w:rsid w:val="00366BD3"/>
    <w:rsid w:val="003713B5"/>
    <w:rsid w:val="00371D3E"/>
    <w:rsid w:val="00371DCB"/>
    <w:rsid w:val="003726FA"/>
    <w:rsid w:val="00373F80"/>
    <w:rsid w:val="0037435A"/>
    <w:rsid w:val="00374F0E"/>
    <w:rsid w:val="0037577D"/>
    <w:rsid w:val="00375ED8"/>
    <w:rsid w:val="00375FA4"/>
    <w:rsid w:val="00376A66"/>
    <w:rsid w:val="00376B48"/>
    <w:rsid w:val="003813D2"/>
    <w:rsid w:val="003814B3"/>
    <w:rsid w:val="00382486"/>
    <w:rsid w:val="00382501"/>
    <w:rsid w:val="00383F1E"/>
    <w:rsid w:val="0038451C"/>
    <w:rsid w:val="00384611"/>
    <w:rsid w:val="003849C0"/>
    <w:rsid w:val="00385318"/>
    <w:rsid w:val="0038570F"/>
    <w:rsid w:val="003871E9"/>
    <w:rsid w:val="003910F6"/>
    <w:rsid w:val="00392DF6"/>
    <w:rsid w:val="00394182"/>
    <w:rsid w:val="00394B8E"/>
    <w:rsid w:val="0039572F"/>
    <w:rsid w:val="003959A9"/>
    <w:rsid w:val="00395D5F"/>
    <w:rsid w:val="0039650D"/>
    <w:rsid w:val="0039696C"/>
    <w:rsid w:val="0039707F"/>
    <w:rsid w:val="00397780"/>
    <w:rsid w:val="003A0741"/>
    <w:rsid w:val="003A222A"/>
    <w:rsid w:val="003A3D9F"/>
    <w:rsid w:val="003A6957"/>
    <w:rsid w:val="003A698C"/>
    <w:rsid w:val="003A7836"/>
    <w:rsid w:val="003B14A2"/>
    <w:rsid w:val="003B16C1"/>
    <w:rsid w:val="003B30A3"/>
    <w:rsid w:val="003B3D88"/>
    <w:rsid w:val="003B6E5E"/>
    <w:rsid w:val="003B7063"/>
    <w:rsid w:val="003B7DE9"/>
    <w:rsid w:val="003C04A4"/>
    <w:rsid w:val="003C0D9A"/>
    <w:rsid w:val="003C23FE"/>
    <w:rsid w:val="003C31FA"/>
    <w:rsid w:val="003C3B45"/>
    <w:rsid w:val="003C3DC0"/>
    <w:rsid w:val="003C5604"/>
    <w:rsid w:val="003D01B2"/>
    <w:rsid w:val="003D03CC"/>
    <w:rsid w:val="003D07EA"/>
    <w:rsid w:val="003D0CF0"/>
    <w:rsid w:val="003D2BC5"/>
    <w:rsid w:val="003D2FA8"/>
    <w:rsid w:val="003D46FE"/>
    <w:rsid w:val="003D4927"/>
    <w:rsid w:val="003D54AF"/>
    <w:rsid w:val="003D562F"/>
    <w:rsid w:val="003D6A69"/>
    <w:rsid w:val="003D6BA5"/>
    <w:rsid w:val="003D739B"/>
    <w:rsid w:val="003D7C1D"/>
    <w:rsid w:val="003E0AF9"/>
    <w:rsid w:val="003E1124"/>
    <w:rsid w:val="003E1A50"/>
    <w:rsid w:val="003E27D4"/>
    <w:rsid w:val="003E3227"/>
    <w:rsid w:val="003E3524"/>
    <w:rsid w:val="003E3CC2"/>
    <w:rsid w:val="003E574A"/>
    <w:rsid w:val="003E6A9F"/>
    <w:rsid w:val="003E6D24"/>
    <w:rsid w:val="003E70CE"/>
    <w:rsid w:val="003F1CDA"/>
    <w:rsid w:val="003F450A"/>
    <w:rsid w:val="003F49F8"/>
    <w:rsid w:val="003F4E97"/>
    <w:rsid w:val="003F6446"/>
    <w:rsid w:val="003F706A"/>
    <w:rsid w:val="003F7DBE"/>
    <w:rsid w:val="003F7FFC"/>
    <w:rsid w:val="0040096D"/>
    <w:rsid w:val="004018C5"/>
    <w:rsid w:val="0040238D"/>
    <w:rsid w:val="0040266A"/>
    <w:rsid w:val="004031FA"/>
    <w:rsid w:val="00403266"/>
    <w:rsid w:val="004032B3"/>
    <w:rsid w:val="004033B9"/>
    <w:rsid w:val="004041B6"/>
    <w:rsid w:val="004050F0"/>
    <w:rsid w:val="0040571B"/>
    <w:rsid w:val="00405B1C"/>
    <w:rsid w:val="004106E3"/>
    <w:rsid w:val="00413428"/>
    <w:rsid w:val="0041349B"/>
    <w:rsid w:val="00414ADF"/>
    <w:rsid w:val="00415514"/>
    <w:rsid w:val="0041677D"/>
    <w:rsid w:val="004169FF"/>
    <w:rsid w:val="00416DE9"/>
    <w:rsid w:val="00416E9B"/>
    <w:rsid w:val="004241D4"/>
    <w:rsid w:val="00425EDF"/>
    <w:rsid w:val="00427411"/>
    <w:rsid w:val="00430ECE"/>
    <w:rsid w:val="00431FE3"/>
    <w:rsid w:val="00433624"/>
    <w:rsid w:val="00435AB0"/>
    <w:rsid w:val="00437DB0"/>
    <w:rsid w:val="00441858"/>
    <w:rsid w:val="00441882"/>
    <w:rsid w:val="00442301"/>
    <w:rsid w:val="00444613"/>
    <w:rsid w:val="004451E9"/>
    <w:rsid w:val="004452A8"/>
    <w:rsid w:val="00450A2B"/>
    <w:rsid w:val="00450EF1"/>
    <w:rsid w:val="00451C2D"/>
    <w:rsid w:val="004526B8"/>
    <w:rsid w:val="00454AFA"/>
    <w:rsid w:val="004553FA"/>
    <w:rsid w:val="00455F95"/>
    <w:rsid w:val="00460A3F"/>
    <w:rsid w:val="00461CD5"/>
    <w:rsid w:val="00462488"/>
    <w:rsid w:val="00462737"/>
    <w:rsid w:val="00463038"/>
    <w:rsid w:val="004654F2"/>
    <w:rsid w:val="004658A0"/>
    <w:rsid w:val="00465F7B"/>
    <w:rsid w:val="00466682"/>
    <w:rsid w:val="00467474"/>
    <w:rsid w:val="004674D9"/>
    <w:rsid w:val="0046798F"/>
    <w:rsid w:val="00467A05"/>
    <w:rsid w:val="00467A52"/>
    <w:rsid w:val="00470BF9"/>
    <w:rsid w:val="004721BF"/>
    <w:rsid w:val="00472A05"/>
    <w:rsid w:val="0047638B"/>
    <w:rsid w:val="00477A31"/>
    <w:rsid w:val="004802D7"/>
    <w:rsid w:val="00482337"/>
    <w:rsid w:val="00484D2C"/>
    <w:rsid w:val="00485879"/>
    <w:rsid w:val="004868FD"/>
    <w:rsid w:val="00487069"/>
    <w:rsid w:val="00487CB0"/>
    <w:rsid w:val="00490683"/>
    <w:rsid w:val="0049109F"/>
    <w:rsid w:val="004911A4"/>
    <w:rsid w:val="00491B0D"/>
    <w:rsid w:val="00491C6C"/>
    <w:rsid w:val="00492277"/>
    <w:rsid w:val="0049296C"/>
    <w:rsid w:val="004943CB"/>
    <w:rsid w:val="00494B55"/>
    <w:rsid w:val="00494B9E"/>
    <w:rsid w:val="0049561D"/>
    <w:rsid w:val="0049597E"/>
    <w:rsid w:val="00496136"/>
    <w:rsid w:val="004979D2"/>
    <w:rsid w:val="00497E30"/>
    <w:rsid w:val="004A0470"/>
    <w:rsid w:val="004A2553"/>
    <w:rsid w:val="004A2D56"/>
    <w:rsid w:val="004A550B"/>
    <w:rsid w:val="004A58E5"/>
    <w:rsid w:val="004A7E66"/>
    <w:rsid w:val="004B4B37"/>
    <w:rsid w:val="004B4F94"/>
    <w:rsid w:val="004B56CD"/>
    <w:rsid w:val="004B5E03"/>
    <w:rsid w:val="004B6259"/>
    <w:rsid w:val="004B64A8"/>
    <w:rsid w:val="004B71B6"/>
    <w:rsid w:val="004C0F4E"/>
    <w:rsid w:val="004C1438"/>
    <w:rsid w:val="004C16EE"/>
    <w:rsid w:val="004C1BC7"/>
    <w:rsid w:val="004C3259"/>
    <w:rsid w:val="004C3DCA"/>
    <w:rsid w:val="004C4ACA"/>
    <w:rsid w:val="004C5AE7"/>
    <w:rsid w:val="004C63CA"/>
    <w:rsid w:val="004C6A5C"/>
    <w:rsid w:val="004C7AB2"/>
    <w:rsid w:val="004C7D88"/>
    <w:rsid w:val="004D0247"/>
    <w:rsid w:val="004D0341"/>
    <w:rsid w:val="004D09F5"/>
    <w:rsid w:val="004D12F8"/>
    <w:rsid w:val="004D1660"/>
    <w:rsid w:val="004D2228"/>
    <w:rsid w:val="004D2ACD"/>
    <w:rsid w:val="004D30D7"/>
    <w:rsid w:val="004D35A3"/>
    <w:rsid w:val="004D35C8"/>
    <w:rsid w:val="004D37D9"/>
    <w:rsid w:val="004D4158"/>
    <w:rsid w:val="004D4615"/>
    <w:rsid w:val="004D4984"/>
    <w:rsid w:val="004D501A"/>
    <w:rsid w:val="004D63ED"/>
    <w:rsid w:val="004D6858"/>
    <w:rsid w:val="004E1EA5"/>
    <w:rsid w:val="004E28EC"/>
    <w:rsid w:val="004E2C1C"/>
    <w:rsid w:val="004E3445"/>
    <w:rsid w:val="004E36AC"/>
    <w:rsid w:val="004E36DE"/>
    <w:rsid w:val="004E5033"/>
    <w:rsid w:val="004E6370"/>
    <w:rsid w:val="004E65E9"/>
    <w:rsid w:val="004E6FCB"/>
    <w:rsid w:val="004E7C45"/>
    <w:rsid w:val="004E7D39"/>
    <w:rsid w:val="004F049F"/>
    <w:rsid w:val="004F0AA2"/>
    <w:rsid w:val="004F20EF"/>
    <w:rsid w:val="004F2AC9"/>
    <w:rsid w:val="004F2E7C"/>
    <w:rsid w:val="004F3521"/>
    <w:rsid w:val="004F355A"/>
    <w:rsid w:val="004F3F36"/>
    <w:rsid w:val="004F4AEF"/>
    <w:rsid w:val="0050045F"/>
    <w:rsid w:val="0050183A"/>
    <w:rsid w:val="00502033"/>
    <w:rsid w:val="005053FA"/>
    <w:rsid w:val="00505559"/>
    <w:rsid w:val="005063CA"/>
    <w:rsid w:val="00507AB9"/>
    <w:rsid w:val="00510B7A"/>
    <w:rsid w:val="00510BED"/>
    <w:rsid w:val="005114EC"/>
    <w:rsid w:val="00511739"/>
    <w:rsid w:val="00513E33"/>
    <w:rsid w:val="0051489F"/>
    <w:rsid w:val="00516107"/>
    <w:rsid w:val="00516A8B"/>
    <w:rsid w:val="00520771"/>
    <w:rsid w:val="0052177B"/>
    <w:rsid w:val="00524EA5"/>
    <w:rsid w:val="0052684E"/>
    <w:rsid w:val="00526FC1"/>
    <w:rsid w:val="005271F8"/>
    <w:rsid w:val="0052720E"/>
    <w:rsid w:val="005279FA"/>
    <w:rsid w:val="00530AD6"/>
    <w:rsid w:val="00532418"/>
    <w:rsid w:val="00533649"/>
    <w:rsid w:val="00533C98"/>
    <w:rsid w:val="00533D53"/>
    <w:rsid w:val="00534151"/>
    <w:rsid w:val="0053478A"/>
    <w:rsid w:val="00534CD6"/>
    <w:rsid w:val="00534DC1"/>
    <w:rsid w:val="00536A86"/>
    <w:rsid w:val="00541906"/>
    <w:rsid w:val="005420BD"/>
    <w:rsid w:val="00544F27"/>
    <w:rsid w:val="005451E9"/>
    <w:rsid w:val="00545233"/>
    <w:rsid w:val="005463E4"/>
    <w:rsid w:val="00547322"/>
    <w:rsid w:val="00550036"/>
    <w:rsid w:val="00550147"/>
    <w:rsid w:val="005508BA"/>
    <w:rsid w:val="00552370"/>
    <w:rsid w:val="00552B9A"/>
    <w:rsid w:val="0055341C"/>
    <w:rsid w:val="005552EE"/>
    <w:rsid w:val="00555A15"/>
    <w:rsid w:val="00556396"/>
    <w:rsid w:val="00556DF6"/>
    <w:rsid w:val="005606E9"/>
    <w:rsid w:val="00561B67"/>
    <w:rsid w:val="0056284E"/>
    <w:rsid w:val="0056347B"/>
    <w:rsid w:val="00563FE3"/>
    <w:rsid w:val="00564345"/>
    <w:rsid w:val="005648BD"/>
    <w:rsid w:val="0056518D"/>
    <w:rsid w:val="005654C9"/>
    <w:rsid w:val="00566E30"/>
    <w:rsid w:val="005701DE"/>
    <w:rsid w:val="0057093B"/>
    <w:rsid w:val="00572507"/>
    <w:rsid w:val="00574B97"/>
    <w:rsid w:val="00574F40"/>
    <w:rsid w:val="00576582"/>
    <w:rsid w:val="0057753A"/>
    <w:rsid w:val="005779AA"/>
    <w:rsid w:val="00583BE8"/>
    <w:rsid w:val="005855A9"/>
    <w:rsid w:val="00586D3E"/>
    <w:rsid w:val="0058713E"/>
    <w:rsid w:val="0058736D"/>
    <w:rsid w:val="00587BBB"/>
    <w:rsid w:val="00590DC0"/>
    <w:rsid w:val="005912AA"/>
    <w:rsid w:val="00592D80"/>
    <w:rsid w:val="0059375B"/>
    <w:rsid w:val="005946BD"/>
    <w:rsid w:val="005955D2"/>
    <w:rsid w:val="005958E2"/>
    <w:rsid w:val="00596F1A"/>
    <w:rsid w:val="00597D47"/>
    <w:rsid w:val="005A033A"/>
    <w:rsid w:val="005A15EC"/>
    <w:rsid w:val="005A3CD7"/>
    <w:rsid w:val="005A5E7D"/>
    <w:rsid w:val="005B0DA8"/>
    <w:rsid w:val="005B1574"/>
    <w:rsid w:val="005B2161"/>
    <w:rsid w:val="005B248B"/>
    <w:rsid w:val="005B39DD"/>
    <w:rsid w:val="005B5B67"/>
    <w:rsid w:val="005B5DE8"/>
    <w:rsid w:val="005B62F3"/>
    <w:rsid w:val="005B71D5"/>
    <w:rsid w:val="005B7309"/>
    <w:rsid w:val="005B764D"/>
    <w:rsid w:val="005C0ADF"/>
    <w:rsid w:val="005C0E4C"/>
    <w:rsid w:val="005C187B"/>
    <w:rsid w:val="005C1A05"/>
    <w:rsid w:val="005C1B36"/>
    <w:rsid w:val="005C33EA"/>
    <w:rsid w:val="005C3567"/>
    <w:rsid w:val="005C509F"/>
    <w:rsid w:val="005C7E20"/>
    <w:rsid w:val="005D155A"/>
    <w:rsid w:val="005D39B6"/>
    <w:rsid w:val="005D472B"/>
    <w:rsid w:val="005D51FA"/>
    <w:rsid w:val="005D530B"/>
    <w:rsid w:val="005D621C"/>
    <w:rsid w:val="005D7D7A"/>
    <w:rsid w:val="005E1013"/>
    <w:rsid w:val="005E106B"/>
    <w:rsid w:val="005E26DA"/>
    <w:rsid w:val="005E350A"/>
    <w:rsid w:val="005E4ECB"/>
    <w:rsid w:val="005E5D3B"/>
    <w:rsid w:val="005E68E4"/>
    <w:rsid w:val="005E72D3"/>
    <w:rsid w:val="005F1202"/>
    <w:rsid w:val="005F1555"/>
    <w:rsid w:val="005F1A37"/>
    <w:rsid w:val="005F27FA"/>
    <w:rsid w:val="005F2967"/>
    <w:rsid w:val="005F4A24"/>
    <w:rsid w:val="005F5803"/>
    <w:rsid w:val="005F5C47"/>
    <w:rsid w:val="005F636E"/>
    <w:rsid w:val="005F6E19"/>
    <w:rsid w:val="006009AE"/>
    <w:rsid w:val="00601AC2"/>
    <w:rsid w:val="00605080"/>
    <w:rsid w:val="00605310"/>
    <w:rsid w:val="00605A2F"/>
    <w:rsid w:val="00605E97"/>
    <w:rsid w:val="00607780"/>
    <w:rsid w:val="00607F65"/>
    <w:rsid w:val="006107C9"/>
    <w:rsid w:val="006108E9"/>
    <w:rsid w:val="00610A7D"/>
    <w:rsid w:val="00612029"/>
    <w:rsid w:val="00614CA4"/>
    <w:rsid w:val="006157DD"/>
    <w:rsid w:val="00615891"/>
    <w:rsid w:val="006162C3"/>
    <w:rsid w:val="006165BD"/>
    <w:rsid w:val="00617D75"/>
    <w:rsid w:val="00622790"/>
    <w:rsid w:val="0062410B"/>
    <w:rsid w:val="006245D9"/>
    <w:rsid w:val="0062590A"/>
    <w:rsid w:val="00627B6B"/>
    <w:rsid w:val="006305E1"/>
    <w:rsid w:val="00630BC7"/>
    <w:rsid w:val="006313F8"/>
    <w:rsid w:val="0063166B"/>
    <w:rsid w:val="0063392D"/>
    <w:rsid w:val="00636C48"/>
    <w:rsid w:val="0063705D"/>
    <w:rsid w:val="00640670"/>
    <w:rsid w:val="006432D3"/>
    <w:rsid w:val="0064359E"/>
    <w:rsid w:val="00643E17"/>
    <w:rsid w:val="0064519B"/>
    <w:rsid w:val="00645DAD"/>
    <w:rsid w:val="00647A17"/>
    <w:rsid w:val="00651125"/>
    <w:rsid w:val="00652B32"/>
    <w:rsid w:val="00653ACB"/>
    <w:rsid w:val="006557CF"/>
    <w:rsid w:val="00656636"/>
    <w:rsid w:val="006575B4"/>
    <w:rsid w:val="006600FA"/>
    <w:rsid w:val="006615BE"/>
    <w:rsid w:val="0066182F"/>
    <w:rsid w:val="00663477"/>
    <w:rsid w:val="00663A49"/>
    <w:rsid w:val="006669DC"/>
    <w:rsid w:val="00666A4E"/>
    <w:rsid w:val="00670835"/>
    <w:rsid w:val="00672323"/>
    <w:rsid w:val="00673C60"/>
    <w:rsid w:val="00676B11"/>
    <w:rsid w:val="00676D6E"/>
    <w:rsid w:val="00677319"/>
    <w:rsid w:val="00677C95"/>
    <w:rsid w:val="00677EAB"/>
    <w:rsid w:val="00677FA6"/>
    <w:rsid w:val="00681CD7"/>
    <w:rsid w:val="0068256B"/>
    <w:rsid w:val="00682CA3"/>
    <w:rsid w:val="00685DDE"/>
    <w:rsid w:val="006862D3"/>
    <w:rsid w:val="00686F44"/>
    <w:rsid w:val="0068728A"/>
    <w:rsid w:val="00687410"/>
    <w:rsid w:val="00687CB4"/>
    <w:rsid w:val="00690DB6"/>
    <w:rsid w:val="00694432"/>
    <w:rsid w:val="0069487C"/>
    <w:rsid w:val="006964DF"/>
    <w:rsid w:val="00696A5A"/>
    <w:rsid w:val="00697890"/>
    <w:rsid w:val="00697DC4"/>
    <w:rsid w:val="006A17FC"/>
    <w:rsid w:val="006A1961"/>
    <w:rsid w:val="006A2DB8"/>
    <w:rsid w:val="006A3A93"/>
    <w:rsid w:val="006A4234"/>
    <w:rsid w:val="006A4D44"/>
    <w:rsid w:val="006A5D98"/>
    <w:rsid w:val="006A6103"/>
    <w:rsid w:val="006A70B8"/>
    <w:rsid w:val="006A76C4"/>
    <w:rsid w:val="006B1F19"/>
    <w:rsid w:val="006B2406"/>
    <w:rsid w:val="006B3D12"/>
    <w:rsid w:val="006B628F"/>
    <w:rsid w:val="006B6699"/>
    <w:rsid w:val="006B6930"/>
    <w:rsid w:val="006B6F29"/>
    <w:rsid w:val="006B70C8"/>
    <w:rsid w:val="006B72FC"/>
    <w:rsid w:val="006C0790"/>
    <w:rsid w:val="006C0CE8"/>
    <w:rsid w:val="006C1E61"/>
    <w:rsid w:val="006C37C0"/>
    <w:rsid w:val="006C440B"/>
    <w:rsid w:val="006C6F6B"/>
    <w:rsid w:val="006C72A7"/>
    <w:rsid w:val="006C7AE8"/>
    <w:rsid w:val="006D09A3"/>
    <w:rsid w:val="006D13C7"/>
    <w:rsid w:val="006D192A"/>
    <w:rsid w:val="006D1E21"/>
    <w:rsid w:val="006D2413"/>
    <w:rsid w:val="006D24D5"/>
    <w:rsid w:val="006D323A"/>
    <w:rsid w:val="006D336E"/>
    <w:rsid w:val="006D3B1F"/>
    <w:rsid w:val="006D4B92"/>
    <w:rsid w:val="006D5F3A"/>
    <w:rsid w:val="006D70F8"/>
    <w:rsid w:val="006D71A7"/>
    <w:rsid w:val="006E0667"/>
    <w:rsid w:val="006E12A4"/>
    <w:rsid w:val="006E3D08"/>
    <w:rsid w:val="006E4CB9"/>
    <w:rsid w:val="006E5775"/>
    <w:rsid w:val="006E5CCE"/>
    <w:rsid w:val="006E6E27"/>
    <w:rsid w:val="006F04FF"/>
    <w:rsid w:val="006F0789"/>
    <w:rsid w:val="006F0F35"/>
    <w:rsid w:val="006F26C0"/>
    <w:rsid w:val="006F3818"/>
    <w:rsid w:val="006F47FB"/>
    <w:rsid w:val="006F50C0"/>
    <w:rsid w:val="0070350E"/>
    <w:rsid w:val="00704995"/>
    <w:rsid w:val="00704CB6"/>
    <w:rsid w:val="007057A9"/>
    <w:rsid w:val="00705DBA"/>
    <w:rsid w:val="0070642C"/>
    <w:rsid w:val="00707567"/>
    <w:rsid w:val="007077B9"/>
    <w:rsid w:val="00707847"/>
    <w:rsid w:val="00711BA3"/>
    <w:rsid w:val="00712865"/>
    <w:rsid w:val="007132FD"/>
    <w:rsid w:val="007137CE"/>
    <w:rsid w:val="007137EE"/>
    <w:rsid w:val="00714019"/>
    <w:rsid w:val="007149BA"/>
    <w:rsid w:val="00714AB8"/>
    <w:rsid w:val="00714D31"/>
    <w:rsid w:val="00714E97"/>
    <w:rsid w:val="00714F2E"/>
    <w:rsid w:val="0071539E"/>
    <w:rsid w:val="00715C2C"/>
    <w:rsid w:val="00716B83"/>
    <w:rsid w:val="00720449"/>
    <w:rsid w:val="007236A5"/>
    <w:rsid w:val="0072479A"/>
    <w:rsid w:val="00724C0C"/>
    <w:rsid w:val="00725E81"/>
    <w:rsid w:val="00726B82"/>
    <w:rsid w:val="007302F1"/>
    <w:rsid w:val="007303DE"/>
    <w:rsid w:val="007311C2"/>
    <w:rsid w:val="00732D86"/>
    <w:rsid w:val="00732DCA"/>
    <w:rsid w:val="007341D3"/>
    <w:rsid w:val="007362EA"/>
    <w:rsid w:val="00736357"/>
    <w:rsid w:val="007363D2"/>
    <w:rsid w:val="0073684B"/>
    <w:rsid w:val="0073731E"/>
    <w:rsid w:val="007408CB"/>
    <w:rsid w:val="00740C69"/>
    <w:rsid w:val="00742648"/>
    <w:rsid w:val="007428D3"/>
    <w:rsid w:val="0074382A"/>
    <w:rsid w:val="00743B5C"/>
    <w:rsid w:val="00743C3D"/>
    <w:rsid w:val="00744122"/>
    <w:rsid w:val="007442E3"/>
    <w:rsid w:val="00744631"/>
    <w:rsid w:val="007450DC"/>
    <w:rsid w:val="00746585"/>
    <w:rsid w:val="00746739"/>
    <w:rsid w:val="00747677"/>
    <w:rsid w:val="00747B0A"/>
    <w:rsid w:val="00750CE1"/>
    <w:rsid w:val="00752519"/>
    <w:rsid w:val="00752B5A"/>
    <w:rsid w:val="00752B7E"/>
    <w:rsid w:val="007536DD"/>
    <w:rsid w:val="007539DA"/>
    <w:rsid w:val="00753CB7"/>
    <w:rsid w:val="00755916"/>
    <w:rsid w:val="007568D4"/>
    <w:rsid w:val="007573D6"/>
    <w:rsid w:val="00757508"/>
    <w:rsid w:val="00757857"/>
    <w:rsid w:val="00757A00"/>
    <w:rsid w:val="0076018A"/>
    <w:rsid w:val="007609B0"/>
    <w:rsid w:val="007609F4"/>
    <w:rsid w:val="00761079"/>
    <w:rsid w:val="007613FE"/>
    <w:rsid w:val="007672BA"/>
    <w:rsid w:val="007706CB"/>
    <w:rsid w:val="0077341F"/>
    <w:rsid w:val="0077506F"/>
    <w:rsid w:val="00775090"/>
    <w:rsid w:val="00775419"/>
    <w:rsid w:val="007778F7"/>
    <w:rsid w:val="00777DE7"/>
    <w:rsid w:val="00780926"/>
    <w:rsid w:val="00782EDD"/>
    <w:rsid w:val="00783A7B"/>
    <w:rsid w:val="00783B36"/>
    <w:rsid w:val="00783F0D"/>
    <w:rsid w:val="00783F3E"/>
    <w:rsid w:val="007842E5"/>
    <w:rsid w:val="00784BB5"/>
    <w:rsid w:val="00785449"/>
    <w:rsid w:val="0078583B"/>
    <w:rsid w:val="00786E28"/>
    <w:rsid w:val="00787CC3"/>
    <w:rsid w:val="00791AA1"/>
    <w:rsid w:val="007922BF"/>
    <w:rsid w:val="00792395"/>
    <w:rsid w:val="00792F65"/>
    <w:rsid w:val="007936C1"/>
    <w:rsid w:val="00794368"/>
    <w:rsid w:val="00794AFD"/>
    <w:rsid w:val="00796978"/>
    <w:rsid w:val="007A07B7"/>
    <w:rsid w:val="007A0A4C"/>
    <w:rsid w:val="007A15FB"/>
    <w:rsid w:val="007A2D40"/>
    <w:rsid w:val="007A2EFB"/>
    <w:rsid w:val="007A3113"/>
    <w:rsid w:val="007A34EB"/>
    <w:rsid w:val="007A3E4D"/>
    <w:rsid w:val="007A59B1"/>
    <w:rsid w:val="007A6619"/>
    <w:rsid w:val="007A68DB"/>
    <w:rsid w:val="007A6E71"/>
    <w:rsid w:val="007A7F1D"/>
    <w:rsid w:val="007B01A6"/>
    <w:rsid w:val="007B1054"/>
    <w:rsid w:val="007B1947"/>
    <w:rsid w:val="007B19A6"/>
    <w:rsid w:val="007B3422"/>
    <w:rsid w:val="007B3CB5"/>
    <w:rsid w:val="007B3F13"/>
    <w:rsid w:val="007B4244"/>
    <w:rsid w:val="007B52DD"/>
    <w:rsid w:val="007B71B9"/>
    <w:rsid w:val="007B742F"/>
    <w:rsid w:val="007B7480"/>
    <w:rsid w:val="007B77DA"/>
    <w:rsid w:val="007B7B2D"/>
    <w:rsid w:val="007C0422"/>
    <w:rsid w:val="007C069F"/>
    <w:rsid w:val="007C36C8"/>
    <w:rsid w:val="007C3DCF"/>
    <w:rsid w:val="007C45FB"/>
    <w:rsid w:val="007C64CA"/>
    <w:rsid w:val="007D036B"/>
    <w:rsid w:val="007D0CE6"/>
    <w:rsid w:val="007D1344"/>
    <w:rsid w:val="007D15AC"/>
    <w:rsid w:val="007D26E1"/>
    <w:rsid w:val="007D3237"/>
    <w:rsid w:val="007D5180"/>
    <w:rsid w:val="007D63AF"/>
    <w:rsid w:val="007D6E35"/>
    <w:rsid w:val="007D72C5"/>
    <w:rsid w:val="007E0911"/>
    <w:rsid w:val="007E0E65"/>
    <w:rsid w:val="007E1237"/>
    <w:rsid w:val="007E1A49"/>
    <w:rsid w:val="007E4500"/>
    <w:rsid w:val="007E66A5"/>
    <w:rsid w:val="007E7810"/>
    <w:rsid w:val="007F04FB"/>
    <w:rsid w:val="007F06D5"/>
    <w:rsid w:val="007F15DE"/>
    <w:rsid w:val="007F3B58"/>
    <w:rsid w:val="007F53B1"/>
    <w:rsid w:val="007F5577"/>
    <w:rsid w:val="007F5BE2"/>
    <w:rsid w:val="007F5DBD"/>
    <w:rsid w:val="007F67E5"/>
    <w:rsid w:val="0080007D"/>
    <w:rsid w:val="008005E2"/>
    <w:rsid w:val="008008DA"/>
    <w:rsid w:val="0080216D"/>
    <w:rsid w:val="00803CAC"/>
    <w:rsid w:val="00804BC7"/>
    <w:rsid w:val="00804EC3"/>
    <w:rsid w:val="0080531C"/>
    <w:rsid w:val="0080575E"/>
    <w:rsid w:val="00806286"/>
    <w:rsid w:val="0080637A"/>
    <w:rsid w:val="008068A0"/>
    <w:rsid w:val="00810938"/>
    <w:rsid w:val="00811435"/>
    <w:rsid w:val="00811644"/>
    <w:rsid w:val="008154F0"/>
    <w:rsid w:val="0081603D"/>
    <w:rsid w:val="008160CC"/>
    <w:rsid w:val="00816C51"/>
    <w:rsid w:val="00820060"/>
    <w:rsid w:val="008232A1"/>
    <w:rsid w:val="00826D24"/>
    <w:rsid w:val="00826F10"/>
    <w:rsid w:val="00827355"/>
    <w:rsid w:val="00827969"/>
    <w:rsid w:val="008322D6"/>
    <w:rsid w:val="008326DE"/>
    <w:rsid w:val="008328DB"/>
    <w:rsid w:val="00832B19"/>
    <w:rsid w:val="008334C6"/>
    <w:rsid w:val="008344C2"/>
    <w:rsid w:val="00835891"/>
    <w:rsid w:val="00835A37"/>
    <w:rsid w:val="00835C50"/>
    <w:rsid w:val="00836ED2"/>
    <w:rsid w:val="008416D0"/>
    <w:rsid w:val="00841D25"/>
    <w:rsid w:val="0084205E"/>
    <w:rsid w:val="008427D5"/>
    <w:rsid w:val="00846685"/>
    <w:rsid w:val="008469DC"/>
    <w:rsid w:val="0084752F"/>
    <w:rsid w:val="00852785"/>
    <w:rsid w:val="008535F4"/>
    <w:rsid w:val="008540C1"/>
    <w:rsid w:val="00854FF3"/>
    <w:rsid w:val="008553E4"/>
    <w:rsid w:val="00856427"/>
    <w:rsid w:val="00860599"/>
    <w:rsid w:val="008610C7"/>
    <w:rsid w:val="008615A3"/>
    <w:rsid w:val="008637DD"/>
    <w:rsid w:val="0086438B"/>
    <w:rsid w:val="00865882"/>
    <w:rsid w:val="0086747F"/>
    <w:rsid w:val="00870154"/>
    <w:rsid w:val="00870BDD"/>
    <w:rsid w:val="00870DEB"/>
    <w:rsid w:val="008713B3"/>
    <w:rsid w:val="008716C8"/>
    <w:rsid w:val="00871975"/>
    <w:rsid w:val="00871ED0"/>
    <w:rsid w:val="00873247"/>
    <w:rsid w:val="0087440A"/>
    <w:rsid w:val="00876393"/>
    <w:rsid w:val="00877181"/>
    <w:rsid w:val="008815CB"/>
    <w:rsid w:val="00882244"/>
    <w:rsid w:val="008826B9"/>
    <w:rsid w:val="00886067"/>
    <w:rsid w:val="008861C2"/>
    <w:rsid w:val="00886D98"/>
    <w:rsid w:val="00887DF4"/>
    <w:rsid w:val="00890269"/>
    <w:rsid w:val="00890653"/>
    <w:rsid w:val="00890F3D"/>
    <w:rsid w:val="00891CF7"/>
    <w:rsid w:val="00891E01"/>
    <w:rsid w:val="00891EEB"/>
    <w:rsid w:val="0089237A"/>
    <w:rsid w:val="00893102"/>
    <w:rsid w:val="00893C2E"/>
    <w:rsid w:val="008A0C8B"/>
    <w:rsid w:val="008A196C"/>
    <w:rsid w:val="008A1B00"/>
    <w:rsid w:val="008A2392"/>
    <w:rsid w:val="008A307C"/>
    <w:rsid w:val="008A327C"/>
    <w:rsid w:val="008A4562"/>
    <w:rsid w:val="008A590A"/>
    <w:rsid w:val="008A5DDA"/>
    <w:rsid w:val="008A64BB"/>
    <w:rsid w:val="008A771A"/>
    <w:rsid w:val="008B047F"/>
    <w:rsid w:val="008B174E"/>
    <w:rsid w:val="008B3467"/>
    <w:rsid w:val="008B40F6"/>
    <w:rsid w:val="008B4C99"/>
    <w:rsid w:val="008B7245"/>
    <w:rsid w:val="008C1548"/>
    <w:rsid w:val="008C1C6C"/>
    <w:rsid w:val="008C21D1"/>
    <w:rsid w:val="008C72F2"/>
    <w:rsid w:val="008D029D"/>
    <w:rsid w:val="008D080B"/>
    <w:rsid w:val="008D0EA6"/>
    <w:rsid w:val="008D44E8"/>
    <w:rsid w:val="008D5C23"/>
    <w:rsid w:val="008D64C1"/>
    <w:rsid w:val="008D6D33"/>
    <w:rsid w:val="008D732A"/>
    <w:rsid w:val="008E12C0"/>
    <w:rsid w:val="008E1D0D"/>
    <w:rsid w:val="008E22D0"/>
    <w:rsid w:val="008E2787"/>
    <w:rsid w:val="008E42E3"/>
    <w:rsid w:val="008E4698"/>
    <w:rsid w:val="008E607E"/>
    <w:rsid w:val="008E6093"/>
    <w:rsid w:val="008E62F0"/>
    <w:rsid w:val="008E630A"/>
    <w:rsid w:val="008E6B00"/>
    <w:rsid w:val="008E6DD7"/>
    <w:rsid w:val="008F1430"/>
    <w:rsid w:val="008F1C26"/>
    <w:rsid w:val="008F2B70"/>
    <w:rsid w:val="008F2E05"/>
    <w:rsid w:val="008F3AE4"/>
    <w:rsid w:val="008F616E"/>
    <w:rsid w:val="008F6483"/>
    <w:rsid w:val="008F76AA"/>
    <w:rsid w:val="008F79BF"/>
    <w:rsid w:val="0090143A"/>
    <w:rsid w:val="00901F98"/>
    <w:rsid w:val="0090445A"/>
    <w:rsid w:val="0090613C"/>
    <w:rsid w:val="009069A6"/>
    <w:rsid w:val="00907195"/>
    <w:rsid w:val="00907AFC"/>
    <w:rsid w:val="00911809"/>
    <w:rsid w:val="00911AD9"/>
    <w:rsid w:val="00912B94"/>
    <w:rsid w:val="009144C9"/>
    <w:rsid w:val="00914E3E"/>
    <w:rsid w:val="00914ED4"/>
    <w:rsid w:val="00915933"/>
    <w:rsid w:val="009159F6"/>
    <w:rsid w:val="00916077"/>
    <w:rsid w:val="009167FE"/>
    <w:rsid w:val="00916B5A"/>
    <w:rsid w:val="00916BC8"/>
    <w:rsid w:val="0091704C"/>
    <w:rsid w:val="00917BD4"/>
    <w:rsid w:val="00920158"/>
    <w:rsid w:val="0092056B"/>
    <w:rsid w:val="00922777"/>
    <w:rsid w:val="009236CB"/>
    <w:rsid w:val="00925289"/>
    <w:rsid w:val="00925DF8"/>
    <w:rsid w:val="00926C89"/>
    <w:rsid w:val="009272BA"/>
    <w:rsid w:val="00930194"/>
    <w:rsid w:val="00930A75"/>
    <w:rsid w:val="00930C7E"/>
    <w:rsid w:val="00931331"/>
    <w:rsid w:val="00931C30"/>
    <w:rsid w:val="00932BCC"/>
    <w:rsid w:val="00933BF6"/>
    <w:rsid w:val="0093416A"/>
    <w:rsid w:val="0093572A"/>
    <w:rsid w:val="00935C09"/>
    <w:rsid w:val="0093625E"/>
    <w:rsid w:val="0093645E"/>
    <w:rsid w:val="009367F6"/>
    <w:rsid w:val="00936859"/>
    <w:rsid w:val="00936BC5"/>
    <w:rsid w:val="009375EE"/>
    <w:rsid w:val="00940081"/>
    <w:rsid w:val="00940425"/>
    <w:rsid w:val="00940A94"/>
    <w:rsid w:val="00942571"/>
    <w:rsid w:val="00944222"/>
    <w:rsid w:val="009448D9"/>
    <w:rsid w:val="0094677E"/>
    <w:rsid w:val="009469A7"/>
    <w:rsid w:val="00947698"/>
    <w:rsid w:val="009508D7"/>
    <w:rsid w:val="00950C8D"/>
    <w:rsid w:val="00952AAC"/>
    <w:rsid w:val="00953C5E"/>
    <w:rsid w:val="009546EF"/>
    <w:rsid w:val="00954912"/>
    <w:rsid w:val="00955B7B"/>
    <w:rsid w:val="0095603A"/>
    <w:rsid w:val="00957773"/>
    <w:rsid w:val="00957BFA"/>
    <w:rsid w:val="009612A6"/>
    <w:rsid w:val="009615A4"/>
    <w:rsid w:val="00962848"/>
    <w:rsid w:val="009634EF"/>
    <w:rsid w:val="009640D8"/>
    <w:rsid w:val="00964761"/>
    <w:rsid w:val="00965D12"/>
    <w:rsid w:val="00967FC6"/>
    <w:rsid w:val="00973443"/>
    <w:rsid w:val="00973807"/>
    <w:rsid w:val="00973F0D"/>
    <w:rsid w:val="00975432"/>
    <w:rsid w:val="00975997"/>
    <w:rsid w:val="00976E79"/>
    <w:rsid w:val="0098066D"/>
    <w:rsid w:val="009809E4"/>
    <w:rsid w:val="0098114A"/>
    <w:rsid w:val="00981A62"/>
    <w:rsid w:val="0098201A"/>
    <w:rsid w:val="00982762"/>
    <w:rsid w:val="00982DDA"/>
    <w:rsid w:val="00982E48"/>
    <w:rsid w:val="009836A0"/>
    <w:rsid w:val="00983861"/>
    <w:rsid w:val="00984873"/>
    <w:rsid w:val="00985A96"/>
    <w:rsid w:val="00991005"/>
    <w:rsid w:val="00991A5A"/>
    <w:rsid w:val="00991D91"/>
    <w:rsid w:val="00991EFC"/>
    <w:rsid w:val="00992AB9"/>
    <w:rsid w:val="00994011"/>
    <w:rsid w:val="009941A3"/>
    <w:rsid w:val="00995363"/>
    <w:rsid w:val="00996003"/>
    <w:rsid w:val="009976F4"/>
    <w:rsid w:val="009A1E43"/>
    <w:rsid w:val="009A2527"/>
    <w:rsid w:val="009A439D"/>
    <w:rsid w:val="009A4CE8"/>
    <w:rsid w:val="009A4E92"/>
    <w:rsid w:val="009A60AB"/>
    <w:rsid w:val="009A7001"/>
    <w:rsid w:val="009A760F"/>
    <w:rsid w:val="009B04CA"/>
    <w:rsid w:val="009B17A1"/>
    <w:rsid w:val="009B341E"/>
    <w:rsid w:val="009B3C69"/>
    <w:rsid w:val="009B4125"/>
    <w:rsid w:val="009B4DF3"/>
    <w:rsid w:val="009B51DB"/>
    <w:rsid w:val="009B739A"/>
    <w:rsid w:val="009C0E04"/>
    <w:rsid w:val="009C10AD"/>
    <w:rsid w:val="009C1E50"/>
    <w:rsid w:val="009C2DA6"/>
    <w:rsid w:val="009C34FA"/>
    <w:rsid w:val="009C65D8"/>
    <w:rsid w:val="009C6768"/>
    <w:rsid w:val="009C7ECB"/>
    <w:rsid w:val="009D0818"/>
    <w:rsid w:val="009D1DB8"/>
    <w:rsid w:val="009D2818"/>
    <w:rsid w:val="009D3BE8"/>
    <w:rsid w:val="009D3DC7"/>
    <w:rsid w:val="009D64B5"/>
    <w:rsid w:val="009D75B4"/>
    <w:rsid w:val="009E0204"/>
    <w:rsid w:val="009E0489"/>
    <w:rsid w:val="009E0CAF"/>
    <w:rsid w:val="009E2470"/>
    <w:rsid w:val="009E2EEF"/>
    <w:rsid w:val="009E3660"/>
    <w:rsid w:val="009E5B12"/>
    <w:rsid w:val="009E5ED8"/>
    <w:rsid w:val="009E632E"/>
    <w:rsid w:val="009E6E19"/>
    <w:rsid w:val="009F011C"/>
    <w:rsid w:val="009F05DA"/>
    <w:rsid w:val="009F3576"/>
    <w:rsid w:val="009F372E"/>
    <w:rsid w:val="009F4540"/>
    <w:rsid w:val="009F68A2"/>
    <w:rsid w:val="009F6D0B"/>
    <w:rsid w:val="009F70A2"/>
    <w:rsid w:val="009F79A3"/>
    <w:rsid w:val="00A00F96"/>
    <w:rsid w:val="00A01D93"/>
    <w:rsid w:val="00A02B63"/>
    <w:rsid w:val="00A03907"/>
    <w:rsid w:val="00A03DBF"/>
    <w:rsid w:val="00A04FA3"/>
    <w:rsid w:val="00A056EE"/>
    <w:rsid w:val="00A06293"/>
    <w:rsid w:val="00A06B3B"/>
    <w:rsid w:val="00A12C4F"/>
    <w:rsid w:val="00A13DAE"/>
    <w:rsid w:val="00A1414F"/>
    <w:rsid w:val="00A16533"/>
    <w:rsid w:val="00A20522"/>
    <w:rsid w:val="00A22605"/>
    <w:rsid w:val="00A24A88"/>
    <w:rsid w:val="00A24DC7"/>
    <w:rsid w:val="00A25423"/>
    <w:rsid w:val="00A26103"/>
    <w:rsid w:val="00A31022"/>
    <w:rsid w:val="00A317D1"/>
    <w:rsid w:val="00A31D05"/>
    <w:rsid w:val="00A34DBF"/>
    <w:rsid w:val="00A36F41"/>
    <w:rsid w:val="00A40617"/>
    <w:rsid w:val="00A406B4"/>
    <w:rsid w:val="00A408FD"/>
    <w:rsid w:val="00A4244A"/>
    <w:rsid w:val="00A42B36"/>
    <w:rsid w:val="00A43714"/>
    <w:rsid w:val="00A4550A"/>
    <w:rsid w:val="00A46332"/>
    <w:rsid w:val="00A50D08"/>
    <w:rsid w:val="00A50ED6"/>
    <w:rsid w:val="00A511EF"/>
    <w:rsid w:val="00A513AA"/>
    <w:rsid w:val="00A515A9"/>
    <w:rsid w:val="00A5488D"/>
    <w:rsid w:val="00A55167"/>
    <w:rsid w:val="00A5672F"/>
    <w:rsid w:val="00A577D2"/>
    <w:rsid w:val="00A6064E"/>
    <w:rsid w:val="00A65456"/>
    <w:rsid w:val="00A65856"/>
    <w:rsid w:val="00A65E90"/>
    <w:rsid w:val="00A66366"/>
    <w:rsid w:val="00A66512"/>
    <w:rsid w:val="00A666AB"/>
    <w:rsid w:val="00A6797C"/>
    <w:rsid w:val="00A70070"/>
    <w:rsid w:val="00A71F8B"/>
    <w:rsid w:val="00A7519C"/>
    <w:rsid w:val="00A766AE"/>
    <w:rsid w:val="00A8031D"/>
    <w:rsid w:val="00A81DEC"/>
    <w:rsid w:val="00A81E17"/>
    <w:rsid w:val="00A82D29"/>
    <w:rsid w:val="00A83E55"/>
    <w:rsid w:val="00A86313"/>
    <w:rsid w:val="00A91D5B"/>
    <w:rsid w:val="00A91DDF"/>
    <w:rsid w:val="00A926E5"/>
    <w:rsid w:val="00A92DAD"/>
    <w:rsid w:val="00A92E18"/>
    <w:rsid w:val="00A93FC6"/>
    <w:rsid w:val="00A949AE"/>
    <w:rsid w:val="00A970B6"/>
    <w:rsid w:val="00A97187"/>
    <w:rsid w:val="00A9773D"/>
    <w:rsid w:val="00A97D30"/>
    <w:rsid w:val="00AA0216"/>
    <w:rsid w:val="00AA0952"/>
    <w:rsid w:val="00AA1FEF"/>
    <w:rsid w:val="00AA3281"/>
    <w:rsid w:val="00AA439B"/>
    <w:rsid w:val="00AA4B4D"/>
    <w:rsid w:val="00AA5755"/>
    <w:rsid w:val="00AA66D5"/>
    <w:rsid w:val="00AA6F8E"/>
    <w:rsid w:val="00AA7EC6"/>
    <w:rsid w:val="00AB1047"/>
    <w:rsid w:val="00AB1154"/>
    <w:rsid w:val="00AB197C"/>
    <w:rsid w:val="00AB543A"/>
    <w:rsid w:val="00AB61E1"/>
    <w:rsid w:val="00AB6495"/>
    <w:rsid w:val="00AB668B"/>
    <w:rsid w:val="00AB6AB9"/>
    <w:rsid w:val="00AB6C11"/>
    <w:rsid w:val="00AC111B"/>
    <w:rsid w:val="00AC5BE0"/>
    <w:rsid w:val="00AC608A"/>
    <w:rsid w:val="00AC69E5"/>
    <w:rsid w:val="00AD1338"/>
    <w:rsid w:val="00AD19C6"/>
    <w:rsid w:val="00AD1C0D"/>
    <w:rsid w:val="00AD1EB9"/>
    <w:rsid w:val="00AD297C"/>
    <w:rsid w:val="00AD459E"/>
    <w:rsid w:val="00AD5602"/>
    <w:rsid w:val="00AE0606"/>
    <w:rsid w:val="00AE0C25"/>
    <w:rsid w:val="00AE37B3"/>
    <w:rsid w:val="00AE3979"/>
    <w:rsid w:val="00AE5040"/>
    <w:rsid w:val="00AE561E"/>
    <w:rsid w:val="00AE56D3"/>
    <w:rsid w:val="00AE7211"/>
    <w:rsid w:val="00AF0179"/>
    <w:rsid w:val="00AF083A"/>
    <w:rsid w:val="00AF377D"/>
    <w:rsid w:val="00AF519C"/>
    <w:rsid w:val="00AF5E41"/>
    <w:rsid w:val="00AF6250"/>
    <w:rsid w:val="00AF627D"/>
    <w:rsid w:val="00AF66F6"/>
    <w:rsid w:val="00AF6C47"/>
    <w:rsid w:val="00B014E5"/>
    <w:rsid w:val="00B02EA3"/>
    <w:rsid w:val="00B037A9"/>
    <w:rsid w:val="00B03E14"/>
    <w:rsid w:val="00B04113"/>
    <w:rsid w:val="00B04706"/>
    <w:rsid w:val="00B05033"/>
    <w:rsid w:val="00B07AD6"/>
    <w:rsid w:val="00B132E9"/>
    <w:rsid w:val="00B13E6E"/>
    <w:rsid w:val="00B140C8"/>
    <w:rsid w:val="00B15B2F"/>
    <w:rsid w:val="00B15D08"/>
    <w:rsid w:val="00B179C7"/>
    <w:rsid w:val="00B20914"/>
    <w:rsid w:val="00B20E8C"/>
    <w:rsid w:val="00B212B7"/>
    <w:rsid w:val="00B21D4C"/>
    <w:rsid w:val="00B242D7"/>
    <w:rsid w:val="00B244AD"/>
    <w:rsid w:val="00B2480B"/>
    <w:rsid w:val="00B25065"/>
    <w:rsid w:val="00B25FD9"/>
    <w:rsid w:val="00B27371"/>
    <w:rsid w:val="00B27899"/>
    <w:rsid w:val="00B30259"/>
    <w:rsid w:val="00B3187E"/>
    <w:rsid w:val="00B32659"/>
    <w:rsid w:val="00B328C5"/>
    <w:rsid w:val="00B33EC6"/>
    <w:rsid w:val="00B34010"/>
    <w:rsid w:val="00B34E2C"/>
    <w:rsid w:val="00B37AD3"/>
    <w:rsid w:val="00B40FD8"/>
    <w:rsid w:val="00B413F5"/>
    <w:rsid w:val="00B42C5A"/>
    <w:rsid w:val="00B42D72"/>
    <w:rsid w:val="00B43C61"/>
    <w:rsid w:val="00B44E92"/>
    <w:rsid w:val="00B45E77"/>
    <w:rsid w:val="00B467AB"/>
    <w:rsid w:val="00B47766"/>
    <w:rsid w:val="00B5015A"/>
    <w:rsid w:val="00B50931"/>
    <w:rsid w:val="00B52214"/>
    <w:rsid w:val="00B52E4D"/>
    <w:rsid w:val="00B53EAE"/>
    <w:rsid w:val="00B5563D"/>
    <w:rsid w:val="00B55653"/>
    <w:rsid w:val="00B56235"/>
    <w:rsid w:val="00B56D0C"/>
    <w:rsid w:val="00B62BB4"/>
    <w:rsid w:val="00B62DC5"/>
    <w:rsid w:val="00B6385C"/>
    <w:rsid w:val="00B63E34"/>
    <w:rsid w:val="00B64613"/>
    <w:rsid w:val="00B654A4"/>
    <w:rsid w:val="00B65CF6"/>
    <w:rsid w:val="00B674BB"/>
    <w:rsid w:val="00B67D9A"/>
    <w:rsid w:val="00B67E08"/>
    <w:rsid w:val="00B71495"/>
    <w:rsid w:val="00B74253"/>
    <w:rsid w:val="00B7626A"/>
    <w:rsid w:val="00B768DA"/>
    <w:rsid w:val="00B7794D"/>
    <w:rsid w:val="00B77A95"/>
    <w:rsid w:val="00B80B60"/>
    <w:rsid w:val="00B8297B"/>
    <w:rsid w:val="00B847D5"/>
    <w:rsid w:val="00B85F23"/>
    <w:rsid w:val="00B8699A"/>
    <w:rsid w:val="00B917CD"/>
    <w:rsid w:val="00B946D3"/>
    <w:rsid w:val="00B95E7A"/>
    <w:rsid w:val="00B96BAD"/>
    <w:rsid w:val="00B97951"/>
    <w:rsid w:val="00B97B27"/>
    <w:rsid w:val="00BA01A5"/>
    <w:rsid w:val="00BA0F94"/>
    <w:rsid w:val="00BA1DFE"/>
    <w:rsid w:val="00BA2E00"/>
    <w:rsid w:val="00BA3FCB"/>
    <w:rsid w:val="00BA5230"/>
    <w:rsid w:val="00BA56FE"/>
    <w:rsid w:val="00BB02FB"/>
    <w:rsid w:val="00BB0302"/>
    <w:rsid w:val="00BB1E73"/>
    <w:rsid w:val="00BB2F58"/>
    <w:rsid w:val="00BB342B"/>
    <w:rsid w:val="00BB347C"/>
    <w:rsid w:val="00BB3FEF"/>
    <w:rsid w:val="00BB428B"/>
    <w:rsid w:val="00BB47BD"/>
    <w:rsid w:val="00BB5790"/>
    <w:rsid w:val="00BB5C5B"/>
    <w:rsid w:val="00BB64F6"/>
    <w:rsid w:val="00BC090A"/>
    <w:rsid w:val="00BC1B02"/>
    <w:rsid w:val="00BC2604"/>
    <w:rsid w:val="00BC2DEC"/>
    <w:rsid w:val="00BC37D2"/>
    <w:rsid w:val="00BC384B"/>
    <w:rsid w:val="00BC38DB"/>
    <w:rsid w:val="00BC4984"/>
    <w:rsid w:val="00BC5472"/>
    <w:rsid w:val="00BC7952"/>
    <w:rsid w:val="00BC79C5"/>
    <w:rsid w:val="00BD0A78"/>
    <w:rsid w:val="00BD55BF"/>
    <w:rsid w:val="00BD5A3B"/>
    <w:rsid w:val="00BD7746"/>
    <w:rsid w:val="00BE01B9"/>
    <w:rsid w:val="00BE124D"/>
    <w:rsid w:val="00BE1BA7"/>
    <w:rsid w:val="00BE3B2A"/>
    <w:rsid w:val="00BE479D"/>
    <w:rsid w:val="00BE4889"/>
    <w:rsid w:val="00BE6013"/>
    <w:rsid w:val="00BE6293"/>
    <w:rsid w:val="00BE66B6"/>
    <w:rsid w:val="00BE772F"/>
    <w:rsid w:val="00BF02BC"/>
    <w:rsid w:val="00BF037A"/>
    <w:rsid w:val="00BF057E"/>
    <w:rsid w:val="00BF14B1"/>
    <w:rsid w:val="00BF2122"/>
    <w:rsid w:val="00BF466D"/>
    <w:rsid w:val="00BF47C3"/>
    <w:rsid w:val="00BF5479"/>
    <w:rsid w:val="00BF5BE3"/>
    <w:rsid w:val="00BF5C6E"/>
    <w:rsid w:val="00BF71EB"/>
    <w:rsid w:val="00C011F4"/>
    <w:rsid w:val="00C016C6"/>
    <w:rsid w:val="00C02A75"/>
    <w:rsid w:val="00C02F49"/>
    <w:rsid w:val="00C040F4"/>
    <w:rsid w:val="00C05188"/>
    <w:rsid w:val="00C061BE"/>
    <w:rsid w:val="00C06244"/>
    <w:rsid w:val="00C072C3"/>
    <w:rsid w:val="00C073FC"/>
    <w:rsid w:val="00C11A82"/>
    <w:rsid w:val="00C15700"/>
    <w:rsid w:val="00C160ED"/>
    <w:rsid w:val="00C17C33"/>
    <w:rsid w:val="00C17C6F"/>
    <w:rsid w:val="00C203AC"/>
    <w:rsid w:val="00C211EE"/>
    <w:rsid w:val="00C21594"/>
    <w:rsid w:val="00C2257C"/>
    <w:rsid w:val="00C22928"/>
    <w:rsid w:val="00C24494"/>
    <w:rsid w:val="00C25C54"/>
    <w:rsid w:val="00C25D44"/>
    <w:rsid w:val="00C2751D"/>
    <w:rsid w:val="00C305BC"/>
    <w:rsid w:val="00C35909"/>
    <w:rsid w:val="00C36B75"/>
    <w:rsid w:val="00C40622"/>
    <w:rsid w:val="00C40B2F"/>
    <w:rsid w:val="00C41316"/>
    <w:rsid w:val="00C41680"/>
    <w:rsid w:val="00C41747"/>
    <w:rsid w:val="00C41EA7"/>
    <w:rsid w:val="00C42622"/>
    <w:rsid w:val="00C503BF"/>
    <w:rsid w:val="00C515C1"/>
    <w:rsid w:val="00C51781"/>
    <w:rsid w:val="00C518FA"/>
    <w:rsid w:val="00C52956"/>
    <w:rsid w:val="00C52E68"/>
    <w:rsid w:val="00C52F5E"/>
    <w:rsid w:val="00C5313D"/>
    <w:rsid w:val="00C53A42"/>
    <w:rsid w:val="00C553DB"/>
    <w:rsid w:val="00C55C82"/>
    <w:rsid w:val="00C5692D"/>
    <w:rsid w:val="00C56C46"/>
    <w:rsid w:val="00C57371"/>
    <w:rsid w:val="00C60265"/>
    <w:rsid w:val="00C6066C"/>
    <w:rsid w:val="00C60BE4"/>
    <w:rsid w:val="00C61D75"/>
    <w:rsid w:val="00C6406B"/>
    <w:rsid w:val="00C64079"/>
    <w:rsid w:val="00C65059"/>
    <w:rsid w:val="00C66464"/>
    <w:rsid w:val="00C70152"/>
    <w:rsid w:val="00C70D30"/>
    <w:rsid w:val="00C71316"/>
    <w:rsid w:val="00C72B3F"/>
    <w:rsid w:val="00C8060A"/>
    <w:rsid w:val="00C82798"/>
    <w:rsid w:val="00C86272"/>
    <w:rsid w:val="00C90ACA"/>
    <w:rsid w:val="00C910A7"/>
    <w:rsid w:val="00C910E7"/>
    <w:rsid w:val="00C93287"/>
    <w:rsid w:val="00C940D0"/>
    <w:rsid w:val="00C940DD"/>
    <w:rsid w:val="00C94C01"/>
    <w:rsid w:val="00C96763"/>
    <w:rsid w:val="00C9772E"/>
    <w:rsid w:val="00CA0939"/>
    <w:rsid w:val="00CA0A0F"/>
    <w:rsid w:val="00CA12D5"/>
    <w:rsid w:val="00CA2657"/>
    <w:rsid w:val="00CA4277"/>
    <w:rsid w:val="00CA4A01"/>
    <w:rsid w:val="00CA6695"/>
    <w:rsid w:val="00CA7467"/>
    <w:rsid w:val="00CA79DB"/>
    <w:rsid w:val="00CA7B9F"/>
    <w:rsid w:val="00CB0C23"/>
    <w:rsid w:val="00CB0FFC"/>
    <w:rsid w:val="00CB14EE"/>
    <w:rsid w:val="00CB17FF"/>
    <w:rsid w:val="00CB28D5"/>
    <w:rsid w:val="00CB3CE5"/>
    <w:rsid w:val="00CB3CE7"/>
    <w:rsid w:val="00CB4508"/>
    <w:rsid w:val="00CB454C"/>
    <w:rsid w:val="00CB45B4"/>
    <w:rsid w:val="00CB4D31"/>
    <w:rsid w:val="00CB6263"/>
    <w:rsid w:val="00CB65AF"/>
    <w:rsid w:val="00CC0AE5"/>
    <w:rsid w:val="00CC2D51"/>
    <w:rsid w:val="00CC350D"/>
    <w:rsid w:val="00CC3776"/>
    <w:rsid w:val="00CC39CD"/>
    <w:rsid w:val="00CC5459"/>
    <w:rsid w:val="00CC5648"/>
    <w:rsid w:val="00CC6D17"/>
    <w:rsid w:val="00CD022F"/>
    <w:rsid w:val="00CD046B"/>
    <w:rsid w:val="00CD2ECF"/>
    <w:rsid w:val="00CD37FA"/>
    <w:rsid w:val="00CD49D8"/>
    <w:rsid w:val="00CD4FDC"/>
    <w:rsid w:val="00CD55DF"/>
    <w:rsid w:val="00CD6357"/>
    <w:rsid w:val="00CD6614"/>
    <w:rsid w:val="00CD695A"/>
    <w:rsid w:val="00CD6A3E"/>
    <w:rsid w:val="00CD6A9E"/>
    <w:rsid w:val="00CD774A"/>
    <w:rsid w:val="00CE1C83"/>
    <w:rsid w:val="00CE1E30"/>
    <w:rsid w:val="00CE1F8E"/>
    <w:rsid w:val="00CE2383"/>
    <w:rsid w:val="00CE3F01"/>
    <w:rsid w:val="00CE594E"/>
    <w:rsid w:val="00CE7589"/>
    <w:rsid w:val="00CE75DC"/>
    <w:rsid w:val="00CF0D10"/>
    <w:rsid w:val="00CF0FC6"/>
    <w:rsid w:val="00CF4A76"/>
    <w:rsid w:val="00CF4F17"/>
    <w:rsid w:val="00CF51EC"/>
    <w:rsid w:val="00CF7C0B"/>
    <w:rsid w:val="00D00165"/>
    <w:rsid w:val="00D01EB5"/>
    <w:rsid w:val="00D02B7E"/>
    <w:rsid w:val="00D03016"/>
    <w:rsid w:val="00D07378"/>
    <w:rsid w:val="00D079A1"/>
    <w:rsid w:val="00D105C9"/>
    <w:rsid w:val="00D10A5A"/>
    <w:rsid w:val="00D10DF2"/>
    <w:rsid w:val="00D1165D"/>
    <w:rsid w:val="00D1215D"/>
    <w:rsid w:val="00D12206"/>
    <w:rsid w:val="00D123C2"/>
    <w:rsid w:val="00D12F75"/>
    <w:rsid w:val="00D1303B"/>
    <w:rsid w:val="00D14B78"/>
    <w:rsid w:val="00D16ECF"/>
    <w:rsid w:val="00D17940"/>
    <w:rsid w:val="00D21457"/>
    <w:rsid w:val="00D2203B"/>
    <w:rsid w:val="00D25471"/>
    <w:rsid w:val="00D30E04"/>
    <w:rsid w:val="00D31BF3"/>
    <w:rsid w:val="00D31CFB"/>
    <w:rsid w:val="00D3273B"/>
    <w:rsid w:val="00D33862"/>
    <w:rsid w:val="00D344BF"/>
    <w:rsid w:val="00D40544"/>
    <w:rsid w:val="00D42EA0"/>
    <w:rsid w:val="00D43834"/>
    <w:rsid w:val="00D44FB5"/>
    <w:rsid w:val="00D4569D"/>
    <w:rsid w:val="00D46170"/>
    <w:rsid w:val="00D47570"/>
    <w:rsid w:val="00D5316A"/>
    <w:rsid w:val="00D53343"/>
    <w:rsid w:val="00D53ED5"/>
    <w:rsid w:val="00D56924"/>
    <w:rsid w:val="00D577CA"/>
    <w:rsid w:val="00D609A3"/>
    <w:rsid w:val="00D61AB6"/>
    <w:rsid w:val="00D61D94"/>
    <w:rsid w:val="00D62398"/>
    <w:rsid w:val="00D6243D"/>
    <w:rsid w:val="00D63195"/>
    <w:rsid w:val="00D632FB"/>
    <w:rsid w:val="00D6385A"/>
    <w:rsid w:val="00D64D49"/>
    <w:rsid w:val="00D65020"/>
    <w:rsid w:val="00D66649"/>
    <w:rsid w:val="00D67076"/>
    <w:rsid w:val="00D703D1"/>
    <w:rsid w:val="00D7168F"/>
    <w:rsid w:val="00D71E33"/>
    <w:rsid w:val="00D73D31"/>
    <w:rsid w:val="00D740B0"/>
    <w:rsid w:val="00D74B07"/>
    <w:rsid w:val="00D77708"/>
    <w:rsid w:val="00D81754"/>
    <w:rsid w:val="00D82321"/>
    <w:rsid w:val="00D828B2"/>
    <w:rsid w:val="00D9161F"/>
    <w:rsid w:val="00D92636"/>
    <w:rsid w:val="00D93592"/>
    <w:rsid w:val="00D94540"/>
    <w:rsid w:val="00D951A5"/>
    <w:rsid w:val="00D95E25"/>
    <w:rsid w:val="00D96C6E"/>
    <w:rsid w:val="00D97346"/>
    <w:rsid w:val="00DA1571"/>
    <w:rsid w:val="00DA2025"/>
    <w:rsid w:val="00DA329E"/>
    <w:rsid w:val="00DA3C78"/>
    <w:rsid w:val="00DA456C"/>
    <w:rsid w:val="00DA53DC"/>
    <w:rsid w:val="00DA6779"/>
    <w:rsid w:val="00DA6B49"/>
    <w:rsid w:val="00DA7C7A"/>
    <w:rsid w:val="00DB1D18"/>
    <w:rsid w:val="00DB248C"/>
    <w:rsid w:val="00DB2CF4"/>
    <w:rsid w:val="00DB31B5"/>
    <w:rsid w:val="00DB4FFB"/>
    <w:rsid w:val="00DC187D"/>
    <w:rsid w:val="00DC1F06"/>
    <w:rsid w:val="00DC20FB"/>
    <w:rsid w:val="00DC254B"/>
    <w:rsid w:val="00DC3028"/>
    <w:rsid w:val="00DC36DC"/>
    <w:rsid w:val="00DC3824"/>
    <w:rsid w:val="00DC4677"/>
    <w:rsid w:val="00DD1274"/>
    <w:rsid w:val="00DD1908"/>
    <w:rsid w:val="00DD1A25"/>
    <w:rsid w:val="00DD4B89"/>
    <w:rsid w:val="00DD53DF"/>
    <w:rsid w:val="00DD5CF4"/>
    <w:rsid w:val="00DD7564"/>
    <w:rsid w:val="00DD7621"/>
    <w:rsid w:val="00DE036B"/>
    <w:rsid w:val="00DE1D8A"/>
    <w:rsid w:val="00DE4078"/>
    <w:rsid w:val="00DF087C"/>
    <w:rsid w:val="00DF103C"/>
    <w:rsid w:val="00DF1EAA"/>
    <w:rsid w:val="00DF205A"/>
    <w:rsid w:val="00DF2937"/>
    <w:rsid w:val="00DF6830"/>
    <w:rsid w:val="00DF750F"/>
    <w:rsid w:val="00DF7D6A"/>
    <w:rsid w:val="00E02C51"/>
    <w:rsid w:val="00E03486"/>
    <w:rsid w:val="00E037C5"/>
    <w:rsid w:val="00E03FC6"/>
    <w:rsid w:val="00E057B3"/>
    <w:rsid w:val="00E07A47"/>
    <w:rsid w:val="00E14B2F"/>
    <w:rsid w:val="00E15B41"/>
    <w:rsid w:val="00E17949"/>
    <w:rsid w:val="00E17E36"/>
    <w:rsid w:val="00E21B2E"/>
    <w:rsid w:val="00E21C5F"/>
    <w:rsid w:val="00E22BCD"/>
    <w:rsid w:val="00E262F3"/>
    <w:rsid w:val="00E27351"/>
    <w:rsid w:val="00E317A8"/>
    <w:rsid w:val="00E33002"/>
    <w:rsid w:val="00E3330D"/>
    <w:rsid w:val="00E33D39"/>
    <w:rsid w:val="00E3432D"/>
    <w:rsid w:val="00E34DA6"/>
    <w:rsid w:val="00E354A4"/>
    <w:rsid w:val="00E36704"/>
    <w:rsid w:val="00E36AE4"/>
    <w:rsid w:val="00E36D55"/>
    <w:rsid w:val="00E40CCC"/>
    <w:rsid w:val="00E4166C"/>
    <w:rsid w:val="00E42F5B"/>
    <w:rsid w:val="00E435B6"/>
    <w:rsid w:val="00E44772"/>
    <w:rsid w:val="00E46420"/>
    <w:rsid w:val="00E46DDA"/>
    <w:rsid w:val="00E47202"/>
    <w:rsid w:val="00E51002"/>
    <w:rsid w:val="00E54A79"/>
    <w:rsid w:val="00E553F1"/>
    <w:rsid w:val="00E5718A"/>
    <w:rsid w:val="00E603B8"/>
    <w:rsid w:val="00E621AF"/>
    <w:rsid w:val="00E62212"/>
    <w:rsid w:val="00E62957"/>
    <w:rsid w:val="00E646F9"/>
    <w:rsid w:val="00E66774"/>
    <w:rsid w:val="00E66BA7"/>
    <w:rsid w:val="00E67507"/>
    <w:rsid w:val="00E67541"/>
    <w:rsid w:val="00E70163"/>
    <w:rsid w:val="00E71899"/>
    <w:rsid w:val="00E7217F"/>
    <w:rsid w:val="00E73158"/>
    <w:rsid w:val="00E73394"/>
    <w:rsid w:val="00E73DFD"/>
    <w:rsid w:val="00E75D98"/>
    <w:rsid w:val="00E7628C"/>
    <w:rsid w:val="00E76927"/>
    <w:rsid w:val="00E80107"/>
    <w:rsid w:val="00E808ED"/>
    <w:rsid w:val="00E818D9"/>
    <w:rsid w:val="00E81A1A"/>
    <w:rsid w:val="00E82E8C"/>
    <w:rsid w:val="00E83104"/>
    <w:rsid w:val="00E84F56"/>
    <w:rsid w:val="00E86118"/>
    <w:rsid w:val="00E86685"/>
    <w:rsid w:val="00E872B2"/>
    <w:rsid w:val="00E93A1E"/>
    <w:rsid w:val="00E9507F"/>
    <w:rsid w:val="00E9630B"/>
    <w:rsid w:val="00E96A73"/>
    <w:rsid w:val="00E96CC8"/>
    <w:rsid w:val="00E97256"/>
    <w:rsid w:val="00E97E73"/>
    <w:rsid w:val="00EA11C9"/>
    <w:rsid w:val="00EA1852"/>
    <w:rsid w:val="00EA2C8B"/>
    <w:rsid w:val="00EA32E9"/>
    <w:rsid w:val="00EA37BA"/>
    <w:rsid w:val="00EA51A2"/>
    <w:rsid w:val="00EA650D"/>
    <w:rsid w:val="00EA6B72"/>
    <w:rsid w:val="00EA74C9"/>
    <w:rsid w:val="00EA762C"/>
    <w:rsid w:val="00EB0447"/>
    <w:rsid w:val="00EB2CAA"/>
    <w:rsid w:val="00EB4A68"/>
    <w:rsid w:val="00EB51A8"/>
    <w:rsid w:val="00EB7BBA"/>
    <w:rsid w:val="00EC04FC"/>
    <w:rsid w:val="00EC1460"/>
    <w:rsid w:val="00EC2329"/>
    <w:rsid w:val="00EC2DE2"/>
    <w:rsid w:val="00EC3287"/>
    <w:rsid w:val="00EC3B52"/>
    <w:rsid w:val="00EC49A3"/>
    <w:rsid w:val="00EC63CE"/>
    <w:rsid w:val="00ED0835"/>
    <w:rsid w:val="00ED0B00"/>
    <w:rsid w:val="00ED21BF"/>
    <w:rsid w:val="00ED2448"/>
    <w:rsid w:val="00ED3B89"/>
    <w:rsid w:val="00ED3C5B"/>
    <w:rsid w:val="00ED4624"/>
    <w:rsid w:val="00ED54FD"/>
    <w:rsid w:val="00ED696A"/>
    <w:rsid w:val="00EE00FE"/>
    <w:rsid w:val="00EE1578"/>
    <w:rsid w:val="00EE3006"/>
    <w:rsid w:val="00EE31CB"/>
    <w:rsid w:val="00EE332B"/>
    <w:rsid w:val="00EE348A"/>
    <w:rsid w:val="00EE45FA"/>
    <w:rsid w:val="00EE4767"/>
    <w:rsid w:val="00EE5933"/>
    <w:rsid w:val="00EE599D"/>
    <w:rsid w:val="00EE69D9"/>
    <w:rsid w:val="00EE76B0"/>
    <w:rsid w:val="00EF0D0C"/>
    <w:rsid w:val="00EF137F"/>
    <w:rsid w:val="00EF25C2"/>
    <w:rsid w:val="00EF2674"/>
    <w:rsid w:val="00EF2FDB"/>
    <w:rsid w:val="00EF3998"/>
    <w:rsid w:val="00EF3F59"/>
    <w:rsid w:val="00EF439A"/>
    <w:rsid w:val="00EF5CF7"/>
    <w:rsid w:val="00EF7BB2"/>
    <w:rsid w:val="00F00EA1"/>
    <w:rsid w:val="00F01332"/>
    <w:rsid w:val="00F027EE"/>
    <w:rsid w:val="00F03135"/>
    <w:rsid w:val="00F03829"/>
    <w:rsid w:val="00F039F4"/>
    <w:rsid w:val="00F044DE"/>
    <w:rsid w:val="00F04B9C"/>
    <w:rsid w:val="00F04E2E"/>
    <w:rsid w:val="00F05854"/>
    <w:rsid w:val="00F1051E"/>
    <w:rsid w:val="00F113C9"/>
    <w:rsid w:val="00F12DA6"/>
    <w:rsid w:val="00F13350"/>
    <w:rsid w:val="00F1490C"/>
    <w:rsid w:val="00F149AA"/>
    <w:rsid w:val="00F151BC"/>
    <w:rsid w:val="00F15737"/>
    <w:rsid w:val="00F15E52"/>
    <w:rsid w:val="00F16AE2"/>
    <w:rsid w:val="00F20CE7"/>
    <w:rsid w:val="00F21E5E"/>
    <w:rsid w:val="00F228B5"/>
    <w:rsid w:val="00F25A7D"/>
    <w:rsid w:val="00F26975"/>
    <w:rsid w:val="00F27EAC"/>
    <w:rsid w:val="00F30064"/>
    <w:rsid w:val="00F32B36"/>
    <w:rsid w:val="00F33D71"/>
    <w:rsid w:val="00F34187"/>
    <w:rsid w:val="00F366E3"/>
    <w:rsid w:val="00F36D0E"/>
    <w:rsid w:val="00F37BAC"/>
    <w:rsid w:val="00F37ED3"/>
    <w:rsid w:val="00F40585"/>
    <w:rsid w:val="00F4515A"/>
    <w:rsid w:val="00F4520E"/>
    <w:rsid w:val="00F453EB"/>
    <w:rsid w:val="00F45400"/>
    <w:rsid w:val="00F45E7A"/>
    <w:rsid w:val="00F471CB"/>
    <w:rsid w:val="00F500C2"/>
    <w:rsid w:val="00F5024D"/>
    <w:rsid w:val="00F51277"/>
    <w:rsid w:val="00F52DB8"/>
    <w:rsid w:val="00F5385F"/>
    <w:rsid w:val="00F54004"/>
    <w:rsid w:val="00F54FAE"/>
    <w:rsid w:val="00F554F3"/>
    <w:rsid w:val="00F562D6"/>
    <w:rsid w:val="00F56D28"/>
    <w:rsid w:val="00F57023"/>
    <w:rsid w:val="00F57658"/>
    <w:rsid w:val="00F57742"/>
    <w:rsid w:val="00F602EA"/>
    <w:rsid w:val="00F606B7"/>
    <w:rsid w:val="00F60736"/>
    <w:rsid w:val="00F6275D"/>
    <w:rsid w:val="00F6368F"/>
    <w:rsid w:val="00F64237"/>
    <w:rsid w:val="00F64610"/>
    <w:rsid w:val="00F64DB2"/>
    <w:rsid w:val="00F64E48"/>
    <w:rsid w:val="00F65DBB"/>
    <w:rsid w:val="00F65E76"/>
    <w:rsid w:val="00F66763"/>
    <w:rsid w:val="00F66AD7"/>
    <w:rsid w:val="00F67125"/>
    <w:rsid w:val="00F704C4"/>
    <w:rsid w:val="00F70B70"/>
    <w:rsid w:val="00F70FBC"/>
    <w:rsid w:val="00F71496"/>
    <w:rsid w:val="00F7341D"/>
    <w:rsid w:val="00F73F3C"/>
    <w:rsid w:val="00F7442C"/>
    <w:rsid w:val="00F7498B"/>
    <w:rsid w:val="00F759D6"/>
    <w:rsid w:val="00F7626C"/>
    <w:rsid w:val="00F768C3"/>
    <w:rsid w:val="00F77002"/>
    <w:rsid w:val="00F774AF"/>
    <w:rsid w:val="00F777EF"/>
    <w:rsid w:val="00F86BA8"/>
    <w:rsid w:val="00F87885"/>
    <w:rsid w:val="00F879ED"/>
    <w:rsid w:val="00F90331"/>
    <w:rsid w:val="00F906D4"/>
    <w:rsid w:val="00F92CBF"/>
    <w:rsid w:val="00F938EE"/>
    <w:rsid w:val="00F97424"/>
    <w:rsid w:val="00FA05B2"/>
    <w:rsid w:val="00FA151F"/>
    <w:rsid w:val="00FA189F"/>
    <w:rsid w:val="00FA194F"/>
    <w:rsid w:val="00FA4754"/>
    <w:rsid w:val="00FA5171"/>
    <w:rsid w:val="00FA5B41"/>
    <w:rsid w:val="00FA6098"/>
    <w:rsid w:val="00FA68B4"/>
    <w:rsid w:val="00FA6F70"/>
    <w:rsid w:val="00FA7FCB"/>
    <w:rsid w:val="00FB0337"/>
    <w:rsid w:val="00FB12F3"/>
    <w:rsid w:val="00FB18CE"/>
    <w:rsid w:val="00FB1B61"/>
    <w:rsid w:val="00FB1BC4"/>
    <w:rsid w:val="00FB2E9E"/>
    <w:rsid w:val="00FB597F"/>
    <w:rsid w:val="00FB6D4E"/>
    <w:rsid w:val="00FB7CB2"/>
    <w:rsid w:val="00FB7E69"/>
    <w:rsid w:val="00FC03D4"/>
    <w:rsid w:val="00FC0697"/>
    <w:rsid w:val="00FC0EFE"/>
    <w:rsid w:val="00FC22C3"/>
    <w:rsid w:val="00FC305D"/>
    <w:rsid w:val="00FC4C6B"/>
    <w:rsid w:val="00FC4D6E"/>
    <w:rsid w:val="00FC6157"/>
    <w:rsid w:val="00FD0788"/>
    <w:rsid w:val="00FD0B50"/>
    <w:rsid w:val="00FD110F"/>
    <w:rsid w:val="00FD1138"/>
    <w:rsid w:val="00FD19D5"/>
    <w:rsid w:val="00FD1FAF"/>
    <w:rsid w:val="00FD29FC"/>
    <w:rsid w:val="00FD3359"/>
    <w:rsid w:val="00FD4671"/>
    <w:rsid w:val="00FD51CD"/>
    <w:rsid w:val="00FD6002"/>
    <w:rsid w:val="00FE07C5"/>
    <w:rsid w:val="00FE0D33"/>
    <w:rsid w:val="00FE1E34"/>
    <w:rsid w:val="00FE699F"/>
    <w:rsid w:val="00FE69FD"/>
    <w:rsid w:val="00FE6FC0"/>
    <w:rsid w:val="00FF03AD"/>
    <w:rsid w:val="00FF0A12"/>
    <w:rsid w:val="00FF1540"/>
    <w:rsid w:val="00FF1F89"/>
    <w:rsid w:val="00FF35F4"/>
    <w:rsid w:val="00FF466A"/>
    <w:rsid w:val="00FF4E45"/>
    <w:rsid w:val="00FF4F7C"/>
    <w:rsid w:val="00FF52CD"/>
    <w:rsid w:val="00FF640E"/>
    <w:rsid w:val="00FF6FF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A375F"/>
  <w15:docId w15:val="{FE4AD0EF-792C-431A-BAA4-0C4976B0E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4EB"/>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uiPriority w:val="99"/>
    <w:semiHidden/>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semiHidden/>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semiHidden/>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ic.bg/opik/operativna-program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umis2020.government.bg" TargetMode="External"/><Relationship Id="rId4" Type="http://schemas.openxmlformats.org/officeDocument/2006/relationships/settings" Target="settings.xml"/><Relationship Id="rId9" Type="http://schemas.openxmlformats.org/officeDocument/2006/relationships/hyperlink" Target="http://www.opic.bg/informatsiya-i-publichnost/grafichni-iziskvaniy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A3A889-3DB6-4B7A-928A-141FACF98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9055</Words>
  <Characters>51617</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60551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Сюзан Зия</dc:creator>
  <cp:lastModifiedBy>Administrator</cp:lastModifiedBy>
  <cp:revision>2</cp:revision>
  <cp:lastPrinted>2017-03-13T07:26:00Z</cp:lastPrinted>
  <dcterms:created xsi:type="dcterms:W3CDTF">2020-10-13T14:27:00Z</dcterms:created>
  <dcterms:modified xsi:type="dcterms:W3CDTF">2020-10-13T14:27:00Z</dcterms:modified>
</cp:coreProperties>
</file>