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E84466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8093E">
        <w:rPr>
          <w:b/>
          <w:i/>
          <w:lang w:val="bg-BG"/>
        </w:rPr>
        <w:t>Д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37772B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F83588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</w:t>
      </w:r>
      <w:r w:rsidR="00302732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E84466" w:rsidRPr="0001439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.008</w:t>
      </w:r>
      <w:r w:rsidR="00C95B02" w:rsidRPr="00C95B02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C93CF4" w:rsidRPr="00C93CF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Предоставяне на институционална подкрепа на ИА „Българска служба за акредитация“ за подобряване на инфраструктурата по качеството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302732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302732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Пре</w:t>
      </w:r>
      <w:r w:rsidR="00431C7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дприемачество и капа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цитет за растеж на МСП“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05D65" w:rsidRDefault="00F83588" w:rsidP="00605D65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0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приоритет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1739AA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.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bookmarkEnd w:id="0"/>
      <w:r w:rsidR="00605D65" w:rsidRPr="009F3FC4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Капацитет за растеж на МСП“ </w:t>
      </w: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9F3FC4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9F3FC4">
        <w:rPr>
          <w:lang w:val="bg-BG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9F3FC4">
        <w:rPr>
          <w:lang w:val="bg-BG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9F3FC4">
        <w:rPr>
          <w:lang w:val="bg-BG"/>
        </w:rPr>
        <w:t>(</w:t>
      </w:r>
      <w:r w:rsidR="00914B17" w:rsidRPr="0078225A">
        <w:rPr>
          <w:lang w:val="bg-BG"/>
        </w:rPr>
        <w:t>неприложимо</w:t>
      </w:r>
      <w:r w:rsidR="00914B17" w:rsidRPr="009F3FC4">
        <w:rPr>
          <w:lang w:val="bg-BG"/>
        </w:rPr>
        <w:t>)</w:t>
      </w:r>
      <w:r w:rsidR="00914B17" w:rsidRPr="0078225A">
        <w:rPr>
          <w:lang w:val="bg-BG"/>
        </w:rPr>
        <w:t xml:space="preserve">. </w:t>
      </w:r>
    </w:p>
    <w:p w:rsidR="004713C1" w:rsidRPr="0078225A" w:rsidRDefault="004713C1" w:rsidP="00502ABC">
      <w:pPr>
        <w:ind w:left="360"/>
        <w:jc w:val="both"/>
        <w:rPr>
          <w:lang w:val="bg-BG"/>
        </w:rPr>
      </w:pPr>
    </w:p>
    <w:p w:rsidR="000D3D06" w:rsidRPr="007A4F36" w:rsidRDefault="00914B17" w:rsidP="008E5262">
      <w:pPr>
        <w:ind w:left="360"/>
        <w:jc w:val="both"/>
        <w:rPr>
          <w:lang w:val="bg-BG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:rsidR="000D3D06" w:rsidRPr="0078225A" w:rsidRDefault="000D3D06" w:rsidP="008E5262">
      <w:pPr>
        <w:ind w:left="360"/>
        <w:jc w:val="both"/>
        <w:rPr>
          <w:lang w:val="bg-BG"/>
        </w:rPr>
      </w:pPr>
    </w:p>
    <w:p w:rsidR="006905B1" w:rsidRPr="003D73BE" w:rsidRDefault="006905B1" w:rsidP="006905B1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Pr="003D73BE">
        <w:rPr>
          <w:lang w:val="bg-BG"/>
        </w:rPr>
        <w:t>Оценителната комисия 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proofErr w:type="spellStart"/>
      <w:r w:rsidR="00673EA1" w:rsidRPr="003D73BE">
        <w:rPr>
          <w:lang w:val="bg-BG"/>
        </w:rPr>
        <w:t>нередовности</w:t>
      </w:r>
      <w:proofErr w:type="spellEnd"/>
      <w:r w:rsidR="00673EA1" w:rsidRPr="003D73BE">
        <w:rPr>
          <w:lang w:val="bg-BG"/>
        </w:rPr>
        <w:t xml:space="preserve">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 xml:space="preserve">отстраняване на установените </w:t>
      </w:r>
      <w:proofErr w:type="spellStart"/>
      <w:r w:rsidR="008463F1" w:rsidRPr="003D73BE">
        <w:rPr>
          <w:lang w:val="bg-BG"/>
        </w:rPr>
        <w:t>нередовности</w:t>
      </w:r>
      <w:proofErr w:type="spellEnd"/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:rsidR="0078225A" w:rsidRDefault="0078225A" w:rsidP="0078225A">
      <w:pPr>
        <w:ind w:left="360"/>
        <w:jc w:val="both"/>
        <w:rPr>
          <w:lang w:val="bg-BG"/>
        </w:rPr>
      </w:pPr>
    </w:p>
    <w:p w:rsidR="0078225A" w:rsidRDefault="0078225A" w:rsidP="0078225A">
      <w:pPr>
        <w:ind w:left="360"/>
        <w:jc w:val="both"/>
        <w:rPr>
          <w:lang w:val="bg-BG"/>
        </w:rPr>
      </w:pPr>
    </w:p>
    <w:p w:rsidR="00CC0092" w:rsidRDefault="00CC009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>I</w:t>
      </w:r>
      <w:r w:rsidRPr="009F3FC4">
        <w:rPr>
          <w:b/>
          <w:lang w:val="bg-BG"/>
        </w:rPr>
        <w:t xml:space="preserve">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:rsidTr="00036D7A">
        <w:tc>
          <w:tcPr>
            <w:tcW w:w="69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9F3FC4">
              <w:rPr>
                <w:lang w:val="bg-BG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3867BC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proofErr w:type="spellStart"/>
            <w:r w:rsidR="003867BC">
              <w:rPr>
                <w:lang w:val="bg-BG"/>
              </w:rPr>
              <w:t>оправомощено</w:t>
            </w:r>
            <w:proofErr w:type="spellEnd"/>
            <w:r w:rsidR="003867BC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737FE2" w:rsidP="00FF6FC7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</w:t>
            </w:r>
            <w:proofErr w:type="spellStart"/>
            <w:r>
              <w:rPr>
                <w:lang w:val="bg-BG"/>
              </w:rPr>
              <w:t>оправомощаване</w:t>
            </w:r>
            <w:proofErr w:type="spellEnd"/>
            <w:r>
              <w:rPr>
                <w:lang w:val="bg-BG"/>
              </w:rPr>
              <w:t xml:space="preserve"> на </w:t>
            </w:r>
            <w:r w:rsidR="00A560E1" w:rsidRPr="00A03557">
              <w:rPr>
                <w:lang w:val="bg-BG"/>
              </w:rPr>
              <w:t xml:space="preserve">лицето, което подписва с КЕП от името на кандидата документите за кандидатстване по проектното предложение в ИСУН 2020 (в случай че е приложимо) - </w:t>
            </w:r>
            <w:r w:rsidR="00A560E1" w:rsidRPr="00077CF8">
              <w:rPr>
                <w:b/>
                <w:lang w:val="bg-BG"/>
              </w:rPr>
              <w:t xml:space="preserve">подписан с КЕП от </w:t>
            </w:r>
            <w:r w:rsidRPr="00077CF8">
              <w:rPr>
                <w:b/>
                <w:lang w:val="bg-BG"/>
              </w:rPr>
              <w:t xml:space="preserve">законния представител на </w:t>
            </w:r>
            <w:r w:rsidR="00A560E1" w:rsidRPr="00077CF8">
              <w:rPr>
                <w:b/>
                <w:lang w:val="bg-BG"/>
              </w:rPr>
              <w:t>кандидата</w:t>
            </w:r>
            <w:r w:rsidR="00473812" w:rsidRPr="00077CF8">
              <w:rPr>
                <w:b/>
                <w:lang w:val="bg-BG"/>
              </w:rPr>
              <w:t xml:space="preserve"> и прикачено в ИСУН 2020</w:t>
            </w:r>
            <w:r w:rsidR="00A560E1" w:rsidRPr="00077CF8">
              <w:rPr>
                <w:b/>
                <w:lang w:val="bg-BG"/>
              </w:rPr>
              <w:t>.</w:t>
            </w:r>
            <w:r w:rsidR="00A560E1" w:rsidRPr="00A03557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116109" w:rsidP="00361E6D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 w:rsidRPr="009F3FC4">
              <w:rPr>
                <w:lang w:val="bg-BG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 с</w:t>
            </w:r>
            <w:r w:rsidR="00926B64" w:rsidRPr="00543AB8">
              <w:rPr>
                <w:b/>
                <w:lang w:val="bg-BG"/>
              </w:rPr>
              <w:t xml:space="preserve"> КЕП </w:t>
            </w:r>
            <w:r w:rsidR="00F6046E" w:rsidRPr="00543AB8">
              <w:rPr>
                <w:b/>
                <w:lang w:val="bg-BG"/>
              </w:rPr>
              <w:t xml:space="preserve">от </w:t>
            </w:r>
            <w:r w:rsidR="0073190E" w:rsidRPr="00543AB8">
              <w:rPr>
                <w:b/>
                <w:lang w:val="bg-BG"/>
              </w:rPr>
              <w:t xml:space="preserve">законния представител </w:t>
            </w:r>
            <w:r w:rsidR="00683A8E" w:rsidRPr="00543AB8">
              <w:rPr>
                <w:b/>
                <w:lang w:val="bg-BG"/>
              </w:rPr>
              <w:t xml:space="preserve">на </w:t>
            </w:r>
            <w:r w:rsidR="00F6046E" w:rsidRPr="00543AB8">
              <w:rPr>
                <w:b/>
                <w:lang w:val="bg-BG"/>
              </w:rPr>
              <w:t>кандидата</w:t>
            </w:r>
            <w:r w:rsidR="00926B64" w:rsidRPr="00543AB8">
              <w:rPr>
                <w:b/>
                <w:lang w:val="bg-BG"/>
              </w:rPr>
              <w:t xml:space="preserve"> и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43AB8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D93DAF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 xml:space="preserve">подписана с КЕП от </w:t>
            </w:r>
            <w:r w:rsidR="00BB731F" w:rsidRPr="00543AB8">
              <w:rPr>
                <w:b/>
                <w:lang w:val="bg-BG"/>
              </w:rPr>
              <w:t xml:space="preserve">законния представител на </w:t>
            </w:r>
            <w:r w:rsidRPr="00543AB8">
              <w:rPr>
                <w:b/>
                <w:lang w:val="bg-BG"/>
              </w:rPr>
              <w:t>кандидата и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2749A">
            <w:pPr>
              <w:jc w:val="both"/>
              <w:rPr>
                <w:highlight w:val="yellow"/>
                <w:lang w:val="bg-BG"/>
              </w:rPr>
            </w:pPr>
            <w:r w:rsidRPr="004A2E50">
              <w:rPr>
                <w:lang w:val="bg-BG"/>
              </w:rPr>
              <w:t>Декларация за съгласие данните от статистическите изследвания, провеждани от НСИ, за дейността на конкретния бенефициент</w:t>
            </w:r>
            <w:r w:rsidRPr="00DB5AD8">
              <w:rPr>
                <w:lang w:val="bg-BG"/>
              </w:rPr>
              <w:t xml:space="preserve"> да бъдат предоставяни от НСИ на УО на ОПИК 2014-2020, </w:t>
            </w:r>
            <w:r w:rsidRPr="00DB5AD8">
              <w:rPr>
                <w:lang w:val="bg-BG"/>
              </w:rPr>
              <w:lastRenderedPageBreak/>
              <w:t>както и разпространявани/публикувани в докладите за изпълнение на програмата - попълнена по образец (</w:t>
            </w:r>
            <w:r w:rsidRPr="007C6F7F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Г</w:t>
            </w:r>
            <w:r w:rsidR="00361E6D">
              <w:rPr>
                <w:b/>
                <w:lang w:val="bg-BG"/>
              </w:rPr>
              <w:t xml:space="preserve"> </w:t>
            </w:r>
            <w:r w:rsidRPr="00DB5AD8">
              <w:rPr>
                <w:lang w:val="bg-BG"/>
              </w:rPr>
              <w:t>към Условията за кандидатстване)</w:t>
            </w:r>
            <w:r w:rsidRPr="007524CC">
              <w:rPr>
                <w:lang w:val="bg-BG"/>
              </w:rPr>
              <w:t xml:space="preserve"> – </w:t>
            </w:r>
            <w:r w:rsidRPr="00361E6D">
              <w:rPr>
                <w:b/>
                <w:lang w:val="bg-BG"/>
              </w:rPr>
              <w:t xml:space="preserve">подписана с КЕП от </w:t>
            </w:r>
            <w:r w:rsidR="00DF2B6B" w:rsidRPr="00361E6D">
              <w:rPr>
                <w:b/>
                <w:lang w:val="bg-BG"/>
              </w:rPr>
              <w:t>законния представител на кандидата</w:t>
            </w:r>
            <w:r w:rsidR="00361E6D">
              <w:rPr>
                <w:b/>
                <w:lang w:val="bg-BG"/>
              </w:rPr>
              <w:t xml:space="preserve"> и прикачена в ИСУН 2020</w:t>
            </w:r>
            <w:r w:rsidR="00DF2B6B" w:rsidRPr="00361E6D">
              <w:rPr>
                <w:b/>
                <w:lang w:val="bg-BG"/>
              </w:rPr>
              <w:t>.</w:t>
            </w:r>
            <w:r w:rsidR="00DF2B6B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72334E" w:rsidP="004F4C01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Техническа спецификация за предвидените за закупуване </w:t>
            </w:r>
            <w:r w:rsidR="004F4C01">
              <w:rPr>
                <w:lang w:val="bg-BG"/>
              </w:rPr>
              <w:t>активи/услуги</w:t>
            </w:r>
            <w:r>
              <w:rPr>
                <w:lang w:val="bg-BG"/>
              </w:rPr>
              <w:t xml:space="preserve"> </w:t>
            </w:r>
            <w:r w:rsidR="00487193" w:rsidRPr="00487193">
              <w:rPr>
                <w:lang w:val="bg-BG"/>
              </w:rPr>
              <w:t>(</w:t>
            </w:r>
            <w:r w:rsidR="00487193" w:rsidRPr="00487193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Е</w:t>
            </w:r>
            <w:r w:rsidR="00487193" w:rsidRPr="00487193">
              <w:rPr>
                <w:lang w:val="bg-BG"/>
              </w:rPr>
              <w:t xml:space="preserve"> към Условия</w:t>
            </w:r>
            <w:r w:rsidR="00543AB8">
              <w:rPr>
                <w:lang w:val="bg-BG"/>
              </w:rPr>
              <w:t>та</w:t>
            </w:r>
            <w:r w:rsidR="00487193" w:rsidRPr="00487193">
              <w:rPr>
                <w:lang w:val="bg-BG"/>
              </w:rPr>
              <w:t xml:space="preserve"> за кандидатстване</w:t>
            </w:r>
            <w:r w:rsidR="00487193" w:rsidRPr="009F3FC4">
              <w:rPr>
                <w:lang w:val="bg-BG"/>
              </w:rPr>
              <w:t>)</w:t>
            </w:r>
            <w:r w:rsidR="00A560E1">
              <w:rPr>
                <w:lang w:val="bg-BG"/>
              </w:rPr>
              <w:t xml:space="preserve"> -</w:t>
            </w:r>
            <w:r w:rsidR="00A560E1" w:rsidRPr="00CA5008">
              <w:rPr>
                <w:lang w:val="bg-BG"/>
              </w:rPr>
              <w:t xml:space="preserve"> </w:t>
            </w:r>
            <w:r w:rsidR="00A560E1" w:rsidRPr="00543AB8">
              <w:rPr>
                <w:b/>
                <w:lang w:val="bg-BG"/>
              </w:rPr>
              <w:t>подписан</w:t>
            </w:r>
            <w:r w:rsidR="006C6643">
              <w:rPr>
                <w:b/>
                <w:lang w:val="bg-BG"/>
              </w:rPr>
              <w:t>а</w:t>
            </w:r>
            <w:r w:rsidR="00A560E1" w:rsidRPr="00543AB8">
              <w:rPr>
                <w:b/>
                <w:lang w:val="bg-BG"/>
              </w:rPr>
              <w:t xml:space="preserve"> с КЕП от </w:t>
            </w:r>
            <w:r w:rsidR="00694879" w:rsidRPr="00543AB8">
              <w:rPr>
                <w:b/>
                <w:lang w:val="bg-BG"/>
              </w:rPr>
              <w:t xml:space="preserve">законния представител на кандидата или </w:t>
            </w:r>
            <w:proofErr w:type="spellStart"/>
            <w:r w:rsidR="00694879" w:rsidRPr="00543AB8">
              <w:rPr>
                <w:b/>
                <w:lang w:val="bg-BG"/>
              </w:rPr>
              <w:t>оправомощено</w:t>
            </w:r>
            <w:proofErr w:type="spellEnd"/>
            <w:r w:rsidR="00694879" w:rsidRPr="00543AB8">
              <w:rPr>
                <w:b/>
                <w:lang w:val="bg-BG"/>
              </w:rPr>
              <w:t xml:space="preserve"> </w:t>
            </w:r>
            <w:r w:rsidR="00A560E1" w:rsidRPr="00543AB8">
              <w:rPr>
                <w:b/>
                <w:lang w:val="bg-BG"/>
              </w:rPr>
              <w:t>за целите на подаването на проектното предложение лице и прикачен</w:t>
            </w:r>
            <w:r w:rsidR="007353CD">
              <w:rPr>
                <w:b/>
                <w:lang w:val="bg-BG"/>
              </w:rPr>
              <w:t>а</w:t>
            </w:r>
            <w:r w:rsidR="00A560E1" w:rsidRPr="00543AB8">
              <w:rPr>
                <w:b/>
                <w:lang w:val="bg-BG"/>
              </w:rPr>
              <w:t xml:space="preserve"> в ИСУН 2020.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E22F8" w:rsidTr="00AF5B52">
        <w:tc>
          <w:tcPr>
            <w:tcW w:w="697" w:type="dxa"/>
          </w:tcPr>
          <w:p w:rsidR="009E22F8" w:rsidRPr="00ED5E3C" w:rsidRDefault="009E22F8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E22F8" w:rsidRDefault="005D4EE9" w:rsidP="0072334E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Оферта и/или извлечение от каталог на производител/ доставчик  и/или проучване в интернет за активи/услуги – с предложена цена от производителя/доставчика – </w:t>
            </w:r>
            <w:r w:rsidRPr="0052749A">
              <w:rPr>
                <w:b/>
                <w:lang w:val="bg-BG"/>
              </w:rPr>
              <w:t>подписана с КЕП от законния представител на кандидата или оправомощено от него лице и прикачена в ИСУН 2020</w:t>
            </w:r>
            <w:r w:rsidR="00456654">
              <w:rPr>
                <w:b/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E22F8" w:rsidRPr="00D9309F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44903" w:rsidTr="00AF5B52">
        <w:tc>
          <w:tcPr>
            <w:tcW w:w="697" w:type="dxa"/>
          </w:tcPr>
          <w:p w:rsidR="00944903" w:rsidRPr="00ED5E3C" w:rsidRDefault="00944903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44903" w:rsidRPr="0052749A" w:rsidRDefault="00944903" w:rsidP="00FA1B19">
            <w:pPr>
              <w:jc w:val="both"/>
              <w:rPr>
                <w:lang w:val="bg-BG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>
              <w:rPr>
                <w:lang w:val="bg-BG"/>
              </w:rPr>
              <w:t xml:space="preserve"> 2014-2020</w:t>
            </w:r>
            <w:r w:rsidR="00545784">
              <w:rPr>
                <w:lang w:val="bg-BG"/>
              </w:rPr>
              <w:t xml:space="preserve"> </w:t>
            </w:r>
            <w:r w:rsidR="00BE1D87" w:rsidRPr="009F3FC4">
              <w:rPr>
                <w:lang w:val="bg-BG"/>
              </w:rPr>
              <w:t>(</w:t>
            </w:r>
            <w:r w:rsidR="00BE1D87" w:rsidRPr="00BE1D87">
              <w:rPr>
                <w:b/>
                <w:lang w:val="bg-BG"/>
              </w:rPr>
              <w:t xml:space="preserve">Приложение </w:t>
            </w:r>
            <w:r w:rsidR="00FA1B19">
              <w:rPr>
                <w:b/>
                <w:lang w:val="bg-BG"/>
              </w:rPr>
              <w:t>Ж</w:t>
            </w:r>
            <w:r w:rsidR="00BE1D87" w:rsidRPr="009F3FC4">
              <w:rPr>
                <w:lang w:val="bg-BG"/>
              </w:rPr>
              <w:t>)</w:t>
            </w:r>
            <w:r w:rsidRPr="004C22AC">
              <w:rPr>
                <w:lang w:val="bg-BG"/>
              </w:rPr>
              <w:t xml:space="preserve">, </w:t>
            </w:r>
            <w:r w:rsidRPr="004409D2">
              <w:rPr>
                <w:b/>
                <w:lang w:val="bg-BG"/>
              </w:rPr>
              <w:t>подписана с КЕП от законния представител на кандидата и</w:t>
            </w:r>
            <w:r w:rsidR="00FC2CE4">
              <w:rPr>
                <w:b/>
                <w:lang w:val="bg-BG"/>
              </w:rPr>
              <w:t xml:space="preserve">ли </w:t>
            </w:r>
            <w:proofErr w:type="spellStart"/>
            <w:r w:rsidR="00FC2CE4">
              <w:rPr>
                <w:b/>
                <w:lang w:val="bg-BG"/>
              </w:rPr>
              <w:t>оправомощено</w:t>
            </w:r>
            <w:proofErr w:type="spellEnd"/>
            <w:r w:rsidR="00FC2CE4">
              <w:rPr>
                <w:b/>
                <w:lang w:val="bg-BG"/>
              </w:rPr>
              <w:t xml:space="preserve"> от него лице и </w:t>
            </w:r>
            <w:r w:rsidRPr="004409D2">
              <w:rPr>
                <w:b/>
                <w:lang w:val="bg-BG"/>
              </w:rPr>
              <w:t xml:space="preserve"> прикачена в ИСУН 2020.</w:t>
            </w:r>
          </w:p>
        </w:tc>
        <w:tc>
          <w:tcPr>
            <w:tcW w:w="55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44903" w:rsidRPr="00323D14" w:rsidRDefault="00944903" w:rsidP="007A4F3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44903" w:rsidRPr="00D9309F" w:rsidRDefault="00944903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260183" w:rsidRDefault="00260183" w:rsidP="00EE7945">
      <w:pPr>
        <w:ind w:left="360"/>
        <w:rPr>
          <w:b/>
          <w:lang w:val="bg-BG"/>
        </w:rPr>
      </w:pPr>
    </w:p>
    <w:p w:rsidR="00573374" w:rsidRPr="0060288D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  <w:r w:rsidR="0060288D" w:rsidRPr="0060288D">
        <w:rPr>
          <w:b/>
          <w:lang w:val="bg-BG"/>
        </w:rPr>
        <w:t>.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1 „Основни данни“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A86FFE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2339DF" w:rsidRPr="00D9309F" w:rsidTr="00465B02">
        <w:trPr>
          <w:trHeight w:val="313"/>
        </w:trPr>
        <w:tc>
          <w:tcPr>
            <w:tcW w:w="644" w:type="dxa"/>
            <w:vAlign w:val="center"/>
          </w:tcPr>
          <w:p w:rsidR="002339DF" w:rsidRPr="009F3FC4" w:rsidRDefault="002339DF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</w:t>
            </w:r>
            <w:proofErr w:type="spellStart"/>
            <w:r>
              <w:rPr>
                <w:lang w:val="bg-BG"/>
              </w:rPr>
              <w:t>2</w:t>
            </w:r>
            <w:proofErr w:type="spellEnd"/>
            <w:r>
              <w:rPr>
                <w:lang w:val="bg-BG"/>
              </w:rPr>
              <w:t xml:space="preserve">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Pr="001825FA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2.3. Оперативен капацитет –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D9309F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2339DF" w:rsidRPr="009F3FC4" w:rsidRDefault="002339DF" w:rsidP="002339DF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F3FC4">
              <w:rPr>
                <w:lang w:val="bg-BG"/>
              </w:rPr>
              <w:t xml:space="preserve">Формуляр за кандидатстване,  т. 7 „План за изпълнение/Дейности по проекта“; т. </w:t>
            </w:r>
            <w:r w:rsidRPr="009F3FC4">
              <w:rPr>
                <w:lang w:val="bg-BG"/>
              </w:rPr>
              <w:lastRenderedPageBreak/>
              <w:t xml:space="preserve">9 „Екип“; Доклади от извършен анализ и оценка на административния, технически и финансов капацитет за изпълнение на дейности по проекти по ОПИК 2014-2020. </w:t>
            </w:r>
          </w:p>
          <w:p w:rsidR="002339DF" w:rsidRDefault="002339DF" w:rsidP="002339DF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9F3FC4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5406C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52749A" w:rsidRDefault="00A86FFE" w:rsidP="001E0012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r w:rsidR="001E0012" w:rsidRPr="00303310">
              <w:rPr>
                <w:lang w:val="bg-BG"/>
              </w:rPr>
              <w:t xml:space="preserve">36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231A0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по проекта НЕ са </w:t>
            </w:r>
            <w:r w:rsidR="001904FA" w:rsidRPr="0052749A">
              <w:rPr>
                <w:lang w:val="bg-BG"/>
              </w:rPr>
              <w:t xml:space="preserve">били </w:t>
            </w:r>
            <w:r w:rsidRPr="0052749A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52749A">
              <w:rPr>
                <w:lang w:val="bg-BG"/>
              </w:rPr>
              <w:t xml:space="preserve">на проектното предложение </w:t>
            </w:r>
            <w:r w:rsidRPr="0052749A">
              <w:rPr>
                <w:lang w:val="bg-BG"/>
              </w:rPr>
              <w:t>за финансиране</w:t>
            </w:r>
            <w:r w:rsidR="001904FA" w:rsidRPr="0052749A">
              <w:rPr>
                <w:lang w:val="bg-BG"/>
              </w:rPr>
              <w:t xml:space="preserve"> по програмата</w:t>
            </w:r>
            <w:r w:rsidRPr="0052749A">
              <w:rPr>
                <w:lang w:val="bg-BG"/>
              </w:rPr>
              <w:t xml:space="preserve">, </w:t>
            </w:r>
            <w:r w:rsidR="004668FB" w:rsidRPr="0052749A">
              <w:rPr>
                <w:lang w:val="bg-BG"/>
              </w:rPr>
              <w:t xml:space="preserve">независимо дали всички </w:t>
            </w:r>
            <w:r w:rsidR="001904FA" w:rsidRPr="0052749A">
              <w:rPr>
                <w:lang w:val="bg-BG"/>
              </w:rPr>
              <w:t>свързани плащания са направени от бенефициента или не</w:t>
            </w:r>
            <w:r w:rsidR="00990C49" w:rsidRPr="0052749A">
              <w:rPr>
                <w:lang w:val="bg-BG"/>
              </w:rPr>
              <w:t xml:space="preserve"> съгласно т.1 , т.7 и  т.10 от Формуляра за кандидатстване.</w:t>
            </w:r>
            <w:r w:rsidR="001904FA"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</w:tbl>
    <w:p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E419BB">
        <w:rPr>
          <w:b/>
          <w:lang w:val="en-US"/>
        </w:rPr>
        <w:t>II</w:t>
      </w:r>
      <w:r w:rsidR="00E419BB" w:rsidRPr="009F3FC4">
        <w:rPr>
          <w:b/>
          <w:lang w:val="bg-BG"/>
        </w:rPr>
        <w:t xml:space="preserve">. </w:t>
      </w:r>
      <w:r w:rsidR="00215587" w:rsidRPr="00B3571E">
        <w:rPr>
          <w:b/>
          <w:lang w:val="bg-BG"/>
        </w:rPr>
        <w:t>Критерии за техническа</w:t>
      </w:r>
      <w:r w:rsidR="00230E36" w:rsidRPr="009F3FC4">
        <w:rPr>
          <w:b/>
          <w:lang w:val="bg-BG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8617"/>
        <w:gridCol w:w="561"/>
        <w:gridCol w:w="574"/>
        <w:gridCol w:w="574"/>
        <w:gridCol w:w="4021"/>
      </w:tblGrid>
      <w:tr w:rsidR="00AE7AB7" w:rsidRPr="00D9309F" w:rsidTr="00567450">
        <w:trPr>
          <w:trHeight w:val="22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6D3D5A" w:rsidRPr="0052749A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6D3D5A" w:rsidRDefault="006D3D5A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</w:t>
            </w:r>
            <w:r w:rsidRPr="00D9309F">
              <w:rPr>
                <w:sz w:val="22"/>
                <w:szCs w:val="22"/>
                <w:lang w:val="en-US"/>
              </w:rPr>
              <w:lastRenderedPageBreak/>
              <w:t>.</w:t>
            </w:r>
          </w:p>
        </w:tc>
        <w:tc>
          <w:tcPr>
            <w:tcW w:w="8617" w:type="dxa"/>
            <w:vAlign w:val="center"/>
          </w:tcPr>
          <w:p w:rsidR="00020C8E" w:rsidRPr="0052749A" w:rsidRDefault="00020C8E" w:rsidP="00AF5B52">
            <w:pPr>
              <w:jc w:val="both"/>
              <w:rPr>
                <w:lang w:val="bg-BG"/>
              </w:rPr>
            </w:pPr>
            <w:r w:rsidRPr="00020C8E">
              <w:rPr>
                <w:lang w:val="bg-BG"/>
              </w:rPr>
              <w:lastRenderedPageBreak/>
              <w:t xml:space="preserve">Проектното предложение допринася за постигане на специфичната цел на </w:t>
            </w:r>
            <w:r w:rsidRPr="00020C8E">
              <w:rPr>
                <w:lang w:val="bg-BG"/>
              </w:rPr>
              <w:lastRenderedPageBreak/>
              <w:t>инвестиционния приоритет и целта на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</w:t>
            </w:r>
            <w:r>
              <w:rPr>
                <w:sz w:val="22"/>
                <w:szCs w:val="22"/>
                <w:lang w:val="bg-BG"/>
              </w:rPr>
              <w:lastRenderedPageBreak/>
              <w:t>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D9309F" w:rsidRDefault="00DC4CE1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9F3FC4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9F1CBF" w:rsidRDefault="005C069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Проектното предложение е в съответствие с приложими</w:t>
            </w:r>
            <w:r w:rsidR="00E20506">
              <w:rPr>
                <w:lang w:val="bg-BG"/>
              </w:rPr>
              <w:t>те</w:t>
            </w:r>
            <w:r w:rsidRPr="001825FA">
              <w:rPr>
                <w:lang w:val="bg-BG"/>
              </w:rPr>
              <w:t xml:space="preserve"> хоризонтални политики на ЕС</w:t>
            </w:r>
            <w:r w:rsidR="009F1CBF">
              <w:rPr>
                <w:lang w:val="bg-BG"/>
              </w:rPr>
              <w:t xml:space="preserve">: </w:t>
            </w:r>
          </w:p>
          <w:p w:rsidR="009F1CBF" w:rsidRDefault="009F1CBF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Насърчаване на равенството между мъжете и жените и на недискриминацията – проектът насърчава равните възможности за всички, независимо от пол и етническа принадлежност, религия или вероизповедание, включително възможностите за достъп за хора с увреждания чрез интегрирането на принципа на недискримин</w:t>
            </w:r>
            <w:r w:rsidR="007D594D">
              <w:rPr>
                <w:lang w:val="bg-BG"/>
              </w:rPr>
              <w:t xml:space="preserve">ация. </w:t>
            </w:r>
          </w:p>
          <w:p w:rsidR="007D594D" w:rsidRPr="007D594D" w:rsidRDefault="007D594D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</w:p>
          <w:p w:rsidR="009F1CBF" w:rsidRPr="007D594D" w:rsidRDefault="009F1CBF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 Устойчиво развитие 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</w:t>
            </w:r>
            <w:r>
              <w:rPr>
                <w:rFonts w:ascii="Calibri" w:eastAsia="Calibri" w:hAnsi="Calibri"/>
              </w:rPr>
              <w:t xml:space="preserve"> </w:t>
            </w:r>
            <w:r w:rsidRPr="007D594D">
              <w:rPr>
                <w:lang w:val="bg-BG"/>
              </w:rPr>
              <w:t>разнообразие, устойчивостта на природни бедствия, както и превенцията и управлението на риска.</w:t>
            </w:r>
          </w:p>
          <w:p w:rsidR="005C069E" w:rsidRPr="0052749A" w:rsidRDefault="005C069E" w:rsidP="0052749A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Pr="009F3FC4" w:rsidRDefault="000A7A7D" w:rsidP="00AF5B52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  <w:r w:rsidR="00760952">
              <w:rPr>
                <w:sz w:val="22"/>
                <w:szCs w:val="22"/>
                <w:lang w:val="bg-BG"/>
              </w:rPr>
              <w:t>.</w:t>
            </w:r>
          </w:p>
          <w:p w:rsidR="00760952" w:rsidRDefault="00760952" w:rsidP="00AF5B52">
            <w:pPr>
              <w:jc w:val="both"/>
              <w:rPr>
                <w:i/>
                <w:lang w:val="bg-BG"/>
              </w:rPr>
            </w:pPr>
          </w:p>
          <w:p w:rsidR="00AE7AB7" w:rsidRPr="00D9309F" w:rsidRDefault="00AE7AB7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BF2FBE" w:rsidRPr="0052749A" w:rsidRDefault="00BF2FBE" w:rsidP="00AF5B52">
            <w:pPr>
              <w:jc w:val="both"/>
              <w:rPr>
                <w:bCs/>
                <w:lang w:val="bg-BG"/>
              </w:rPr>
            </w:pPr>
            <w:r w:rsidRPr="00BF2FBE">
              <w:rPr>
                <w:lang w:val="bg-BG"/>
              </w:rPr>
              <w:t>Проектното предложение демонстрира ясна връзка между цели, дейности и резултати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241C11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проекта“; </w:t>
            </w:r>
            <w:r w:rsidR="00B26782">
              <w:rPr>
                <w:sz w:val="22"/>
                <w:szCs w:val="22"/>
                <w:lang w:val="bg-BG"/>
              </w:rPr>
              <w:t>т. 11 „Допълнителна информация, необходима за оценка на проектното предложение</w:t>
            </w:r>
            <w:r w:rsidR="006B2D91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D9309F" w:rsidRDefault="00C3636E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52E0D" w:rsidRPr="00E80DC0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152E0D" w:rsidRPr="0052749A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152E0D" w:rsidRDefault="00152E0D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E80DC0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BF2FBE" w:rsidRPr="00BF2FBE" w:rsidRDefault="00BF2FBE" w:rsidP="00E65328">
            <w:pPr>
              <w:jc w:val="both"/>
              <w:rPr>
                <w:lang w:val="bg-BG"/>
              </w:rPr>
            </w:pPr>
            <w:r w:rsidRPr="00BF2FBE">
              <w:rPr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дейност, нейният принос за постигане на очакваните резултати</w:t>
            </w:r>
            <w:r>
              <w:rPr>
                <w:lang w:val="bg-BG"/>
              </w:rPr>
              <w:t>.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67143F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E80DC0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vAlign w:val="center"/>
          </w:tcPr>
          <w:p w:rsidR="001E057D" w:rsidRPr="0052749A" w:rsidRDefault="001E057D" w:rsidP="00AF5B52">
            <w:pPr>
              <w:jc w:val="both"/>
              <w:rPr>
                <w:lang w:val="bg-BG"/>
              </w:rPr>
            </w:pPr>
            <w:r w:rsidRPr="001E057D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</w:t>
            </w:r>
            <w:r w:rsidR="00385FBA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>, т. 7</w:t>
            </w:r>
            <w:r w:rsidR="003D2F16" w:rsidRPr="00D7086B">
              <w:rPr>
                <w:sz w:val="22"/>
                <w:szCs w:val="22"/>
                <w:lang w:val="bg-BG"/>
              </w:rPr>
              <w:t xml:space="preserve"> </w:t>
            </w:r>
            <w:r w:rsidR="003D2F16">
              <w:rPr>
                <w:sz w:val="22"/>
                <w:szCs w:val="22"/>
                <w:lang w:val="bg-BG"/>
              </w:rPr>
              <w:t>„</w:t>
            </w:r>
            <w:r w:rsidR="003D2F16" w:rsidRPr="00D7086B">
              <w:rPr>
                <w:sz w:val="22"/>
                <w:szCs w:val="22"/>
                <w:lang w:val="bg-BG"/>
              </w:rPr>
              <w:t>План за изпълнение/Дейности по проекта“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3D2F16">
              <w:rPr>
                <w:sz w:val="22"/>
                <w:szCs w:val="22"/>
                <w:lang w:val="bg-BG"/>
              </w:rPr>
              <w:t xml:space="preserve"> 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51"/>
        </w:trPr>
        <w:tc>
          <w:tcPr>
            <w:tcW w:w="652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385FBA" w:rsidRPr="0052749A" w:rsidRDefault="00385FBA" w:rsidP="002D262A">
            <w:pPr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Планът за външно възлагане е в съответствие с предвидените дейности, като кандидатът е предвидил механизми, позволяващи мониторинг и текущ контрол на изпълнението на предвидените поръчки и своевременното предприемане на корективни мерки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 xml:space="preserve">, </w:t>
            </w:r>
            <w:r w:rsidR="0000294F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7052F">
              <w:rPr>
                <w:sz w:val="22"/>
                <w:szCs w:val="22"/>
                <w:lang w:val="bg-BG"/>
              </w:rPr>
              <w:t>“</w:t>
            </w:r>
            <w:r w:rsidR="0000294F">
              <w:rPr>
                <w:sz w:val="22"/>
                <w:szCs w:val="22"/>
                <w:lang w:val="bg-BG"/>
              </w:rPr>
              <w:t xml:space="preserve">; </w:t>
            </w:r>
            <w:r w:rsidR="00C57C04">
              <w:rPr>
                <w:sz w:val="22"/>
                <w:szCs w:val="22"/>
                <w:lang w:val="bg-BG"/>
              </w:rPr>
              <w:t>т.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2150D5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85FBA" w:rsidRPr="0052749A" w:rsidRDefault="00385FBA" w:rsidP="00AF5B52">
            <w:pPr>
              <w:spacing w:before="60" w:after="60"/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5045A9" w:rsidRPr="009F3FC4" w:rsidRDefault="005045A9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11 „Допълнителна информация, необходима за оценка на проектното предложение“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програма.</w:t>
            </w:r>
          </w:p>
          <w:p w:rsidR="005045A9" w:rsidRPr="00D9309F" w:rsidRDefault="005045A9" w:rsidP="007A4F36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47838" w:rsidRPr="0052749A" w:rsidRDefault="00347838" w:rsidP="00AF5B52">
            <w:pPr>
              <w:spacing w:before="60" w:after="60"/>
              <w:jc w:val="both"/>
              <w:rPr>
                <w:lang w:val="bg-BG"/>
              </w:rPr>
            </w:pPr>
            <w:r w:rsidRPr="00347838">
              <w:rPr>
                <w:lang w:val="bg-BG"/>
              </w:rPr>
              <w:t>Конкретният бенефициент е предложил екип с подходяща квалификация и опит за изпълнението на дейностите по проекта. Предложено е ясно разделение на отговорностите и функциите между отделните членове на екипа</w:t>
            </w:r>
            <w:r w:rsidR="00EE7BBB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D9309F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5045A9" w:rsidRDefault="005045A9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 w:rsidR="001011DB">
              <w:rPr>
                <w:sz w:val="22"/>
                <w:szCs w:val="22"/>
                <w:lang w:val="bg-BG"/>
              </w:rPr>
              <w:t xml:space="preserve"> за кандидатстване, т. 9 „Екип“; Средносрочна рамкова програма.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5045A9" w:rsidRPr="00D9309F" w:rsidRDefault="005045A9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shd w:val="pct5" w:color="auto" w:fill="auto"/>
            <w:vAlign w:val="center"/>
          </w:tcPr>
          <w:p w:rsidR="005045A9" w:rsidRPr="005C069E" w:rsidRDefault="005045A9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5045A9" w:rsidRPr="0052749A" w:rsidRDefault="005045A9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Бюджет и ефективност на разходите</w:t>
            </w:r>
            <w:r w:rsidRPr="0052749A">
              <w:rPr>
                <w:b/>
              </w:rPr>
              <w:t xml:space="preserve">  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5045A9" w:rsidRDefault="005045A9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461E53" w:rsidRPr="008A35FE" w:rsidRDefault="00461E53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финансирането, на които кандидатства по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4D73CD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F53E44" w:rsidRDefault="00F53E44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Приложение Б; </w:t>
            </w:r>
            <w:r w:rsidRPr="00953DA5">
              <w:rPr>
                <w:sz w:val="22"/>
                <w:szCs w:val="22"/>
                <w:lang w:val="bg-BG"/>
              </w:rPr>
              <w:t>Бюджет на проекта (т. 5 от Формуляра за кандидатстване);</w:t>
            </w:r>
            <w:r>
              <w:rPr>
                <w:sz w:val="22"/>
                <w:szCs w:val="22"/>
                <w:lang w:val="bg-BG"/>
              </w:rPr>
              <w:t xml:space="preserve"> т. 6 „Финансова информация – източници на финансиране“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</w:t>
            </w:r>
            <w:r>
              <w:rPr>
                <w:sz w:val="22"/>
                <w:szCs w:val="22"/>
                <w:lang w:val="bg-BG"/>
              </w:rPr>
              <w:t xml:space="preserve">. </w:t>
            </w:r>
          </w:p>
          <w:p w:rsidR="00F53E44" w:rsidRPr="00D9309F" w:rsidRDefault="00F53E44" w:rsidP="007A4F36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2. </w:t>
            </w:r>
          </w:p>
        </w:tc>
        <w:tc>
          <w:tcPr>
            <w:tcW w:w="8617" w:type="dxa"/>
            <w:vAlign w:val="center"/>
          </w:tcPr>
          <w:p w:rsidR="00461E53" w:rsidRPr="0052749A" w:rsidRDefault="00864CF1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</w:t>
            </w:r>
            <w:r>
              <w:rPr>
                <w:lang w:val="bg-BG"/>
              </w:rPr>
              <w:t>.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6866E8" w:rsidRPr="006866E8" w:rsidRDefault="006866E8" w:rsidP="00AF5B52">
            <w:pPr>
              <w:spacing w:before="60" w:after="60"/>
              <w:jc w:val="both"/>
              <w:rPr>
                <w:lang w:val="bg-BG"/>
              </w:rPr>
            </w:pPr>
            <w:r w:rsidRPr="006866E8">
              <w:rPr>
                <w:lang w:val="bg-BG"/>
              </w:rPr>
              <w:t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1E3D33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 w:rsidR="001E3D33">
              <w:rPr>
                <w:sz w:val="22"/>
                <w:szCs w:val="22"/>
                <w:lang w:val="bg-BG"/>
              </w:rPr>
              <w:t xml:space="preserve">; </w:t>
            </w:r>
            <w:r w:rsidR="001E3D33" w:rsidRPr="001E3D33">
              <w:rPr>
                <w:sz w:val="22"/>
                <w:szCs w:val="22"/>
                <w:lang w:val="bg-BG"/>
              </w:rPr>
              <w:t>Техническа спецификация на предвидените за закупуване активи/ус</w:t>
            </w:r>
            <w:bookmarkStart w:id="1" w:name="_GoBack"/>
            <w:bookmarkEnd w:id="1"/>
            <w:r w:rsidR="001E3D33" w:rsidRPr="001E3D33">
              <w:rPr>
                <w:sz w:val="22"/>
                <w:szCs w:val="22"/>
                <w:lang w:val="bg-BG"/>
              </w:rPr>
              <w:t>луги</w:t>
            </w:r>
            <w:r w:rsidR="008B3A9C">
              <w:rPr>
                <w:sz w:val="22"/>
                <w:szCs w:val="22"/>
                <w:lang w:val="bg-BG"/>
              </w:rPr>
              <w:t xml:space="preserve">; </w:t>
            </w:r>
            <w:r w:rsidR="00877B76" w:rsidRPr="0052749A">
              <w:rPr>
                <w:lang w:val="bg-BG"/>
              </w:rPr>
              <w:t>Оферта и/или извлечение от каталог на производител/ доставчик  и/или проучване в интернет за активи/услуги</w:t>
            </w:r>
            <w:r w:rsidR="00877B76">
              <w:rPr>
                <w:lang w:val="bg-BG"/>
              </w:rPr>
              <w:t xml:space="preserve">. 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4. </w:t>
            </w:r>
          </w:p>
        </w:tc>
        <w:tc>
          <w:tcPr>
            <w:tcW w:w="8617" w:type="dxa"/>
            <w:vAlign w:val="center"/>
          </w:tcPr>
          <w:p w:rsidR="000F5AB8" w:rsidRPr="0052749A" w:rsidRDefault="000F5AB8" w:rsidP="00AF5B52">
            <w:pPr>
              <w:spacing w:before="60" w:after="60"/>
              <w:jc w:val="both"/>
              <w:rPr>
                <w:lang w:val="bg-BG"/>
              </w:rPr>
            </w:pPr>
            <w:r w:rsidRPr="000F5AB8">
              <w:rPr>
                <w:lang w:val="bg-BG"/>
              </w:rPr>
              <w:t>Размерът на исканата безвъзмездна финансова помощ е в съответствие с максималните размери, указани в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проверка: Бюджет на проекта 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877B76" w:rsidP="00ED1252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5</w:t>
            </w:r>
            <w:r w:rsidR="00F53E44">
              <w:rPr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8617" w:type="dxa"/>
            <w:vAlign w:val="center"/>
          </w:tcPr>
          <w:p w:rsidR="002A08B1" w:rsidRPr="0052749A" w:rsidRDefault="002A08B1" w:rsidP="00AF5B52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>Общата стойност на разходите за организация и управление на проекта не надхвърля 10 %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2A08B1" w:rsidRPr="0052749A" w:rsidRDefault="002A08B1" w:rsidP="002B06D1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 xml:space="preserve">Кандидатът е предвидил разходи </w:t>
            </w:r>
            <w:r w:rsidR="002B06D1">
              <w:rPr>
                <w:lang w:val="bg-BG"/>
              </w:rPr>
              <w:t xml:space="preserve">за </w:t>
            </w:r>
            <w:r w:rsidRPr="002A08B1">
              <w:rPr>
                <w:lang w:val="bg-BG"/>
              </w:rPr>
              <w:t>извършване на независим одит на проекта, като общата стойност на разходите за одит не надхвърля 10 000 лв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636CB4" w:rsidRPr="0052749A" w:rsidRDefault="00636CB4" w:rsidP="00AF5B52">
            <w:pPr>
              <w:spacing w:before="60" w:after="60"/>
              <w:jc w:val="both"/>
              <w:rPr>
                <w:lang w:val="bg-BG"/>
              </w:rPr>
            </w:pPr>
            <w:r w:rsidRPr="00EE305E">
              <w:rPr>
                <w:lang w:val="bg-BG"/>
              </w:rPr>
              <w:t>Предвидени са разходи за информация и комуникация, в съответствие с изискванията на Регламент (ЕС) № 1303/2013, Приложение XII „Информация и комуникация относно подкрепата от фондовете“</w:t>
            </w:r>
            <w:r w:rsidR="00EE305E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AB1FBB">
              <w:rPr>
                <w:sz w:val="22"/>
                <w:szCs w:val="22"/>
                <w:lang w:val="bg-BG"/>
              </w:rPr>
            </w:r>
            <w:r w:rsidR="00AB1FBB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0F1F81" w:rsidRPr="00D9309F" w:rsidTr="00567450">
        <w:trPr>
          <w:trHeight w:val="351"/>
        </w:trPr>
        <w:tc>
          <w:tcPr>
            <w:tcW w:w="652" w:type="dxa"/>
            <w:vAlign w:val="center"/>
          </w:tcPr>
          <w:p w:rsidR="000F1F81" w:rsidRPr="00D9309F" w:rsidRDefault="000F1F81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CE59F6" w:rsidRPr="000F1F81" w:rsidRDefault="00CE59F6" w:rsidP="00AF5B52">
            <w:pPr>
              <w:spacing w:before="60" w:after="60"/>
              <w:jc w:val="both"/>
              <w:rPr>
                <w:lang w:val="bg-BG"/>
              </w:rPr>
            </w:pPr>
            <w:r w:rsidRPr="00CE59F6">
              <w:rPr>
                <w:lang w:val="bg-BG"/>
              </w:rPr>
              <w:t>Предвидените разходи за информация и комуникация не надхвърлят 1%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4D73CD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0F1F81" w:rsidRDefault="000F1F81" w:rsidP="007A4F36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0F1F81" w:rsidRPr="00D9309F" w:rsidRDefault="000F1F81" w:rsidP="007A4F36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lastRenderedPageBreak/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433A3F" w:rsidRDefault="00E561B5" w:rsidP="00F46F02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B06644">
        <w:rPr>
          <w:bCs/>
          <w:sz w:val="22"/>
          <w:szCs w:val="22"/>
          <w:lang w:val="bg-BG"/>
        </w:rPr>
        <w:t>В случай че по време на оценка</w:t>
      </w:r>
      <w:r w:rsidR="008B7C5D">
        <w:rPr>
          <w:bCs/>
          <w:sz w:val="22"/>
          <w:szCs w:val="22"/>
          <w:lang w:val="bg-BG"/>
        </w:rPr>
        <w:t>та</w:t>
      </w:r>
      <w:r w:rsidRPr="00B06644">
        <w:rPr>
          <w:bCs/>
          <w:sz w:val="22"/>
          <w:szCs w:val="22"/>
          <w:lang w:val="bg-BG"/>
        </w:rPr>
        <w:t xml:space="preserve"> се установи </w:t>
      </w:r>
      <w:r w:rsidR="004B19FB" w:rsidRPr="00B06644">
        <w:rPr>
          <w:bCs/>
          <w:sz w:val="22"/>
          <w:szCs w:val="22"/>
          <w:lang w:val="bg-BG"/>
        </w:rPr>
        <w:t xml:space="preserve">наличие на недопустими </w:t>
      </w:r>
      <w:r w:rsidR="008B7C5D">
        <w:rPr>
          <w:bCs/>
          <w:sz w:val="22"/>
          <w:szCs w:val="22"/>
          <w:lang w:val="bg-BG"/>
        </w:rPr>
        <w:t xml:space="preserve">или необосновани </w:t>
      </w:r>
      <w:r w:rsidR="004B19FB" w:rsidRPr="00B06644">
        <w:rPr>
          <w:bCs/>
          <w:sz w:val="22"/>
          <w:szCs w:val="22"/>
          <w:lang w:val="bg-BG"/>
        </w:rPr>
        <w:t>разходи</w:t>
      </w:r>
      <w:r w:rsidR="00352769">
        <w:rPr>
          <w:bCs/>
          <w:sz w:val="22"/>
          <w:szCs w:val="22"/>
          <w:lang w:val="bg-BG"/>
        </w:rPr>
        <w:t xml:space="preserve">, </w:t>
      </w:r>
      <w:r w:rsidR="007979DA">
        <w:rPr>
          <w:bCs/>
          <w:sz w:val="22"/>
          <w:szCs w:val="22"/>
          <w:lang w:val="bg-BG"/>
        </w:rPr>
        <w:t xml:space="preserve"> </w:t>
      </w:r>
      <w:r w:rsidR="007979DA" w:rsidRPr="007979DA">
        <w:rPr>
          <w:bCs/>
          <w:sz w:val="22"/>
          <w:szCs w:val="22"/>
          <w:lang w:val="bg-BG"/>
        </w:rPr>
        <w:t xml:space="preserve">Оценителната комисия може да нанесе корекции в т. 5 „Бюджет на проекта“ от Формуляра за кандидатстване и/или </w:t>
      </w:r>
      <w:r w:rsidR="007979DA">
        <w:rPr>
          <w:bCs/>
          <w:sz w:val="22"/>
          <w:szCs w:val="22"/>
          <w:lang w:val="bg-BG"/>
        </w:rPr>
        <w:t xml:space="preserve">да предостави на </w:t>
      </w:r>
      <w:r w:rsidR="007979DA" w:rsidRPr="007979DA">
        <w:rPr>
          <w:bCs/>
          <w:sz w:val="22"/>
          <w:szCs w:val="22"/>
          <w:lang w:val="bg-BG"/>
        </w:rPr>
        <w:t xml:space="preserve">кандидата указания и срок за отстраняване на установените </w:t>
      </w:r>
      <w:proofErr w:type="spellStart"/>
      <w:r w:rsidR="007979DA" w:rsidRPr="007979DA">
        <w:rPr>
          <w:bCs/>
          <w:sz w:val="22"/>
          <w:szCs w:val="22"/>
          <w:lang w:val="bg-BG"/>
        </w:rPr>
        <w:t>нередовности</w:t>
      </w:r>
      <w:proofErr w:type="spellEnd"/>
      <w:r w:rsidR="007979DA" w:rsidRPr="007979DA">
        <w:rPr>
          <w:bCs/>
          <w:sz w:val="22"/>
          <w:szCs w:val="22"/>
          <w:lang w:val="bg-BG"/>
        </w:rPr>
        <w:t>, непълноти и/или несъответствия</w:t>
      </w:r>
      <w:r w:rsidR="0095116D">
        <w:rPr>
          <w:bCs/>
          <w:sz w:val="22"/>
          <w:szCs w:val="22"/>
          <w:lang w:val="bg-BG"/>
        </w:rPr>
        <w:t xml:space="preserve">. </w:t>
      </w:r>
    </w:p>
    <w:p w:rsidR="00352769" w:rsidRDefault="00352769" w:rsidP="00F46F02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</w:p>
    <w:p w:rsidR="00352769" w:rsidRDefault="00352769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</w:p>
    <w:p w:rsidR="00201EEF" w:rsidRPr="00B06644" w:rsidRDefault="00201EEF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</w:p>
    <w:p w:rsidR="007D5587" w:rsidRPr="007A2B61" w:rsidRDefault="007D5587" w:rsidP="00F761E2">
      <w:pPr>
        <w:tabs>
          <w:tab w:val="left" w:pos="567"/>
          <w:tab w:val="left" w:pos="2268"/>
        </w:tabs>
        <w:suppressAutoHyphens/>
        <w:overflowPunct w:val="0"/>
        <w:autoSpaceDE w:val="0"/>
        <w:jc w:val="both"/>
        <w:textAlignment w:val="baseline"/>
        <w:rPr>
          <w:bCs/>
          <w:sz w:val="22"/>
          <w:szCs w:val="22"/>
          <w:lang w:val="bg-BG"/>
        </w:rPr>
      </w:pPr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FBB" w:rsidRDefault="00AB1FBB">
      <w:r>
        <w:separator/>
      </w:r>
    </w:p>
  </w:endnote>
  <w:endnote w:type="continuationSeparator" w:id="0">
    <w:p w:rsidR="00AB1FBB" w:rsidRDefault="00AB1FBB">
      <w:r>
        <w:continuationSeparator/>
      </w:r>
    </w:p>
  </w:endnote>
  <w:endnote w:type="continuationNotice" w:id="1">
    <w:p w:rsidR="00AB1FBB" w:rsidRDefault="00AB1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35" w:rsidRDefault="00866135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66135" w:rsidRDefault="00866135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35" w:rsidRDefault="00866135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3D33">
      <w:rPr>
        <w:rStyle w:val="PageNumber"/>
        <w:noProof/>
      </w:rPr>
      <w:t>1</w:t>
    </w:r>
    <w:r>
      <w:rPr>
        <w:rStyle w:val="PageNumber"/>
      </w:rPr>
      <w:fldChar w:fldCharType="end"/>
    </w:r>
  </w:p>
  <w:p w:rsidR="00866135" w:rsidRDefault="00866135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35" w:rsidRDefault="00866135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3D33">
      <w:rPr>
        <w:rStyle w:val="PageNumber"/>
        <w:noProof/>
      </w:rPr>
      <w:t>10</w:t>
    </w:r>
    <w:r>
      <w:rPr>
        <w:rStyle w:val="PageNumber"/>
      </w:rPr>
      <w:fldChar w:fldCharType="end"/>
    </w:r>
  </w:p>
  <w:p w:rsidR="00866135" w:rsidRDefault="00866135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35" w:rsidRDefault="00866135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3D33">
      <w:rPr>
        <w:rStyle w:val="PageNumber"/>
        <w:noProof/>
      </w:rPr>
      <w:t>11</w:t>
    </w:r>
    <w:r>
      <w:rPr>
        <w:rStyle w:val="PageNumber"/>
      </w:rPr>
      <w:fldChar w:fldCharType="end"/>
    </w:r>
  </w:p>
  <w:p w:rsidR="00866135" w:rsidRDefault="00866135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FBB" w:rsidRDefault="00AB1FBB">
      <w:r>
        <w:separator/>
      </w:r>
    </w:p>
  </w:footnote>
  <w:footnote w:type="continuationSeparator" w:id="0">
    <w:p w:rsidR="00AB1FBB" w:rsidRDefault="00AB1FBB">
      <w:r>
        <w:continuationSeparator/>
      </w:r>
    </w:p>
  </w:footnote>
  <w:footnote w:type="continuationNotice" w:id="1">
    <w:p w:rsidR="00AB1FBB" w:rsidRDefault="00AB1FBB"/>
  </w:footnote>
  <w:footnote w:id="2">
    <w:p w:rsidR="00866135" w:rsidRPr="005B0367" w:rsidRDefault="00866135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866135" w:rsidRPr="001919FD" w:rsidTr="00A57C8C">
      <w:trPr>
        <w:trHeight w:val="684"/>
      </w:trPr>
      <w:tc>
        <w:tcPr>
          <w:tcW w:w="2586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06478890" wp14:editId="014EB0B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866135" w:rsidRPr="001919FD" w:rsidRDefault="00866135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42DD2881" wp14:editId="3967AB2A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66135" w:rsidRPr="00BB0E44" w:rsidRDefault="00866135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66135" w:rsidRPr="001919FD" w:rsidTr="00FE01D8">
      <w:trPr>
        <w:trHeight w:val="684"/>
      </w:trPr>
      <w:tc>
        <w:tcPr>
          <w:tcW w:w="2621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591E4871" wp14:editId="79CDFD40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66135" w:rsidRPr="001919FD" w:rsidRDefault="00866135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E797729" wp14:editId="44DD43ED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66135" w:rsidRPr="00914B88" w:rsidRDefault="00866135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66135" w:rsidRPr="001919FD" w:rsidTr="00A57C8C">
      <w:trPr>
        <w:trHeight w:val="684"/>
      </w:trPr>
      <w:tc>
        <w:tcPr>
          <w:tcW w:w="2621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66135" w:rsidRPr="001919FD" w:rsidRDefault="00866135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66135" w:rsidRPr="001919FD" w:rsidRDefault="00866135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66135" w:rsidRPr="00BE2130" w:rsidRDefault="00866135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A0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4F36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3FC4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5F3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43E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4E59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6A4"/>
    <w:rsid w:val="00E747F8"/>
    <w:rsid w:val="00E7563B"/>
    <w:rsid w:val="00E758A8"/>
    <w:rsid w:val="00E75B90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396"/>
    <w:rsid w:val="00F447CD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3F2C7-14B9-4815-9C2F-F8A177670B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AB811-8B53-40DD-89CE-BE7C1ACD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User</cp:lastModifiedBy>
  <cp:revision>37</cp:revision>
  <cp:lastPrinted>2016-01-25T10:20:00Z</cp:lastPrinted>
  <dcterms:created xsi:type="dcterms:W3CDTF">2016-06-22T07:01:00Z</dcterms:created>
  <dcterms:modified xsi:type="dcterms:W3CDTF">2016-12-22T12:58:00Z</dcterms:modified>
</cp:coreProperties>
</file>