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DAE69" w14:textId="77777777" w:rsidR="003C1196" w:rsidRDefault="003C1196" w:rsidP="003C1196">
      <w:pPr>
        <w:tabs>
          <w:tab w:val="center" w:pos="4536"/>
          <w:tab w:val="right" w:pos="9072"/>
        </w:tabs>
        <w:spacing w:after="0" w:line="240" w:lineRule="auto"/>
        <w:jc w:val="right"/>
        <w:rPr>
          <w:rFonts w:ascii="Times New Roman" w:eastAsia="Calibri" w:hAnsi="Times New Roman"/>
          <w:b/>
          <w:i/>
          <w:sz w:val="24"/>
          <w:szCs w:val="24"/>
        </w:rPr>
      </w:pPr>
    </w:p>
    <w:p w14:paraId="08EF006D" w14:textId="2745201D" w:rsidR="003C1196" w:rsidRPr="00F5314F" w:rsidRDefault="003C1196" w:rsidP="003C1196">
      <w:pPr>
        <w:tabs>
          <w:tab w:val="center" w:pos="4536"/>
          <w:tab w:val="right" w:pos="9072"/>
        </w:tabs>
        <w:spacing w:after="0" w:line="240" w:lineRule="auto"/>
        <w:jc w:val="right"/>
        <w:rPr>
          <w:rFonts w:ascii="Times New Roman" w:eastAsia="Calibri" w:hAnsi="Times New Roman"/>
          <w:b/>
          <w:i/>
          <w:sz w:val="24"/>
          <w:szCs w:val="24"/>
        </w:rPr>
      </w:pPr>
      <w:r w:rsidRPr="00F5314F">
        <w:rPr>
          <w:rFonts w:ascii="Times New Roman" w:eastAsia="Calibri" w:hAnsi="Times New Roman"/>
          <w:b/>
          <w:i/>
          <w:sz w:val="24"/>
          <w:szCs w:val="24"/>
        </w:rPr>
        <w:t>Приложение 10</w:t>
      </w:r>
    </w:p>
    <w:p w14:paraId="53F01C8E" w14:textId="01A3602E" w:rsidR="003C1196" w:rsidRPr="00F5314F" w:rsidRDefault="003C1196" w:rsidP="003C1196">
      <w:pPr>
        <w:spacing w:after="0" w:line="240" w:lineRule="auto"/>
        <w:rPr>
          <w:rFonts w:ascii="Times New Roman" w:eastAsia="Times New Roman" w:hAnsi="Times New Roman"/>
          <w:b/>
          <w:snapToGrid w:val="0"/>
          <w:kern w:val="28"/>
          <w:sz w:val="24"/>
          <w:szCs w:val="24"/>
        </w:rPr>
      </w:pPr>
    </w:p>
    <w:p w14:paraId="73AD84D9" w14:textId="77777777" w:rsidR="00844514" w:rsidRPr="00F5314F" w:rsidRDefault="00844514" w:rsidP="003C1196">
      <w:pPr>
        <w:spacing w:after="0" w:line="240" w:lineRule="auto"/>
        <w:rPr>
          <w:rFonts w:ascii="Times New Roman" w:eastAsia="Times New Roman" w:hAnsi="Times New Roman"/>
          <w:b/>
          <w:snapToGrid w:val="0"/>
          <w:kern w:val="28"/>
          <w:sz w:val="24"/>
          <w:szCs w:val="24"/>
        </w:rPr>
      </w:pPr>
    </w:p>
    <w:p w14:paraId="3D844DF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17AF3F5E"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1"/>
        <w:gridCol w:w="6779"/>
      </w:tblGrid>
      <w:tr w:rsidR="003C1196" w:rsidRPr="00F5314F" w14:paraId="5F044344" w14:textId="77777777" w:rsidTr="00844514">
        <w:tc>
          <w:tcPr>
            <w:tcW w:w="1458" w:type="pct"/>
            <w:shd w:val="clear" w:color="auto" w:fill="D9D9D9"/>
          </w:tcPr>
          <w:p w14:paraId="391EB5B1"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542" w:type="pct"/>
            <w:shd w:val="clear" w:color="auto" w:fill="F3F3F3"/>
          </w:tcPr>
          <w:p w14:paraId="6A2D182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3C1196" w:rsidRPr="00F5314F" w14:paraId="729CE4CE" w14:textId="77777777" w:rsidTr="00844514">
        <w:tc>
          <w:tcPr>
            <w:tcW w:w="1458" w:type="pct"/>
            <w:shd w:val="clear" w:color="auto" w:fill="D9D9D9"/>
          </w:tcPr>
          <w:p w14:paraId="4195834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542" w:type="pct"/>
            <w:shd w:val="clear" w:color="auto" w:fill="F3F3F3"/>
          </w:tcPr>
          <w:p w14:paraId="1FD968F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238AB254" w14:textId="77777777" w:rsidTr="00844514">
        <w:tc>
          <w:tcPr>
            <w:tcW w:w="1458" w:type="pct"/>
            <w:shd w:val="clear" w:color="auto" w:fill="D9D9D9"/>
          </w:tcPr>
          <w:p w14:paraId="0802B69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542" w:type="pct"/>
            <w:shd w:val="clear" w:color="auto" w:fill="F3F3F3"/>
          </w:tcPr>
          <w:p w14:paraId="6B22726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Данък добавена стойност</w:t>
            </w:r>
          </w:p>
        </w:tc>
      </w:tr>
      <w:tr w:rsidR="003C1196" w:rsidRPr="00F5314F" w14:paraId="32B7D863" w14:textId="77777777" w:rsidTr="00844514">
        <w:tc>
          <w:tcPr>
            <w:tcW w:w="1458" w:type="pct"/>
            <w:shd w:val="clear" w:color="auto" w:fill="D9D9D9"/>
          </w:tcPr>
          <w:p w14:paraId="1AE81842"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542" w:type="pct"/>
            <w:shd w:val="clear" w:color="auto" w:fill="F3F3F3"/>
          </w:tcPr>
          <w:p w14:paraId="54F76A5A"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3C1196" w:rsidRPr="00F5314F" w14:paraId="5341DDDF" w14:textId="77777777" w:rsidTr="00844514">
        <w:tc>
          <w:tcPr>
            <w:tcW w:w="1458" w:type="pct"/>
            <w:shd w:val="clear" w:color="auto" w:fill="D9D9D9"/>
          </w:tcPr>
          <w:p w14:paraId="51F511B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542" w:type="pct"/>
            <w:shd w:val="clear" w:color="auto" w:fill="F3F3F3"/>
          </w:tcPr>
          <w:p w14:paraId="41B4E1A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3C1196" w:rsidRPr="00F5314F" w14:paraId="5E37DDCC" w14:textId="77777777" w:rsidTr="00844514">
        <w:tc>
          <w:tcPr>
            <w:tcW w:w="1458" w:type="pct"/>
            <w:shd w:val="clear" w:color="auto" w:fill="D9D9D9"/>
          </w:tcPr>
          <w:p w14:paraId="20E986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542" w:type="pct"/>
            <w:shd w:val="clear" w:color="auto" w:fill="F3F3F3"/>
          </w:tcPr>
          <w:p w14:paraId="39E58206"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34B9FD51"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14:paraId="5E867404" w14:textId="77777777" w:rsidTr="00844514">
        <w:tc>
          <w:tcPr>
            <w:tcW w:w="1458" w:type="pct"/>
            <w:shd w:val="clear" w:color="auto" w:fill="D9D9D9"/>
          </w:tcPr>
          <w:p w14:paraId="2044BEF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542" w:type="pct"/>
            <w:shd w:val="clear" w:color="auto" w:fill="F3F3F3"/>
          </w:tcPr>
          <w:p w14:paraId="085FCEA0"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3C1196" w:rsidRPr="00F5314F" w14:paraId="478AF36F" w14:textId="77777777" w:rsidTr="00844514">
        <w:tc>
          <w:tcPr>
            <w:tcW w:w="1458" w:type="pct"/>
            <w:shd w:val="clear" w:color="auto" w:fill="D9D9D9"/>
          </w:tcPr>
          <w:p w14:paraId="671D978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542" w:type="pct"/>
            <w:shd w:val="clear" w:color="auto" w:fill="F3F3F3"/>
          </w:tcPr>
          <w:p w14:paraId="754A8987"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4808E228" w14:textId="77777777" w:rsidTr="00844514">
        <w:tc>
          <w:tcPr>
            <w:tcW w:w="1458" w:type="pct"/>
            <w:shd w:val="clear" w:color="auto" w:fill="D9D9D9"/>
          </w:tcPr>
          <w:p w14:paraId="38A9B8A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542" w:type="pct"/>
            <w:shd w:val="clear" w:color="auto" w:fill="F3F3F3"/>
          </w:tcPr>
          <w:p w14:paraId="621E86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3C1196" w:rsidRPr="00F5314F" w14:paraId="3677E3FD" w14:textId="77777777" w:rsidTr="00844514">
        <w:tc>
          <w:tcPr>
            <w:tcW w:w="1458" w:type="pct"/>
            <w:shd w:val="clear" w:color="auto" w:fill="D9D9D9"/>
          </w:tcPr>
          <w:p w14:paraId="17D8FF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542" w:type="pct"/>
            <w:shd w:val="clear" w:color="auto" w:fill="F3F3F3"/>
          </w:tcPr>
          <w:p w14:paraId="7ABCC25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3C1196" w:rsidRPr="00F5314F" w14:paraId="46D319EC" w14:textId="77777777" w:rsidTr="00844514">
        <w:tc>
          <w:tcPr>
            <w:tcW w:w="1458" w:type="pct"/>
            <w:shd w:val="clear" w:color="auto" w:fill="D9D9D9"/>
          </w:tcPr>
          <w:p w14:paraId="307221E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542" w:type="pct"/>
            <w:shd w:val="clear" w:color="auto" w:fill="F3F3F3"/>
          </w:tcPr>
          <w:p w14:paraId="258A545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Европейски фондове  при споделено управление</w:t>
            </w:r>
          </w:p>
        </w:tc>
      </w:tr>
      <w:tr w:rsidR="003C1196" w:rsidRPr="00F5314F" w14:paraId="642293D0" w14:textId="77777777" w:rsidTr="00844514">
        <w:tc>
          <w:tcPr>
            <w:tcW w:w="1458" w:type="pct"/>
            <w:shd w:val="clear" w:color="auto" w:fill="D9D9D9"/>
          </w:tcPr>
          <w:p w14:paraId="2B965E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542" w:type="pct"/>
            <w:shd w:val="clear" w:color="auto" w:fill="F3F3F3"/>
          </w:tcPr>
          <w:p w14:paraId="42A236F1"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3C1196" w:rsidRPr="00F5314F" w14:paraId="5BB9B24B" w14:textId="77777777" w:rsidTr="00844514">
        <w:tc>
          <w:tcPr>
            <w:tcW w:w="1458" w:type="pct"/>
            <w:shd w:val="clear" w:color="auto" w:fill="D9D9D9"/>
          </w:tcPr>
          <w:p w14:paraId="1D8D91B8"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542" w:type="pct"/>
            <w:shd w:val="clear" w:color="auto" w:fill="F3F3F3"/>
          </w:tcPr>
          <w:p w14:paraId="5B1BFCA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3C1196" w:rsidRPr="00F5314F" w14:paraId="40D51BD8" w14:textId="77777777" w:rsidTr="00844514">
        <w:tc>
          <w:tcPr>
            <w:tcW w:w="1458" w:type="pct"/>
            <w:shd w:val="clear" w:color="auto" w:fill="D9D9D9"/>
          </w:tcPr>
          <w:p w14:paraId="7DF9D69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542" w:type="pct"/>
            <w:shd w:val="clear" w:color="auto" w:fill="F3F3F3"/>
          </w:tcPr>
          <w:p w14:paraId="74AA358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3C1196" w:rsidRPr="00F5314F" w14:paraId="568B9A9D" w14:textId="77777777" w:rsidTr="00844514">
        <w:tc>
          <w:tcPr>
            <w:tcW w:w="1458" w:type="pct"/>
            <w:shd w:val="clear" w:color="auto" w:fill="D9D9D9"/>
          </w:tcPr>
          <w:p w14:paraId="4A99FB2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542" w:type="pct"/>
            <w:shd w:val="clear" w:color="auto" w:fill="F3F3F3"/>
          </w:tcPr>
          <w:p w14:paraId="1045885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3C1196" w:rsidRPr="00F5314F" w14:paraId="414E664C" w14:textId="77777777" w:rsidTr="00844514">
        <w:tc>
          <w:tcPr>
            <w:tcW w:w="1458" w:type="pct"/>
            <w:shd w:val="clear" w:color="auto" w:fill="D9D9D9"/>
          </w:tcPr>
          <w:p w14:paraId="44B7574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542" w:type="pct"/>
            <w:shd w:val="clear" w:color="auto" w:fill="F3F3F3"/>
          </w:tcPr>
          <w:p w14:paraId="489CC56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3C1196" w:rsidRPr="00F5314F" w14:paraId="7FC19A02" w14:textId="77777777" w:rsidTr="00844514">
        <w:tc>
          <w:tcPr>
            <w:tcW w:w="1458" w:type="pct"/>
            <w:shd w:val="clear" w:color="auto" w:fill="D9D9D9"/>
          </w:tcPr>
          <w:p w14:paraId="77B755E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ЗТР</w:t>
            </w:r>
          </w:p>
        </w:tc>
        <w:tc>
          <w:tcPr>
            <w:tcW w:w="3542" w:type="pct"/>
            <w:shd w:val="clear" w:color="auto" w:fill="F3F3F3"/>
          </w:tcPr>
          <w:p w14:paraId="4F68BA58"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търговския регистър</w:t>
            </w:r>
          </w:p>
        </w:tc>
      </w:tr>
      <w:tr w:rsidR="003C1196" w:rsidRPr="00F5314F" w14:paraId="672A3984" w14:textId="77777777" w:rsidTr="00844514">
        <w:tc>
          <w:tcPr>
            <w:tcW w:w="1458" w:type="pct"/>
            <w:shd w:val="clear" w:color="auto" w:fill="D9D9D9"/>
          </w:tcPr>
          <w:p w14:paraId="413E28FA"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542" w:type="pct"/>
            <w:shd w:val="clear" w:color="auto" w:fill="F3F3F3"/>
          </w:tcPr>
          <w:p w14:paraId="08B6C82E" w14:textId="77777777" w:rsidR="003C1196" w:rsidRPr="00F5314F" w:rsidRDefault="003C1196" w:rsidP="00E2227D">
            <w:pPr>
              <w:spacing w:after="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3C1196" w:rsidRPr="00F5314F" w14:paraId="5E2E1A7D" w14:textId="77777777" w:rsidTr="00844514">
        <w:tc>
          <w:tcPr>
            <w:tcW w:w="1458" w:type="pct"/>
            <w:shd w:val="clear" w:color="auto" w:fill="D9D9D9"/>
          </w:tcPr>
          <w:p w14:paraId="59ED6E9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542" w:type="pct"/>
            <w:shd w:val="clear" w:color="auto" w:fill="F3F3F3"/>
          </w:tcPr>
          <w:p w14:paraId="04B9924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3C1196" w:rsidRPr="00F5314F" w14:paraId="09C32331" w14:textId="77777777" w:rsidTr="00844514">
        <w:tc>
          <w:tcPr>
            <w:tcW w:w="1458" w:type="pct"/>
            <w:shd w:val="clear" w:color="auto" w:fill="D9D9D9"/>
          </w:tcPr>
          <w:p w14:paraId="29BB260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ИСИС</w:t>
            </w:r>
          </w:p>
        </w:tc>
        <w:tc>
          <w:tcPr>
            <w:tcW w:w="3542" w:type="pct"/>
            <w:shd w:val="clear" w:color="auto" w:fill="F3F3F3"/>
          </w:tcPr>
          <w:p w14:paraId="0BAF5EC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Иновационната стратегия за интелигентна </w:t>
            </w:r>
          </w:p>
          <w:p w14:paraId="61D37F2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специализация</w:t>
            </w:r>
          </w:p>
        </w:tc>
      </w:tr>
      <w:tr w:rsidR="003C1196" w:rsidRPr="00F5314F" w14:paraId="138B3CFB" w14:textId="77777777" w:rsidTr="00844514">
        <w:tc>
          <w:tcPr>
            <w:tcW w:w="1458" w:type="pct"/>
            <w:shd w:val="clear" w:color="auto" w:fill="D9D9D9"/>
          </w:tcPr>
          <w:p w14:paraId="1E29BE9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542" w:type="pct"/>
            <w:shd w:val="clear" w:color="auto" w:fill="F3F3F3"/>
          </w:tcPr>
          <w:p w14:paraId="428215C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3C1196" w:rsidRPr="00F5314F" w14:paraId="2C602652" w14:textId="77777777" w:rsidTr="00844514">
        <w:tc>
          <w:tcPr>
            <w:tcW w:w="1458" w:type="pct"/>
            <w:shd w:val="clear" w:color="auto" w:fill="D9D9D9"/>
          </w:tcPr>
          <w:p w14:paraId="5FAF250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КН</w:t>
            </w:r>
          </w:p>
        </w:tc>
        <w:tc>
          <w:tcPr>
            <w:tcW w:w="3542" w:type="pct"/>
            <w:shd w:val="clear" w:color="auto" w:fill="F3F3F3"/>
          </w:tcPr>
          <w:p w14:paraId="5D2D429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Комитет за наблюдение</w:t>
            </w:r>
          </w:p>
        </w:tc>
      </w:tr>
      <w:tr w:rsidR="003C1196" w:rsidRPr="00F5314F" w14:paraId="1C20DF0F" w14:textId="77777777" w:rsidTr="00844514">
        <w:tc>
          <w:tcPr>
            <w:tcW w:w="1458" w:type="pct"/>
            <w:shd w:val="clear" w:color="auto" w:fill="D9D9D9"/>
          </w:tcPr>
          <w:p w14:paraId="7FAAE99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542" w:type="pct"/>
            <w:shd w:val="clear" w:color="auto" w:fill="F3F3F3"/>
          </w:tcPr>
          <w:p w14:paraId="5AD0ECF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Класификация на икономическите дейности 2008</w:t>
            </w:r>
          </w:p>
        </w:tc>
      </w:tr>
      <w:tr w:rsidR="003C1196" w:rsidRPr="00F5314F" w14:paraId="750C3C44" w14:textId="77777777" w:rsidTr="00844514">
        <w:tc>
          <w:tcPr>
            <w:tcW w:w="1458" w:type="pct"/>
            <w:shd w:val="clear" w:color="auto" w:fill="D9D9D9"/>
          </w:tcPr>
          <w:p w14:paraId="341A15E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542" w:type="pct"/>
            <w:shd w:val="clear" w:color="auto" w:fill="F3F3F3"/>
          </w:tcPr>
          <w:p w14:paraId="67C7BF8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3C1196" w:rsidRPr="00F5314F" w14:paraId="40A92669" w14:textId="77777777" w:rsidTr="00844514">
        <w:tc>
          <w:tcPr>
            <w:tcW w:w="1458" w:type="pct"/>
            <w:shd w:val="clear" w:color="auto" w:fill="D9D9D9"/>
          </w:tcPr>
          <w:p w14:paraId="7170F7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542" w:type="pct"/>
            <w:shd w:val="clear" w:color="auto" w:fill="F3F3F3"/>
          </w:tcPr>
          <w:p w14:paraId="15DFAAD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3C1196" w:rsidRPr="00F5314F" w14:paraId="7923D9B7" w14:textId="77777777" w:rsidTr="00844514">
        <w:tc>
          <w:tcPr>
            <w:tcW w:w="1458" w:type="pct"/>
            <w:shd w:val="clear" w:color="auto" w:fill="D9D9D9"/>
          </w:tcPr>
          <w:p w14:paraId="3433681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542" w:type="pct"/>
            <w:shd w:val="clear" w:color="auto" w:fill="F3F3F3"/>
          </w:tcPr>
          <w:p w14:paraId="332DA51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3C1196" w:rsidRPr="00F5314F" w14:paraId="6D9FD519" w14:textId="77777777" w:rsidTr="00844514">
        <w:tc>
          <w:tcPr>
            <w:tcW w:w="1458" w:type="pct"/>
            <w:shd w:val="clear" w:color="auto" w:fill="D9D9D9"/>
          </w:tcPr>
          <w:p w14:paraId="6F644AA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542" w:type="pct"/>
            <w:shd w:val="clear" w:color="auto" w:fill="F3F3F3"/>
          </w:tcPr>
          <w:p w14:paraId="759198C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3C1196" w:rsidRPr="00F5314F" w14:paraId="19811620" w14:textId="77777777" w:rsidTr="00844514">
        <w:tc>
          <w:tcPr>
            <w:tcW w:w="1458" w:type="pct"/>
            <w:shd w:val="clear" w:color="auto" w:fill="D9D9D9"/>
          </w:tcPr>
          <w:p w14:paraId="27BF1E3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w:t>
            </w:r>
          </w:p>
        </w:tc>
        <w:tc>
          <w:tcPr>
            <w:tcW w:w="3542" w:type="pct"/>
            <w:shd w:val="clear" w:color="auto" w:fill="F3F3F3"/>
          </w:tcPr>
          <w:p w14:paraId="69F5E5E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Оперативна програма</w:t>
            </w:r>
          </w:p>
        </w:tc>
      </w:tr>
      <w:tr w:rsidR="003C1196" w:rsidRPr="00F5314F" w14:paraId="1B11FA94" w14:textId="77777777" w:rsidTr="00844514">
        <w:tc>
          <w:tcPr>
            <w:tcW w:w="1458" w:type="pct"/>
            <w:shd w:val="clear" w:color="auto" w:fill="D9D9D9"/>
          </w:tcPr>
          <w:p w14:paraId="083A893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542" w:type="pct"/>
            <w:shd w:val="clear" w:color="auto" w:fill="F3F3F3"/>
          </w:tcPr>
          <w:p w14:paraId="48AFCB2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Програма „Конкурентоспособност и иновации в предприятията“ 2021-2027</w:t>
            </w:r>
          </w:p>
        </w:tc>
      </w:tr>
      <w:tr w:rsidR="003C1196" w:rsidRPr="00F5314F" w14:paraId="61C334EB" w14:textId="77777777" w:rsidTr="00844514">
        <w:tc>
          <w:tcPr>
            <w:tcW w:w="1458" w:type="pct"/>
            <w:shd w:val="clear" w:color="auto" w:fill="D9D9D9"/>
          </w:tcPr>
          <w:p w14:paraId="1BC6BDF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542" w:type="pct"/>
            <w:shd w:val="clear" w:color="auto" w:fill="F3F3F3"/>
          </w:tcPr>
          <w:p w14:paraId="327230B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 съвет</w:t>
            </w:r>
          </w:p>
        </w:tc>
      </w:tr>
      <w:tr w:rsidR="003C1196" w:rsidRPr="00F5314F" w14:paraId="0334CD07" w14:textId="77777777" w:rsidTr="00844514">
        <w:tc>
          <w:tcPr>
            <w:tcW w:w="1458" w:type="pct"/>
            <w:shd w:val="clear" w:color="auto" w:fill="D9D9D9"/>
          </w:tcPr>
          <w:p w14:paraId="18D1F8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542" w:type="pct"/>
            <w:shd w:val="clear" w:color="auto" w:fill="F3F3F3"/>
          </w:tcPr>
          <w:p w14:paraId="4A42E41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3C1196" w:rsidRPr="00F5314F" w14:paraId="7BB04281" w14:textId="77777777" w:rsidTr="00844514">
        <w:tc>
          <w:tcPr>
            <w:tcW w:w="1458" w:type="pct"/>
            <w:shd w:val="clear" w:color="auto" w:fill="D9D9D9"/>
          </w:tcPr>
          <w:p w14:paraId="1BAA3F6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542" w:type="pct"/>
            <w:shd w:val="clear" w:color="auto" w:fill="F3F3F3"/>
          </w:tcPr>
          <w:p w14:paraId="6D4E9B7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3C1196" w:rsidRPr="00F5314F" w14:paraId="6EFA19B0" w14:textId="77777777" w:rsidTr="00844514">
        <w:tc>
          <w:tcPr>
            <w:tcW w:w="1458" w:type="pct"/>
            <w:shd w:val="clear" w:color="auto" w:fill="D9D9D9"/>
          </w:tcPr>
          <w:p w14:paraId="33F45A4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542" w:type="pct"/>
            <w:shd w:val="clear" w:color="auto" w:fill="F3F3F3"/>
          </w:tcPr>
          <w:p w14:paraId="40393D8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p>
        </w:tc>
      </w:tr>
    </w:tbl>
    <w:p w14:paraId="0BB8773E" w14:textId="13E359CB" w:rsidR="003C1196" w:rsidRPr="00F5314F" w:rsidRDefault="003C1196" w:rsidP="003C1196">
      <w:pPr>
        <w:rPr>
          <w:rFonts w:ascii="Times New Roman" w:hAnsi="Times New Roman"/>
          <w:sz w:val="24"/>
          <w:szCs w:val="24"/>
        </w:rPr>
      </w:pPr>
    </w:p>
    <w:p w14:paraId="13F88B3A" w14:textId="571F9CD2" w:rsidR="00844514" w:rsidRPr="00F5314F" w:rsidRDefault="00844514" w:rsidP="003C1196">
      <w:pPr>
        <w:rPr>
          <w:rFonts w:ascii="Times New Roman" w:hAnsi="Times New Roman"/>
          <w:sz w:val="24"/>
          <w:szCs w:val="24"/>
        </w:rPr>
      </w:pPr>
    </w:p>
    <w:p w14:paraId="72D018CD" w14:textId="77777777" w:rsidR="00844514" w:rsidRPr="00F5314F" w:rsidRDefault="00844514" w:rsidP="003C1196">
      <w:pPr>
        <w:rPr>
          <w:rFonts w:ascii="Times New Roman" w:hAnsi="Times New Roman"/>
          <w:sz w:val="24"/>
          <w:szCs w:val="24"/>
        </w:rPr>
      </w:pPr>
    </w:p>
    <w:p w14:paraId="3EC33434"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p>
    <w:p w14:paraId="61B68EF2"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616F0015" w14:textId="77777777" w:rsidTr="00E2227D">
        <w:tc>
          <w:tcPr>
            <w:tcW w:w="2804" w:type="dxa"/>
            <w:shd w:val="clear" w:color="auto" w:fill="E6E6E6"/>
          </w:tcPr>
          <w:p w14:paraId="3396D4D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3C714BA0" w14:textId="610FB2FE" w:rsidR="003C1196" w:rsidRPr="00F5314F" w:rsidRDefault="00962CCA"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3C1196" w:rsidRPr="00F5314F" w14:paraId="7A9F9F66" w14:textId="77777777" w:rsidTr="00E2227D">
        <w:tc>
          <w:tcPr>
            <w:tcW w:w="2804" w:type="dxa"/>
            <w:shd w:val="clear" w:color="auto" w:fill="E6E6E6"/>
          </w:tcPr>
          <w:p w14:paraId="7A62FFF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43038F5C" w14:textId="242B8B5F" w:rsidR="003C1196" w:rsidRPr="00F5314F" w:rsidRDefault="003C1196" w:rsidP="003A779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Средства, предоставени от </w:t>
            </w:r>
            <w:r w:rsidR="003A7795" w:rsidRPr="00F5314F">
              <w:rPr>
                <w:rFonts w:ascii="Times New Roman" w:eastAsia="Times New Roman" w:hAnsi="Times New Roman"/>
                <w:snapToGrid w:val="0"/>
                <w:sz w:val="24"/>
                <w:szCs w:val="24"/>
              </w:rPr>
              <w:t>ПКИП</w:t>
            </w:r>
            <w:r w:rsidRPr="00F5314F">
              <w:rPr>
                <w:rFonts w:ascii="Times New Roman" w:eastAsia="Times New Roman" w:hAnsi="Times New Roman"/>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3A7795" w:rsidRPr="00F5314F">
              <w:rPr>
                <w:rFonts w:ascii="Times New Roman" w:eastAsia="Times New Roman" w:hAnsi="Times New Roman"/>
                <w:snapToGrid w:val="0"/>
                <w:sz w:val="24"/>
                <w:szCs w:val="24"/>
              </w:rPr>
              <w:t>/цели</w:t>
            </w:r>
            <w:r w:rsidRPr="00F5314F">
              <w:rPr>
                <w:rFonts w:ascii="Times New Roman" w:eastAsia="Times New Roman" w:hAnsi="Times New Roman"/>
                <w:snapToGrid w:val="0"/>
                <w:sz w:val="24"/>
                <w:szCs w:val="24"/>
              </w:rPr>
              <w:t>.</w:t>
            </w:r>
          </w:p>
        </w:tc>
      </w:tr>
      <w:tr w:rsidR="003C1196" w:rsidRPr="00F5314F" w14:paraId="7846BBA5" w14:textId="77777777" w:rsidTr="00E2227D">
        <w:tc>
          <w:tcPr>
            <w:tcW w:w="2804" w:type="dxa"/>
            <w:shd w:val="clear" w:color="auto" w:fill="E6E6E6"/>
          </w:tcPr>
          <w:p w14:paraId="58B30A3C"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0FA13FD1" w14:textId="77777777" w:rsidR="00962CCA"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Лицата, посочени в чл. 2, пар. 9 от Регламент (ЕС) 2021/1060, съгласно който бенефициентите са 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  </w:t>
            </w:r>
          </w:p>
          <w:p w14:paraId="679C7523" w14:textId="2C5BDB09" w:rsidR="003C1196"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целите на процедурата под бенефициент се разбира предприятието, което получава/разходва помощта (бенефициента-кандидат и когато е приложимо бенефициента- партньор)</w:t>
            </w:r>
          </w:p>
        </w:tc>
      </w:tr>
      <w:tr w:rsidR="003C1196" w:rsidRPr="00F5314F" w14:paraId="5EF6D477" w14:textId="77777777" w:rsidTr="00E2227D">
        <w:tc>
          <w:tcPr>
            <w:tcW w:w="2804" w:type="dxa"/>
            <w:shd w:val="clear" w:color="auto" w:fill="E6E6E6"/>
          </w:tcPr>
          <w:p w14:paraId="4C99936A"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Горски продукт</w:t>
            </w:r>
          </w:p>
        </w:tc>
        <w:tc>
          <w:tcPr>
            <w:tcW w:w="6802" w:type="dxa"/>
            <w:shd w:val="clear" w:color="auto" w:fill="F3F3F3"/>
          </w:tcPr>
          <w:p w14:paraId="3AB927B1"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6C34978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38A50069"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2D0DA02D"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Нарязване, сортиране, рендосване, профилиране, окрайчване, фасониране и шлайфане; </w:t>
            </w:r>
          </w:p>
          <w:p w14:paraId="7EC6A4A0"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14:paraId="25A69CDE"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03DCA52D"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42B96F7D"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rPr>
              <w:t>Производство на дърва за горене: рязане, цепене</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пакетиране;</w:t>
            </w:r>
          </w:p>
        </w:tc>
      </w:tr>
      <w:tr w:rsidR="003C1196" w:rsidRPr="00F5314F" w14:paraId="1C7F0F53" w14:textId="77777777" w:rsidTr="00E2227D">
        <w:tc>
          <w:tcPr>
            <w:tcW w:w="2804" w:type="dxa"/>
            <w:shd w:val="clear" w:color="auto" w:fill="E6E6E6"/>
          </w:tcPr>
          <w:p w14:paraId="3E41D31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Група предприятия</w:t>
            </w:r>
          </w:p>
        </w:tc>
        <w:tc>
          <w:tcPr>
            <w:tcW w:w="6802" w:type="dxa"/>
            <w:shd w:val="clear" w:color="auto" w:fill="F3F3F3"/>
          </w:tcPr>
          <w:p w14:paraId="1517B9F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7E4AF3FC" w14:textId="1426330F" w:rsidR="00E13262" w:rsidRPr="00F5314F" w:rsidRDefault="00E13262" w:rsidP="00E1326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3C1196" w:rsidRPr="00F5314F" w14:paraId="4A7D8DB8" w14:textId="77777777" w:rsidTr="00E2227D">
        <w:tc>
          <w:tcPr>
            <w:tcW w:w="2804" w:type="dxa"/>
            <w:shd w:val="clear" w:color="auto" w:fill="E6E6E6"/>
          </w:tcPr>
          <w:p w14:paraId="517B9188"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0C8AF8F5" w14:textId="005BDC08" w:rsidR="003C1196" w:rsidRPr="00F5314F" w:rsidRDefault="003C1196" w:rsidP="006E4E3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28 от Регламент (ЕС) № 651/2014 и чл. 3, пар. 4 от Регламент (ЕС) № 1407/2013, </w:t>
            </w:r>
            <w:r w:rsidR="006E4E32" w:rsidRPr="00F5314F">
              <w:rPr>
                <w:rFonts w:ascii="Times New Roman" w:eastAsia="Times New Roman" w:hAnsi="Times New Roman"/>
                <w:snapToGrid w:val="0"/>
                <w:sz w:val="24"/>
                <w:szCs w:val="24"/>
              </w:rPr>
              <w:t>дата на предоставяне на помощта означава датата, на която законовото право на получаване на помощта се предоставя на бенефициера съгласно приложимия национален режим, независимо от датата на плащане на помощта на предприятието. По настоящата процедура,</w:t>
            </w:r>
            <w:r w:rsidRPr="00F5314F">
              <w:rPr>
                <w:rFonts w:ascii="Times New Roman" w:eastAsia="Times New Roman" w:hAnsi="Times New Roman"/>
                <w:snapToGrid w:val="0"/>
                <w:sz w:val="24"/>
                <w:szCs w:val="24"/>
              </w:rPr>
              <w:t xml:space="preserve"> дата на предоставяне на помощта е датата на сключване на административния договор за предоставяне на безвъзмездна финансова помощ.</w:t>
            </w:r>
          </w:p>
        </w:tc>
      </w:tr>
      <w:tr w:rsidR="003C1196" w:rsidRPr="00F5314F" w14:paraId="16A8DE6C" w14:textId="77777777" w:rsidTr="00E2227D">
        <w:tc>
          <w:tcPr>
            <w:tcW w:w="2804" w:type="dxa"/>
            <w:shd w:val="clear" w:color="auto" w:fill="E6E6E6"/>
          </w:tcPr>
          <w:p w14:paraId="4DB2A6F5"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59BBDA0C"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C1196" w:rsidRPr="00F5314F" w14:paraId="58284D6D" w14:textId="77777777" w:rsidTr="00E2227D">
        <w:tc>
          <w:tcPr>
            <w:tcW w:w="2804" w:type="dxa"/>
            <w:shd w:val="clear" w:color="auto" w:fill="E6E6E6"/>
          </w:tcPr>
          <w:p w14:paraId="67698377"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Единен инвестиционен проект</w:t>
            </w:r>
            <w:r w:rsidRPr="00F5314F">
              <w:t xml:space="preserve"> (</w:t>
            </w:r>
            <w:r w:rsidRPr="00F5314F">
              <w:rPr>
                <w:rFonts w:ascii="Times New Roman" w:eastAsia="Times New Roman" w:hAnsi="Times New Roman"/>
                <w:b/>
                <w:snapToGrid w:val="0"/>
                <w:sz w:val="24"/>
                <w:szCs w:val="24"/>
              </w:rPr>
              <w:t>един и същ инвестиционен проект)</w:t>
            </w:r>
          </w:p>
        </w:tc>
        <w:tc>
          <w:tcPr>
            <w:tcW w:w="6802" w:type="dxa"/>
            <w:shd w:val="clear" w:color="auto" w:fill="F3F3F3"/>
          </w:tcPr>
          <w:p w14:paraId="55E548D7"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14, пар. 13 от Регламент (ЕС) № 651/2014 на Комисията, всяка първоначална инвестиция, свързана със същата или подобна дейност, започната от един и същ бенефициент (на равнище група) в срок от три години, считано от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F5314F">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ниво </w:t>
            </w:r>
            <w:r w:rsidRPr="00F5314F">
              <w:rPr>
                <w:rFonts w:ascii="Times New Roman" w:eastAsia="Times New Roman" w:hAnsi="Times New Roman"/>
                <w:snapToGrid w:val="0"/>
                <w:sz w:val="24"/>
                <w:szCs w:val="24"/>
                <w:lang w:val="en-US"/>
              </w:rPr>
              <w:t>NUTS</w:t>
            </w: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lang w:val="en-US"/>
              </w:rPr>
              <w:t>3 - aдминистративна единица</w:t>
            </w: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lang w:val="en-US"/>
              </w:rPr>
              <w:t xml:space="preserve"> област</w:t>
            </w:r>
            <w:r w:rsidRPr="00F5314F">
              <w:rPr>
                <w:rFonts w:ascii="Times New Roman" w:eastAsia="Times New Roman" w:hAnsi="Times New Roman"/>
                <w:snapToGrid w:val="0"/>
                <w:sz w:val="24"/>
                <w:szCs w:val="24"/>
              </w:rPr>
              <w:t>),</w:t>
            </w:r>
            <w:r w:rsidRPr="00F5314F">
              <w:t xml:space="preserve"> </w:t>
            </w:r>
            <w:r w:rsidRPr="00F5314F">
              <w:rPr>
                <w:rFonts w:ascii="Times New Roman" w:eastAsia="Times New Roman" w:hAnsi="Times New Roman"/>
                <w:snapToGrid w:val="0"/>
                <w:sz w:val="24"/>
                <w:szCs w:val="24"/>
                <w:lang w:val="en-US"/>
              </w:rPr>
              <w:t>се смята за част от един и същ инвестиционен проект</w:t>
            </w:r>
            <w:r w:rsidRPr="00F5314F">
              <w:rPr>
                <w:rFonts w:ascii="Times New Roman" w:eastAsia="Times New Roman" w:hAnsi="Times New Roman"/>
                <w:snapToGrid w:val="0"/>
                <w:sz w:val="24"/>
                <w:szCs w:val="24"/>
              </w:rPr>
              <w:t>.</w:t>
            </w:r>
          </w:p>
        </w:tc>
      </w:tr>
      <w:tr w:rsidR="003C1196" w:rsidRPr="00F5314F" w14:paraId="73498325" w14:textId="77777777" w:rsidTr="00E2227D">
        <w:tc>
          <w:tcPr>
            <w:tcW w:w="2804" w:type="dxa"/>
            <w:shd w:val="clear" w:color="auto" w:fill="E6E6E6"/>
          </w:tcPr>
          <w:p w14:paraId="1D2F28F7"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14:paraId="35434174"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 xml:space="preserve">Съгласно чл. 2, пар. 2 на Регламент (ЕС) № 1407/2013 </w:t>
            </w:r>
            <w:r w:rsidRPr="00F5314F">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032E20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B16B734"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617F45C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дадено предприятие има право да упражнява доминиращо </w:t>
            </w:r>
            <w:r w:rsidRPr="00F5314F">
              <w:rPr>
                <w:rFonts w:ascii="Times New Roman" w:eastAsia="Times New Roman" w:hAnsi="Times New Roman"/>
                <w:snapToGrid w:val="0"/>
                <w:sz w:val="24"/>
                <w:szCs w:val="24"/>
              </w:rPr>
              <w:lastRenderedPageBreak/>
              <w:t xml:space="preserve">влияние спрямо друго предприятие по силата на договор, сключен с това предприятие, или на разпоредба в неговия устав или учредителен акт; </w:t>
            </w:r>
          </w:p>
          <w:p w14:paraId="6AA558F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6453860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3C1196" w:rsidRPr="00F5314F" w14:paraId="42EF1C69" w14:textId="77777777" w:rsidTr="00E2227D">
        <w:tc>
          <w:tcPr>
            <w:tcW w:w="2804" w:type="dxa"/>
            <w:shd w:val="clear" w:color="auto" w:fill="E6E6E6"/>
          </w:tcPr>
          <w:p w14:paraId="66392304"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Енергийна инфраструктура </w:t>
            </w:r>
          </w:p>
        </w:tc>
        <w:tc>
          <w:tcPr>
            <w:tcW w:w="6802" w:type="dxa"/>
            <w:shd w:val="clear" w:color="auto" w:fill="F3F3F3"/>
          </w:tcPr>
          <w:p w14:paraId="390144F8" w14:textId="77777777" w:rsidR="003C1196" w:rsidRPr="00F5314F" w:rsidRDefault="003C1196" w:rsidP="00E2227D">
            <w:pPr>
              <w:spacing w:before="60"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от Регламент (ЕС) № 651/2014 „енергийна инфраструктура“ означава всякакво материално оборудване или съоръжения, които са разположени в</w:t>
            </w:r>
            <w:r w:rsidRPr="00F5314F">
              <w:rPr>
                <w:rFonts w:ascii="Times New Roman" w:eastAsia="Times New Roman" w:hAnsi="Times New Roman"/>
                <w:snapToGrid w:val="0"/>
                <w:sz w:val="24"/>
                <w:szCs w:val="24"/>
              </w:rPr>
              <w:br/>
              <w:t>Съюза или свързват Съюза с една или повече трети държави и които попадат в една от следните категории:</w:t>
            </w:r>
          </w:p>
          <w:p w14:paraId="00BFA2E2" w14:textId="77777777" w:rsidR="003C1196" w:rsidRPr="00F5314F" w:rsidRDefault="003C1196" w:rsidP="00E2227D">
            <w:pPr>
              <w:spacing w:before="60" w:after="60" w:line="240" w:lineRule="auto"/>
              <w:jc w:val="both"/>
              <w:rPr>
                <w:rFonts w:ascii="Times New Roman" w:hAnsi="Times New Roman"/>
                <w:sz w:val="24"/>
                <w:szCs w:val="24"/>
              </w:rPr>
            </w:pPr>
            <w:r w:rsidRPr="00F5314F">
              <w:rPr>
                <w:rFonts w:ascii="Times New Roman" w:hAnsi="Times New Roman"/>
                <w:sz w:val="24"/>
                <w:szCs w:val="24"/>
              </w:rPr>
              <w:t xml:space="preserve">а) електроенергия: </w:t>
            </w:r>
          </w:p>
          <w:p w14:paraId="52D861D6" w14:textId="77777777" w:rsidR="003C1196" w:rsidRPr="00F5314F" w:rsidRDefault="003C1196" w:rsidP="00E2227D">
            <w:pPr>
              <w:spacing w:before="60" w:after="6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14:paraId="522E2F40"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50D78DC1"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78660757"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7D3499D3"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w:t>
            </w:r>
            <w:r w:rsidRPr="00F5314F">
              <w:rPr>
                <w:rFonts w:ascii="Times New Roman" w:hAnsi="Times New Roman"/>
                <w:sz w:val="24"/>
                <w:szCs w:val="24"/>
              </w:rPr>
              <w:lastRenderedPageBreak/>
              <w:t>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65FE325B"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б) газ (природен газ, биогаз — включително биометан — и/или газ от възобновяеми източници, но с небиологичен произход):</w:t>
            </w:r>
          </w:p>
          <w:p w14:paraId="63DEACE4"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709B8CE1"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ii) подземни хранилища, свързани с посочените в подточка i) газопроводи с високо налягане;</w:t>
            </w:r>
          </w:p>
          <w:p w14:paraId="1A787CB7"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1B553E64"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14:paraId="304747DD"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399CB257"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в) водород: </w:t>
            </w:r>
          </w:p>
          <w:p w14:paraId="4B729144"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14:paraId="053BB97F"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lastRenderedPageBreak/>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5F47DDCE"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6315092A"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390D8E96"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14:paraId="5823F3C5"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764BC041"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14:paraId="531B68D6"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г) въглероден диоксид: </w:t>
            </w:r>
          </w:p>
          <w:p w14:paraId="5D91B0E2"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w:t>
            </w:r>
            <w:r w:rsidRPr="00F5314F">
              <w:rPr>
                <w:rFonts w:ascii="Times New Roman" w:hAnsi="Times New Roman"/>
                <w:sz w:val="24"/>
                <w:szCs w:val="24"/>
              </w:rPr>
              <w:lastRenderedPageBreak/>
              <w:t>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393BB175"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4213A9CC"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0765DE37"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6A0A950E"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14:paraId="33053951"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14:paraId="6A749C3C" w14:textId="77777777" w:rsidR="003C1196" w:rsidRPr="00F5314F" w:rsidRDefault="003C1196" w:rsidP="00E2227D">
            <w:pPr>
              <w:spacing w:after="60" w:line="240" w:lineRule="auto"/>
              <w:jc w:val="both"/>
              <w:rPr>
                <w:rFonts w:ascii="Times New Roman" w:hAnsi="Times New Roman"/>
                <w:sz w:val="24"/>
                <w:szCs w:val="24"/>
              </w:rPr>
            </w:pPr>
            <w:r w:rsidRPr="00F5314F">
              <w:rPr>
                <w:rFonts w:ascii="Times New Roman" w:hAnsi="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14:paraId="169A926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3C1196" w:rsidRPr="00F5314F" w14:paraId="67161776" w14:textId="77777777" w:rsidTr="00E2227D">
        <w:tc>
          <w:tcPr>
            <w:tcW w:w="2804" w:type="dxa"/>
            <w:shd w:val="clear" w:color="auto" w:fill="E6E6E6"/>
          </w:tcPr>
          <w:p w14:paraId="6A21BB5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Започване на работите по проекта</w:t>
            </w:r>
          </w:p>
        </w:tc>
        <w:tc>
          <w:tcPr>
            <w:tcW w:w="6802" w:type="dxa"/>
            <w:shd w:val="clear" w:color="auto" w:fill="F3F3F3"/>
          </w:tcPr>
          <w:p w14:paraId="2B1BDDBB" w14:textId="11A5BD1D"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150A63" w:rsidRPr="00F5314F">
              <w:rPr>
                <w:rFonts w:ascii="Times New Roman" w:eastAsia="Times New Roman" w:hAnsi="Times New Roman"/>
                <w:snapToGrid w:val="0"/>
                <w:sz w:val="24"/>
                <w:szCs w:val="24"/>
              </w:rPr>
              <w:t>, пар. 23</w:t>
            </w:r>
            <w:r w:rsidRPr="00F5314F">
              <w:rPr>
                <w:rFonts w:ascii="Times New Roman" w:eastAsia="Times New Roman" w:hAnsi="Times New Roman"/>
                <w:snapToGrid w:val="0"/>
                <w:sz w:val="24"/>
                <w:szCs w:val="24"/>
              </w:rPr>
              <w:t xml:space="preserve">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w:t>
            </w:r>
            <w:r w:rsidRPr="00F5314F">
              <w:rPr>
                <w:rFonts w:ascii="Times New Roman" w:eastAsia="Times New Roman" w:hAnsi="Times New Roman"/>
                <w:snapToGrid w:val="0"/>
                <w:sz w:val="24"/>
                <w:szCs w:val="24"/>
              </w:rPr>
              <w:lastRenderedPageBreak/>
              <w:t>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C1196" w:rsidRPr="00F5314F" w14:paraId="12CC58A2" w14:textId="77777777" w:rsidTr="00E2227D">
        <w:tc>
          <w:tcPr>
            <w:tcW w:w="2804" w:type="dxa"/>
            <w:shd w:val="clear" w:color="auto" w:fill="E6E6E6"/>
          </w:tcPr>
          <w:p w14:paraId="558F037A"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Изпълнител, определен от страна на бенефициента </w:t>
            </w:r>
          </w:p>
        </w:tc>
        <w:tc>
          <w:tcPr>
            <w:tcW w:w="6802" w:type="dxa"/>
            <w:shd w:val="clear" w:color="auto" w:fill="F3F3F3"/>
          </w:tcPr>
          <w:p w14:paraId="6A853197" w14:textId="5AEEC5EE" w:rsidR="003C1196" w:rsidRPr="00F5314F" w:rsidRDefault="003C1196" w:rsidP="00A87587">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962CCA" w:rsidRPr="00F5314F">
              <w:rPr>
                <w:rFonts w:ascii="Times New Roman" w:eastAsia="Times New Roman" w:hAnsi="Times New Roman"/>
                <w:snapToGrid w:val="0"/>
                <w:sz w:val="24"/>
                <w:szCs w:val="24"/>
              </w:rPr>
              <w:t>ФСУ</w:t>
            </w:r>
            <w:r w:rsidRPr="00F5314F">
              <w:rPr>
                <w:rFonts w:ascii="Times New Roman" w:eastAsia="Times New Roman" w:hAnsi="Times New Roman"/>
                <w:snapToGrid w:val="0"/>
                <w:sz w:val="24"/>
                <w:szCs w:val="24"/>
              </w:rPr>
              <w:t xml:space="preserve">,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0319CC" w:rsidRPr="00F5314F">
              <w:rPr>
                <w:rFonts w:ascii="Times New Roman" w:eastAsia="Times New Roman" w:hAnsi="Times New Roman"/>
                <w:snapToGrid w:val="0"/>
                <w:sz w:val="24"/>
                <w:szCs w:val="24"/>
              </w:rPr>
              <w:t>ПКИП</w:t>
            </w:r>
            <w:r w:rsidRPr="00F5314F">
              <w:rPr>
                <w:rFonts w:ascii="Times New Roman" w:eastAsia="Times New Roman" w:hAnsi="Times New Roman"/>
                <w:snapToGrid w:val="0"/>
                <w:sz w:val="24"/>
                <w:szCs w:val="24"/>
              </w:rPr>
              <w:t>.</w:t>
            </w:r>
          </w:p>
        </w:tc>
      </w:tr>
      <w:tr w:rsidR="003C1196" w:rsidRPr="00F5314F" w14:paraId="0816196A" w14:textId="77777777" w:rsidTr="00E2227D">
        <w:tc>
          <w:tcPr>
            <w:tcW w:w="2804" w:type="dxa"/>
            <w:shd w:val="clear" w:color="auto" w:fill="E6E6E6"/>
          </w:tcPr>
          <w:p w14:paraId="4470EC1C"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Иновация</w:t>
            </w:r>
          </w:p>
        </w:tc>
        <w:tc>
          <w:tcPr>
            <w:tcW w:w="6802" w:type="dxa"/>
            <w:shd w:val="clear" w:color="auto" w:fill="F3F3F3"/>
          </w:tcPr>
          <w:p w14:paraId="3B1EBCEC"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Pr="00F5314F">
              <w:rPr>
                <w:rFonts w:ascii="Times New Roman" w:eastAsia="Times New Roman" w:hAnsi="Times New Roman"/>
                <w:b/>
                <w:snapToGrid w:val="0"/>
                <w:sz w:val="24"/>
                <w:szCs w:val="24"/>
              </w:rPr>
              <w:t>Наръчника от Осло 2018</w:t>
            </w:r>
            <w:r w:rsidRPr="00F5314F">
              <w:rPr>
                <w:rFonts w:ascii="Times New Roman" w:eastAsia="Times New Roman" w:hAnsi="Times New Roman"/>
                <w:snapToGrid w:val="0"/>
                <w:sz w:val="24"/>
                <w:szCs w:val="24"/>
              </w:rPr>
              <w:t xml:space="preserve"> (Oslo Manual 2018: Guidelines for Collecting, Reporting and Using Data on Innovation, 4th Edition, OECD/Eurostat (2018), © OECD, European Union, 2018) и за целите на настоящата процедура:</w:t>
            </w:r>
          </w:p>
          <w:p w14:paraId="25427FE7"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xml:space="preserve">Иновация </w:t>
            </w:r>
            <w:r w:rsidRPr="00F5314F">
              <w:rPr>
                <w:rFonts w:ascii="Times New Roman" w:eastAsia="Times New Roman" w:hAnsi="Times New Roman"/>
                <w:snapToGrid w:val="0"/>
                <w:sz w:val="24"/>
                <w:szCs w:val="24"/>
              </w:rPr>
              <w:t>е нов или подобрен продукт или процес (или 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p w14:paraId="0331966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посочената дефиниция са налице следните </w:t>
            </w:r>
            <w:r w:rsidRPr="00F5314F">
              <w:rPr>
                <w:rFonts w:ascii="Times New Roman" w:eastAsia="Times New Roman" w:hAnsi="Times New Roman"/>
                <w:b/>
                <w:snapToGrid w:val="0"/>
                <w:sz w:val="24"/>
                <w:szCs w:val="24"/>
              </w:rPr>
              <w:t>видове иновации</w:t>
            </w:r>
            <w:r w:rsidRPr="00F5314F">
              <w:rPr>
                <w:rFonts w:ascii="Times New Roman" w:eastAsia="Times New Roman" w:hAnsi="Times New Roman"/>
                <w:snapToGrid w:val="0"/>
                <w:sz w:val="24"/>
                <w:szCs w:val="24"/>
              </w:rPr>
              <w:t>:</w:t>
            </w:r>
          </w:p>
          <w:p w14:paraId="20641DA7"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 Продуктова иновация</w:t>
            </w:r>
            <w:r w:rsidRPr="00F5314F">
              <w:rPr>
                <w:rFonts w:ascii="Times New Roman" w:eastAsia="Times New Roman" w:hAnsi="Times New Roman"/>
                <w:snapToGrid w:val="0"/>
                <w:sz w:val="24"/>
                <w:szCs w:val="24"/>
              </w:rPr>
              <w:t xml:space="preserve"> е нова или подобрена стока или услуга, която значително се различава от предишните стоки или услуги на предприятието и е въведена на пазара. </w:t>
            </w:r>
          </w:p>
          <w:p w14:paraId="3BD24B8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Продуктовите иновации трябва да осигуряват значителни подобрения на една или повече характеристики или експлоатационни спецификации.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улеснение, използваемост и удобство за потребителя. Продуктовите иновации не е необходимо да подобряват всички функции или експлоатационни спецификации. Подобряването или добавянето на нова функция може също да се комбинира със загуба на други функции или спад в някои експлоатационни спецификации. Продуктовите иновации могат да използват нови знания или технологии или да се основават на нови начини на употреба или комбинации от съществуващи знания </w:t>
            </w:r>
            <w:r w:rsidRPr="00F5314F">
              <w:rPr>
                <w:rFonts w:ascii="Times New Roman" w:eastAsia="Times New Roman" w:hAnsi="Times New Roman"/>
                <w:snapToGrid w:val="0"/>
                <w:sz w:val="24"/>
                <w:szCs w:val="24"/>
              </w:rPr>
              <w:lastRenderedPageBreak/>
              <w:t>или технологии.</w:t>
            </w:r>
          </w:p>
          <w:p w14:paraId="0DA8BCA3"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б/ Иновация в бизнес процесите (процесова иновация)</w:t>
            </w:r>
            <w:r w:rsidRPr="00F5314F">
              <w:rPr>
                <w:rFonts w:ascii="Times New Roman" w:eastAsia="Times New Roman" w:hAnsi="Times New Roman"/>
                <w:snapToGrid w:val="0"/>
                <w:sz w:val="24"/>
                <w:szCs w:val="24"/>
              </w:rPr>
              <w:t xml:space="preserve"> е нов или подобрен бизнес процес (или комбинация от двете) на една или повече от една функции, които значително се различават от предишните бизнес процеси на предприятието и са въведени в организацията на дейността на предприятието. </w:t>
            </w:r>
          </w:p>
          <w:p w14:paraId="1D5961F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Разграничават се </w:t>
            </w:r>
            <w:r w:rsidRPr="00F5314F">
              <w:rPr>
                <w:rFonts w:ascii="Times New Roman" w:eastAsia="Times New Roman" w:hAnsi="Times New Roman"/>
                <w:b/>
                <w:snapToGrid w:val="0"/>
                <w:sz w:val="24"/>
                <w:szCs w:val="24"/>
              </w:rPr>
              <w:t>шест типа бизнес процеси</w:t>
            </w:r>
            <w:r w:rsidRPr="00F5314F">
              <w:rPr>
                <w:rFonts w:ascii="Times New Roman" w:eastAsia="Times New Roman" w:hAnsi="Times New Roman"/>
                <w:snapToGrid w:val="0"/>
                <w:sz w:val="24"/>
                <w:szCs w:val="24"/>
              </w:rPr>
              <w:t>:</w:t>
            </w:r>
          </w:p>
          <w:p w14:paraId="0910867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1. Производство на стоки и предоставяне на услуги</w:t>
            </w:r>
            <w:r w:rsidRPr="00F5314F">
              <w:rPr>
                <w:rFonts w:ascii="Times New Roman" w:eastAsia="Times New Roman" w:hAnsi="Times New Roman"/>
                <w:snapToGrid w:val="0"/>
                <w:sz w:val="24"/>
                <w:szCs w:val="24"/>
                <w:lang w:val="en-US"/>
              </w:rPr>
              <w:t xml:space="preserve"> – </w:t>
            </w:r>
            <w:r w:rsidRPr="00F5314F">
              <w:rPr>
                <w:rFonts w:ascii="Times New Roman" w:eastAsia="Times New Roman" w:hAnsi="Times New Roman"/>
                <w:b/>
                <w:snapToGrid w:val="0"/>
                <w:sz w:val="24"/>
                <w:szCs w:val="24"/>
                <w:lang w:val="en-US"/>
              </w:rPr>
              <w:t>основен</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д</w:t>
            </w:r>
            <w:r w:rsidRPr="00F5314F">
              <w:rPr>
                <w:rFonts w:ascii="Times New Roman" w:eastAsia="Times New Roman" w:hAnsi="Times New Roman"/>
                <w:snapToGrid w:val="0"/>
                <w:sz w:val="24"/>
                <w:szCs w:val="24"/>
                <w:lang w:val="en-US"/>
              </w:rPr>
              <w:t>ейности, които превръщат суровини</w:t>
            </w:r>
            <w:r w:rsidRPr="00F5314F">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lang w:val="en-US"/>
              </w:rPr>
              <w:t xml:space="preserve"> в стоки или услуги, включително инженери</w:t>
            </w:r>
            <w:r w:rsidRPr="00F5314F">
              <w:rPr>
                <w:rFonts w:ascii="Times New Roman" w:eastAsia="Times New Roman" w:hAnsi="Times New Roman"/>
                <w:snapToGrid w:val="0"/>
                <w:sz w:val="24"/>
                <w:szCs w:val="24"/>
              </w:rPr>
              <w:t>нг</w:t>
            </w:r>
            <w:r w:rsidRPr="00F5314F">
              <w:rPr>
                <w:rFonts w:ascii="Times New Roman" w:eastAsia="Times New Roman" w:hAnsi="Times New Roman"/>
                <w:snapToGrid w:val="0"/>
                <w:sz w:val="24"/>
                <w:szCs w:val="24"/>
                <w:lang w:val="en-US"/>
              </w:rPr>
              <w:t xml:space="preserve"> и свързани</w:t>
            </w:r>
            <w:r w:rsidRPr="00F5314F">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lang w:val="en-US"/>
              </w:rPr>
              <w:t xml:space="preserve"> с </w:t>
            </w:r>
            <w:r w:rsidRPr="00F5314F">
              <w:rPr>
                <w:rFonts w:ascii="Times New Roman" w:eastAsia="Times New Roman" w:hAnsi="Times New Roman"/>
                <w:snapToGrid w:val="0"/>
                <w:sz w:val="24"/>
                <w:szCs w:val="24"/>
              </w:rPr>
              <w:t>него</w:t>
            </w:r>
            <w:r w:rsidRPr="00F5314F">
              <w:rPr>
                <w:rFonts w:ascii="Times New Roman" w:eastAsia="Times New Roman" w:hAnsi="Times New Roman"/>
                <w:snapToGrid w:val="0"/>
                <w:sz w:val="24"/>
                <w:szCs w:val="24"/>
                <w:lang w:val="en-US"/>
              </w:rPr>
              <w:t xml:space="preserve"> технически </w:t>
            </w:r>
            <w:r w:rsidRPr="00F5314F">
              <w:rPr>
                <w:rFonts w:ascii="Times New Roman" w:eastAsia="Times New Roman" w:hAnsi="Times New Roman"/>
                <w:snapToGrid w:val="0"/>
                <w:sz w:val="24"/>
                <w:szCs w:val="24"/>
              </w:rPr>
              <w:t>изпитвания</w:t>
            </w:r>
            <w:r w:rsidRPr="00F5314F">
              <w:rPr>
                <w:rFonts w:ascii="Times New Roman" w:eastAsia="Times New Roman" w:hAnsi="Times New Roman"/>
                <w:snapToGrid w:val="0"/>
                <w:sz w:val="24"/>
                <w:szCs w:val="24"/>
                <w:lang w:val="en-US"/>
              </w:rPr>
              <w:t>, анализи и сертификационни дейности в подкрепа на производството</w:t>
            </w:r>
            <w:r w:rsidRPr="00F5314F">
              <w:rPr>
                <w:rFonts w:ascii="Times New Roman" w:eastAsia="Times New Roman" w:hAnsi="Times New Roman"/>
                <w:snapToGrid w:val="0"/>
                <w:sz w:val="24"/>
                <w:szCs w:val="24"/>
              </w:rPr>
              <w:t>.</w:t>
            </w:r>
          </w:p>
          <w:p w14:paraId="5A036A7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xml:space="preserve">2. Разпространение и логистика </w:t>
            </w:r>
            <w:r w:rsidRPr="00F5314F">
              <w:rPr>
                <w:rFonts w:ascii="Times New Roman" w:eastAsia="Times New Roman" w:hAnsi="Times New Roman"/>
                <w:snapToGrid w:val="0"/>
                <w:sz w:val="24"/>
                <w:szCs w:val="24"/>
              </w:rPr>
              <w:t xml:space="preserve">- </w:t>
            </w:r>
            <w:r w:rsidRPr="00F5314F">
              <w:rPr>
                <w:rFonts w:ascii="Times New Roman" w:eastAsia="Times New Roman" w:hAnsi="Times New Roman"/>
                <w:b/>
                <w:snapToGrid w:val="0"/>
                <w:sz w:val="24"/>
                <w:szCs w:val="24"/>
              </w:rPr>
              <w:t>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транспорт и доставка на услуги; складиране и обработка на поръчки.</w:t>
            </w:r>
          </w:p>
          <w:p w14:paraId="5018D610"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3. Маркетинг и продажби - 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маркетингови методи, включително реклама (промоция и позициониране на продукти, опаковане на продукти), директен маркетинг (телемаркетинг), изложения и панаири, проучване на пазара и други дейности за разработване на нови пазари; ценови стратегии и методи, продажбено и следпродажбено обслужване, включително хелпдеск, друга помощ за клиенти и поддържане на контакти с клиенти.</w:t>
            </w:r>
          </w:p>
          <w:p w14:paraId="63D8F46F"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4. Информационни и комуникационни системи -</w:t>
            </w:r>
            <w:r w:rsidRPr="00F5314F">
              <w:rPr>
                <w:rFonts w:ascii="Times New Roman" w:eastAsia="Times New Roman" w:hAnsi="Times New Roman"/>
                <w:snapToGrid w:val="0"/>
                <w:sz w:val="24"/>
                <w:szCs w:val="24"/>
              </w:rPr>
              <w:t xml:space="preserve"> </w:t>
            </w:r>
            <w:r w:rsidRPr="00F5314F">
              <w:rPr>
                <w:rFonts w:ascii="Times New Roman" w:eastAsia="Times New Roman" w:hAnsi="Times New Roman"/>
                <w:b/>
                <w:snapToGrid w:val="0"/>
                <w:sz w:val="24"/>
                <w:szCs w:val="24"/>
              </w:rPr>
              <w:t>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хардуер и софтуер; обработка на данни и база данни; поддръжка и ремонт; уеб-хостинг и други информационни дейности, свързани с компютри. Тези функции могат да бъдат предоставени от отделно звено или от звено, изпълняващо и други функции.</w:t>
            </w:r>
          </w:p>
          <w:p w14:paraId="15263140"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5. Администрация и управление - 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включващ: стратегическо и общо бизнес управление (мултидисциплинарен подход при вземане на управленски решения), включително организиране на работните</w:t>
            </w:r>
            <w:r w:rsidRPr="00F5314F">
              <w:t xml:space="preserve"> </w:t>
            </w:r>
            <w:r w:rsidRPr="00F5314F">
              <w:rPr>
                <w:rFonts w:ascii="Times New Roman" w:eastAsia="Times New Roman" w:hAnsi="Times New Roman"/>
                <w:snapToGrid w:val="0"/>
                <w:sz w:val="24"/>
                <w:szCs w:val="24"/>
              </w:rPr>
              <w:t>задължения; корпоративно управление (правни въпроси, планиране и връзки с обществеността); счетоводство, водене на отчетност, одит, плащания и други финансови или застрахователни дейности; управление на човешките ресурси (обучение и образование (квалификация), набиране на персонал, организация на работното място, осигуряване на временен персонал, работна заплата и заплащане, здравна и медицинска помощ); управление на доставките; управление на взаимоотношенията с доставчици, партньори и др.</w:t>
            </w:r>
          </w:p>
          <w:p w14:paraId="753C1F71"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6. Разработване на продукти и бизнес процеси - допълващ</w:t>
            </w:r>
            <w:r w:rsidRPr="00F5314F">
              <w:rPr>
                <w:rFonts w:ascii="Times New Roman" w:eastAsia="Times New Roman" w:hAnsi="Times New Roman"/>
                <w:snapToGrid w:val="0"/>
                <w:sz w:val="24"/>
                <w:szCs w:val="24"/>
                <w:lang w:val="en-US"/>
              </w:rPr>
              <w:t xml:space="preserve"> бизнес процес в предприятието, </w:t>
            </w:r>
            <w:r w:rsidRPr="00F5314F">
              <w:rPr>
                <w:rFonts w:ascii="Times New Roman" w:eastAsia="Times New Roman" w:hAnsi="Times New Roman"/>
                <w:snapToGrid w:val="0"/>
                <w:sz w:val="24"/>
                <w:szCs w:val="24"/>
              </w:rPr>
              <w:t xml:space="preserve">включващ дейности по описание, идентифициране, разработване или адаптиране на </w:t>
            </w:r>
            <w:r w:rsidRPr="00F5314F">
              <w:rPr>
                <w:rFonts w:ascii="Times New Roman" w:eastAsia="Times New Roman" w:hAnsi="Times New Roman"/>
                <w:snapToGrid w:val="0"/>
                <w:sz w:val="24"/>
                <w:szCs w:val="24"/>
              </w:rPr>
              <w:lastRenderedPageBreak/>
              <w:t>продукти или бизнес процеси на предприятието. Тази функция може да се изпълнява систематично или при необходимост и да се извършва в рамките на фирмата или от външни изпълнители. Отговорността за тези дейности може да се изпълнява от отделно звено или от звено, отговарящо и за други функции, напр. производство на стоки или услуги.</w:t>
            </w:r>
          </w:p>
          <w:p w14:paraId="1E8F1EE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en-US"/>
              </w:rPr>
              <w:t>Допълнително,</w:t>
            </w:r>
            <w:r w:rsidRPr="00F5314F">
              <w:rPr>
                <w:rFonts w:ascii="Times New Roman" w:eastAsia="Times New Roman" w:hAnsi="Times New Roman"/>
                <w:snapToGrid w:val="0"/>
                <w:sz w:val="24"/>
                <w:szCs w:val="24"/>
              </w:rPr>
              <w:t xml:space="preserve"> във връзка с </w:t>
            </w:r>
            <w:r w:rsidRPr="00F5314F">
              <w:rPr>
                <w:rFonts w:ascii="Times New Roman" w:eastAsia="Times New Roman" w:hAnsi="Times New Roman"/>
                <w:b/>
                <w:snapToGrid w:val="0"/>
                <w:sz w:val="24"/>
                <w:szCs w:val="24"/>
              </w:rPr>
              <w:t>индикатора „МСП, въвеждащи иновация в маркетинга или организацията“</w:t>
            </w:r>
            <w:r w:rsidRPr="00F5314F">
              <w:rPr>
                <w:rFonts w:ascii="Times New Roman" w:eastAsia="Times New Roman" w:hAnsi="Times New Roman"/>
                <w:snapToGrid w:val="0"/>
                <w:sz w:val="24"/>
                <w:szCs w:val="24"/>
              </w:rPr>
              <w:t>, посочен в т. 7.1 от Условията за кандидатстване по процедурата, и съгласно Наръчника от Осло 2018 (4-то издание), за целите на настоящата процедура:</w:t>
            </w:r>
          </w:p>
          <w:p w14:paraId="73A21AB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Маркетингова иновация</w:t>
            </w:r>
            <w:r w:rsidRPr="00F5314F">
              <w:rPr>
                <w:rFonts w:ascii="Times New Roman" w:eastAsia="Times New Roman" w:hAnsi="Times New Roman"/>
                <w:snapToGrid w:val="0"/>
                <w:sz w:val="24"/>
                <w:szCs w:val="24"/>
              </w:rPr>
              <w:t xml:space="preserve"> е иновация в допълващия бизнес процес „маркетинг и продажби“, посочен по-горе под т. 3 от шестте типа бизнес процеси.</w:t>
            </w:r>
          </w:p>
          <w:p w14:paraId="2CE826F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xml:space="preserve">„Организационна иновация“ </w:t>
            </w:r>
            <w:r w:rsidRPr="00F5314F">
              <w:rPr>
                <w:rFonts w:ascii="Times New Roman" w:eastAsia="Times New Roman" w:hAnsi="Times New Roman"/>
                <w:snapToGrid w:val="0"/>
                <w:sz w:val="24"/>
                <w:szCs w:val="24"/>
              </w:rPr>
              <w:t xml:space="preserve">означава прилагането на нов организационен метод на равнището на предприятието (на равнище група в дадения промишлен сектор в ЕИП), организация на работното място или външни отношения, включително например чрез използване на нови или иновативни цифрови технологии. </w:t>
            </w:r>
            <w:r w:rsidRPr="00F5314F">
              <w:rPr>
                <w:rFonts w:ascii="Times New Roman" w:eastAsia="Times New Roman" w:hAnsi="Times New Roman"/>
                <w:b/>
                <w:snapToGrid w:val="0"/>
                <w:sz w:val="24"/>
                <w:szCs w:val="24"/>
              </w:rPr>
              <w:t>Организационна иновация</w:t>
            </w:r>
            <w:r w:rsidRPr="00F5314F">
              <w:rPr>
                <w:rFonts w:ascii="Times New Roman" w:eastAsia="Times New Roman" w:hAnsi="Times New Roman"/>
                <w:snapToGrid w:val="0"/>
                <w:sz w:val="24"/>
                <w:szCs w:val="24"/>
              </w:rPr>
              <w:t xml:space="preserve"> представлява също и иновация в допълващия бизнес процес „администрация и управление“, посочен по-горе под т. 5 от шестте типа бизнес процеси. </w:t>
            </w:r>
            <w:r w:rsidRPr="00F5314F">
              <w:rPr>
                <w:rFonts w:ascii="Times New Roman" w:eastAsia="Times New Roman" w:hAnsi="Times New Roman"/>
                <w:b/>
                <w:snapToGrid w:val="0"/>
                <w:sz w:val="24"/>
                <w:szCs w:val="24"/>
              </w:rPr>
              <w:t>Не се приема за организационна иновация</w:t>
            </w:r>
            <w:r w:rsidRPr="00F5314F">
              <w:rPr>
                <w:rFonts w:ascii="Times New Roman" w:eastAsia="Times New Roman" w:hAnsi="Times New Roman"/>
                <w:snapToGrid w:val="0"/>
                <w:sz w:val="24"/>
                <w:szCs w:val="24"/>
              </w:rPr>
              <w:t>: промените, които се основават на организационни методи, които вече се използват в предприятието; промени в управленската стратегия; сливания и придобивания; прекратяване на използването на процес; обикновена замяна или разширяване на капитала; промени, предизвикани единствено от промени във факторните цени; персонализирано производство; адаптиране към местния пазар; редовни, сезонни и други циклични промени и търговия с нови или съществено усъвършенствани продукти.</w:t>
            </w:r>
          </w:p>
          <w:p w14:paraId="612C9472" w14:textId="77777777" w:rsidR="003C1196" w:rsidRPr="00F5314F" w:rsidRDefault="003C1196" w:rsidP="00E2227D">
            <w:pPr>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Не се приемат за иновации</w:t>
            </w:r>
            <w:r w:rsidRPr="00F5314F">
              <w:rPr>
                <w:rFonts w:ascii="Times New Roman" w:eastAsia="Times New Roman" w:hAnsi="Times New Roman"/>
                <w:snapToGrid w:val="0"/>
                <w:sz w:val="24"/>
                <w:szCs w:val="24"/>
              </w:rPr>
              <w:t>:</w:t>
            </w:r>
          </w:p>
          <w:p w14:paraId="0647BFC5"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рутинни промени и модернизации</w:t>
            </w:r>
            <w:r w:rsidRPr="00F5314F">
              <w:rPr>
                <w:rFonts w:ascii="Times New Roman" w:eastAsia="Times New Roman" w:hAnsi="Times New Roman"/>
                <w:snapToGrid w:val="0"/>
                <w:sz w:val="24"/>
                <w:szCs w:val="24"/>
                <w:lang w:val="en-US"/>
              </w:rPr>
              <w:t xml:space="preserve"> </w:t>
            </w:r>
            <w:r w:rsidRPr="00F5314F">
              <w:rPr>
                <w:rFonts w:ascii="Times New Roman" w:eastAsia="Times New Roman" w:hAnsi="Times New Roman"/>
                <w:snapToGrid w:val="0"/>
                <w:sz w:val="24"/>
                <w:szCs w:val="24"/>
              </w:rPr>
              <w:t>(рутинните промени и модернизациите включват незначителни промени по стока или услуга, които са очаквани и планирани предварително – например: актуализации на софтуера, чрез които се идентифицират и премахват само кодиращи грешки, сезонни промени в модела на облекло и др. под.);</w:t>
            </w:r>
          </w:p>
          <w:p w14:paraId="0994A0B1"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обикновена подмяна или увеличаване на наличните ДМА и ДНА;</w:t>
            </w:r>
          </w:p>
          <w:p w14:paraId="25E55BA7"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внедряване на продукти, които включват само малки естетически промени без наличието на значителна промяна на предлаганата стока или услуга;</w:t>
            </w:r>
          </w:p>
          <w:p w14:paraId="6AF9D5BB"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приспособяване към изискванията  на отделния клиент, които не водят до съществени отлики  от предишни продукти;</w:t>
            </w:r>
          </w:p>
          <w:p w14:paraId="0D894C64"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концепция, прототип или модел на продукт, който все още не съществува;</w:t>
            </w:r>
          </w:p>
          <w:p w14:paraId="674449B4"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w:t>
            </w:r>
            <w:r w:rsidRPr="00F5314F">
              <w:rPr>
                <w:rFonts w:ascii="Times New Roman" w:eastAsia="Times New Roman" w:hAnsi="Times New Roman"/>
                <w:snapToGrid w:val="0"/>
                <w:sz w:val="24"/>
                <w:szCs w:val="24"/>
              </w:rPr>
              <w:tab/>
              <w:t>продукти на фирмите за творчески и професионални услуги, изготвени за определени клиенти, като отчети, книги или филми, и др. под.;</w:t>
            </w:r>
          </w:p>
          <w:p w14:paraId="41CC7321"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дейности по търговия на дребно, търговия на едро, транспорт и съхранение, насочени към разширяване на обхвата на продуктите, предлагани на клиентите;</w:t>
            </w:r>
          </w:p>
          <w:p w14:paraId="5B6992AD"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7C2CE0F1" w14:textId="77777777" w:rsidR="003C1196" w:rsidRPr="00F5314F" w:rsidRDefault="003C1196" w:rsidP="00E2227D">
            <w:pPr>
              <w:tabs>
                <w:tab w:val="left" w:pos="341"/>
              </w:tabs>
              <w:spacing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промяна, породена от изменението на външно определени цени;</w:t>
            </w:r>
          </w:p>
          <w:p w14:paraId="60BE858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ab/>
              <w:t>определяне на нова корпоративна или управленска стратегия.</w:t>
            </w:r>
          </w:p>
        </w:tc>
      </w:tr>
      <w:tr w:rsidR="003C1196" w:rsidRPr="00F5314F" w14:paraId="25B56ED8" w14:textId="77777777" w:rsidTr="00E2227D">
        <w:tc>
          <w:tcPr>
            <w:tcW w:w="2804" w:type="dxa"/>
            <w:shd w:val="clear" w:color="auto" w:fill="E6E6E6"/>
          </w:tcPr>
          <w:p w14:paraId="52D9AAE8"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Кандидати</w:t>
            </w:r>
          </w:p>
        </w:tc>
        <w:tc>
          <w:tcPr>
            <w:tcW w:w="6802" w:type="dxa"/>
            <w:shd w:val="clear" w:color="auto" w:fill="F3F3F3"/>
          </w:tcPr>
          <w:p w14:paraId="037E775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9833AA" w:rsidRPr="00F5314F" w14:paraId="3803E1D5" w14:textId="77777777" w:rsidTr="00E2227D">
        <w:tc>
          <w:tcPr>
            <w:tcW w:w="2804" w:type="dxa"/>
            <w:shd w:val="clear" w:color="auto" w:fill="E6E6E6"/>
          </w:tcPr>
          <w:p w14:paraId="66BE0BFD" w14:textId="0D3F7D16" w:rsidR="009833AA" w:rsidRPr="00F5314F" w:rsidRDefault="009833AA" w:rsidP="009833A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7C93338C" w14:textId="62DEE290"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003D0798" w:rsidRPr="00F5314F">
              <w:rPr>
                <w:rStyle w:val="FootnoteReference"/>
                <w:rFonts w:ascii="Times New Roman" w:eastAsia="Times New Roman" w:hAnsi="Times New Roman"/>
                <w:snapToGrid w:val="0"/>
                <w:sz w:val="24"/>
                <w:szCs w:val="24"/>
              </w:rPr>
              <w:footnoteReference w:id="1"/>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431B9D96" w14:textId="536C55ED"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1579522B"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6A520AD1"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6875F3E7"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101AC80D"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23DEDE53" w14:textId="73F57E15" w:rsidR="003D0798" w:rsidRPr="00F5314F" w:rsidRDefault="009833AA" w:rsidP="003D0798">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w:t>
            </w:r>
            <w:r w:rsidRPr="00F5314F">
              <w:rPr>
                <w:rFonts w:ascii="Times New Roman" w:eastAsia="Times New Roman" w:hAnsi="Times New Roman"/>
                <w:snapToGrid w:val="0"/>
                <w:sz w:val="24"/>
                <w:szCs w:val="24"/>
              </w:rPr>
              <w:lastRenderedPageBreak/>
              <w:t>сътрудничество.</w:t>
            </w:r>
          </w:p>
        </w:tc>
      </w:tr>
      <w:tr w:rsidR="003C1196" w:rsidRPr="00F5314F" w14:paraId="0E73071D" w14:textId="77777777" w:rsidTr="00E2227D">
        <w:tc>
          <w:tcPr>
            <w:tcW w:w="2804" w:type="dxa"/>
            <w:shd w:val="clear" w:color="auto" w:fill="E6E6E6"/>
          </w:tcPr>
          <w:p w14:paraId="3C6A2252"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Консултантски и помощни услуги в подкрепа на иновациите</w:t>
            </w:r>
          </w:p>
        </w:tc>
        <w:tc>
          <w:tcPr>
            <w:tcW w:w="6802" w:type="dxa"/>
            <w:shd w:val="clear" w:color="auto" w:fill="F3F3F3"/>
          </w:tcPr>
          <w:p w14:paraId="4EB37310" w14:textId="5B44B368"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319CC" w:rsidRPr="00F5314F">
              <w:rPr>
                <w:rFonts w:ascii="Times New Roman" w:eastAsia="Times New Roman" w:hAnsi="Times New Roman"/>
                <w:snapToGrid w:val="0"/>
                <w:sz w:val="24"/>
                <w:szCs w:val="24"/>
              </w:rPr>
              <w:t>, пар. 94</w:t>
            </w:r>
            <w:r w:rsidRPr="00F5314F">
              <w:rPr>
                <w:rFonts w:ascii="Times New Roman" w:eastAsia="Times New Roman" w:hAnsi="Times New Roman"/>
                <w:snapToGrid w:val="0"/>
                <w:sz w:val="24"/>
                <w:szCs w:val="24"/>
              </w:rPr>
              <w:t xml:space="preserve"> от Регламент (ЕС) № 651/2014 на Комисията „консултантски услуги в областта на иновациите“ означава консултиране, подпомагане и обучение в областта на трансфера на знания, придобиването, защитата и експлоатацията на нематериални активи, използването на стандарти и на правилата, които ги уреждат.</w:t>
            </w:r>
          </w:p>
          <w:p w14:paraId="55520D65"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ВАЖНО: За целите на настоящата процедура са допустими консултантски услуги в областта на иновациите, свързани със защитата на нематериални активи.</w:t>
            </w:r>
          </w:p>
          <w:p w14:paraId="47D8BAB3" w14:textId="63AF7E42"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319CC" w:rsidRPr="00F5314F">
              <w:rPr>
                <w:rFonts w:ascii="Times New Roman" w:eastAsia="Times New Roman" w:hAnsi="Times New Roman"/>
                <w:snapToGrid w:val="0"/>
                <w:sz w:val="24"/>
                <w:szCs w:val="24"/>
              </w:rPr>
              <w:t>, пар. 95</w:t>
            </w:r>
            <w:r w:rsidRPr="00F5314F">
              <w:rPr>
                <w:rFonts w:ascii="Times New Roman" w:eastAsia="Times New Roman" w:hAnsi="Times New Roman"/>
                <w:snapToGrid w:val="0"/>
                <w:sz w:val="24"/>
                <w:szCs w:val="24"/>
              </w:rPr>
              <w:t xml:space="preserve"> от Регламент (ЕС) № 651/2014 на Комисията „услуги в подкрепа на иновациите“ означава осигуряване на офис пространство, бази данни, библиотеки, пазарни проучвания, лаборатории, етикети за качество, изпитване и сертифициране с цел разработване на по-ефективни продукти, процеси или услуги.</w:t>
            </w:r>
          </w:p>
          <w:p w14:paraId="607F4B27"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ВАЖНО: За целите на настоящата процедура са допустими услуги в подкрепа на иновациите, свързани с осигуряване на бази данни, библиотеки и лаборатории.</w:t>
            </w:r>
          </w:p>
        </w:tc>
      </w:tr>
      <w:tr w:rsidR="003C1196" w:rsidRPr="00F5314F" w14:paraId="744BEC74" w14:textId="77777777" w:rsidTr="00E2227D">
        <w:tc>
          <w:tcPr>
            <w:tcW w:w="2804" w:type="dxa"/>
            <w:shd w:val="clear" w:color="auto" w:fill="E6E6E6"/>
          </w:tcPr>
          <w:p w14:paraId="6DE4A53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Лигнитни въглища</w:t>
            </w:r>
          </w:p>
        </w:tc>
        <w:tc>
          <w:tcPr>
            <w:tcW w:w="6802" w:type="dxa"/>
            <w:shd w:val="clear" w:color="auto" w:fill="F3F3F3"/>
          </w:tcPr>
          <w:p w14:paraId="77A44730" w14:textId="5B255318"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319CC" w:rsidRPr="00F5314F">
              <w:rPr>
                <w:rFonts w:ascii="Times New Roman" w:eastAsia="Times New Roman" w:hAnsi="Times New Roman"/>
                <w:snapToGrid w:val="0"/>
                <w:sz w:val="24"/>
                <w:szCs w:val="24"/>
              </w:rPr>
              <w:t>, пар. 43а</w:t>
            </w:r>
            <w:r w:rsidRPr="00F5314F">
              <w:rPr>
                <w:rFonts w:ascii="Times New Roman" w:eastAsia="Times New Roman" w:hAnsi="Times New Roman"/>
                <w:snapToGrid w:val="0"/>
                <w:sz w:val="24"/>
                <w:szCs w:val="24"/>
              </w:rPr>
              <w:t xml:space="preserve"> от Регламент (ЕО) № 651/2014 „лигнитни въглища“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3C1196" w:rsidRPr="00F5314F" w14:paraId="2459FC9E" w14:textId="77777777" w:rsidTr="00E2227D">
        <w:tc>
          <w:tcPr>
            <w:tcW w:w="2804" w:type="dxa"/>
            <w:shd w:val="clear" w:color="auto" w:fill="E6E6E6"/>
          </w:tcPr>
          <w:p w14:paraId="1FBB0D43" w14:textId="22E6855A" w:rsidR="003C1196" w:rsidRPr="00F5314F" w:rsidRDefault="003C1196" w:rsidP="00F72160">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w:t>
            </w:r>
            <w:r w:rsidR="00F72160" w:rsidRPr="00F5314F">
              <w:rPr>
                <w:rFonts w:ascii="Times New Roman" w:eastAsia="Times New Roman" w:hAnsi="Times New Roman"/>
                <w:b/>
                <w:snapToGrid w:val="0"/>
                <w:sz w:val="24"/>
                <w:szCs w:val="24"/>
              </w:rPr>
              <w:t xml:space="preserve">и </w:t>
            </w:r>
            <w:r w:rsidRPr="00F5314F">
              <w:rPr>
                <w:rFonts w:ascii="Times New Roman" w:eastAsia="Times New Roman" w:hAnsi="Times New Roman"/>
                <w:b/>
                <w:snapToGrid w:val="0"/>
                <w:sz w:val="24"/>
                <w:szCs w:val="24"/>
              </w:rPr>
              <w:t>дружеств</w:t>
            </w:r>
            <w:r w:rsidR="00F72160" w:rsidRPr="00F5314F">
              <w:rPr>
                <w:rFonts w:ascii="Times New Roman" w:eastAsia="Times New Roman" w:hAnsi="Times New Roman"/>
                <w:b/>
                <w:snapToGrid w:val="0"/>
                <w:sz w:val="24"/>
                <w:szCs w:val="24"/>
              </w:rPr>
              <w:t>а</w:t>
            </w:r>
            <w:r w:rsidRPr="00F5314F">
              <w:rPr>
                <w:rFonts w:ascii="Times New Roman" w:eastAsia="Times New Roman" w:hAnsi="Times New Roman"/>
                <w:b/>
                <w:snapToGrid w:val="0"/>
                <w:sz w:val="24"/>
                <w:szCs w:val="24"/>
              </w:rPr>
              <w:t xml:space="preserve"> със средна пазарна капитализация (Small Mid-Caps)</w:t>
            </w:r>
          </w:p>
        </w:tc>
        <w:tc>
          <w:tcPr>
            <w:tcW w:w="6802" w:type="dxa"/>
            <w:shd w:val="clear" w:color="auto" w:fill="F3F3F3"/>
          </w:tcPr>
          <w:p w14:paraId="65F88533" w14:textId="79EC3DDE"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F72160" w:rsidRPr="00F5314F">
              <w:rPr>
                <w:rFonts w:ascii="Times New Roman" w:eastAsia="Times New Roman" w:hAnsi="Times New Roman"/>
                <w:snapToGrid w:val="0"/>
                <w:sz w:val="24"/>
                <w:szCs w:val="24"/>
              </w:rPr>
              <w:t>, пар. 103д</w:t>
            </w:r>
            <w:r w:rsidRPr="00F5314F">
              <w:rPr>
                <w:rFonts w:ascii="Times New Roman" w:eastAsia="Times New Roman" w:hAnsi="Times New Roman"/>
                <w:snapToGrid w:val="0"/>
                <w:sz w:val="24"/>
                <w:szCs w:val="24"/>
              </w:rPr>
              <w:t xml:space="preserve"> от Регламент (ЕО) № 651/2014 „малк</w:t>
            </w:r>
            <w:r w:rsidR="00F72160" w:rsidRPr="00F5314F">
              <w:rPr>
                <w:rFonts w:ascii="Times New Roman" w:eastAsia="Times New Roman" w:hAnsi="Times New Roman"/>
                <w:snapToGrid w:val="0"/>
                <w:sz w:val="24"/>
                <w:szCs w:val="24"/>
              </w:rPr>
              <w:t>о</w:t>
            </w:r>
            <w:r w:rsidRPr="00F5314F">
              <w:rPr>
                <w:rFonts w:ascii="Times New Roman" w:eastAsia="Times New Roman" w:hAnsi="Times New Roman"/>
                <w:snapToGrid w:val="0"/>
                <w:sz w:val="24"/>
                <w:szCs w:val="24"/>
              </w:rPr>
              <w:t xml:space="preserve"> дружеств</w:t>
            </w:r>
            <w:r w:rsidR="00F72160" w:rsidRPr="00F5314F">
              <w:rPr>
                <w:rFonts w:ascii="Times New Roman" w:eastAsia="Times New Roman" w:hAnsi="Times New Roman"/>
                <w:snapToGrid w:val="0"/>
                <w:sz w:val="24"/>
                <w:szCs w:val="24"/>
              </w:rPr>
              <w:t>о</w:t>
            </w:r>
            <w:r w:rsidRPr="00F5314F">
              <w:rPr>
                <w:rFonts w:ascii="Times New Roman" w:eastAsia="Times New Roman" w:hAnsi="Times New Roman"/>
                <w:snapToGrid w:val="0"/>
                <w:sz w:val="24"/>
                <w:szCs w:val="24"/>
              </w:rPr>
              <w:t xml:space="preserve"> със средна капитализация</w:t>
            </w:r>
            <w:r w:rsidR="00F72160"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(Small Mid-Caps) </w:t>
            </w:r>
            <w:r w:rsidR="00F72160" w:rsidRPr="00F5314F">
              <w:rPr>
                <w:rFonts w:ascii="Times New Roman" w:eastAsia="Times New Roman" w:hAnsi="Times New Roman"/>
                <w:snapToGrid w:val="0"/>
                <w:sz w:val="24"/>
                <w:szCs w:val="24"/>
              </w:rPr>
              <w:t>означава</w:t>
            </w:r>
            <w:r w:rsidRPr="00F5314F">
              <w:rPr>
                <w:rFonts w:ascii="Times New Roman" w:eastAsia="Times New Roman" w:hAnsi="Times New Roman"/>
                <w:snapToGrid w:val="0"/>
                <w:sz w:val="24"/>
                <w:szCs w:val="24"/>
              </w:rPr>
              <w:t xml:space="preserve"> предприяти</w:t>
            </w:r>
            <w:r w:rsidR="00F72160" w:rsidRPr="00F5314F">
              <w:rPr>
                <w:rFonts w:ascii="Times New Roman" w:eastAsia="Times New Roman" w:hAnsi="Times New Roman"/>
                <w:snapToGrid w:val="0"/>
                <w:sz w:val="24"/>
                <w:szCs w:val="24"/>
              </w:rPr>
              <w:t>е</w:t>
            </w:r>
            <w:r w:rsidRPr="00F5314F">
              <w:rPr>
                <w:rFonts w:ascii="Times New Roman" w:eastAsia="Times New Roman" w:hAnsi="Times New Roman"/>
                <w:snapToGrid w:val="0"/>
                <w:sz w:val="24"/>
                <w:szCs w:val="24"/>
              </w:rPr>
              <w:t>, ко</w:t>
            </w:r>
            <w:r w:rsidR="00F72160" w:rsidRPr="00F5314F">
              <w:rPr>
                <w:rFonts w:ascii="Times New Roman" w:eastAsia="Times New Roman" w:hAnsi="Times New Roman"/>
                <w:snapToGrid w:val="0"/>
                <w:sz w:val="24"/>
                <w:szCs w:val="24"/>
              </w:rPr>
              <w:t xml:space="preserve">ето </w:t>
            </w:r>
            <w:r w:rsidRPr="00F5314F">
              <w:rPr>
                <w:rFonts w:ascii="Times New Roman" w:eastAsia="Times New Roman" w:hAnsi="Times New Roman"/>
                <w:snapToGrid w:val="0"/>
                <w:sz w:val="24"/>
                <w:szCs w:val="24"/>
              </w:rPr>
              <w:t xml:space="preserve">не </w:t>
            </w:r>
            <w:r w:rsidR="00F72160" w:rsidRPr="00F5314F">
              <w:rPr>
                <w:rFonts w:ascii="Times New Roman" w:eastAsia="Times New Roman" w:hAnsi="Times New Roman"/>
                <w:snapToGrid w:val="0"/>
                <w:sz w:val="24"/>
                <w:szCs w:val="24"/>
              </w:rPr>
              <w:t>е</w:t>
            </w:r>
            <w:r w:rsidRPr="00F5314F">
              <w:rPr>
                <w:rFonts w:ascii="Times New Roman" w:eastAsia="Times New Roman" w:hAnsi="Times New Roman"/>
                <w:snapToGrid w:val="0"/>
                <w:sz w:val="24"/>
                <w:szCs w:val="24"/>
              </w:rPr>
              <w:t xml:space="preserve"> МСП, </w:t>
            </w:r>
            <w:r w:rsidR="00F72160" w:rsidRPr="00F5314F">
              <w:rPr>
                <w:rFonts w:ascii="Times New Roman" w:eastAsia="Times New Roman" w:hAnsi="Times New Roman"/>
                <w:snapToGrid w:val="0"/>
                <w:sz w:val="24"/>
                <w:szCs w:val="24"/>
              </w:rPr>
              <w:t>и има</w:t>
            </w:r>
            <w:r w:rsidRPr="00F5314F">
              <w:rPr>
                <w:rFonts w:ascii="Times New Roman" w:eastAsia="Times New Roman" w:hAnsi="Times New Roman"/>
                <w:snapToGrid w:val="0"/>
                <w:sz w:val="24"/>
                <w:szCs w:val="24"/>
              </w:rPr>
              <w:t xml:space="preserve"> средно списъчният брой на персонала </w:t>
            </w:r>
            <w:r w:rsidR="00F72160" w:rsidRPr="00F5314F">
              <w:rPr>
                <w:rFonts w:ascii="Times New Roman" w:eastAsia="Times New Roman" w:hAnsi="Times New Roman"/>
                <w:snapToGrid w:val="0"/>
                <w:sz w:val="24"/>
                <w:szCs w:val="24"/>
              </w:rPr>
              <w:t>н</w:t>
            </w:r>
            <w:r w:rsidRPr="00F5314F">
              <w:rPr>
                <w:rFonts w:ascii="Times New Roman" w:eastAsia="Times New Roman" w:hAnsi="Times New Roman"/>
                <w:snapToGrid w:val="0"/>
                <w:sz w:val="24"/>
                <w:szCs w:val="24"/>
              </w:rPr>
              <w:t xml:space="preserve">е </w:t>
            </w:r>
            <w:r w:rsidR="00F72160" w:rsidRPr="00F5314F">
              <w:rPr>
                <w:rFonts w:ascii="Times New Roman" w:eastAsia="Times New Roman" w:hAnsi="Times New Roman"/>
                <w:snapToGrid w:val="0"/>
                <w:sz w:val="24"/>
                <w:szCs w:val="24"/>
              </w:rPr>
              <w:t>повече от</w:t>
            </w:r>
            <w:r w:rsidRPr="00F5314F">
              <w:rPr>
                <w:rFonts w:ascii="Times New Roman" w:eastAsia="Times New Roman" w:hAnsi="Times New Roman"/>
                <w:snapToGrid w:val="0"/>
                <w:sz w:val="24"/>
                <w:szCs w:val="24"/>
              </w:rPr>
              <w:t xml:space="preserve"> 499 служители, и</w:t>
            </w:r>
            <w:r w:rsidRPr="00F5314F">
              <w:rPr>
                <w:rFonts w:ascii="Times New Roman" w:hAnsi="Times New Roman"/>
              </w:rPr>
              <w:t xml:space="preserve"> </w:t>
            </w:r>
            <w:r w:rsidRPr="00F5314F">
              <w:rPr>
                <w:rFonts w:ascii="Times New Roman" w:eastAsia="Times New Roman" w:hAnsi="Times New Roman"/>
                <w:snapToGrid w:val="0"/>
                <w:sz w:val="24"/>
                <w:szCs w:val="24"/>
              </w:rPr>
              <w:t xml:space="preserve">чийто годишен оборот не надвишава 100 милиона евро или чийто годишен баланс не надвишава 86 милиона евро, </w:t>
            </w:r>
            <w:r w:rsidRPr="00F5314F">
              <w:rPr>
                <w:rFonts w:ascii="Times New Roman" w:eastAsia="Times New Roman" w:hAnsi="Times New Roman"/>
                <w:b/>
                <w:snapToGrid w:val="0"/>
                <w:sz w:val="24"/>
                <w:szCs w:val="24"/>
              </w:rPr>
              <w:t>като са взети предвид всички отношения на партньорство и свързаност с други предприятия по смисъла на чл. 4 от ЗМСП</w:t>
            </w:r>
            <w:r w:rsidRPr="00F5314F">
              <w:rPr>
                <w:rFonts w:ascii="Times New Roman" w:eastAsia="Times New Roman" w:hAnsi="Times New Roman"/>
                <w:snapToGrid w:val="0"/>
                <w:sz w:val="24"/>
                <w:szCs w:val="24"/>
              </w:rPr>
              <w:t>.</w:t>
            </w:r>
          </w:p>
          <w:p w14:paraId="0A1AE8C5"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определяне на „годишен оборот“ се използват данните за „нетни приходи от продажби“ от Отчета за приходите и разходите (код 15100 от ОПР по образец на Националния статистически институт), освен ако бизнес моделът на предприятието не предполага представянето на приходите от обичайната му дейност в друго перо.</w:t>
            </w:r>
          </w:p>
          <w:p w14:paraId="45608EF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определяне на „годишен баланс“ се използват данните за общата сума на активите от Баланса на предприятието (код 04500 от Счетоводен баланс по образец на НСИ).</w:t>
            </w:r>
          </w:p>
        </w:tc>
      </w:tr>
      <w:tr w:rsidR="003C1196" w:rsidRPr="00F5314F" w14:paraId="113E1CCA" w14:textId="77777777" w:rsidTr="00E2227D">
        <w:tc>
          <w:tcPr>
            <w:tcW w:w="2804" w:type="dxa"/>
            <w:shd w:val="clear" w:color="auto" w:fill="E6E6E6"/>
          </w:tcPr>
          <w:p w14:paraId="2B3CED2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802" w:type="dxa"/>
            <w:shd w:val="clear" w:color="auto" w:fill="F3F3F3"/>
          </w:tcPr>
          <w:p w14:paraId="5B639E87" w14:textId="68E73AD1"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w:t>
            </w:r>
            <w:r w:rsidR="004E1802" w:rsidRPr="00F5314F">
              <w:rPr>
                <w:rFonts w:ascii="Times New Roman" w:eastAsia="Times New Roman" w:hAnsi="Times New Roman"/>
                <w:snapToGrid w:val="0"/>
                <w:sz w:val="24"/>
                <w:szCs w:val="24"/>
              </w:rPr>
              <w:t>, пар. 29</w:t>
            </w:r>
            <w:r w:rsidRPr="00F5314F">
              <w:rPr>
                <w:rFonts w:ascii="Times New Roman" w:eastAsia="Times New Roman" w:hAnsi="Times New Roman"/>
                <w:snapToGrid w:val="0"/>
                <w:sz w:val="24"/>
                <w:szCs w:val="24"/>
              </w:rPr>
              <w:t xml:space="preserve"> от Регламент (ЕО) № 651/2014 „материални активи" означава активи, състоящи се от земя, </w:t>
            </w:r>
            <w:r w:rsidRPr="00F5314F">
              <w:rPr>
                <w:rFonts w:ascii="Times New Roman" w:eastAsia="Times New Roman" w:hAnsi="Times New Roman"/>
                <w:snapToGrid w:val="0"/>
                <w:sz w:val="24"/>
                <w:szCs w:val="24"/>
              </w:rPr>
              <w:lastRenderedPageBreak/>
              <w:t xml:space="preserve">сгради, съоръжения, машини и оборудване. </w:t>
            </w:r>
          </w:p>
          <w:p w14:paraId="17C59050" w14:textId="27997408" w:rsidR="003C1196" w:rsidRPr="00F5314F" w:rsidRDefault="00F014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ВАЖНО: </w:t>
            </w:r>
            <w:r w:rsidR="003C1196" w:rsidRPr="00F5314F">
              <w:rPr>
                <w:rFonts w:ascii="Times New Roman" w:eastAsia="Times New Roman" w:hAnsi="Times New Roman"/>
                <w:b/>
                <w:snapToGrid w:val="0"/>
                <w:sz w:val="24"/>
                <w:szCs w:val="24"/>
              </w:rPr>
              <w:t>За целите на настоящата процедура допустими са само разходи за съоръжения, машини и оборудване</w:t>
            </w:r>
            <w:r w:rsidR="004E1802" w:rsidRPr="00F5314F">
              <w:rPr>
                <w:rFonts w:ascii="Times New Roman" w:eastAsia="Times New Roman" w:hAnsi="Times New Roman"/>
                <w:b/>
                <w:snapToGrid w:val="0"/>
                <w:sz w:val="24"/>
                <w:szCs w:val="24"/>
              </w:rPr>
              <w:t>.</w:t>
            </w:r>
          </w:p>
        </w:tc>
      </w:tr>
      <w:tr w:rsidR="003C1196" w:rsidRPr="00F5314F" w14:paraId="1F478B3B" w14:textId="77777777" w:rsidTr="00E2227D">
        <w:tc>
          <w:tcPr>
            <w:tcW w:w="2804" w:type="dxa"/>
            <w:shd w:val="clear" w:color="auto" w:fill="E6E6E6"/>
          </w:tcPr>
          <w:p w14:paraId="16E32F0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Микро-, малки и средни предприятия (МСП)</w:t>
            </w:r>
          </w:p>
        </w:tc>
        <w:tc>
          <w:tcPr>
            <w:tcW w:w="6802" w:type="dxa"/>
            <w:shd w:val="clear" w:color="auto" w:fill="F3F3F3"/>
          </w:tcPr>
          <w:p w14:paraId="2490CC02" w14:textId="77777777" w:rsidR="003C1196" w:rsidRPr="00F5314F" w:rsidRDefault="003C1196" w:rsidP="00E2227D">
            <w:pPr>
              <w:spacing w:after="120" w:line="240" w:lineRule="auto"/>
              <w:jc w:val="both"/>
              <w:rPr>
                <w:rFonts w:ascii="Times New Roman" w:hAnsi="Times New Roman"/>
                <w:sz w:val="24"/>
                <w:szCs w:val="24"/>
              </w:rPr>
            </w:pPr>
            <w:r w:rsidRPr="00F5314F">
              <w:rPr>
                <w:rFonts w:ascii="Times New Roman" w:hAnsi="Times New Roman"/>
                <w:sz w:val="24"/>
                <w:szCs w:val="24"/>
              </w:rPr>
              <w:t>По смисъла на чл. 3 от Закона за малките и средните предприятия (ЗМСП) и Приложение I към Регламент (ЕС) № 651/2014 на Комисията относно определението за микро-, малки и средни предприятия.</w:t>
            </w:r>
          </w:p>
          <w:p w14:paraId="61EF2AB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3 от ЗМСП, категорията малки и средни предприятия включва предприятията, които имат:</w:t>
            </w:r>
          </w:p>
          <w:p w14:paraId="2F476F7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250 души, и</w:t>
            </w:r>
          </w:p>
          <w:p w14:paraId="628C547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3C922FF4"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малки предприятия са тези, които имат:</w:t>
            </w:r>
          </w:p>
          <w:p w14:paraId="4F4676BC"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14:paraId="5D45F4FE"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5FD4A74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микропредприятия са тези, които имат:</w:t>
            </w:r>
          </w:p>
          <w:p w14:paraId="7C2294C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10 души, и</w:t>
            </w:r>
          </w:p>
          <w:p w14:paraId="55B185E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166AEE6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tc>
      </w:tr>
      <w:tr w:rsidR="003C1196" w:rsidRPr="00F5314F" w14:paraId="0CEE9652" w14:textId="77777777" w:rsidTr="00E2227D">
        <w:tc>
          <w:tcPr>
            <w:tcW w:w="2804" w:type="dxa"/>
            <w:shd w:val="clear" w:color="auto" w:fill="E6E6E6"/>
          </w:tcPr>
          <w:p w14:paraId="16B50C4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Място на изпълнение на проекта </w:t>
            </w:r>
          </w:p>
        </w:tc>
        <w:tc>
          <w:tcPr>
            <w:tcW w:w="6802" w:type="dxa"/>
            <w:shd w:val="clear" w:color="auto" w:fill="F3F3F3"/>
          </w:tcPr>
          <w:p w14:paraId="3AA5FD2E"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Мястото на физическото осъществяване на инвестицията,</w:t>
            </w:r>
            <w:r w:rsidRPr="00F5314F">
              <w:t xml:space="preserve"> </w:t>
            </w:r>
            <w:r w:rsidRPr="00F5314F">
              <w:rPr>
                <w:rFonts w:ascii="Times New Roman" w:eastAsia="Times New Roman" w:hAnsi="Times New Roman"/>
                <w:snapToGrid w:val="0"/>
                <w:sz w:val="24"/>
                <w:szCs w:val="24"/>
              </w:rPr>
              <w:t>на което може да се провери и удостовери внедряването на подкрепяната по процедурата иновация.</w:t>
            </w:r>
          </w:p>
        </w:tc>
      </w:tr>
      <w:tr w:rsidR="00C84FCD" w:rsidRPr="00F5314F" w14:paraId="215EEF93" w14:textId="77777777" w:rsidTr="00E2227D">
        <w:tc>
          <w:tcPr>
            <w:tcW w:w="2804" w:type="dxa"/>
            <w:shd w:val="clear" w:color="auto" w:fill="E6E6E6"/>
          </w:tcPr>
          <w:p w14:paraId="6FB169D4" w14:textId="107E51A7" w:rsidR="00C84FCD" w:rsidRPr="00F5314F" w:rsidRDefault="00C84FCD" w:rsidP="00C84FC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0435DCA9" w14:textId="590F3CA6" w:rsidR="00C84FCD" w:rsidRPr="00F5314F" w:rsidRDefault="00C84FCD" w:rsidP="00C84FC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3C1196" w:rsidRPr="00F5314F" w14:paraId="48639AB8" w14:textId="77777777" w:rsidTr="00E2227D">
        <w:tc>
          <w:tcPr>
            <w:tcW w:w="2804" w:type="dxa"/>
            <w:shd w:val="clear" w:color="auto" w:fill="E6E6E6"/>
          </w:tcPr>
          <w:p w14:paraId="38097BA4"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14:paraId="5ED910BA" w14:textId="4C4D6045"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rPr>
              <w:t>По смисъла на чл. 2</w:t>
            </w:r>
            <w:r w:rsidR="008845F4" w:rsidRPr="00F5314F">
              <w:rPr>
                <w:rFonts w:ascii="Times New Roman" w:eastAsia="Times New Roman" w:hAnsi="Times New Roman"/>
                <w:snapToGrid w:val="0"/>
                <w:sz w:val="24"/>
                <w:szCs w:val="24"/>
              </w:rPr>
              <w:t>, пар. 30</w:t>
            </w:r>
            <w:r w:rsidRPr="00F5314F">
              <w:rPr>
                <w:rFonts w:ascii="Times New Roman" w:eastAsia="Times New Roman" w:hAnsi="Times New Roman"/>
                <w:snapToGrid w:val="0"/>
                <w:sz w:val="24"/>
                <w:szCs w:val="24"/>
              </w:rPr>
              <w:t xml:space="preserve"> от Регламент (ЕО) № 651/2014 „Нематериални активи“ </w:t>
            </w:r>
            <w:r w:rsidRPr="00F5314F">
              <w:rPr>
                <w:rFonts w:ascii="Times New Roman" w:eastAsia="Times New Roman" w:hAnsi="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tc>
      </w:tr>
      <w:tr w:rsidR="003C1196" w:rsidRPr="00F5314F" w14:paraId="2AE0517E" w14:textId="77777777" w:rsidTr="00E2227D">
        <w:tc>
          <w:tcPr>
            <w:tcW w:w="2804" w:type="dxa"/>
            <w:shd w:val="clear" w:color="auto" w:fill="E6E6E6"/>
          </w:tcPr>
          <w:p w14:paraId="303354F2"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3C4E820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3C1196" w:rsidRPr="00F5314F" w14:paraId="3C772741" w14:textId="77777777" w:rsidTr="00E2227D">
        <w:tc>
          <w:tcPr>
            <w:tcW w:w="2804" w:type="dxa"/>
            <w:shd w:val="clear" w:color="auto" w:fill="E6E6E6"/>
          </w:tcPr>
          <w:p w14:paraId="7AA312A8"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5D0FA699" w14:textId="54F55F85" w:rsidR="003C1196" w:rsidRPr="00F5314F" w:rsidRDefault="001B490C" w:rsidP="001B490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w:t>
            </w:r>
            <w:r w:rsidRPr="00F5314F">
              <w:rPr>
                <w:rFonts w:ascii="Times New Roman" w:eastAsia="Times New Roman" w:hAnsi="Times New Roman"/>
                <w:snapToGrid w:val="0"/>
                <w:sz w:val="24"/>
                <w:szCs w:val="24"/>
              </w:rPr>
              <w:lastRenderedPageBreak/>
              <w:t>този бюджет</w:t>
            </w:r>
            <w:r w:rsidR="003C1196" w:rsidRPr="00F5314F">
              <w:rPr>
                <w:rFonts w:ascii="Times New Roman" w:eastAsia="Times New Roman" w:hAnsi="Times New Roman"/>
                <w:snapToGrid w:val="0"/>
                <w:sz w:val="24"/>
                <w:szCs w:val="24"/>
              </w:rPr>
              <w:t>.</w:t>
            </w:r>
          </w:p>
        </w:tc>
      </w:tr>
      <w:tr w:rsidR="00C9711F" w:rsidRPr="00F5314F" w14:paraId="2F52A53C" w14:textId="77777777" w:rsidTr="00E2227D">
        <w:tc>
          <w:tcPr>
            <w:tcW w:w="2804" w:type="dxa"/>
            <w:shd w:val="clear" w:color="auto" w:fill="E6E6E6"/>
          </w:tcPr>
          <w:p w14:paraId="5C833A5B" w14:textId="77BBF346"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Показател за краен продукт</w:t>
            </w:r>
          </w:p>
        </w:tc>
        <w:tc>
          <w:tcPr>
            <w:tcW w:w="6802" w:type="dxa"/>
            <w:shd w:val="clear" w:color="auto" w:fill="F3F3F3"/>
          </w:tcPr>
          <w:p w14:paraId="31629DF6" w14:textId="7A2E10D7"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C9711F" w:rsidRPr="00F5314F" w14:paraId="279A8AF6" w14:textId="77777777" w:rsidTr="00E2227D">
        <w:tc>
          <w:tcPr>
            <w:tcW w:w="2804" w:type="dxa"/>
            <w:shd w:val="clear" w:color="auto" w:fill="E6E6E6"/>
          </w:tcPr>
          <w:p w14:paraId="44FF75D3" w14:textId="7DC1D439"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17580A94" w14:textId="1ECFFECE"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3C1196" w:rsidRPr="00F5314F" w14:paraId="563396F8" w14:textId="77777777" w:rsidTr="00E2227D">
        <w:tc>
          <w:tcPr>
            <w:tcW w:w="2804" w:type="dxa"/>
            <w:shd w:val="clear" w:color="auto" w:fill="E6E6E6"/>
          </w:tcPr>
          <w:p w14:paraId="4229C32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14:paraId="572F8CA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1196" w:rsidRPr="00F5314F" w14:paraId="084A57F9" w14:textId="77777777" w:rsidTr="00E2227D">
        <w:tc>
          <w:tcPr>
            <w:tcW w:w="2804" w:type="dxa"/>
            <w:shd w:val="clear" w:color="auto" w:fill="E6E6E6"/>
          </w:tcPr>
          <w:p w14:paraId="143379B2"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15D04DBA" w14:textId="15DC37F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B620FB" w:rsidRPr="00F5314F">
              <w:rPr>
                <w:rFonts w:ascii="Times New Roman" w:eastAsia="Times New Roman" w:hAnsi="Times New Roman"/>
                <w:snapToGrid w:val="0"/>
                <w:sz w:val="24"/>
                <w:szCs w:val="24"/>
              </w:rPr>
              <w:t>, пар. 18</w:t>
            </w:r>
            <w:r w:rsidRPr="00F5314F">
              <w:rPr>
                <w:rFonts w:ascii="Times New Roman" w:eastAsia="Times New Roman" w:hAnsi="Times New Roman"/>
                <w:snapToGrid w:val="0"/>
                <w:sz w:val="24"/>
                <w:szCs w:val="24"/>
              </w:rPr>
              <w:t xml:space="preserve">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848D" w14:textId="269319C4"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w:t>
            </w:r>
            <w:r w:rsidR="00345B68" w:rsidRPr="00F5314F">
              <w:rPr>
                <w:rFonts w:ascii="Times New Roman" w:eastAsia="Times New Roman" w:hAnsi="Times New Roman"/>
                <w:snapToGrid w:val="0"/>
                <w:sz w:val="24"/>
                <w:szCs w:val="24"/>
              </w:rPr>
              <w:t xml:space="preserve">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F5314F">
              <w:rPr>
                <w:rFonts w:ascii="Times New Roman" w:eastAsia="Times New Roman" w:hAnsi="Times New Roman"/>
                <w:snapToGrid w:val="0"/>
                <w:sz w:val="24"/>
                <w:szCs w:val="24"/>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9E406F6" w14:textId="235AF7B5"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w:t>
            </w:r>
            <w:r w:rsidR="00345B68" w:rsidRPr="00F5314F">
              <w:rPr>
                <w:rFonts w:ascii="Times New Roman" w:eastAsia="Times New Roman" w:hAnsi="Times New Roman"/>
                <w:snapToGrid w:val="0"/>
                <w:sz w:val="24"/>
                <w:szCs w:val="24"/>
              </w:rPr>
              <w:t xml:space="preserve">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F5314F">
              <w:rPr>
                <w:rFonts w:ascii="Times New Roman" w:eastAsia="Times New Roman" w:hAnsi="Times New Roman"/>
                <w:snapToGrid w:val="0"/>
                <w:sz w:val="24"/>
                <w:szCs w:val="24"/>
              </w:rPr>
              <w:t xml:space="preserve">), когато капиталът, вписан в баланса на дружеството, е намалял с повече от половината поради натрупани загуби. За целите на </w:t>
            </w:r>
            <w:r w:rsidRPr="00F5314F">
              <w:rPr>
                <w:rFonts w:ascii="Times New Roman" w:eastAsia="Times New Roman" w:hAnsi="Times New Roman"/>
                <w:snapToGrid w:val="0"/>
                <w:sz w:val="24"/>
                <w:szCs w:val="24"/>
              </w:rPr>
              <w:lastRenderedPageBreak/>
              <w:t>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BEC0162"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7FDC34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D3A2B6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 когато предприятието не е МСП и през последната година:</w:t>
            </w:r>
          </w:p>
          <w:p w14:paraId="6B9EE9E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съотношението задължения/собствен капитал на предприятието е било по-голямо от 7,5; и</w:t>
            </w:r>
          </w:p>
          <w:p w14:paraId="4A7F14B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съотношението за лихвено покритие на предприятието, изчислено на основата на EBITDA, е било под 1,0.</w:t>
            </w:r>
          </w:p>
        </w:tc>
      </w:tr>
      <w:tr w:rsidR="003C1196" w:rsidRPr="00F5314F" w14:paraId="6CF576F1" w14:textId="77777777" w:rsidTr="00E2227D">
        <w:tc>
          <w:tcPr>
            <w:tcW w:w="2804" w:type="dxa"/>
            <w:shd w:val="clear" w:color="auto" w:fill="E6E6E6"/>
          </w:tcPr>
          <w:p w14:paraId="271D945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Преместване</w:t>
            </w:r>
          </w:p>
        </w:tc>
        <w:tc>
          <w:tcPr>
            <w:tcW w:w="6802" w:type="dxa"/>
            <w:shd w:val="clear" w:color="auto" w:fill="F3F3F3"/>
          </w:tcPr>
          <w:p w14:paraId="34D1BABB" w14:textId="13ECC67E" w:rsidR="003C1196" w:rsidRPr="00F5314F" w:rsidRDefault="003C1196" w:rsidP="001250F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1250F3" w:rsidRPr="00F5314F">
              <w:rPr>
                <w:rFonts w:ascii="Times New Roman" w:eastAsia="Times New Roman" w:hAnsi="Times New Roman"/>
                <w:snapToGrid w:val="0"/>
                <w:sz w:val="24"/>
                <w:szCs w:val="24"/>
              </w:rPr>
              <w:t>, пар. 61а</w:t>
            </w:r>
            <w:r w:rsidRPr="00F5314F">
              <w:rPr>
                <w:rFonts w:ascii="Times New Roman" w:eastAsia="Times New Roman" w:hAnsi="Times New Roman"/>
                <w:snapToGrid w:val="0"/>
                <w:sz w:val="24"/>
                <w:szCs w:val="24"/>
              </w:rPr>
              <w:t xml:space="preserve"> от Регламент (ЕС) № 651/2014</w:t>
            </w:r>
            <w:r w:rsidR="001250F3"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3C1196" w:rsidRPr="00F5314F" w14:paraId="29A1A255" w14:textId="77777777" w:rsidTr="00E2227D">
        <w:tc>
          <w:tcPr>
            <w:tcW w:w="2804" w:type="dxa"/>
            <w:shd w:val="clear" w:color="auto" w:fill="E6E6E6"/>
          </w:tcPr>
          <w:p w14:paraId="1FE0E1AE"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113E99DE"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10 от Регламент (ЕО)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чл. 2, пар. 1, буква б) от Регламент (ЕО) № 1407/2013,</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3C1196" w:rsidRPr="00F5314F" w14:paraId="5352A69B" w14:textId="77777777" w:rsidTr="00E2227D">
        <w:tc>
          <w:tcPr>
            <w:tcW w:w="2804" w:type="dxa"/>
            <w:shd w:val="clear" w:color="auto" w:fill="E6E6E6"/>
          </w:tcPr>
          <w:p w14:paraId="38DD51B3"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1D940A0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3C1196" w:rsidRPr="00F5314F" w14:paraId="60D43C15" w14:textId="77777777" w:rsidTr="00E2227D">
        <w:tc>
          <w:tcPr>
            <w:tcW w:w="2804" w:type="dxa"/>
            <w:shd w:val="clear" w:color="auto" w:fill="E6E6E6"/>
          </w:tcPr>
          <w:p w14:paraId="24CE7B4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205B122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Предложение, подадено от кандидат, за предоставяне на безвъзмездна финансова помощ за изпълнението на определен </w:t>
            </w:r>
            <w:r w:rsidRPr="00F5314F">
              <w:rPr>
                <w:rFonts w:ascii="Times New Roman" w:eastAsia="Times New Roman" w:hAnsi="Times New Roman"/>
                <w:snapToGrid w:val="0"/>
                <w:sz w:val="24"/>
                <w:szCs w:val="24"/>
              </w:rPr>
              <w:lastRenderedPageBreak/>
              <w:t>проект, включващо формуляр за кандидатстване и други придружителни документи.</w:t>
            </w:r>
          </w:p>
        </w:tc>
      </w:tr>
      <w:tr w:rsidR="003C1196" w:rsidRPr="00F5314F" w14:paraId="1A2647D8" w14:textId="77777777" w:rsidTr="00E2227D">
        <w:tc>
          <w:tcPr>
            <w:tcW w:w="2804" w:type="dxa"/>
            <w:shd w:val="clear" w:color="auto" w:fill="E6E6E6"/>
          </w:tcPr>
          <w:p w14:paraId="4911CA45"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Процедура за избор на изпълнител</w:t>
            </w:r>
          </w:p>
        </w:tc>
        <w:tc>
          <w:tcPr>
            <w:tcW w:w="6802" w:type="dxa"/>
            <w:shd w:val="clear" w:color="auto" w:fill="F3F3F3"/>
          </w:tcPr>
          <w:p w14:paraId="4A898E56"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3C1196" w:rsidRPr="00F5314F" w14:paraId="516D4498" w14:textId="77777777" w:rsidTr="00E2227D">
        <w:tc>
          <w:tcPr>
            <w:tcW w:w="2804" w:type="dxa"/>
            <w:shd w:val="clear" w:color="auto" w:fill="E6E6E6"/>
          </w:tcPr>
          <w:p w14:paraId="499EF1B3"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Публична подкрепа (държавно подпомагане)</w:t>
            </w:r>
          </w:p>
        </w:tc>
        <w:tc>
          <w:tcPr>
            <w:tcW w:w="6802" w:type="dxa"/>
            <w:shd w:val="clear" w:color="auto" w:fill="F3F3F3"/>
          </w:tcPr>
          <w:p w14:paraId="71AB3DC3" w14:textId="41F7CD1D"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w:t>
            </w:r>
            <w:r w:rsidR="00962CCA" w:rsidRPr="00F5314F">
              <w:rPr>
                <w:rFonts w:ascii="Times New Roman" w:eastAsia="Times New Roman" w:hAnsi="Times New Roman"/>
                <w:snapToGrid w:val="0"/>
                <w:sz w:val="24"/>
                <w:szCs w:val="24"/>
              </w:rPr>
              <w:t>, ЕФСУ</w:t>
            </w:r>
            <w:r w:rsidRPr="00F5314F">
              <w:rPr>
                <w:rFonts w:ascii="Times New Roman" w:eastAsia="Times New Roman" w:hAnsi="Times New Roman"/>
                <w:snapToGrid w:val="0"/>
                <w:sz w:val="24"/>
                <w:szCs w:val="24"/>
              </w:rPr>
              <w:t xml:space="preserve"> или изпълнявани с национални средства, също представляват публична подкрепа</w:t>
            </w:r>
          </w:p>
        </w:tc>
      </w:tr>
      <w:tr w:rsidR="003C1196" w:rsidRPr="00F5314F" w14:paraId="015F71EA" w14:textId="77777777" w:rsidTr="00E2227D">
        <w:tc>
          <w:tcPr>
            <w:tcW w:w="2804" w:type="dxa"/>
            <w:shd w:val="clear" w:color="auto" w:fill="E6E6E6"/>
          </w:tcPr>
          <w:p w14:paraId="67ED64A4"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193AD739" w14:textId="332A8FA7" w:rsidR="003C1196" w:rsidRPr="00F5314F" w:rsidRDefault="003C1196" w:rsidP="00F0149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F01496" w:rsidRPr="00F5314F">
              <w:rPr>
                <w:rFonts w:ascii="Times New Roman" w:eastAsia="Times New Roman" w:hAnsi="Times New Roman"/>
                <w:snapToGrid w:val="0"/>
                <w:sz w:val="24"/>
                <w:szCs w:val="24"/>
                <w:lang w:val="en-US"/>
              </w:rPr>
              <w:t>, пар. 9</w:t>
            </w:r>
            <w:r w:rsidRPr="00F5314F">
              <w:rPr>
                <w:rFonts w:ascii="Times New Roman" w:eastAsia="Times New Roman" w:hAnsi="Times New Roman"/>
                <w:snapToGrid w:val="0"/>
                <w:sz w:val="24"/>
                <w:szCs w:val="24"/>
              </w:rPr>
              <w:t xml:space="preserve"> от Регламент (ЕО) № 651/2014</w:t>
            </w:r>
            <w:r w:rsidR="00F01496"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това е </w:t>
            </w:r>
            <w:r w:rsidRPr="00F5314F">
              <w:rPr>
                <w:rFonts w:ascii="Times New Roman" w:eastAsia="Times New Roman" w:hAnsi="Times New Roman"/>
                <w:snapToGrid w:val="0"/>
                <w:sz w:val="24"/>
                <w:szCs w:val="24"/>
                <w:lang w:val="bg"/>
              </w:rPr>
              <w:t>производство на продукти на почвата и на животновъдството, изброени в Приложение № I към Договора за функционирането на Европейския съюз (Приложение 11), без да се извършват никакви по-нататъшни операции, с които се променя естеството на тези продукти.</w:t>
            </w:r>
          </w:p>
        </w:tc>
      </w:tr>
      <w:tr w:rsidR="003C1196" w:rsidRPr="00F5314F" w14:paraId="34965270" w14:textId="77777777" w:rsidTr="00E2227D">
        <w:tc>
          <w:tcPr>
            <w:tcW w:w="2804" w:type="dxa"/>
            <w:shd w:val="clear" w:color="auto" w:fill="E6E6E6"/>
          </w:tcPr>
          <w:p w14:paraId="45A1C712"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Първоначална инвестиция</w:t>
            </w:r>
          </w:p>
        </w:tc>
        <w:tc>
          <w:tcPr>
            <w:tcW w:w="6802" w:type="dxa"/>
            <w:shd w:val="clear" w:color="auto" w:fill="F3F3F3"/>
          </w:tcPr>
          <w:p w14:paraId="6A5EC5B2" w14:textId="187E8B59"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F01496" w:rsidRPr="00F5314F">
              <w:rPr>
                <w:rFonts w:ascii="Times New Roman" w:eastAsia="Times New Roman" w:hAnsi="Times New Roman"/>
                <w:snapToGrid w:val="0"/>
                <w:sz w:val="24"/>
                <w:szCs w:val="24"/>
              </w:rPr>
              <w:t>, пар. 49</w:t>
            </w:r>
            <w:r w:rsidRPr="00F5314F">
              <w:rPr>
                <w:rFonts w:ascii="Times New Roman" w:eastAsia="Times New Roman" w:hAnsi="Times New Roman"/>
                <w:snapToGrid w:val="0"/>
                <w:sz w:val="24"/>
                <w:szCs w:val="24"/>
              </w:rPr>
              <w:t xml:space="preserve"> от Регламент (ЕС) № 651/2014, първоначална инвестиция означава:</w:t>
            </w:r>
          </w:p>
          <w:p w14:paraId="50D31FE5"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w:t>
            </w:r>
            <w:r w:rsidRPr="00F5314F">
              <w:rPr>
                <w:rFonts w:ascii="Times New Roman" w:eastAsia="Times New Roman" w:hAnsi="Times New Roman"/>
                <w:snapToGrid w:val="0"/>
                <w:sz w:val="24"/>
                <w:szCs w:val="24"/>
              </w:rPr>
              <w:t xml:space="preserve"> инвестиция в материални и нематериални активи, свързани със създаването на нов стопански обект, увеличаване на капацитета на съществуващ стопански обект, диверсификацията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p>
          <w:p w14:paraId="4E7B730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70F991E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Следователно заместваща инвестиция не представлява първоначална инвестиция.</w:t>
            </w:r>
          </w:p>
          <w:p w14:paraId="315F8FD5" w14:textId="59781306" w:rsidR="003C1196" w:rsidRPr="00F5314F" w:rsidRDefault="00F014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ВАЖНО: </w:t>
            </w:r>
            <w:r w:rsidR="003C1196" w:rsidRPr="00F5314F">
              <w:rPr>
                <w:rFonts w:ascii="Times New Roman" w:eastAsia="Times New Roman" w:hAnsi="Times New Roman"/>
                <w:b/>
                <w:snapToGrid w:val="0"/>
                <w:sz w:val="24"/>
                <w:szCs w:val="24"/>
              </w:rPr>
              <w:t>По настоящата процедура са допустими единствено първоначални инвестиции, посочени по-горе в буква а) на чл. 2 от Регламент (ЕС) № 651/2014, като в тази връзка:</w:t>
            </w:r>
          </w:p>
          <w:p w14:paraId="3A1D9F5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„Създаването на нов стопански обект“</w:t>
            </w:r>
            <w:r w:rsidRPr="00F5314F">
              <w:rPr>
                <w:rFonts w:ascii="Times New Roman" w:eastAsia="Times New Roman" w:hAnsi="Times New Roman"/>
                <w:snapToGrid w:val="0"/>
                <w:sz w:val="24"/>
                <w:szCs w:val="24"/>
              </w:rPr>
              <w:t xml:space="preserve"> означава създаването на нова различна производствена единица, а не на ново </w:t>
            </w:r>
            <w:r w:rsidRPr="00F5314F">
              <w:rPr>
                <w:rFonts w:ascii="Times New Roman" w:eastAsia="Times New Roman" w:hAnsi="Times New Roman"/>
                <w:snapToGrid w:val="0"/>
                <w:sz w:val="24"/>
                <w:szCs w:val="24"/>
              </w:rPr>
              <w:lastRenderedPageBreak/>
              <w:t>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D76B8F4" w14:textId="77777777" w:rsidR="003C1196" w:rsidRPr="00F5314F" w:rsidRDefault="003C1196" w:rsidP="00E2227D">
            <w:pPr>
              <w:spacing w:after="120" w:line="240" w:lineRule="auto"/>
              <w:jc w:val="both"/>
              <w:rPr>
                <w:rFonts w:ascii="Times New Roman" w:eastAsia="Times New Roman" w:hAnsi="Times New Roman"/>
                <w:b/>
                <w:snapToGrid w:val="0"/>
                <w:sz w:val="24"/>
                <w:szCs w:val="24"/>
                <w:lang w:val="en-US"/>
              </w:rPr>
            </w:pPr>
            <w:r w:rsidRPr="00F5314F">
              <w:rPr>
                <w:rFonts w:ascii="Times New Roman" w:eastAsia="Times New Roman" w:hAnsi="Times New Roman"/>
                <w:b/>
                <w:snapToGrid w:val="0"/>
                <w:sz w:val="24"/>
                <w:szCs w:val="24"/>
              </w:rPr>
              <w:t>„Увеличаване на капацитета на съществуващ стопански обект“</w:t>
            </w:r>
            <w:r w:rsidRPr="00F5314F">
              <w:rPr>
                <w:rFonts w:ascii="Times New Roman" w:eastAsia="Times New Roman" w:hAnsi="Times New Roman"/>
                <w:snapToGrid w:val="0"/>
                <w:sz w:val="24"/>
                <w:szCs w:val="24"/>
              </w:rPr>
              <w:t xml:space="preserve">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6EA23524"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r w:rsidRPr="00F5314F">
              <w:rPr>
                <w:rFonts w:ascii="Times New Roman" w:eastAsia="Times New Roman" w:hAnsi="Times New Roman"/>
                <w:snapToGrid w:val="0"/>
                <w:sz w:val="24"/>
                <w:szCs w:val="24"/>
              </w:rPr>
              <w:t xml:space="preserve"> е налице, когато продуктът не е бил произвеждан или услугата не е била предлагана в предприятието преди инвестицията, за която се кандидатства. Незначително изменен продукт или услуга чрез рутинна продуктова иновация за разлика от основната иновация не се класифицира като продукт или услуга, който/която не е произвеждан/предлагана преди. Диверсификацията на продукцията обхваща продукти или услуги с фундаментално нови характеристики, необхващащи незначително осъвременяване на продуктите/услугите.</w:t>
            </w:r>
          </w:p>
          <w:p w14:paraId="5FDD9160"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да бъде определена първоначалната инвестиция като диверсификация на продукцията на даден стопански обект,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p w14:paraId="521EEDE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Pr="00F5314F">
              <w:rPr>
                <w:rFonts w:ascii="Times New Roman" w:eastAsia="Times New Roman" w:hAnsi="Times New Roman"/>
                <w:snapToGrid w:val="0"/>
                <w:sz w:val="24"/>
                <w:szCs w:val="24"/>
              </w:rPr>
              <w:t xml:space="preserve">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p w14:paraId="0799DBEA"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14, пар. 7 от Регламент (ЕС) № 651/2014 за помощи, предоставяни на кандидати, които са „малки дружества със средна пазарна капитализация“, за да бъде </w:t>
            </w:r>
            <w:r w:rsidRPr="00F5314F">
              <w:rPr>
                <w:rFonts w:ascii="Times New Roman" w:eastAsia="Times New Roman" w:hAnsi="Times New Roman"/>
                <w:snapToGrid w:val="0"/>
                <w:sz w:val="24"/>
                <w:szCs w:val="24"/>
              </w:rPr>
              <w:lastRenderedPageBreak/>
              <w:t>определена първоначалната инвестиция като основна промяна в целия производствен процес, е необходимо общият размер на допустимите разходи по Елемент А „Инвестиции“ да надхвърля амортизацията на активите, свързани с дейността, която предстои да бъде модернизирана, за предходните 3 (три) отчетни периода (години).</w:t>
            </w:r>
          </w:p>
        </w:tc>
      </w:tr>
      <w:tr w:rsidR="003C1196" w:rsidRPr="00F5314F" w14:paraId="0C0D543E" w14:textId="77777777" w:rsidTr="00E2227D">
        <w:tc>
          <w:tcPr>
            <w:tcW w:w="2804" w:type="dxa"/>
            <w:shd w:val="clear" w:color="auto" w:fill="E6E6E6"/>
          </w:tcPr>
          <w:p w14:paraId="05E54F88"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Първоначална инвестиция, която създава нова икономическа дейност</w:t>
            </w:r>
          </w:p>
        </w:tc>
        <w:tc>
          <w:tcPr>
            <w:tcW w:w="6802" w:type="dxa"/>
            <w:shd w:val="clear" w:color="auto" w:fill="F3F3F3"/>
          </w:tcPr>
          <w:p w14:paraId="4928DAC4" w14:textId="3DC011B3"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A67557" w:rsidRPr="00F5314F">
              <w:rPr>
                <w:rFonts w:ascii="Times New Roman" w:eastAsia="Times New Roman" w:hAnsi="Times New Roman"/>
                <w:snapToGrid w:val="0"/>
                <w:sz w:val="24"/>
                <w:szCs w:val="24"/>
              </w:rPr>
              <w:t>, пар. 51</w:t>
            </w:r>
            <w:r w:rsidRPr="00F5314F">
              <w:rPr>
                <w:rFonts w:ascii="Times New Roman" w:eastAsia="Times New Roman" w:hAnsi="Times New Roman"/>
                <w:snapToGrid w:val="0"/>
                <w:sz w:val="24"/>
                <w:szCs w:val="24"/>
              </w:rPr>
              <w:t xml:space="preserve"> от Регламент (ЕС) № 651/2014, „първоначална инвестиция, която създава нова икономическа дейност“ означава:</w:t>
            </w:r>
          </w:p>
          <w:p w14:paraId="3F5D5A2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w:t>
            </w:r>
            <w:r w:rsidRPr="00F5314F">
              <w:rPr>
                <w:rFonts w:ascii="Times New Roman" w:eastAsia="Times New Roman" w:hAnsi="Times New Roman"/>
                <w:snapToGrid w:val="0"/>
                <w:sz w:val="24"/>
                <w:szCs w:val="24"/>
              </w:rPr>
              <w:t xml:space="preserve"> инвестиция в материални и нематериални активи, свързани със създаването на нов стопански обект или с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p>
          <w:p w14:paraId="7B5993C3"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подобна на извършваната дейност в стопанския обект преди закупуването.</w:t>
            </w:r>
          </w:p>
          <w:p w14:paraId="3686A61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xml:space="preserve">ВАЖНО: </w:t>
            </w:r>
            <w:r w:rsidRPr="00F5314F">
              <w:rPr>
                <w:rFonts w:ascii="Times New Roman" w:eastAsia="Times New Roman" w:hAnsi="Times New Roman"/>
                <w:snapToGrid w:val="0"/>
                <w:sz w:val="24"/>
                <w:szCs w:val="24"/>
              </w:rPr>
              <w:t>По настоящата процедура, в случай че кандидатът е</w:t>
            </w:r>
            <w:r w:rsidRPr="00F5314F">
              <w:rPr>
                <w:rFonts w:ascii="Times New Roman" w:eastAsia="Times New Roman" w:hAnsi="Times New Roman"/>
                <w:b/>
                <w:snapToGrid w:val="0"/>
                <w:sz w:val="24"/>
                <w:szCs w:val="24"/>
              </w:rPr>
              <w:t xml:space="preserve"> „малко дружество със средна пазарна капитализация“, И </w:t>
            </w:r>
            <w:r w:rsidRPr="00F5314F">
              <w:rPr>
                <w:rFonts w:ascii="Times New Roman" w:eastAsia="Times New Roman" w:hAnsi="Times New Roman"/>
                <w:snapToGrid w:val="0"/>
                <w:sz w:val="24"/>
                <w:szCs w:val="24"/>
              </w:rPr>
              <w:t xml:space="preserve">проектът се изпълнява при условията на </w:t>
            </w:r>
            <w:r w:rsidRPr="00F5314F">
              <w:rPr>
                <w:rFonts w:ascii="Times New Roman" w:eastAsia="Times New Roman" w:hAnsi="Times New Roman"/>
                <w:b/>
                <w:snapToGrid w:val="0"/>
                <w:sz w:val="24"/>
                <w:szCs w:val="24"/>
              </w:rPr>
              <w:t xml:space="preserve">режим „регионална инвестиционна помощ“ (по Елемент А „Инвестиции“), И </w:t>
            </w:r>
            <w:r w:rsidRPr="00F5314F">
              <w:rPr>
                <w:rFonts w:ascii="Times New Roman" w:eastAsia="Times New Roman" w:hAnsi="Times New Roman"/>
                <w:snapToGrid w:val="0"/>
                <w:sz w:val="24"/>
                <w:szCs w:val="24"/>
              </w:rPr>
              <w:t xml:space="preserve">е с </w:t>
            </w:r>
            <w:r w:rsidRPr="00F5314F">
              <w:rPr>
                <w:rFonts w:ascii="Times New Roman" w:eastAsia="Times New Roman" w:hAnsi="Times New Roman"/>
                <w:b/>
                <w:snapToGrid w:val="0"/>
                <w:sz w:val="24"/>
                <w:szCs w:val="24"/>
              </w:rPr>
              <w:t xml:space="preserve">място на изпълнение на проекта в ЮЗР (NUTS-2), </w:t>
            </w:r>
            <w:r w:rsidRPr="00F5314F">
              <w:rPr>
                <w:rFonts w:ascii="Times New Roman" w:eastAsia="Times New Roman" w:hAnsi="Times New Roman"/>
                <w:snapToGrid w:val="0"/>
                <w:sz w:val="24"/>
                <w:szCs w:val="24"/>
              </w:rPr>
              <w:t>е допустимо да изпълнява ЕДИНСТВЕНО дейности, които имат за свой основен предмет осъществяването на</w:t>
            </w:r>
            <w:r w:rsidRPr="00F5314F">
              <w:rPr>
                <w:rFonts w:ascii="Times New Roman" w:eastAsia="Times New Roman" w:hAnsi="Times New Roman"/>
                <w:b/>
                <w:snapToGrid w:val="0"/>
                <w:sz w:val="24"/>
                <w:szCs w:val="24"/>
              </w:rPr>
              <w:t xml:space="preserve"> „първоначална инвестиция, която създава нова икономическа дейност“, </w:t>
            </w:r>
            <w:r w:rsidRPr="00F5314F">
              <w:rPr>
                <w:rFonts w:ascii="Times New Roman" w:eastAsia="Times New Roman" w:hAnsi="Times New Roman"/>
                <w:snapToGrid w:val="0"/>
                <w:sz w:val="24"/>
                <w:szCs w:val="24"/>
              </w:rPr>
              <w:t>свързана със:</w:t>
            </w:r>
          </w:p>
          <w:p w14:paraId="669F6D31" w14:textId="77777777" w:rsidR="003C1196" w:rsidRPr="00F5314F" w:rsidRDefault="003C1196" w:rsidP="00E2227D">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snapToGrid w:val="0"/>
                <w:sz w:val="24"/>
                <w:szCs w:val="24"/>
              </w:rPr>
              <w:t>-</w:t>
            </w:r>
            <w:r w:rsidRPr="00F5314F">
              <w:rPr>
                <w:rFonts w:ascii="Times New Roman" w:eastAsia="Times New Roman" w:hAnsi="Times New Roman"/>
                <w:b/>
                <w:snapToGrid w:val="0"/>
                <w:sz w:val="24"/>
                <w:szCs w:val="24"/>
              </w:rPr>
              <w:t xml:space="preserve"> създаването на нов стопански обект, ИЛИ</w:t>
            </w:r>
          </w:p>
          <w:p w14:paraId="0D2CD5A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 с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Pr="00F5314F">
              <w:rPr>
                <w:rFonts w:ascii="Times New Roman" w:eastAsia="Times New Roman" w:hAnsi="Times New Roman"/>
                <w:snapToGrid w:val="0"/>
                <w:sz w:val="24"/>
                <w:szCs w:val="24"/>
              </w:rPr>
              <w:t>.</w:t>
            </w:r>
          </w:p>
        </w:tc>
      </w:tr>
      <w:tr w:rsidR="003C1196" w:rsidRPr="00F5314F" w14:paraId="3C4965E8" w14:textId="77777777" w:rsidTr="00E2227D">
        <w:tc>
          <w:tcPr>
            <w:tcW w:w="2804" w:type="dxa"/>
            <w:shd w:val="clear" w:color="auto" w:fill="E6E6E6"/>
          </w:tcPr>
          <w:p w14:paraId="76658990"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Радикална иновация</w:t>
            </w:r>
          </w:p>
        </w:tc>
        <w:tc>
          <w:tcPr>
            <w:tcW w:w="6802" w:type="dxa"/>
            <w:shd w:val="clear" w:color="auto" w:fill="F3F3F3"/>
          </w:tcPr>
          <w:p w14:paraId="305B5E9C" w14:textId="7646CD6A" w:rsidR="003C1196" w:rsidRPr="00F5314F" w:rsidRDefault="003C1196" w:rsidP="00FA6670">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За целите на настоящата процедура под „радикална иновация“ се разбира иновация, която е основана на фундаментално ново знание или значително технологично нововъведение. Радикалната иновация води до формирането на нови посоки в развитието на науката и технологиите, както и до поява на качествено нови </w:t>
            </w:r>
            <w:r w:rsidR="00FA6670" w:rsidRPr="00F5314F">
              <w:rPr>
                <w:rFonts w:ascii="Times New Roman" w:hAnsi="Times New Roman"/>
                <w:sz w:val="24"/>
                <w:szCs w:val="24"/>
              </w:rPr>
              <w:t>сток</w:t>
            </w:r>
            <w:r w:rsidRPr="00F5314F">
              <w:rPr>
                <w:rFonts w:ascii="Times New Roman" w:hAnsi="Times New Roman"/>
                <w:sz w:val="24"/>
                <w:szCs w:val="24"/>
              </w:rPr>
              <w:t>и/услуги.</w:t>
            </w:r>
          </w:p>
        </w:tc>
      </w:tr>
      <w:tr w:rsidR="003C1196" w:rsidRPr="00F5314F" w14:paraId="747204C1" w14:textId="77777777" w:rsidTr="00E2227D">
        <w:tc>
          <w:tcPr>
            <w:tcW w:w="2804" w:type="dxa"/>
            <w:shd w:val="clear" w:color="auto" w:fill="E6E6E6"/>
          </w:tcPr>
          <w:p w14:paraId="66D749F3"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Ръководител на Управляващия орган</w:t>
            </w:r>
          </w:p>
        </w:tc>
        <w:tc>
          <w:tcPr>
            <w:tcW w:w="6802" w:type="dxa"/>
            <w:shd w:val="clear" w:color="auto" w:fill="F3F3F3"/>
          </w:tcPr>
          <w:p w14:paraId="6C3CD2DB"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1196" w:rsidRPr="00F5314F" w14:paraId="641D2402" w14:textId="77777777" w:rsidTr="00E2227D">
        <w:tc>
          <w:tcPr>
            <w:tcW w:w="2804" w:type="dxa"/>
            <w:shd w:val="clear" w:color="auto" w:fill="E6E6E6"/>
          </w:tcPr>
          <w:p w14:paraId="552D6137"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48F7539F"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(1) "Свързани лица"</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lang w:val="en-US"/>
              </w:rPr>
              <w:t>според §1 от Допълнителните разпоредби на Търговския закон са:</w:t>
            </w:r>
          </w:p>
          <w:p w14:paraId="534FD007"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 xml:space="preserve">1. съпрузите, роднините по права линия - без ограничения, по съребрена линия - до четвърта степен включително, и </w:t>
            </w:r>
            <w:r w:rsidRPr="00F5314F">
              <w:rPr>
                <w:rFonts w:ascii="Times New Roman" w:eastAsia="Times New Roman" w:hAnsi="Times New Roman"/>
                <w:snapToGrid w:val="0"/>
                <w:sz w:val="24"/>
                <w:szCs w:val="24"/>
                <w:lang w:val="en-US"/>
              </w:rPr>
              <w:lastRenderedPageBreak/>
              <w:t>роднините по сватовство - до трета степен включително;</w:t>
            </w:r>
          </w:p>
          <w:p w14:paraId="37EC9182"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работодател и работник;</w:t>
            </w:r>
          </w:p>
          <w:p w14:paraId="0996F076"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3. лицата, едното от които участва в управлението на дружеството на другото;</w:t>
            </w:r>
          </w:p>
          <w:p w14:paraId="7E93963C"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4. съдружниците;</w:t>
            </w:r>
          </w:p>
          <w:p w14:paraId="7EF784EA"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78B2EE6E"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6. лицата, чиято дейност се контролира пряко или косвено от трето лице;</w:t>
            </w:r>
          </w:p>
          <w:p w14:paraId="0371E1AF"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7. лицата, които съвместно контролират пряко или косвено трето лице;</w:t>
            </w:r>
          </w:p>
          <w:p w14:paraId="42EBA375"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8. лицата, едното от които е търговски представител на другото;</w:t>
            </w:r>
          </w:p>
          <w:p w14:paraId="64EA91C6"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9. лицата, едното от които е направило дарение в полза на другото.</w:t>
            </w:r>
          </w:p>
          <w:p w14:paraId="15E743B5"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1196" w:rsidRPr="00F5314F" w14:paraId="14A025ED" w14:textId="77777777" w:rsidTr="00E2227D">
        <w:tc>
          <w:tcPr>
            <w:tcW w:w="2804" w:type="dxa"/>
            <w:shd w:val="clear" w:color="auto" w:fill="E6E6E6"/>
          </w:tcPr>
          <w:p w14:paraId="4CFB55D7"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14:paraId="6118EF45"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3C1196" w:rsidRPr="00F5314F" w14:paraId="31E8CB30" w14:textId="77777777" w:rsidTr="00E2227D">
        <w:tc>
          <w:tcPr>
            <w:tcW w:w="2804" w:type="dxa"/>
            <w:shd w:val="clear" w:color="auto" w:fill="E6E6E6"/>
          </w:tcPr>
          <w:p w14:paraId="5EDBB23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14:paraId="2D51B065" w14:textId="4E81C55E" w:rsidR="003C1196" w:rsidRPr="00F5314F" w:rsidRDefault="003C1196" w:rsidP="00FF39F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w:t>
            </w:r>
            <w:r w:rsidR="00FF39FB" w:rsidRPr="00F5314F">
              <w:rPr>
                <w:rFonts w:ascii="Times New Roman" w:eastAsia="Times New Roman" w:hAnsi="Times New Roman"/>
                <w:snapToGrid w:val="0"/>
                <w:sz w:val="24"/>
                <w:szCs w:val="24"/>
              </w:rPr>
              <w:t>уква</w:t>
            </w:r>
            <w:r w:rsidRPr="00F5314F">
              <w:rPr>
                <w:rFonts w:ascii="Times New Roman" w:eastAsia="Times New Roman" w:hAnsi="Times New Roman"/>
                <w:snapToGrid w:val="0"/>
                <w:sz w:val="24"/>
                <w:szCs w:val="24"/>
              </w:rPr>
              <w:t xml:space="preserve">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C1196" w:rsidRPr="00F5314F" w14:paraId="60F4B006" w14:textId="77777777" w:rsidTr="00E2227D">
        <w:tc>
          <w:tcPr>
            <w:tcW w:w="2804" w:type="dxa"/>
            <w:shd w:val="clear" w:color="auto" w:fill="E6E6E6"/>
          </w:tcPr>
          <w:p w14:paraId="4AC7C8A1"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6D689A4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11 от Регламент (ЕС)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чл. 2, пар. 1, буква а) от Регламент (ЕО) № 1407/2013, „селскостопански продукт“ означава продукти, изброени в Приложение № I към Договора за функционирането на Европейския съюз,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 xml:space="preserve">относно общата организация на пазарите на продукти от риболов и аквакултури, за изменение на </w:t>
            </w:r>
            <w:r w:rsidRPr="00F5314F">
              <w:rPr>
                <w:rFonts w:ascii="Times New Roman" w:eastAsia="Times New Roman" w:hAnsi="Times New Roman"/>
                <w:snapToGrid w:val="0"/>
                <w:sz w:val="24"/>
                <w:szCs w:val="24"/>
              </w:rPr>
              <w:lastRenderedPageBreak/>
              <w:t>регламенти (ЕО) № 1184/2006 и (ЕО) № 1224/2009 на Съвета и за отмяна на Регламент (ЕО) № 104/2000 на Съвета.</w:t>
            </w:r>
          </w:p>
        </w:tc>
      </w:tr>
      <w:tr w:rsidR="003C1196" w:rsidRPr="00F5314F" w14:paraId="7564ADBE" w14:textId="77777777" w:rsidTr="00E2227D">
        <w:tc>
          <w:tcPr>
            <w:tcW w:w="2804" w:type="dxa"/>
            <w:shd w:val="clear" w:color="auto" w:fill="E6E6E6"/>
          </w:tcPr>
          <w:p w14:paraId="2611C29A"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Стоманодобивен сектор</w:t>
            </w:r>
          </w:p>
        </w:tc>
        <w:tc>
          <w:tcPr>
            <w:tcW w:w="6802" w:type="dxa"/>
            <w:shd w:val="clear" w:color="auto" w:fill="F3F3F3"/>
          </w:tcPr>
          <w:p w14:paraId="1263616B" w14:textId="318B1B7F"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74376A" w:rsidRPr="00F5314F">
              <w:rPr>
                <w:rFonts w:ascii="Times New Roman" w:eastAsia="Times New Roman" w:hAnsi="Times New Roman"/>
                <w:snapToGrid w:val="0"/>
                <w:sz w:val="24"/>
                <w:szCs w:val="24"/>
              </w:rPr>
              <w:t>, пар. 43</w:t>
            </w:r>
            <w:r w:rsidRPr="00F5314F">
              <w:rPr>
                <w:rFonts w:ascii="Times New Roman" w:eastAsia="Times New Roman" w:hAnsi="Times New Roman"/>
                <w:snapToGrid w:val="0"/>
                <w:sz w:val="24"/>
                <w:szCs w:val="24"/>
              </w:rPr>
              <w:t xml:space="preserve">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 означава производството на едно или повече от следните изделия:</w:t>
            </w:r>
          </w:p>
          <w:p w14:paraId="099D06B0"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а) 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681645FB"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14:paraId="3987A94B"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плосковалцовани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2476666F" w14:textId="77777777" w:rsidR="003C1196" w:rsidRPr="00F5314F" w:rsidRDefault="003C1196" w:rsidP="00E2227D">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6D446F09"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3C1196" w:rsidRPr="00F5314F" w14:paraId="53B25548" w14:textId="77777777" w:rsidTr="00E2227D">
        <w:tc>
          <w:tcPr>
            <w:tcW w:w="2804" w:type="dxa"/>
            <w:shd w:val="clear" w:color="auto" w:fill="E6E6E6"/>
          </w:tcPr>
          <w:p w14:paraId="326A4D6E"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Същата или сходна дейност</w:t>
            </w:r>
          </w:p>
        </w:tc>
        <w:tc>
          <w:tcPr>
            <w:tcW w:w="6802" w:type="dxa"/>
            <w:shd w:val="clear" w:color="auto" w:fill="F3F3F3"/>
          </w:tcPr>
          <w:p w14:paraId="33295518" w14:textId="576DF4EC"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508B7" w:rsidRPr="00F5314F">
              <w:rPr>
                <w:rFonts w:ascii="Times New Roman" w:eastAsia="Times New Roman" w:hAnsi="Times New Roman"/>
                <w:snapToGrid w:val="0"/>
                <w:sz w:val="24"/>
                <w:szCs w:val="24"/>
              </w:rPr>
              <w:t>, пар. 50</w:t>
            </w:r>
            <w:r w:rsidRPr="00F5314F">
              <w:rPr>
                <w:rFonts w:ascii="Times New Roman" w:eastAsia="Times New Roman" w:hAnsi="Times New Roman"/>
                <w:snapToGrid w:val="0"/>
                <w:sz w:val="24"/>
                <w:szCs w:val="24"/>
              </w:rPr>
              <w:t xml:space="preserve"> от Регламент (ЕС) № 651/2014</w:t>
            </w:r>
            <w:r w:rsidR="000508B7"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„същата или сходна дейност“ означава дейност от същия клас (четирицифрен код) на статистическата класификация на икономическите дейности NACE Rev. 2 (</w:t>
            </w:r>
            <w:r w:rsidRPr="00F5314F">
              <w:rPr>
                <w:rFonts w:ascii="Times New Roman" w:eastAsia="Times New Roman" w:hAnsi="Times New Roman"/>
                <w:i/>
                <w:snapToGrid w:val="0"/>
                <w:sz w:val="24"/>
                <w:szCs w:val="24"/>
              </w:rPr>
              <w:t>четиризначен цифров код съгласно КИД-2008 на НСИ - Приложение 12</w:t>
            </w:r>
            <w:r w:rsidRPr="00F5314F">
              <w:rPr>
                <w:rFonts w:ascii="Times New Roman" w:eastAsia="Times New Roman" w:hAnsi="Times New Roman"/>
                <w:snapToGrid w:val="0"/>
                <w:sz w:val="24"/>
                <w:szCs w:val="24"/>
              </w:rPr>
              <w:t>).</w:t>
            </w:r>
          </w:p>
        </w:tc>
      </w:tr>
      <w:tr w:rsidR="003C1196" w:rsidRPr="00F5314F" w14:paraId="2C45923D" w14:textId="77777777" w:rsidTr="00E2227D">
        <w:tc>
          <w:tcPr>
            <w:tcW w:w="2804" w:type="dxa"/>
            <w:shd w:val="clear" w:color="auto" w:fill="E6E6E6"/>
          </w:tcPr>
          <w:p w14:paraId="7B7E83A5"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Транспортен сектор</w:t>
            </w:r>
          </w:p>
        </w:tc>
        <w:tc>
          <w:tcPr>
            <w:tcW w:w="6802" w:type="dxa"/>
            <w:shd w:val="clear" w:color="auto" w:fill="F3F3F3"/>
          </w:tcPr>
          <w:p w14:paraId="3F8D3EA3" w14:textId="1EE1BD3B"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0508B7" w:rsidRPr="00F5314F">
              <w:rPr>
                <w:rFonts w:ascii="Times New Roman" w:eastAsia="Times New Roman" w:hAnsi="Times New Roman"/>
                <w:snapToGrid w:val="0"/>
                <w:sz w:val="24"/>
                <w:szCs w:val="24"/>
              </w:rPr>
              <w:t>, пар. 45</w:t>
            </w:r>
            <w:r w:rsidRPr="00F5314F">
              <w:rPr>
                <w:rFonts w:ascii="Times New Roman" w:eastAsia="Times New Roman" w:hAnsi="Times New Roman"/>
                <w:snapToGrid w:val="0"/>
                <w:sz w:val="24"/>
                <w:szCs w:val="24"/>
              </w:rPr>
              <w:t xml:space="preserve"> от Регламент (ЕО) № 651/2014</w:t>
            </w:r>
            <w:r w:rsidR="000508B7"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28A8CA0F"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По-специално „транспортен сектор“ означава следните дейности </w:t>
            </w:r>
            <w:r w:rsidRPr="00F5314F">
              <w:rPr>
                <w:rFonts w:ascii="Times New Roman" w:hAnsi="Times New Roman"/>
                <w:sz w:val="24"/>
                <w:szCs w:val="24"/>
              </w:rPr>
              <w:t>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E5C68EE" w14:textId="4783B889" w:rsidR="003C1196" w:rsidRPr="00F5314F" w:rsidRDefault="003C1196" w:rsidP="00E2227D">
            <w:pPr>
              <w:pStyle w:val="FootnoteText"/>
              <w:spacing w:after="120"/>
              <w:jc w:val="both"/>
              <w:rPr>
                <w:rFonts w:ascii="Times New Roman" w:eastAsia="Times New Roman" w:hAnsi="Times New Roman"/>
                <w:snapToGrid w:val="0"/>
                <w:sz w:val="24"/>
                <w:szCs w:val="24"/>
              </w:rPr>
            </w:pPr>
            <w:r w:rsidRPr="00F5314F">
              <w:rPr>
                <w:rFonts w:ascii="Times New Roman" w:hAnsi="Times New Roman"/>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 xml:space="preserve">КИД-2008 на НСИ - Н49 „Сухопътен транспорт“, с изключение на: Н49.32 „Пътнически таксиметров транспорт“, Н49.39 „Друг пътнически сухопътен транспорт, некласифициран другаде“ САМО дейност „Превоз на пътници с </w:t>
            </w:r>
            <w:r w:rsidRPr="00F5314F">
              <w:rPr>
                <w:rFonts w:ascii="Times New Roman" w:hAnsi="Times New Roman"/>
                <w:i/>
                <w:sz w:val="24"/>
                <w:szCs w:val="24"/>
              </w:rPr>
              <w:t>въжени линии и ски лифтове, когато не е част от градските или крайградските транспортни мрежи</w:t>
            </w:r>
            <w:r w:rsidRPr="00F5314F">
              <w:rPr>
                <w:rFonts w:ascii="Times New Roman" w:eastAsia="Times New Roman" w:hAnsi="Times New Roman"/>
                <w:i/>
                <w:snapToGrid w:val="0"/>
                <w:sz w:val="24"/>
                <w:szCs w:val="24"/>
              </w:rPr>
              <w:t>“, Н49.42 „Услуги по преместване“ и Н49.5 „Тръбопроводен транспорт“</w:t>
            </w:r>
            <w:r w:rsidR="000508B7"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w:t>
            </w:r>
          </w:p>
          <w:p w14:paraId="6A32573D"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Н50 „Воден транспорт“</w:t>
            </w:r>
            <w:r w:rsidRPr="00F5314F">
              <w:rPr>
                <w:rFonts w:ascii="Times New Roman" w:eastAsia="Times New Roman" w:hAnsi="Times New Roman"/>
                <w:snapToGrid w:val="0"/>
                <w:sz w:val="24"/>
                <w:szCs w:val="24"/>
              </w:rPr>
              <w:t>);</w:t>
            </w:r>
          </w:p>
          <w:p w14:paraId="2849A4D7"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tc>
      </w:tr>
      <w:tr w:rsidR="003C1196" w:rsidRPr="00F5314F" w14:paraId="7B3A8D41" w14:textId="77777777" w:rsidTr="00E2227D">
        <w:tc>
          <w:tcPr>
            <w:tcW w:w="2804" w:type="dxa"/>
            <w:shd w:val="clear" w:color="auto" w:fill="E6E6E6"/>
          </w:tcPr>
          <w:p w14:paraId="0408089A"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433EB8A3"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583E23FF" w14:textId="77777777" w:rsidR="003C1196" w:rsidRPr="00F5314F" w:rsidRDefault="003C1196" w:rsidP="00E2227D">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62F7E538"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5B2191A6"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1DD7442" w14:textId="77777777" w:rsidR="003C1196" w:rsidRPr="00F5314F" w:rsidRDefault="003C1196" w:rsidP="00E2227D">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17C1D17C"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018E3CCB" w14:textId="77777777" w:rsidR="003C1196" w:rsidRPr="00F5314F" w:rsidRDefault="003C1196" w:rsidP="00E2227D">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железопътния транспорт:</w:t>
            </w:r>
          </w:p>
          <w:p w14:paraId="48BEFACF"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61A8A07B" w14:textId="77777777" w:rsidR="003C1196" w:rsidRPr="00F5314F" w:rsidRDefault="003C1196" w:rsidP="00E2227D">
            <w:pPr>
              <w:pStyle w:val="FootnoteText"/>
              <w:spacing w:after="120"/>
              <w:jc w:val="both"/>
              <w:rPr>
                <w:rFonts w:ascii="Times New Roman" w:hAnsi="Times New Roman"/>
                <w:i/>
                <w:sz w:val="24"/>
                <w:szCs w:val="24"/>
              </w:rPr>
            </w:pPr>
            <w:r w:rsidRPr="00F5314F">
              <w:rPr>
                <w:rFonts w:ascii="Times New Roman" w:hAnsi="Times New Roman"/>
                <w:sz w:val="24"/>
                <w:szCs w:val="24"/>
              </w:rPr>
              <w:lastRenderedPageBreak/>
              <w:t xml:space="preserve"> </w:t>
            </w: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1D21665A"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1. „Яхта”  е кораб, използван за туризъм, спорт, спортен риболов или развлечение.</w:t>
            </w:r>
          </w:p>
          <w:p w14:paraId="2560521B" w14:textId="77777777" w:rsidR="003C1196" w:rsidRPr="00F5314F" w:rsidRDefault="003C1196" w:rsidP="00E2227D">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3C1196" w:rsidRPr="00F5314F" w14:paraId="3B8D6CA5" w14:textId="77777777" w:rsidTr="00E2227D">
        <w:tc>
          <w:tcPr>
            <w:tcW w:w="2804" w:type="dxa"/>
            <w:shd w:val="clear" w:color="auto" w:fill="E6E6E6"/>
          </w:tcPr>
          <w:p w14:paraId="1049E057" w14:textId="77777777" w:rsidR="003C1196" w:rsidRPr="00F5314F" w:rsidRDefault="003C1196" w:rsidP="00E2227D">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7D302878" w14:textId="77777777" w:rsidR="003C1196" w:rsidRPr="00F5314F" w:rsidRDefault="003C1196"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8 от Регламент (ЕС) № 651/2014 </w:t>
            </w:r>
            <w:r w:rsidRPr="00F5314F">
              <w:rPr>
                <w:rFonts w:ascii="Times New Roman" w:hAnsi="Times New Roman"/>
                <w:sz w:val="24"/>
                <w:szCs w:val="24"/>
              </w:rPr>
              <w:t xml:space="preserve">и </w:t>
            </w:r>
            <w:r w:rsidRPr="00F5314F">
              <w:rPr>
                <w:rFonts w:ascii="Times New Roman" w:eastAsia="Times New Roman" w:hAnsi="Times New Roman"/>
                <w:snapToGrid w:val="0"/>
                <w:sz w:val="24"/>
                <w:szCs w:val="24"/>
              </w:rPr>
              <w:t>чл. 2, пар. 1, буква в) от Регламент (ЕО) № 1407/2013, „търговия със селскостопански продукт“ означава 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осъщестява в отделни помещения, предвидени за тази цел.</w:t>
            </w:r>
          </w:p>
        </w:tc>
      </w:tr>
      <w:tr w:rsidR="003C1196" w:rsidRPr="00F5314F" w14:paraId="410BCAED" w14:textId="77777777" w:rsidTr="00E2227D">
        <w:tc>
          <w:tcPr>
            <w:tcW w:w="2804" w:type="dxa"/>
            <w:shd w:val="clear" w:color="auto" w:fill="E6E6E6"/>
          </w:tcPr>
          <w:p w14:paraId="3B8DC2E5" w14:textId="316FA320" w:rsidR="003C1196" w:rsidRPr="00F5314F" w:rsidRDefault="003C1196" w:rsidP="007F0BA5">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Условия при придобиване на дълготрайния актив чрез лизинг по </w:t>
            </w:r>
            <w:r w:rsidR="007F0BA5" w:rsidRPr="00F5314F">
              <w:rPr>
                <w:rFonts w:ascii="Times New Roman" w:eastAsia="Times New Roman" w:hAnsi="Times New Roman"/>
                <w:b/>
                <w:snapToGrid w:val="0"/>
                <w:sz w:val="24"/>
                <w:szCs w:val="24"/>
              </w:rPr>
              <w:t>чл. 23 на ПМС № 86 от 01 юни 2023 г.</w:t>
            </w:r>
          </w:p>
        </w:tc>
        <w:tc>
          <w:tcPr>
            <w:tcW w:w="6802" w:type="dxa"/>
            <w:shd w:val="clear" w:color="auto" w:fill="F3F3F3"/>
          </w:tcPr>
          <w:p w14:paraId="17BAB0CD" w14:textId="77777777" w:rsidR="007F0BA5" w:rsidRPr="00F5314F" w:rsidRDefault="007F0BA5" w:rsidP="007F0BA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Чл. 23. При придобиване на дълготрайни материални активи чрез покупка или лизинг те следва да продължат да се използват за същите цели като тези на проекта след деня на закупуване и в продължение най-малко на:</w:t>
            </w:r>
          </w:p>
          <w:p w14:paraId="701D6A68" w14:textId="77777777" w:rsidR="007F0BA5" w:rsidRPr="00F5314F" w:rsidRDefault="007F0BA5" w:rsidP="007F0BA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3 години или повече – за информационно и телекомуникационно оборудване;</w:t>
            </w:r>
          </w:p>
          <w:p w14:paraId="338811FE" w14:textId="77777777" w:rsidR="007F0BA5" w:rsidRPr="00F5314F" w:rsidRDefault="007F0BA5" w:rsidP="007F0BA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5 години или повече – за други видове оборудване, като оперативно оборудване и транспортни средства;</w:t>
            </w:r>
          </w:p>
          <w:p w14:paraId="3433C4A5" w14:textId="182AAAE9" w:rsidR="003C1196" w:rsidRPr="00F5314F" w:rsidRDefault="007F0BA5" w:rsidP="007F0BA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3. 10 години – за сгради, плавателни съдове и въздухоплавателни средства.</w:t>
            </w:r>
          </w:p>
        </w:tc>
      </w:tr>
      <w:tr w:rsidR="001E7046" w:rsidRPr="009D7B8B" w14:paraId="20483A6B" w14:textId="77777777" w:rsidTr="00E2227D">
        <w:tc>
          <w:tcPr>
            <w:tcW w:w="2804" w:type="dxa"/>
            <w:shd w:val="clear" w:color="auto" w:fill="E6E6E6"/>
          </w:tcPr>
          <w:p w14:paraId="4538CBCB" w14:textId="13CA7070" w:rsidR="001E7046" w:rsidRPr="00F5314F" w:rsidRDefault="001E7046" w:rsidP="001E7046">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2EEEF560" w14:textId="31CF86B9" w:rsidR="001E7046" w:rsidRPr="007F0BA5" w:rsidRDefault="001E7046" w:rsidP="001E704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00013823"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w:t>
            </w:r>
            <w:r w:rsidRPr="00F5314F">
              <w:rPr>
                <w:rFonts w:ascii="Times New Roman" w:eastAsia="Times New Roman" w:hAnsi="Times New Roman"/>
                <w:snapToGrid w:val="0"/>
                <w:sz w:val="24"/>
                <w:szCs w:val="24"/>
              </w:rPr>
              <w:lastRenderedPageBreak/>
              <w:t xml:space="preserve">събранията и сдруженията,  право на образование, свобода на стопанската инициатива, право на собственост, защита в случай на принудително отвеждане, </w:t>
            </w:r>
            <w:bookmarkStart w:id="0" w:name="_GoBack"/>
            <w:bookmarkEnd w:id="0"/>
            <w:r w:rsidRPr="00F5314F">
              <w:rPr>
                <w:rFonts w:ascii="Times New Roman" w:eastAsia="Times New Roman" w:hAnsi="Times New Roman"/>
                <w:snapToGrid w:val="0"/>
                <w:sz w:val="24"/>
                <w:szCs w:val="24"/>
              </w:rPr>
              <w:t>експулсиране и екстрадиране, зачитане на личния и семейния живот, право на убежище.</w:t>
            </w:r>
          </w:p>
        </w:tc>
      </w:tr>
    </w:tbl>
    <w:p w14:paraId="7C74CFE5" w14:textId="1D3DC18A" w:rsidR="003C1196" w:rsidRDefault="003C1196" w:rsidP="003C1196">
      <w:pPr>
        <w:rPr>
          <w:rFonts w:ascii="Times New Roman" w:hAnsi="Times New Roman"/>
          <w:sz w:val="24"/>
          <w:szCs w:val="24"/>
        </w:rPr>
      </w:pPr>
    </w:p>
    <w:p w14:paraId="65369CE1" w14:textId="77777777" w:rsidR="00844514" w:rsidRPr="009D7B8B" w:rsidRDefault="00844514" w:rsidP="003C1196">
      <w:pPr>
        <w:rPr>
          <w:rFonts w:ascii="Times New Roman" w:hAnsi="Times New Roman"/>
          <w:sz w:val="24"/>
          <w:szCs w:val="24"/>
        </w:rPr>
      </w:pPr>
    </w:p>
    <w:sectPr w:rsidR="00844514" w:rsidRPr="009D7B8B" w:rsidSect="00844514">
      <w:headerReference w:type="even" r:id="rId8"/>
      <w:headerReference w:type="default" r:id="rId9"/>
      <w:footerReference w:type="default" r:id="rId10"/>
      <w:headerReference w:type="first" r:id="rId11"/>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D472E" w14:textId="77777777" w:rsidR="0068676A" w:rsidRDefault="0068676A" w:rsidP="00402ACA">
      <w:pPr>
        <w:spacing w:after="0" w:line="240" w:lineRule="auto"/>
      </w:pPr>
      <w:r>
        <w:separator/>
      </w:r>
    </w:p>
  </w:endnote>
  <w:endnote w:type="continuationSeparator" w:id="0">
    <w:p w14:paraId="3F122BFF" w14:textId="77777777" w:rsidR="0068676A" w:rsidRDefault="0068676A"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196F730A" w:rsidR="00991CB4" w:rsidRDefault="006C46DB">
        <w:pPr>
          <w:pStyle w:val="Footer"/>
          <w:jc w:val="right"/>
        </w:pPr>
        <w:r>
          <w:fldChar w:fldCharType="begin"/>
        </w:r>
        <w:r w:rsidR="00991CB4">
          <w:instrText xml:space="preserve"> PAGE   \* MERGEFORMAT </w:instrText>
        </w:r>
        <w:r>
          <w:fldChar w:fldCharType="separate"/>
        </w:r>
        <w:r w:rsidR="00F5314F">
          <w:rPr>
            <w:noProof/>
          </w:rPr>
          <w:t>23</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3C5F9" w14:textId="77777777" w:rsidR="0068676A" w:rsidRDefault="0068676A" w:rsidP="00402ACA">
      <w:pPr>
        <w:spacing w:after="0" w:line="240" w:lineRule="auto"/>
      </w:pPr>
      <w:r>
        <w:separator/>
      </w:r>
    </w:p>
  </w:footnote>
  <w:footnote w:type="continuationSeparator" w:id="0">
    <w:p w14:paraId="253973F3" w14:textId="77777777" w:rsidR="0068676A" w:rsidRDefault="0068676A" w:rsidP="00402ACA">
      <w:pPr>
        <w:spacing w:after="0" w:line="240" w:lineRule="auto"/>
      </w:pPr>
      <w:r>
        <w:continuationSeparator/>
      </w:r>
    </w:p>
  </w:footnote>
  <w:footnote w:id="1">
    <w:p w14:paraId="2B54907D" w14:textId="6635271E" w:rsidR="003D0798" w:rsidRPr="003D0798" w:rsidRDefault="003D0798"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sidR="00013823">
        <w:rPr>
          <w:rFonts w:ascii="Times New Roman" w:hAnsi="Times New Roman"/>
        </w:rPr>
        <w:t xml:space="preserve">следния </w:t>
      </w:r>
      <w:r w:rsidRPr="003D0798">
        <w:rPr>
          <w:rFonts w:ascii="Times New Roman" w:hAnsi="Times New Roman"/>
        </w:rPr>
        <w:t xml:space="preserve">адрес: </w:t>
      </w:r>
    </w:p>
    <w:p w14:paraId="1BA688AE" w14:textId="23F9FA6D" w:rsidR="003D0798" w:rsidRPr="003D0798" w:rsidRDefault="0068676A" w:rsidP="003D0798">
      <w:pPr>
        <w:pStyle w:val="FootnoteText"/>
        <w:rPr>
          <w:rFonts w:ascii="Times New Roman" w:hAnsi="Times New Roman"/>
        </w:rPr>
      </w:pPr>
      <w:hyperlink r:id="rId1" w:anchor="1" w:history="1">
        <w:r w:rsidR="003D0798" w:rsidRPr="003D0798">
          <w:rPr>
            <w:rStyle w:val="Hyperlink"/>
            <w:rFonts w:ascii="Times New Roman" w:hAnsi="Times New Roman"/>
          </w:rPr>
          <w:t>https://www.ohchr.org/EN/HRBodies/CRPD/Pages/ConventionRightsPersonsWithDisabilities.aspx#1</w:t>
        </w:r>
      </w:hyperlink>
      <w:r w:rsidR="003D0798" w:rsidRPr="003D0798">
        <w:rPr>
          <w:rFonts w:ascii="Times New Roman" w:hAnsi="Times New Roman"/>
        </w:rPr>
        <w:t xml:space="preserve"> </w:t>
      </w:r>
    </w:p>
  </w:footnote>
  <w:footnote w:id="2">
    <w:p w14:paraId="01703091" w14:textId="1A58AD20" w:rsidR="00013823" w:rsidRPr="00013823" w:rsidRDefault="00013823"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текст на Хартата може да се намери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27F9" w14:textId="759670D4" w:rsidR="00984A52" w:rsidRDefault="00984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27736EDA"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7005F" w14:textId="48335D7D" w:rsidR="00984A52" w:rsidRDefault="00984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3823"/>
    <w:rsid w:val="00013AFD"/>
    <w:rsid w:val="000319CC"/>
    <w:rsid w:val="000508B7"/>
    <w:rsid w:val="00052C76"/>
    <w:rsid w:val="000A6D9B"/>
    <w:rsid w:val="000A7D1B"/>
    <w:rsid w:val="000B6072"/>
    <w:rsid w:val="000C72E1"/>
    <w:rsid w:val="000F4DE9"/>
    <w:rsid w:val="00112ACA"/>
    <w:rsid w:val="001250F3"/>
    <w:rsid w:val="00150A63"/>
    <w:rsid w:val="001925A8"/>
    <w:rsid w:val="001B490C"/>
    <w:rsid w:val="001C4400"/>
    <w:rsid w:val="001E7046"/>
    <w:rsid w:val="002262CD"/>
    <w:rsid w:val="002665DE"/>
    <w:rsid w:val="002D3045"/>
    <w:rsid w:val="0033559F"/>
    <w:rsid w:val="0034268B"/>
    <w:rsid w:val="003453C9"/>
    <w:rsid w:val="00345B68"/>
    <w:rsid w:val="0035732F"/>
    <w:rsid w:val="00392C0D"/>
    <w:rsid w:val="00397070"/>
    <w:rsid w:val="003A35BB"/>
    <w:rsid w:val="003A7795"/>
    <w:rsid w:val="003C05E1"/>
    <w:rsid w:val="003C1196"/>
    <w:rsid w:val="003C31CA"/>
    <w:rsid w:val="003C4032"/>
    <w:rsid w:val="003D0798"/>
    <w:rsid w:val="003D1FDC"/>
    <w:rsid w:val="003E07BC"/>
    <w:rsid w:val="003E2AA6"/>
    <w:rsid w:val="003E4A81"/>
    <w:rsid w:val="003F11B3"/>
    <w:rsid w:val="003F127D"/>
    <w:rsid w:val="00402ACA"/>
    <w:rsid w:val="0040632C"/>
    <w:rsid w:val="0040728E"/>
    <w:rsid w:val="00410461"/>
    <w:rsid w:val="0042512A"/>
    <w:rsid w:val="00431285"/>
    <w:rsid w:val="00454C6D"/>
    <w:rsid w:val="00456C38"/>
    <w:rsid w:val="004613D2"/>
    <w:rsid w:val="00487A24"/>
    <w:rsid w:val="00493BA5"/>
    <w:rsid w:val="004D78D8"/>
    <w:rsid w:val="004E1802"/>
    <w:rsid w:val="00522F04"/>
    <w:rsid w:val="0053494A"/>
    <w:rsid w:val="00541617"/>
    <w:rsid w:val="005A2D63"/>
    <w:rsid w:val="005C6AC1"/>
    <w:rsid w:val="005F04C4"/>
    <w:rsid w:val="00622EF3"/>
    <w:rsid w:val="00645185"/>
    <w:rsid w:val="006564B8"/>
    <w:rsid w:val="0068676A"/>
    <w:rsid w:val="00691015"/>
    <w:rsid w:val="006A535F"/>
    <w:rsid w:val="006A54F4"/>
    <w:rsid w:val="006B43D7"/>
    <w:rsid w:val="006C46DB"/>
    <w:rsid w:val="006E063B"/>
    <w:rsid w:val="006E4E32"/>
    <w:rsid w:val="00707B43"/>
    <w:rsid w:val="007159A1"/>
    <w:rsid w:val="00723E00"/>
    <w:rsid w:val="007311CC"/>
    <w:rsid w:val="00733C09"/>
    <w:rsid w:val="00734A59"/>
    <w:rsid w:val="0074376A"/>
    <w:rsid w:val="00763DB7"/>
    <w:rsid w:val="00776F50"/>
    <w:rsid w:val="00791E18"/>
    <w:rsid w:val="007D3A3A"/>
    <w:rsid w:val="007F019E"/>
    <w:rsid w:val="007F0BA5"/>
    <w:rsid w:val="007F0ED2"/>
    <w:rsid w:val="008137F7"/>
    <w:rsid w:val="00816DDA"/>
    <w:rsid w:val="008413F8"/>
    <w:rsid w:val="00844514"/>
    <w:rsid w:val="0085765B"/>
    <w:rsid w:val="008652E5"/>
    <w:rsid w:val="008845F4"/>
    <w:rsid w:val="008A2B53"/>
    <w:rsid w:val="008B1316"/>
    <w:rsid w:val="008D4237"/>
    <w:rsid w:val="009622AE"/>
    <w:rsid w:val="00962CCA"/>
    <w:rsid w:val="009655B8"/>
    <w:rsid w:val="00971248"/>
    <w:rsid w:val="00973ECC"/>
    <w:rsid w:val="0098275F"/>
    <w:rsid w:val="0098334F"/>
    <w:rsid w:val="009833AA"/>
    <w:rsid w:val="00984A52"/>
    <w:rsid w:val="00991CB4"/>
    <w:rsid w:val="0099667C"/>
    <w:rsid w:val="009A0149"/>
    <w:rsid w:val="009B2846"/>
    <w:rsid w:val="009C5EB8"/>
    <w:rsid w:val="009D4213"/>
    <w:rsid w:val="009D49EC"/>
    <w:rsid w:val="00A049DA"/>
    <w:rsid w:val="00A05ADF"/>
    <w:rsid w:val="00A233EA"/>
    <w:rsid w:val="00A2514B"/>
    <w:rsid w:val="00A62A1B"/>
    <w:rsid w:val="00A67557"/>
    <w:rsid w:val="00A67BB6"/>
    <w:rsid w:val="00A721A0"/>
    <w:rsid w:val="00A81893"/>
    <w:rsid w:val="00A82A33"/>
    <w:rsid w:val="00A87587"/>
    <w:rsid w:val="00A94C80"/>
    <w:rsid w:val="00A95615"/>
    <w:rsid w:val="00AA22E0"/>
    <w:rsid w:val="00AB368B"/>
    <w:rsid w:val="00AD22F2"/>
    <w:rsid w:val="00AE7396"/>
    <w:rsid w:val="00B02714"/>
    <w:rsid w:val="00B033D5"/>
    <w:rsid w:val="00B035FE"/>
    <w:rsid w:val="00B16862"/>
    <w:rsid w:val="00B175A1"/>
    <w:rsid w:val="00B4545E"/>
    <w:rsid w:val="00B620FB"/>
    <w:rsid w:val="00B9758F"/>
    <w:rsid w:val="00BA727B"/>
    <w:rsid w:val="00C13066"/>
    <w:rsid w:val="00C161DD"/>
    <w:rsid w:val="00C47C4D"/>
    <w:rsid w:val="00C5662F"/>
    <w:rsid w:val="00C63107"/>
    <w:rsid w:val="00C84FCD"/>
    <w:rsid w:val="00C9711F"/>
    <w:rsid w:val="00CA50C2"/>
    <w:rsid w:val="00CA7836"/>
    <w:rsid w:val="00CE4009"/>
    <w:rsid w:val="00CF5E98"/>
    <w:rsid w:val="00D43F14"/>
    <w:rsid w:val="00D551E4"/>
    <w:rsid w:val="00DE6316"/>
    <w:rsid w:val="00E066E6"/>
    <w:rsid w:val="00E12556"/>
    <w:rsid w:val="00E13262"/>
    <w:rsid w:val="00E22914"/>
    <w:rsid w:val="00E44CEF"/>
    <w:rsid w:val="00E530D5"/>
    <w:rsid w:val="00E534F5"/>
    <w:rsid w:val="00E66396"/>
    <w:rsid w:val="00E80277"/>
    <w:rsid w:val="00E91B13"/>
    <w:rsid w:val="00EA0271"/>
    <w:rsid w:val="00EA40C7"/>
    <w:rsid w:val="00EF6A85"/>
    <w:rsid w:val="00F01496"/>
    <w:rsid w:val="00F12A1D"/>
    <w:rsid w:val="00F150D2"/>
    <w:rsid w:val="00F34F47"/>
    <w:rsid w:val="00F3655F"/>
    <w:rsid w:val="00F4459A"/>
    <w:rsid w:val="00F5314F"/>
    <w:rsid w:val="00F531A1"/>
    <w:rsid w:val="00F53AD0"/>
    <w:rsid w:val="00F72160"/>
    <w:rsid w:val="00F84349"/>
    <w:rsid w:val="00FA6670"/>
    <w:rsid w:val="00FC0AF4"/>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3E4AB-5D76-4425-8C33-F0F0E473B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7843</Words>
  <Characters>44708</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4</cp:revision>
  <dcterms:created xsi:type="dcterms:W3CDTF">2023-11-02T14:47:00Z</dcterms:created>
  <dcterms:modified xsi:type="dcterms:W3CDTF">2023-11-02T14:48:00Z</dcterms:modified>
</cp:coreProperties>
</file>