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13E3" w14:textId="34255CE1" w:rsidR="000C0300" w:rsidRPr="000C0300" w:rsidRDefault="000C0300" w:rsidP="000C030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4</w:t>
      </w:r>
    </w:p>
    <w:p w14:paraId="0FC4E740" w14:textId="77777777" w:rsidR="000C0300" w:rsidRDefault="000C0300" w:rsidP="0017508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bookmarkEnd w:id="0"/>
    </w:p>
    <w:p w14:paraId="05ACF706" w14:textId="57205E0C" w:rsidR="00820289" w:rsidRDefault="00384BB7" w:rsidP="0017508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I. </w:t>
      </w:r>
      <w:r w:rsidR="00820289" w:rsidRPr="00175089">
        <w:rPr>
          <w:rFonts w:ascii="Times New Roman" w:hAnsi="Times New Roman" w:cs="Times New Roman"/>
          <w:b/>
          <w:bCs/>
          <w:sz w:val="24"/>
          <w:szCs w:val="24"/>
        </w:rPr>
        <w:t>ДОКУМЕНТИ</w:t>
      </w:r>
      <w:r w:rsidR="00820289" w:rsidRPr="005B029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КЪМ МЕЖДИННО/ ОКОНЧАТЕЛНО ИСКАНЕ ЗА ПЛАЩАНЕ</w:t>
      </w:r>
    </w:p>
    <w:p w14:paraId="28CAC3CA" w14:textId="54F50F38" w:rsidR="00326708" w:rsidRPr="00077702" w:rsidRDefault="00326708" w:rsidP="00820289">
      <w:pPr>
        <w:rPr>
          <w:rFonts w:ascii="Times New Roman" w:hAnsi="Times New Roman" w:cs="Times New Roman"/>
          <w:b/>
          <w:sz w:val="24"/>
          <w:szCs w:val="24"/>
        </w:rPr>
      </w:pPr>
      <w:r w:rsidRPr="00077702">
        <w:rPr>
          <w:rFonts w:ascii="Times New Roman" w:hAnsi="Times New Roman" w:cs="Times New Roman"/>
          <w:b/>
          <w:sz w:val="24"/>
          <w:szCs w:val="24"/>
        </w:rPr>
        <w:t>Част 1 – преди формиране на извадката</w:t>
      </w:r>
    </w:p>
    <w:p w14:paraId="66D84177" w14:textId="278808EA" w:rsidR="00820289" w:rsidRDefault="00820289" w:rsidP="00820289">
      <w:pPr>
        <w:rPr>
          <w:rFonts w:ascii="Times New Roman" w:hAnsi="Times New Roman" w:cs="Times New Roman"/>
          <w:sz w:val="24"/>
          <w:szCs w:val="24"/>
        </w:rPr>
      </w:pPr>
      <w:r w:rsidRPr="0077676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E64">
        <w:rPr>
          <w:rFonts w:ascii="Times New Roman" w:hAnsi="Times New Roman" w:cs="Times New Roman"/>
          <w:sz w:val="24"/>
          <w:szCs w:val="24"/>
        </w:rPr>
        <w:t>Искане за плащане по образец в системата ИСУН 2020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1545AAF" w14:textId="77777777" w:rsidR="00820289" w:rsidRDefault="00820289" w:rsidP="008202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02CA2">
        <w:rPr>
          <w:rFonts w:ascii="Times New Roman" w:hAnsi="Times New Roman" w:cs="Times New Roman"/>
          <w:sz w:val="24"/>
          <w:szCs w:val="24"/>
        </w:rPr>
        <w:t>Технически отчет и финансов отчет по образец в системата ИСУН 2020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C27A6FD" w14:textId="1139BCF0" w:rsidR="00820289" w:rsidRDefault="00820289" w:rsidP="00AB17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72813">
        <w:rPr>
          <w:rFonts w:ascii="Times New Roman" w:hAnsi="Times New Roman" w:cs="Times New Roman"/>
          <w:sz w:val="24"/>
          <w:szCs w:val="24"/>
        </w:rPr>
        <w:t xml:space="preserve">Декларация на бенефициента към искане за междинно/окончателно плащане, съгласно </w:t>
      </w:r>
      <w:r w:rsidR="0068115C">
        <w:rPr>
          <w:rFonts w:ascii="Times New Roman" w:hAnsi="Times New Roman" w:cs="Times New Roman"/>
          <w:sz w:val="24"/>
          <w:szCs w:val="24"/>
        </w:rPr>
        <w:t>Приложение №</w:t>
      </w:r>
      <w:r w:rsidR="00453AB5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83E39B0" w14:textId="4CDBDD1A" w:rsidR="00820289" w:rsidRDefault="00820289" w:rsidP="00163C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Таблица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съгласно </w:t>
      </w:r>
      <w:r w:rsidR="00163C36" w:rsidRPr="00163C36">
        <w:rPr>
          <w:rFonts w:ascii="Times New Roman" w:hAnsi="Times New Roman" w:cs="Times New Roman"/>
          <w:sz w:val="24"/>
          <w:szCs w:val="24"/>
        </w:rPr>
        <w:t>Приложение № 2 към условия</w:t>
      </w:r>
      <w:r w:rsidR="00163C36">
        <w:rPr>
          <w:rFonts w:ascii="Times New Roman" w:hAnsi="Times New Roman" w:cs="Times New Roman"/>
          <w:sz w:val="24"/>
          <w:szCs w:val="24"/>
        </w:rPr>
        <w:t>та</w:t>
      </w:r>
      <w:r w:rsidR="00163C36" w:rsidRPr="00163C36">
        <w:rPr>
          <w:rFonts w:ascii="Times New Roman" w:hAnsi="Times New Roman" w:cs="Times New Roman"/>
          <w:sz w:val="24"/>
          <w:szCs w:val="24"/>
        </w:rPr>
        <w:t xml:space="preserve"> за изпълнение </w:t>
      </w:r>
      <w:r>
        <w:rPr>
          <w:rFonts w:ascii="Times New Roman" w:hAnsi="Times New Roman" w:cs="Times New Roman"/>
          <w:sz w:val="24"/>
          <w:szCs w:val="24"/>
        </w:rPr>
        <w:t xml:space="preserve">към </w:t>
      </w:r>
      <w:r w:rsidR="00384BB7">
        <w:rPr>
          <w:rFonts w:ascii="Times New Roman" w:hAnsi="Times New Roman" w:cs="Times New Roman"/>
          <w:sz w:val="24"/>
          <w:szCs w:val="24"/>
        </w:rPr>
        <w:t>Искането за плащане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74F499A" w14:textId="501B3EEF" w:rsidR="00326708" w:rsidRPr="00384BB7" w:rsidRDefault="00326708" w:rsidP="00163C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BB7">
        <w:rPr>
          <w:rFonts w:ascii="Times New Roman" w:hAnsi="Times New Roman" w:cs="Times New Roman"/>
          <w:b/>
          <w:sz w:val="24"/>
          <w:szCs w:val="24"/>
        </w:rPr>
        <w:t>Част 2 – след формиране на извадката, при поискване от УО</w:t>
      </w:r>
    </w:p>
    <w:p w14:paraId="1637DF7E" w14:textId="77777777" w:rsidR="00820289" w:rsidRDefault="00820289" w:rsidP="008202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FF20F8">
        <w:rPr>
          <w:rFonts w:ascii="Times New Roman" w:hAnsi="Times New Roman" w:cs="Times New Roman"/>
          <w:sz w:val="24"/>
          <w:szCs w:val="24"/>
        </w:rPr>
        <w:t>Документи</w:t>
      </w:r>
      <w:r>
        <w:rPr>
          <w:rFonts w:ascii="Times New Roman" w:hAnsi="Times New Roman" w:cs="Times New Roman"/>
          <w:sz w:val="24"/>
          <w:szCs w:val="24"/>
        </w:rPr>
        <w:t xml:space="preserve"> към финансовия отчет</w:t>
      </w:r>
      <w:r w:rsidRPr="00FF20F8">
        <w:rPr>
          <w:rFonts w:ascii="Times New Roman" w:hAnsi="Times New Roman" w:cs="Times New Roman"/>
          <w:sz w:val="24"/>
          <w:szCs w:val="24"/>
        </w:rPr>
        <w:t>, необходими за удостоверяване на извършените разходи за изпълнение на дейностите по проекта от бенефициента:</w:t>
      </w:r>
    </w:p>
    <w:p w14:paraId="7885B458" w14:textId="3334F85B" w:rsidR="00820289" w:rsidRDefault="00820289" w:rsidP="00163C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Фактури (оригинал или копие)</w:t>
      </w:r>
      <w:r w:rsidR="00163C36">
        <w:rPr>
          <w:rFonts w:ascii="Times New Roman" w:hAnsi="Times New Roman" w:cs="Times New Roman"/>
          <w:sz w:val="24"/>
          <w:szCs w:val="24"/>
        </w:rPr>
        <w:t xml:space="preserve"> и/или други </w:t>
      </w:r>
      <w:proofErr w:type="spellStart"/>
      <w:r w:rsidR="00163C36">
        <w:rPr>
          <w:rFonts w:ascii="Times New Roman" w:hAnsi="Times New Roman" w:cs="Times New Roman"/>
          <w:sz w:val="24"/>
          <w:szCs w:val="24"/>
        </w:rPr>
        <w:t>разходооправдателни</w:t>
      </w:r>
      <w:proofErr w:type="spellEnd"/>
      <w:r w:rsidR="00163C36">
        <w:rPr>
          <w:rFonts w:ascii="Times New Roman" w:hAnsi="Times New Roman" w:cs="Times New Roman"/>
          <w:sz w:val="24"/>
          <w:szCs w:val="24"/>
        </w:rPr>
        <w:t xml:space="preserve"> документи (дебитни или кредитни известия, други)</w:t>
      </w:r>
      <w:r>
        <w:rPr>
          <w:rFonts w:ascii="Times New Roman" w:hAnsi="Times New Roman" w:cs="Times New Roman"/>
          <w:sz w:val="24"/>
          <w:szCs w:val="24"/>
        </w:rPr>
        <w:t>, издаден</w:t>
      </w:r>
      <w:r w:rsidR="00163C3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от доставчик на ел. енергия на краен получател МСП за разходни позиции съгласно искане на допълнителна информация от страна на УО;</w:t>
      </w:r>
    </w:p>
    <w:p w14:paraId="3C64906D" w14:textId="785F6090" w:rsidR="00820289" w:rsidRDefault="00820289" w:rsidP="00820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З</w:t>
      </w:r>
      <w:r w:rsidRPr="00E67EDD">
        <w:rPr>
          <w:rFonts w:ascii="Times New Roman" w:hAnsi="Times New Roman" w:cs="Times New Roman"/>
          <w:sz w:val="24"/>
          <w:szCs w:val="24"/>
        </w:rPr>
        <w:t>аявлени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67EDD">
        <w:rPr>
          <w:rFonts w:ascii="Times New Roman" w:hAnsi="Times New Roman" w:cs="Times New Roman"/>
          <w:sz w:val="24"/>
          <w:szCs w:val="24"/>
        </w:rPr>
        <w:t xml:space="preserve"> </w:t>
      </w:r>
      <w:r w:rsidR="006A7E21">
        <w:rPr>
          <w:rFonts w:ascii="Times New Roman" w:hAnsi="Times New Roman" w:cs="Times New Roman"/>
          <w:sz w:val="24"/>
          <w:szCs w:val="24"/>
        </w:rPr>
        <w:t>за определяне на</w:t>
      </w:r>
      <w:r w:rsidR="006A7E21" w:rsidRPr="00E67EDD">
        <w:rPr>
          <w:rFonts w:ascii="Times New Roman" w:hAnsi="Times New Roman" w:cs="Times New Roman"/>
          <w:sz w:val="24"/>
          <w:szCs w:val="24"/>
        </w:rPr>
        <w:t xml:space="preserve"> </w:t>
      </w:r>
      <w:r w:rsidRPr="00E67EDD">
        <w:rPr>
          <w:rFonts w:ascii="Times New Roman" w:hAnsi="Times New Roman" w:cs="Times New Roman"/>
          <w:sz w:val="24"/>
          <w:szCs w:val="24"/>
        </w:rPr>
        <w:t xml:space="preserve">размера на дължимата компенсация по програмата за компенсиране на небитови крайни клиенти </w:t>
      </w:r>
      <w:r w:rsidR="006A7E21">
        <w:rPr>
          <w:rFonts w:ascii="Times New Roman" w:hAnsi="Times New Roman" w:cs="Times New Roman"/>
          <w:sz w:val="24"/>
          <w:szCs w:val="24"/>
        </w:rPr>
        <w:t xml:space="preserve"> на </w:t>
      </w:r>
      <w:r w:rsidRPr="00E67EDD">
        <w:rPr>
          <w:rFonts w:ascii="Times New Roman" w:hAnsi="Times New Roman" w:cs="Times New Roman"/>
          <w:sz w:val="24"/>
          <w:szCs w:val="24"/>
        </w:rPr>
        <w:t>доставчика на ел. енергия, обслужващ съответния краен получател (МСП) за периода, касаещ избраната разходна позиция по образец, приложение към сключен договор за изплащане на компенсация;</w:t>
      </w:r>
    </w:p>
    <w:p w14:paraId="79057432" w14:textId="0F37F4DC" w:rsidR="00820289" w:rsidRDefault="00820289" w:rsidP="00820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С</w:t>
      </w:r>
      <w:r w:rsidRPr="00E67EDD">
        <w:rPr>
          <w:rFonts w:ascii="Times New Roman" w:hAnsi="Times New Roman" w:cs="Times New Roman"/>
          <w:sz w:val="24"/>
          <w:szCs w:val="24"/>
        </w:rPr>
        <w:t xml:space="preserve">правка по образец към Заявлението относно количествата фактурирана от доставчика нетна активна електрическа енергия на небитови крайни клиенти за съответния месец. Документът </w:t>
      </w:r>
      <w:r>
        <w:rPr>
          <w:rFonts w:ascii="Times New Roman" w:hAnsi="Times New Roman" w:cs="Times New Roman"/>
          <w:sz w:val="24"/>
          <w:szCs w:val="24"/>
        </w:rPr>
        <w:t xml:space="preserve">следва да </w:t>
      </w:r>
      <w:r w:rsidRPr="00E67EDD">
        <w:rPr>
          <w:rFonts w:ascii="Times New Roman" w:hAnsi="Times New Roman" w:cs="Times New Roman"/>
          <w:sz w:val="24"/>
          <w:szCs w:val="24"/>
        </w:rPr>
        <w:t xml:space="preserve">съдържа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E67EDD">
        <w:rPr>
          <w:rFonts w:ascii="Times New Roman" w:hAnsi="Times New Roman" w:cs="Times New Roman"/>
          <w:sz w:val="24"/>
          <w:szCs w:val="24"/>
        </w:rPr>
        <w:t xml:space="preserve">анни за Клиент; ЕИК (само за периода юли – септември 2022 г.);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E67EDD">
        <w:rPr>
          <w:rFonts w:ascii="Times New Roman" w:hAnsi="Times New Roman" w:cs="Times New Roman"/>
          <w:sz w:val="24"/>
          <w:szCs w:val="24"/>
        </w:rPr>
        <w:t xml:space="preserve">актура № и дата;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67EDD">
        <w:rPr>
          <w:rFonts w:ascii="Times New Roman" w:hAnsi="Times New Roman" w:cs="Times New Roman"/>
          <w:sz w:val="24"/>
          <w:szCs w:val="24"/>
        </w:rPr>
        <w:t>тчетен период; предоставена компенсация на клиента в лв. само по отношение на попадналата в статистическата извадка разходна позиция за краен получател МСП</w:t>
      </w:r>
      <w:r>
        <w:rPr>
          <w:rFonts w:ascii="Times New Roman" w:hAnsi="Times New Roman" w:cs="Times New Roman"/>
          <w:sz w:val="24"/>
          <w:szCs w:val="24"/>
        </w:rPr>
        <w:t>, обща стойност на изплатените компенсации по подаденото заявление, (ако е приложимо);</w:t>
      </w:r>
    </w:p>
    <w:p w14:paraId="70B94AD3" w14:textId="14B318AD" w:rsidR="00384BB7" w:rsidRDefault="00384BB7" w:rsidP="00820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Съгласно Приложение № 2 към условията за изпълнение, този документ се проверява на място при бенефициента и не се предоставя чрез ИСУН</w:t>
      </w:r>
      <w:r w:rsidR="00453AB5">
        <w:rPr>
          <w:rFonts w:ascii="Times New Roman" w:hAnsi="Times New Roman" w:cs="Times New Roman"/>
          <w:sz w:val="24"/>
          <w:szCs w:val="24"/>
        </w:rPr>
        <w:t>.</w:t>
      </w:r>
    </w:p>
    <w:p w14:paraId="614790C2" w14:textId="77777777" w:rsidR="00820289" w:rsidRDefault="00820289" w:rsidP="00820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П</w:t>
      </w:r>
      <w:r w:rsidRPr="00DB6E24">
        <w:rPr>
          <w:rFonts w:ascii="Times New Roman" w:hAnsi="Times New Roman" w:cs="Times New Roman"/>
          <w:sz w:val="24"/>
          <w:szCs w:val="24"/>
        </w:rPr>
        <w:t>ротокол, изготвен от екип на ФСЕС/МЕ за установяване на размера на дължимата компенсация на доставчика за този период към всички негови небитови крайни клиенти</w:t>
      </w:r>
      <w:r>
        <w:rPr>
          <w:rFonts w:ascii="Times New Roman" w:hAnsi="Times New Roman" w:cs="Times New Roman"/>
          <w:sz w:val="24"/>
          <w:szCs w:val="24"/>
        </w:rPr>
        <w:t xml:space="preserve"> (ако е приложимо);</w:t>
      </w:r>
    </w:p>
    <w:p w14:paraId="11894037" w14:textId="2DC4B47E" w:rsidR="00820289" w:rsidRDefault="00820289" w:rsidP="00820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5.5. Фактури, р</w:t>
      </w:r>
      <w:r w:rsidRPr="0077676B">
        <w:rPr>
          <w:rFonts w:ascii="Times New Roman" w:hAnsi="Times New Roman" w:cs="Times New Roman"/>
          <w:sz w:val="24"/>
          <w:szCs w:val="24"/>
        </w:rPr>
        <w:t>азходни касови ордери</w:t>
      </w:r>
      <w:r>
        <w:rPr>
          <w:rFonts w:ascii="Times New Roman" w:hAnsi="Times New Roman" w:cs="Times New Roman"/>
          <w:sz w:val="24"/>
          <w:szCs w:val="24"/>
        </w:rPr>
        <w:t>, к</w:t>
      </w:r>
      <w:r w:rsidRPr="0077676B">
        <w:rPr>
          <w:rFonts w:ascii="Times New Roman" w:hAnsi="Times New Roman" w:cs="Times New Roman"/>
          <w:sz w:val="24"/>
          <w:szCs w:val="24"/>
        </w:rPr>
        <w:t>асови бележки (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77676B">
        <w:rPr>
          <w:rFonts w:ascii="Times New Roman" w:hAnsi="Times New Roman" w:cs="Times New Roman"/>
          <w:sz w:val="24"/>
          <w:szCs w:val="24"/>
        </w:rPr>
        <w:t>искални бонове)</w:t>
      </w:r>
      <w:r>
        <w:rPr>
          <w:rFonts w:ascii="Times New Roman" w:hAnsi="Times New Roman" w:cs="Times New Roman"/>
          <w:sz w:val="24"/>
          <w:szCs w:val="24"/>
        </w:rPr>
        <w:t>, ако е приложимо, по отношение на удостоверяване извършването на разходи за подготвителни дейности</w:t>
      </w:r>
      <w:r w:rsidR="00787C85">
        <w:rPr>
          <w:rFonts w:ascii="Times New Roman" w:hAnsi="Times New Roman" w:cs="Times New Roman"/>
          <w:sz w:val="24"/>
          <w:szCs w:val="24"/>
        </w:rPr>
        <w:t xml:space="preserve"> (ако е приложимо)</w:t>
      </w:r>
      <w:r w:rsidRPr="0077676B">
        <w:rPr>
          <w:rFonts w:ascii="Times New Roman" w:hAnsi="Times New Roman" w:cs="Times New Roman"/>
          <w:sz w:val="24"/>
          <w:szCs w:val="24"/>
        </w:rPr>
        <w:t>;</w:t>
      </w:r>
    </w:p>
    <w:p w14:paraId="59713A5F" w14:textId="77777777" w:rsidR="00820289" w:rsidRDefault="00820289" w:rsidP="00820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П</w:t>
      </w:r>
      <w:r w:rsidRPr="00E67EDD">
        <w:rPr>
          <w:rFonts w:ascii="Times New Roman" w:hAnsi="Times New Roman" w:cs="Times New Roman"/>
          <w:sz w:val="24"/>
          <w:szCs w:val="24"/>
        </w:rPr>
        <w:t>латежни нареждания</w:t>
      </w:r>
      <w:r w:rsidRPr="00E67EDD">
        <w:t xml:space="preserve"> </w:t>
      </w:r>
      <w:r w:rsidRPr="00E67EDD">
        <w:rPr>
          <w:rFonts w:ascii="Times New Roman" w:hAnsi="Times New Roman" w:cs="Times New Roman"/>
          <w:sz w:val="24"/>
          <w:szCs w:val="24"/>
        </w:rPr>
        <w:t>за преведена компенсация от страна на Фонд СЕС към Доставчик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7D937C9" w14:textId="5DD83422" w:rsidR="00820289" w:rsidRDefault="00820289" w:rsidP="00820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Платежни нареждания/ банкови извлечения</w:t>
      </w:r>
      <w:r w:rsidR="00163C3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AB6">
        <w:rPr>
          <w:rFonts w:ascii="Times New Roman" w:hAnsi="Times New Roman" w:cs="Times New Roman"/>
          <w:sz w:val="24"/>
          <w:szCs w:val="24"/>
        </w:rPr>
        <w:t>касови бележки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155AB6">
        <w:rPr>
          <w:rFonts w:ascii="Times New Roman" w:hAnsi="Times New Roman" w:cs="Times New Roman"/>
          <w:sz w:val="24"/>
          <w:szCs w:val="24"/>
        </w:rPr>
        <w:t xml:space="preserve"> разходни ордери и други (освен за разходи, които се възстановяват чрез прилагане на единна ставка), фактури към изпълнители, избрани по реда на Закона за обществените поръчки </w:t>
      </w:r>
      <w:r>
        <w:rPr>
          <w:rFonts w:ascii="Times New Roman" w:hAnsi="Times New Roman" w:cs="Times New Roman"/>
          <w:sz w:val="24"/>
          <w:szCs w:val="24"/>
        </w:rPr>
        <w:t>за разходи за подготвителни дейности</w:t>
      </w:r>
      <w:r w:rsidR="00787C85">
        <w:rPr>
          <w:rFonts w:ascii="Times New Roman" w:hAnsi="Times New Roman" w:cs="Times New Roman"/>
          <w:sz w:val="24"/>
          <w:szCs w:val="24"/>
        </w:rPr>
        <w:t xml:space="preserve"> (ако е приложимо)</w:t>
      </w:r>
      <w:r w:rsidRPr="00155AB6">
        <w:rPr>
          <w:rFonts w:ascii="Times New Roman" w:hAnsi="Times New Roman" w:cs="Times New Roman"/>
          <w:sz w:val="24"/>
          <w:szCs w:val="24"/>
        </w:rPr>
        <w:t>;</w:t>
      </w:r>
    </w:p>
    <w:p w14:paraId="133DFBBB" w14:textId="77777777" w:rsidR="00820289" w:rsidRDefault="00820289" w:rsidP="00820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812A8A">
        <w:rPr>
          <w:rFonts w:ascii="Times New Roman" w:hAnsi="Times New Roman" w:cs="Times New Roman"/>
          <w:sz w:val="24"/>
          <w:szCs w:val="24"/>
        </w:rPr>
        <w:t>Счетоводни документи и документи, доказващи, че разходите са отразени в счетоводната документация на Бенефициента</w:t>
      </w:r>
      <w:r w:rsidRPr="00EB3DC7">
        <w:t xml:space="preserve"> </w:t>
      </w:r>
      <w:r w:rsidRPr="00EB3DC7">
        <w:rPr>
          <w:rFonts w:ascii="Times New Roman" w:hAnsi="Times New Roman" w:cs="Times New Roman"/>
          <w:sz w:val="24"/>
          <w:szCs w:val="24"/>
        </w:rPr>
        <w:t>в съответствие с неговите обичайни практики за аналитично счетоводно отчитане на разходите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BEEE304" w14:textId="77777777" w:rsidR="00820289" w:rsidRDefault="00820289" w:rsidP="00820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Индивидуален </w:t>
      </w:r>
      <w:r w:rsidRPr="00EB3DC7">
        <w:rPr>
          <w:rFonts w:ascii="Times New Roman" w:hAnsi="Times New Roman" w:cs="Times New Roman"/>
          <w:sz w:val="24"/>
          <w:szCs w:val="24"/>
        </w:rPr>
        <w:t xml:space="preserve">сметкоплан на </w:t>
      </w:r>
      <w:r>
        <w:rPr>
          <w:rFonts w:ascii="Times New Roman" w:hAnsi="Times New Roman" w:cs="Times New Roman"/>
          <w:sz w:val="24"/>
          <w:szCs w:val="24"/>
        </w:rPr>
        <w:t>бенефициента за целите на</w:t>
      </w:r>
      <w:r w:rsidRPr="00EB3DC7">
        <w:rPr>
          <w:rFonts w:ascii="Times New Roman" w:hAnsi="Times New Roman" w:cs="Times New Roman"/>
          <w:sz w:val="24"/>
          <w:szCs w:val="24"/>
        </w:rPr>
        <w:t xml:space="preserve"> провер</w:t>
      </w:r>
      <w:r>
        <w:rPr>
          <w:rFonts w:ascii="Times New Roman" w:hAnsi="Times New Roman" w:cs="Times New Roman"/>
          <w:sz w:val="24"/>
          <w:szCs w:val="24"/>
        </w:rPr>
        <w:t>ка на</w:t>
      </w:r>
      <w:r w:rsidRPr="00EB3DC7">
        <w:rPr>
          <w:rFonts w:ascii="Times New Roman" w:hAnsi="Times New Roman" w:cs="Times New Roman"/>
          <w:sz w:val="24"/>
          <w:szCs w:val="24"/>
        </w:rPr>
        <w:t xml:space="preserve"> сметките, по които са отразени съответните счетоводни операции.</w:t>
      </w:r>
    </w:p>
    <w:p w14:paraId="2687DF21" w14:textId="24BD1D9B" w:rsidR="00820289" w:rsidRPr="00EB3DC7" w:rsidRDefault="00820289" w:rsidP="008202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3DC7">
        <w:rPr>
          <w:rFonts w:ascii="Times New Roman" w:hAnsi="Times New Roman" w:cs="Times New Roman"/>
          <w:b/>
          <w:bCs/>
          <w:sz w:val="24"/>
          <w:szCs w:val="24"/>
        </w:rPr>
        <w:t xml:space="preserve">ІІ. ОТЧИТАНЕ НА ДОГОВОРИ ЗА ИЗПЪЛНЕНИЕ НА </w:t>
      </w:r>
      <w:r>
        <w:rPr>
          <w:rFonts w:ascii="Times New Roman" w:hAnsi="Times New Roman" w:cs="Times New Roman"/>
          <w:b/>
          <w:bCs/>
          <w:sz w:val="24"/>
          <w:szCs w:val="24"/>
        </w:rPr>
        <w:t>ПОДГОТВИТЕЛНИ ДЕЙНОСТИ</w:t>
      </w:r>
      <w:r w:rsidRPr="00EB3DC7">
        <w:rPr>
          <w:rFonts w:ascii="Times New Roman" w:hAnsi="Times New Roman" w:cs="Times New Roman"/>
          <w:b/>
          <w:bCs/>
          <w:sz w:val="24"/>
          <w:szCs w:val="24"/>
        </w:rPr>
        <w:t>, СКЛЮЧЕНИ С ВЪНШНИ ИЗПЪЛНИТЕЛИ</w:t>
      </w:r>
      <w:r w:rsidR="00787C85">
        <w:rPr>
          <w:rFonts w:ascii="Times New Roman" w:hAnsi="Times New Roman" w:cs="Times New Roman"/>
          <w:b/>
          <w:bCs/>
          <w:sz w:val="24"/>
          <w:szCs w:val="24"/>
        </w:rPr>
        <w:t xml:space="preserve"> (АКО Е ПРИЛОЖИМО)</w:t>
      </w:r>
    </w:p>
    <w:p w14:paraId="4587C430" w14:textId="77777777" w:rsidR="00820289" w:rsidRPr="000F143C" w:rsidRDefault="00820289" w:rsidP="00163C36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0F143C">
        <w:rPr>
          <w:rFonts w:ascii="Times New Roman" w:hAnsi="Times New Roman" w:cs="Times New Roman"/>
          <w:b/>
          <w:noProof/>
          <w:sz w:val="24"/>
          <w:szCs w:val="24"/>
        </w:rPr>
        <w:t xml:space="preserve">Документи от </w:t>
      </w:r>
      <w:r w:rsidRPr="00163C36">
        <w:rPr>
          <w:rFonts w:ascii="Times New Roman" w:hAnsi="Times New Roman" w:cs="Times New Roman"/>
          <w:b/>
          <w:bCs/>
          <w:noProof/>
          <w:sz w:val="24"/>
          <w:szCs w:val="24"/>
        </w:rPr>
        <w:t>проведена</w:t>
      </w:r>
      <w:r w:rsidRPr="000F143C">
        <w:rPr>
          <w:rFonts w:ascii="Times New Roman" w:hAnsi="Times New Roman" w:cs="Times New Roman"/>
          <w:b/>
          <w:noProof/>
          <w:sz w:val="24"/>
          <w:szCs w:val="24"/>
        </w:rPr>
        <w:t xml:space="preserve"> процедура за избор на изпълнител и сключени договори:</w:t>
      </w:r>
    </w:p>
    <w:p w14:paraId="047E3F0E" w14:textId="77777777" w:rsidR="00820289" w:rsidRPr="000F143C" w:rsidRDefault="00820289" w:rsidP="00163C36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143C">
        <w:rPr>
          <w:rFonts w:ascii="Times New Roman" w:hAnsi="Times New Roman" w:cs="Times New Roman"/>
          <w:noProof/>
          <w:sz w:val="24"/>
          <w:szCs w:val="24"/>
        </w:rPr>
        <w:t>1. Документи от проведена процедура за избор на изпълнител (ако е приложимо);</w:t>
      </w:r>
    </w:p>
    <w:p w14:paraId="7A45B8D9" w14:textId="77777777" w:rsidR="00820289" w:rsidRPr="000F143C" w:rsidRDefault="00820289" w:rsidP="00163C36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F143C">
        <w:rPr>
          <w:rFonts w:ascii="Times New Roman" w:hAnsi="Times New Roman" w:cs="Times New Roman"/>
          <w:noProof/>
          <w:sz w:val="24"/>
          <w:szCs w:val="24"/>
        </w:rPr>
        <w:t>2. Договори, сключени с външни изпълнители и всички приложения, които са неразделна част от съответните договори;</w:t>
      </w:r>
    </w:p>
    <w:p w14:paraId="5FD168F2" w14:textId="77777777" w:rsidR="00820289" w:rsidRDefault="00820289" w:rsidP="00163C36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F143C">
        <w:rPr>
          <w:rFonts w:ascii="Times New Roman" w:hAnsi="Times New Roman" w:cs="Times New Roman"/>
          <w:noProof/>
          <w:sz w:val="24"/>
          <w:szCs w:val="24"/>
        </w:rPr>
        <w:t>3. Допълнителни споразумения към сключени договори</w:t>
      </w:r>
      <w:r>
        <w:rPr>
          <w:rFonts w:ascii="Times New Roman" w:hAnsi="Times New Roman" w:cs="Times New Roman"/>
          <w:noProof/>
          <w:sz w:val="24"/>
          <w:szCs w:val="24"/>
        </w:rPr>
        <w:t>, ако е приложимо</w:t>
      </w:r>
      <w:r w:rsidRPr="000F143C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375EC24C" w14:textId="6FBC39F1" w:rsidR="00820289" w:rsidRPr="000F143C" w:rsidRDefault="00820289" w:rsidP="00820289">
      <w:pPr>
        <w:tabs>
          <w:tab w:val="left" w:pos="426"/>
        </w:tabs>
        <w:spacing w:before="40" w:after="40" w:line="252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F14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ІІІ. ОТЧИТАНЕ НА НЕПРЕКИ РАЗХОДИ</w:t>
      </w:r>
      <w:r w:rsidR="00787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(АКО Е ПРИЛОЖИМО)</w:t>
      </w:r>
    </w:p>
    <w:p w14:paraId="4950B8F2" w14:textId="77777777" w:rsidR="00820289" w:rsidRPr="000F143C" w:rsidRDefault="00820289" w:rsidP="00163C36">
      <w:pPr>
        <w:jc w:val="both"/>
        <w:rPr>
          <w:rFonts w:ascii="Times New Roman" w:hAnsi="Times New Roman" w:cs="Times New Roman"/>
          <w:sz w:val="24"/>
          <w:szCs w:val="24"/>
        </w:rPr>
      </w:pPr>
      <w:r w:rsidRPr="000F143C">
        <w:rPr>
          <w:rFonts w:ascii="Times New Roman" w:hAnsi="Times New Roman" w:cs="Times New Roman"/>
          <w:b/>
          <w:noProof/>
          <w:sz w:val="24"/>
          <w:szCs w:val="24"/>
        </w:rPr>
        <w:t xml:space="preserve">Отчитане на непреки разходи, за които се предоставя финансиране под формата на единна ставка, съгласно чл. 55, ал. 1 т. 4 на </w:t>
      </w:r>
      <w:r>
        <w:rPr>
          <w:rFonts w:ascii="Times New Roman" w:hAnsi="Times New Roman" w:cs="Times New Roman"/>
          <w:b/>
          <w:noProof/>
          <w:sz w:val="24"/>
          <w:szCs w:val="24"/>
        </w:rPr>
        <w:t>ЗУСЕФСУ (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загл. изм. ДВ, бр. 51 от 1.07.2022 г., в сила от 1.07.2022 г., в редакция съгласно параграф 70 от ПЗР на ЗИД на ЗУСЕСИФ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обн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., ДВ, бр. 51 от 1.07.2022 г.)</w:t>
      </w:r>
      <w:r w:rsidRPr="000F14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405DD" w14:textId="77777777" w:rsidR="00820289" w:rsidRDefault="00820289" w:rsidP="00820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367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5367A4">
        <w:rPr>
          <w:rFonts w:ascii="Times New Roman" w:hAnsi="Times New Roman" w:cs="Times New Roman"/>
          <w:sz w:val="24"/>
          <w:szCs w:val="24"/>
        </w:rPr>
        <w:t>аповед за сформиране на екип за организация и управление и/или изпълнение на проект (ако е приложимо) – образец на примерна заповед е представен в Приложение Образец 4.2 към Ръководство;</w:t>
      </w:r>
    </w:p>
    <w:p w14:paraId="38F1C2FB" w14:textId="77777777" w:rsidR="00820289" w:rsidRDefault="00820289" w:rsidP="00820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D63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ED6387">
        <w:rPr>
          <w:rFonts w:ascii="Times New Roman" w:hAnsi="Times New Roman" w:cs="Times New Roman"/>
          <w:sz w:val="24"/>
          <w:szCs w:val="24"/>
        </w:rPr>
        <w:t>оказателства относно изпълнението на мерките за информация и комуникация, предвидени в одобреното проектното предложение, в съответствие с разпоредбите на Приложение XII от Регламент (ЕС) №1303/ 2013 и Единния наръчник на бенефициента за прилагане на правилата за информация и комуникация 2014 - 2020 г.</w:t>
      </w:r>
    </w:p>
    <w:p w14:paraId="697A2BF6" w14:textId="299CF07D" w:rsidR="00820289" w:rsidRDefault="00820289" w:rsidP="00820289">
      <w:pPr>
        <w:jc w:val="both"/>
        <w:rPr>
          <w:rFonts w:ascii="Times New Roman" w:hAnsi="Times New Roman" w:cs="Times New Roman"/>
          <w:sz w:val="24"/>
          <w:szCs w:val="24"/>
        </w:rPr>
      </w:pPr>
      <w:r w:rsidRPr="00EB3DC7">
        <w:rPr>
          <w:rFonts w:ascii="Times New Roman" w:hAnsi="Times New Roman" w:cs="Times New Roman"/>
          <w:sz w:val="24"/>
          <w:szCs w:val="24"/>
        </w:rPr>
        <w:t>3.</w:t>
      </w:r>
      <w:r w:rsidRPr="005367A4">
        <w:rPr>
          <w:rFonts w:ascii="Times New Roman" w:hAnsi="Times New Roman" w:cs="Times New Roman"/>
          <w:sz w:val="24"/>
          <w:szCs w:val="24"/>
        </w:rPr>
        <w:t xml:space="preserve"> Таблица единна ставка (Приложение Образец 9) - Таблица за определяне размера на допустимите непреки разходи, за които се предоставя финансиране под формата на единна ставка, съгласно чл. 55, ал. 1 т. 4 на ЗУСЕФСУ. Таблицата се представя сканирана с подпис на лицето, което я е изготвило във формат (.</w:t>
      </w:r>
      <w:proofErr w:type="spellStart"/>
      <w:r w:rsidRPr="005367A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367A4">
        <w:rPr>
          <w:rFonts w:ascii="Times New Roman" w:hAnsi="Times New Roman" w:cs="Times New Roman"/>
          <w:sz w:val="24"/>
          <w:szCs w:val="24"/>
        </w:rPr>
        <w:t>) и в работен формат (</w:t>
      </w:r>
      <w:proofErr w:type="spellStart"/>
      <w:r w:rsidRPr="005367A4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5367A4">
        <w:rPr>
          <w:rFonts w:ascii="Times New Roman" w:hAnsi="Times New Roman" w:cs="Times New Roman"/>
          <w:sz w:val="24"/>
          <w:szCs w:val="24"/>
        </w:rPr>
        <w:t>).</w:t>
      </w:r>
      <w:r w:rsidR="00163C36">
        <w:rPr>
          <w:rFonts w:ascii="Times New Roman" w:hAnsi="Times New Roman" w:cs="Times New Roman"/>
          <w:sz w:val="24"/>
          <w:szCs w:val="24"/>
        </w:rPr>
        <w:t xml:space="preserve"> </w:t>
      </w:r>
      <w:r w:rsidRPr="005367A4">
        <w:rPr>
          <w:rFonts w:ascii="Times New Roman" w:hAnsi="Times New Roman" w:cs="Times New Roman"/>
          <w:sz w:val="24"/>
          <w:szCs w:val="24"/>
        </w:rPr>
        <w:t xml:space="preserve">Приложението е със зададени формули, които изчисляват размера на допустимите непреки разходи, финансирани </w:t>
      </w:r>
      <w:r w:rsidRPr="005367A4">
        <w:rPr>
          <w:rFonts w:ascii="Times New Roman" w:hAnsi="Times New Roman" w:cs="Times New Roman"/>
          <w:sz w:val="24"/>
          <w:szCs w:val="24"/>
        </w:rPr>
        <w:lastRenderedPageBreak/>
        <w:t xml:space="preserve">под формата на единна ставка. Попълненото приложение се прикачва като единствен </w:t>
      </w:r>
      <w:proofErr w:type="spellStart"/>
      <w:r w:rsidRPr="005367A4">
        <w:rPr>
          <w:rFonts w:ascii="Times New Roman" w:hAnsi="Times New Roman" w:cs="Times New Roman"/>
          <w:sz w:val="24"/>
          <w:szCs w:val="24"/>
        </w:rPr>
        <w:t>разходооправдателен</w:t>
      </w:r>
      <w:proofErr w:type="spellEnd"/>
      <w:r w:rsidRPr="005367A4">
        <w:rPr>
          <w:rFonts w:ascii="Times New Roman" w:hAnsi="Times New Roman" w:cs="Times New Roman"/>
          <w:sz w:val="24"/>
          <w:szCs w:val="24"/>
        </w:rPr>
        <w:t xml:space="preserve"> документ (вид „Друг“) в компонент „Финансов отчет“ от пакета отчетни документи тип „Искане за плащане, технически отчет, финансов отчет“ в ИСУН.</w:t>
      </w:r>
    </w:p>
    <w:p w14:paraId="0EF5789A" w14:textId="77777777" w:rsidR="00820289" w:rsidRDefault="00820289" w:rsidP="00820289">
      <w:pPr>
        <w:rPr>
          <w:rFonts w:ascii="Times New Roman" w:hAnsi="Times New Roman" w:cs="Times New Roman"/>
          <w:sz w:val="24"/>
          <w:szCs w:val="24"/>
        </w:rPr>
      </w:pPr>
    </w:p>
    <w:p w14:paraId="7A206590" w14:textId="77777777" w:rsidR="00820289" w:rsidRPr="000F143C" w:rsidRDefault="00820289" w:rsidP="00820289">
      <w:pPr>
        <w:tabs>
          <w:tab w:val="left" w:pos="426"/>
        </w:tabs>
        <w:spacing w:before="40" w:after="4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143C">
        <w:rPr>
          <w:rFonts w:ascii="Times New Roman" w:hAnsi="Times New Roman" w:cs="Times New Roman"/>
          <w:i/>
          <w:sz w:val="24"/>
          <w:szCs w:val="24"/>
        </w:rPr>
        <w:t xml:space="preserve">Управляващият орган има правото да дава на Бенефициента указания относно вида и броя на документите, които да бъдат качвани в ИСУН 2020. Бенефициентът е длъжен да разполага с всички документи, доказващи съответния разход и да ги предоставя на Управляващия орган при проверки на място. </w:t>
      </w:r>
    </w:p>
    <w:p w14:paraId="47E5394D" w14:textId="0B1A1AB0" w:rsidR="00820289" w:rsidRPr="000F143C" w:rsidRDefault="00820289" w:rsidP="00820289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143C">
        <w:rPr>
          <w:rFonts w:ascii="Times New Roman" w:hAnsi="Times New Roman" w:cs="Times New Roman"/>
          <w:i/>
          <w:sz w:val="24"/>
          <w:szCs w:val="24"/>
        </w:rPr>
        <w:t xml:space="preserve">Управляващият орган има право да издава допълнителни указания за представяне на писмени доказателства, които бенефициентът да прилага към исканията за извършване на плащания. </w:t>
      </w:r>
    </w:p>
    <w:p w14:paraId="3FD41FB5" w14:textId="77777777" w:rsidR="00820289" w:rsidRPr="00A32DB8" w:rsidRDefault="00820289" w:rsidP="00820289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0F143C">
        <w:rPr>
          <w:rFonts w:ascii="Times New Roman" w:hAnsi="Times New Roman" w:cs="Times New Roman"/>
          <w:i/>
          <w:sz w:val="24"/>
          <w:szCs w:val="24"/>
        </w:rPr>
        <w:t xml:space="preserve">Бенефициентът следва да спазва последните актуални указания на Управляващия орган, публикувани на следния адрес: </w:t>
      </w:r>
      <w:hyperlink r:id="rId6" w:history="1">
        <w:r w:rsidRPr="000F143C">
          <w:rPr>
            <w:rStyle w:val="Hyperlink"/>
            <w:rFonts w:ascii="Times New Roman" w:hAnsi="Times New Roman" w:cs="Times New Roman"/>
            <w:i/>
            <w:sz w:val="24"/>
            <w:szCs w:val="24"/>
          </w:rPr>
          <w:t>https://www.eufunds.bg/bg/opos/term/415</w:t>
        </w:r>
      </w:hyperlink>
      <w:r w:rsidRPr="000F143C">
        <w:rPr>
          <w:rFonts w:ascii="Times New Roman" w:hAnsi="Times New Roman" w:cs="Times New Roman"/>
          <w:i/>
          <w:sz w:val="24"/>
          <w:szCs w:val="24"/>
        </w:rPr>
        <w:t>.</w:t>
      </w:r>
    </w:p>
    <w:p w14:paraId="47D12956" w14:textId="77777777" w:rsidR="00820289" w:rsidRPr="005367A4" w:rsidRDefault="00820289" w:rsidP="00820289">
      <w:pPr>
        <w:rPr>
          <w:rFonts w:ascii="Times New Roman" w:hAnsi="Times New Roman" w:cs="Times New Roman"/>
          <w:sz w:val="24"/>
          <w:szCs w:val="24"/>
        </w:rPr>
      </w:pPr>
    </w:p>
    <w:p w14:paraId="704A5F49" w14:textId="77777777" w:rsidR="00DC7A60" w:rsidRDefault="00DC7A60"/>
    <w:sectPr w:rsidR="00DC7A60" w:rsidSect="00163C36">
      <w:footerReference w:type="default" r:id="rId7"/>
      <w:headerReference w:type="first" r:id="rId8"/>
      <w:pgSz w:w="11906" w:h="16838"/>
      <w:pgMar w:top="1276" w:right="1133" w:bottom="851" w:left="1134" w:header="708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C2726" w14:textId="77777777" w:rsidR="008C2882" w:rsidRDefault="008C2882">
      <w:pPr>
        <w:spacing w:after="0" w:line="240" w:lineRule="auto"/>
      </w:pPr>
      <w:r>
        <w:separator/>
      </w:r>
    </w:p>
  </w:endnote>
  <w:endnote w:type="continuationSeparator" w:id="0">
    <w:p w14:paraId="27A0E2D2" w14:textId="77777777" w:rsidR="008C2882" w:rsidRDefault="008C2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BA621" w14:textId="0B317F0D" w:rsidR="00621201" w:rsidRDefault="00820289">
    <w:pPr>
      <w:pStyle w:val="Foot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0C0300" w:rsidRPr="000C0300">
      <w:rPr>
        <w:rFonts w:ascii="Times New Roman" w:hAnsi="Times New Roman" w:cs="Times New Roman"/>
        <w:noProof/>
        <w:sz w:val="24"/>
        <w:szCs w:val="24"/>
        <w:lang w:val="en-US"/>
      </w:rPr>
      <w:t>2</w:t>
    </w:r>
    <w:r>
      <w:rPr>
        <w:rFonts w:ascii="Times New Roman" w:hAnsi="Times New Roman" w:cs="Times New Roman"/>
        <w:noProof/>
        <w:sz w:val="24"/>
        <w:szCs w:val="24"/>
        <w:lang w:val="en-US"/>
      </w:rPr>
      <w:fldChar w:fldCharType="end"/>
    </w:r>
  </w:p>
  <w:p w14:paraId="2B910A52" w14:textId="77777777" w:rsidR="00621201" w:rsidRDefault="008C2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88F17" w14:textId="77777777" w:rsidR="008C2882" w:rsidRDefault="008C2882">
      <w:pPr>
        <w:spacing w:after="0" w:line="240" w:lineRule="auto"/>
      </w:pPr>
      <w:r>
        <w:separator/>
      </w:r>
    </w:p>
  </w:footnote>
  <w:footnote w:type="continuationSeparator" w:id="0">
    <w:p w14:paraId="7F3A5D4F" w14:textId="77777777" w:rsidR="008C2882" w:rsidRDefault="008C2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5762"/>
    </w:tblGrid>
    <w:tr w:rsidR="000C0300" w:rsidRPr="00030647" w14:paraId="63843556" w14:textId="77777777" w:rsidTr="00C876C4">
      <w:trPr>
        <w:trHeight w:val="684"/>
      </w:trPr>
      <w:tc>
        <w:tcPr>
          <w:tcW w:w="2621" w:type="dxa"/>
        </w:tcPr>
        <w:p w14:paraId="7FB07948" w14:textId="77777777" w:rsidR="000C0300" w:rsidRPr="00030647" w:rsidRDefault="000C0300" w:rsidP="000C0300">
          <w:pPr>
            <w:spacing w:after="160" w:line="259" w:lineRule="auto"/>
            <w:jc w:val="center"/>
            <w:rPr>
              <w:snapToGrid w:val="0"/>
              <w:sz w:val="28"/>
              <w:szCs w:val="28"/>
              <w:lang w:val="en-GB"/>
            </w:rPr>
          </w:pPr>
          <w:r w:rsidRPr="00030647"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61FF0D71" wp14:editId="10B382CB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4" name="Picture 4" descr="Description: 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029BE29" w14:textId="77777777" w:rsidR="000C0300" w:rsidRPr="00030647" w:rsidRDefault="000C0300" w:rsidP="000C0300">
          <w:pPr>
            <w:spacing w:after="160" w:line="259" w:lineRule="auto"/>
            <w:jc w:val="center"/>
            <w:rPr>
              <w:b/>
              <w:snapToGrid w:val="0"/>
              <w:sz w:val="14"/>
              <w:szCs w:val="14"/>
              <w:lang w:val="en-GB"/>
            </w:rPr>
          </w:pPr>
        </w:p>
        <w:p w14:paraId="4C71003D" w14:textId="77777777" w:rsidR="000C0300" w:rsidRPr="00030647" w:rsidRDefault="000C0300" w:rsidP="000C0300">
          <w:pPr>
            <w:spacing w:after="160" w:line="259" w:lineRule="auto"/>
            <w:jc w:val="center"/>
            <w:rPr>
              <w:b/>
              <w:snapToGrid w:val="0"/>
              <w:sz w:val="14"/>
              <w:szCs w:val="14"/>
              <w:lang w:val="en-GB"/>
            </w:rPr>
          </w:pPr>
        </w:p>
        <w:p w14:paraId="2622F9BB" w14:textId="77777777" w:rsidR="000C0300" w:rsidRPr="00030647" w:rsidRDefault="000C0300" w:rsidP="000C0300">
          <w:pPr>
            <w:spacing w:after="160" w:line="259" w:lineRule="auto"/>
            <w:rPr>
              <w:b/>
              <w:snapToGrid w:val="0"/>
              <w:sz w:val="18"/>
              <w:szCs w:val="18"/>
              <w:lang w:val="en-GB"/>
            </w:rPr>
          </w:pPr>
          <w:r w:rsidRPr="00030647">
            <w:rPr>
              <w:b/>
              <w:snapToGrid w:val="0"/>
              <w:sz w:val="18"/>
              <w:szCs w:val="18"/>
              <w:lang w:val="en-GB"/>
            </w:rPr>
            <w:t xml:space="preserve">      ЕВРОПЕЙСКИ СЪЮЗ</w:t>
          </w:r>
        </w:p>
      </w:tc>
      <w:tc>
        <w:tcPr>
          <w:tcW w:w="1823" w:type="dxa"/>
        </w:tcPr>
        <w:p w14:paraId="26D33F0C" w14:textId="77777777" w:rsidR="000C0300" w:rsidRPr="00030647" w:rsidRDefault="000C0300" w:rsidP="000C0300">
          <w:pPr>
            <w:spacing w:after="160" w:line="259" w:lineRule="auto"/>
            <w:jc w:val="center"/>
            <w:rPr>
              <w:snapToGrid w:val="0"/>
              <w:lang w:val="en-GB"/>
            </w:rPr>
          </w:pPr>
        </w:p>
        <w:p w14:paraId="1126671C" w14:textId="77777777" w:rsidR="000C0300" w:rsidRPr="00030647" w:rsidRDefault="000C0300" w:rsidP="000C0300">
          <w:pPr>
            <w:spacing w:after="160" w:line="259" w:lineRule="auto"/>
            <w:jc w:val="center"/>
            <w:rPr>
              <w:snapToGrid w:val="0"/>
              <w:lang w:val="en-GB"/>
            </w:rPr>
          </w:pPr>
        </w:p>
        <w:p w14:paraId="094E560C" w14:textId="77777777" w:rsidR="000C0300" w:rsidRPr="00030647" w:rsidRDefault="000C0300" w:rsidP="000C0300">
          <w:pPr>
            <w:spacing w:after="160" w:line="259" w:lineRule="auto"/>
            <w:jc w:val="center"/>
            <w:rPr>
              <w:snapToGrid w:val="0"/>
              <w:lang w:val="en-GB"/>
            </w:rPr>
          </w:pPr>
        </w:p>
      </w:tc>
      <w:tc>
        <w:tcPr>
          <w:tcW w:w="5762" w:type="dxa"/>
        </w:tcPr>
        <w:p w14:paraId="1D47B8AB" w14:textId="77777777" w:rsidR="000C0300" w:rsidRPr="00030647" w:rsidRDefault="000C0300" w:rsidP="000C0300">
          <w:pPr>
            <w:tabs>
              <w:tab w:val="left" w:pos="2465"/>
              <w:tab w:val="left" w:pos="4804"/>
            </w:tabs>
            <w:spacing w:after="160" w:line="259" w:lineRule="auto"/>
            <w:ind w:left="697" w:right="182"/>
            <w:jc w:val="center"/>
            <w:rPr>
              <w:snapToGrid w:val="0"/>
              <w:lang w:val="en-GB"/>
            </w:rPr>
          </w:pPr>
          <w:r w:rsidRPr="00030647">
            <w:rPr>
              <w:noProof/>
              <w:lang w:eastAsia="bg-BG"/>
            </w:rPr>
            <w:drawing>
              <wp:inline distT="0" distB="0" distL="0" distR="0" wp14:anchorId="51AD57F3" wp14:editId="0213D395">
                <wp:extent cx="2286000" cy="931545"/>
                <wp:effectExtent l="0" t="0" r="0" b="190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1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3C8253" w14:textId="77777777" w:rsidR="00163C36" w:rsidRDefault="00163C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89"/>
    <w:rsid w:val="00077702"/>
    <w:rsid w:val="00093ED6"/>
    <w:rsid w:val="00094853"/>
    <w:rsid w:val="000C0300"/>
    <w:rsid w:val="00125B6C"/>
    <w:rsid w:val="00163C36"/>
    <w:rsid w:val="00175089"/>
    <w:rsid w:val="002D5C5A"/>
    <w:rsid w:val="00326708"/>
    <w:rsid w:val="00384BB7"/>
    <w:rsid w:val="00453AB5"/>
    <w:rsid w:val="004C3F08"/>
    <w:rsid w:val="005F49C3"/>
    <w:rsid w:val="0067778D"/>
    <w:rsid w:val="0068115C"/>
    <w:rsid w:val="006A7E21"/>
    <w:rsid w:val="006B16D8"/>
    <w:rsid w:val="00740C2F"/>
    <w:rsid w:val="00787C85"/>
    <w:rsid w:val="00820289"/>
    <w:rsid w:val="008B4604"/>
    <w:rsid w:val="008C2882"/>
    <w:rsid w:val="009D3D49"/>
    <w:rsid w:val="00A44AE6"/>
    <w:rsid w:val="00AB1705"/>
    <w:rsid w:val="00D66467"/>
    <w:rsid w:val="00DC7A25"/>
    <w:rsid w:val="00DC7A60"/>
    <w:rsid w:val="00F60748"/>
    <w:rsid w:val="00FD1384"/>
    <w:rsid w:val="00FD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E615D9"/>
  <w15:chartTrackingRefBased/>
  <w15:docId w15:val="{34566687-D27C-41FB-A224-780897A64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89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sid w:val="00820289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rsid w:val="00820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uiPriority w:val="99"/>
    <w:semiHidden/>
    <w:rsid w:val="00820289"/>
    <w:rPr>
      <w:rFonts w:ascii="Calibri" w:eastAsia="Calibri" w:hAnsi="Calibri" w:cs="Arial"/>
    </w:rPr>
  </w:style>
  <w:style w:type="character" w:styleId="Hyperlink">
    <w:name w:val="Hyperlink"/>
    <w:rsid w:val="00820289"/>
    <w:rPr>
      <w:rFonts w:ascii="Calibri" w:eastAsia="Calibri" w:hAnsi="Calibri" w:cs="Arial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664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64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6467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64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6467"/>
    <w:rPr>
      <w:rFonts w:ascii="Calibri" w:eastAsia="Calibri" w:hAnsi="Calibri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63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C36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705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84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ufunds.bg/bg/opos/term/41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OPOS BG31</dc:creator>
  <cp:keywords/>
  <dc:description/>
  <cp:lastModifiedBy>AIgnatova</cp:lastModifiedBy>
  <cp:revision>8</cp:revision>
  <dcterms:created xsi:type="dcterms:W3CDTF">2023-10-05T14:27:00Z</dcterms:created>
  <dcterms:modified xsi:type="dcterms:W3CDTF">2023-10-12T08:11:00Z</dcterms:modified>
</cp:coreProperties>
</file>