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F" w:rsidRDefault="006C0D47" w:rsidP="006C0D47">
      <w:pPr>
        <w:spacing w:after="200" w:line="360" w:lineRule="auto"/>
        <w:ind w:left="-284" w:right="-233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822950" cy="82588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topFromText="573" w:vertAnchor="page" w:horzAnchor="margin" w:tblpXSpec="center" w:tblpY="803"/>
        <w:tblOverlap w:val="never"/>
        <w:tblW w:w="10545" w:type="dxa"/>
        <w:tblLayout w:type="fixed"/>
        <w:tblLook w:val="01E0" w:firstRow="1" w:lastRow="1" w:firstColumn="1" w:lastColumn="1" w:noHBand="0" w:noVBand="0"/>
      </w:tblPr>
      <w:tblGrid>
        <w:gridCol w:w="2268"/>
        <w:gridCol w:w="5758"/>
        <w:gridCol w:w="2519"/>
      </w:tblGrid>
      <w:tr w:rsidR="006C0D47" w:rsidRPr="002C2A6D" w:rsidTr="006C0D47">
        <w:trPr>
          <w:trHeight w:val="1839"/>
        </w:trPr>
        <w:tc>
          <w:tcPr>
            <w:tcW w:w="2268" w:type="dxa"/>
            <w:tcBorders>
              <w:top w:val="nil"/>
              <w:left w:val="nil"/>
              <w:bottom w:val="double" w:sz="4" w:space="0" w:color="99CC00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0822D022" wp14:editId="3A97687E">
                  <wp:extent cx="1351915" cy="10731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  <w:tcBorders>
              <w:top w:val="nil"/>
              <w:left w:val="nil"/>
              <w:bottom w:val="double" w:sz="4" w:space="0" w:color="99CC00"/>
              <w:right w:val="nil"/>
            </w:tcBorders>
            <w:vAlign w:val="center"/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ОПЕРАТИВНА ПРОГРАМА</w:t>
            </w:r>
          </w:p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“ОКОЛНА СРЕДА 2014 – 2020 г.”</w:t>
            </w:r>
          </w:p>
        </w:tc>
        <w:tc>
          <w:tcPr>
            <w:tcW w:w="2519" w:type="dxa"/>
            <w:tcBorders>
              <w:top w:val="nil"/>
              <w:left w:val="nil"/>
              <w:bottom w:val="double" w:sz="4" w:space="0" w:color="99CC00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D907E35" wp14:editId="0B469D03">
                  <wp:extent cx="5803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D47" w:rsidRPr="002C2A6D" w:rsidRDefault="006C0D47" w:rsidP="006C0D4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</w:pPr>
            <w:r w:rsidRPr="002C2A6D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6C0D47" w:rsidRPr="002C2A6D" w:rsidRDefault="006C0D47" w:rsidP="006C0D47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6C0D47" w:rsidRPr="002C2A6D" w:rsidTr="006C0D47">
        <w:trPr>
          <w:trHeight w:val="528"/>
        </w:trPr>
        <w:tc>
          <w:tcPr>
            <w:tcW w:w="10545" w:type="dxa"/>
            <w:gridSpan w:val="3"/>
            <w:tcBorders>
              <w:top w:val="double" w:sz="4" w:space="0" w:color="99CC00"/>
              <w:left w:val="nil"/>
              <w:bottom w:val="nil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</w:pP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  <w:t>Главна дирекция “Оперативна програма околна среда”</w:t>
            </w:r>
          </w:p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sz w:val="20"/>
                <w:szCs w:val="20"/>
              </w:rPr>
            </w:pP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ope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@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moew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government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bg</w:t>
            </w:r>
          </w:p>
        </w:tc>
      </w:tr>
    </w:tbl>
    <w:p w:rsidR="006C0D47" w:rsidRDefault="006C0D47" w:rsidP="00940FCF">
      <w:pPr>
        <w:spacing w:after="200" w:line="360" w:lineRule="auto"/>
        <w:ind w:left="-284" w:right="-851" w:firstLine="851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6C0D47" w:rsidRPr="006C0D47" w:rsidRDefault="006C0D47" w:rsidP="00940FCF">
      <w:pPr>
        <w:spacing w:after="200" w:line="360" w:lineRule="auto"/>
        <w:ind w:left="-284" w:right="-851" w:firstLine="851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940FCF" w:rsidRDefault="001728D7" w:rsidP="00940FCF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З Ю М Е</w:t>
      </w:r>
    </w:p>
    <w:p w:rsidR="00A6736F" w:rsidRDefault="00A6736F" w:rsidP="00940FCF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</w:t>
      </w:r>
    </w:p>
    <w:p w:rsidR="00940FCF" w:rsidRPr="00577E55" w:rsidRDefault="00940FCF" w:rsidP="00940FCF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 Е Т О Д О Л О Г И Я </w:t>
      </w:r>
    </w:p>
    <w:p w:rsidR="00940FCF" w:rsidRDefault="00940FCF" w:rsidP="00940FCF">
      <w:pPr>
        <w:spacing w:before="120" w:after="120" w:line="276" w:lineRule="auto"/>
        <w:ind w:firstLine="284"/>
        <w:jc w:val="center"/>
        <w:rPr>
          <w:b/>
          <w:sz w:val="32"/>
          <w:szCs w:val="32"/>
        </w:rPr>
      </w:pPr>
      <w:r w:rsidRPr="00543029">
        <w:rPr>
          <w:b/>
          <w:sz w:val="32"/>
          <w:szCs w:val="32"/>
        </w:rPr>
        <w:t xml:space="preserve">за </w:t>
      </w:r>
    </w:p>
    <w:p w:rsidR="00940FCF" w:rsidRDefault="00940FCF" w:rsidP="00940FCF">
      <w:pPr>
        <w:spacing w:before="120" w:after="120" w:line="276" w:lineRule="auto"/>
        <w:ind w:firstLine="284"/>
        <w:jc w:val="center"/>
        <w:rPr>
          <w:b/>
          <w:sz w:val="32"/>
          <w:szCs w:val="32"/>
        </w:rPr>
      </w:pPr>
      <w:r w:rsidRPr="00543029">
        <w:rPr>
          <w:b/>
          <w:sz w:val="32"/>
          <w:szCs w:val="32"/>
        </w:rPr>
        <w:t>определяне на размерите на единна ставка за финансиране на дейности за организация и управление на проекти по ОПОС</w:t>
      </w:r>
      <w:r>
        <w:rPr>
          <w:b/>
          <w:sz w:val="32"/>
          <w:szCs w:val="32"/>
        </w:rPr>
        <w:t xml:space="preserve"> 2014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2020 г.</w:t>
      </w:r>
      <w:r w:rsidRPr="00543029">
        <w:rPr>
          <w:b/>
          <w:sz w:val="32"/>
          <w:szCs w:val="32"/>
        </w:rPr>
        <w:t xml:space="preserve">, съфинансирани от </w:t>
      </w:r>
      <w:r w:rsidRPr="00E004F3">
        <w:rPr>
          <w:b/>
          <w:sz w:val="32"/>
          <w:szCs w:val="32"/>
        </w:rPr>
        <w:t>Европейските структурни фондове и Кохезионния фонд</w:t>
      </w:r>
    </w:p>
    <w:p w:rsidR="00940FCF" w:rsidRDefault="00940FCF" w:rsidP="00940FCF">
      <w:pPr>
        <w:spacing w:before="120" w:after="120" w:line="276" w:lineRule="auto"/>
        <w:ind w:firstLine="284"/>
        <w:jc w:val="center"/>
        <w:rPr>
          <w:b/>
          <w:sz w:val="32"/>
          <w:szCs w:val="32"/>
        </w:rPr>
      </w:pPr>
    </w:p>
    <w:p w:rsidR="00940FCF" w:rsidRDefault="00940FCF" w:rsidP="00940FCF">
      <w:pPr>
        <w:spacing w:before="120" w:after="120" w:line="276" w:lineRule="auto"/>
        <w:ind w:firstLine="284"/>
        <w:jc w:val="both"/>
      </w:pPr>
      <w:r>
        <w:t>Методология</w:t>
      </w:r>
      <w:r w:rsidR="00E31573">
        <w:t>та</w:t>
      </w:r>
      <w:r>
        <w:t xml:space="preserve"> </w:t>
      </w:r>
      <w:r>
        <w:t>за</w:t>
      </w:r>
      <w:r w:rsidRPr="00543029">
        <w:t xml:space="preserve"> определяне на конкретния размер на единна ставка за </w:t>
      </w:r>
      <w:r>
        <w:t>„</w:t>
      </w:r>
      <w:r w:rsidRPr="00543029">
        <w:t>разходи за организация и управление</w:t>
      </w:r>
      <w:r>
        <w:t>“</w:t>
      </w:r>
      <w:r w:rsidR="001728D7">
        <w:t xml:space="preserve"> </w:t>
      </w:r>
      <w:r>
        <w:t xml:space="preserve">е разработена </w:t>
      </w:r>
      <w:r>
        <w:t xml:space="preserve">на </w:t>
      </w:r>
      <w:r w:rsidR="00E31573">
        <w:t xml:space="preserve">основание </w:t>
      </w:r>
      <w:r w:rsidRPr="00543029">
        <w:t>чл. 67 параграф 5 буква „а</w:t>
      </w:r>
      <w:r>
        <w:t xml:space="preserve">“ от Регламент (ЕС) № 1303/2013, въз основа </w:t>
      </w:r>
      <w:r w:rsidR="00C822EA">
        <w:t xml:space="preserve">на </w:t>
      </w:r>
      <w:r w:rsidR="00C822EA" w:rsidRPr="00C822EA">
        <w:t>цялата релевантна съвкупност от реализираните проекти</w:t>
      </w:r>
      <w:r>
        <w:t xml:space="preserve">, изпълнени по ОПОС 2007 – 2013 г., </w:t>
      </w:r>
      <w:r w:rsidRPr="00543029">
        <w:t>за проекти, изпълнявани в обхвата на ОПОС 2014</w:t>
      </w:r>
      <w:r>
        <w:t xml:space="preserve"> – </w:t>
      </w:r>
      <w:r w:rsidRPr="00543029">
        <w:t>2020 г.</w:t>
      </w:r>
    </w:p>
    <w:p w:rsidR="00C822EA" w:rsidRPr="00940FCF" w:rsidRDefault="00C822EA" w:rsidP="00C822EA">
      <w:pPr>
        <w:spacing w:before="120" w:after="120" w:line="276" w:lineRule="auto"/>
        <w:jc w:val="both"/>
        <w:rPr>
          <w:b/>
        </w:rPr>
      </w:pPr>
      <w:r>
        <w:t xml:space="preserve">Изчислението </w:t>
      </w:r>
      <w:r w:rsidRPr="00E72191">
        <w:t>на единна</w:t>
      </w:r>
      <w:r>
        <w:t>та</w:t>
      </w:r>
      <w:r w:rsidRPr="00E72191">
        <w:t xml:space="preserve"> ставка </w:t>
      </w:r>
      <w:r>
        <w:t xml:space="preserve">е извършено </w:t>
      </w:r>
      <w:r>
        <w:t>след преглед и анализ на всеки един от изпълнените проекти</w:t>
      </w:r>
      <w:r>
        <w:t xml:space="preserve"> по ОПОС 2007-2013 г.</w:t>
      </w:r>
      <w:r w:rsidR="002718A8">
        <w:t>,</w:t>
      </w:r>
      <w:r>
        <w:t xml:space="preserve"> като </w:t>
      </w:r>
      <w:r w:rsidRPr="00543029">
        <w:t xml:space="preserve">УО на ОПОС </w:t>
      </w:r>
      <w:r w:rsidR="002718A8">
        <w:t xml:space="preserve">е </w:t>
      </w:r>
      <w:r w:rsidRPr="00543029">
        <w:t>възприе</w:t>
      </w:r>
      <w:r>
        <w:t>л</w:t>
      </w:r>
      <w:r w:rsidRPr="00543029">
        <w:t xml:space="preserve"> подхода (съгласно разписаното в </w:t>
      </w:r>
      <w:r w:rsidR="004F3BF2" w:rsidRPr="004F3BF2">
        <w:t>Национална методология за определяне на размерите на единна ставка за финансиране на дейности за организация и управление на проекти, съфинансирани от Европейските стр</w:t>
      </w:r>
      <w:r w:rsidR="004F3BF2">
        <w:t>уктурни и инвестиционни фондове, утвърдена с</w:t>
      </w:r>
      <w:r w:rsidR="004F3BF2" w:rsidRPr="004F3BF2">
        <w:t xml:space="preserve"> Решение на МС (РМС) №253/03.05.2017 г</w:t>
      </w:r>
      <w:r w:rsidR="004F3BF2">
        <w:t>.)</w:t>
      </w:r>
      <w:r w:rsidR="004F3BF2" w:rsidRPr="004F3BF2">
        <w:t xml:space="preserve"> </w:t>
      </w:r>
      <w:r w:rsidRPr="00543029">
        <w:t xml:space="preserve">при определяне на съвкупността от проекти да се ползва </w:t>
      </w:r>
      <w:r>
        <w:t>„</w:t>
      </w:r>
      <w:r w:rsidRPr="00543029">
        <w:rPr>
          <w:i/>
          <w:u w:val="single"/>
        </w:rPr>
        <w:t>пълната база данни с проекти</w:t>
      </w:r>
      <w:r w:rsidRPr="00543029">
        <w:rPr>
          <w:i/>
        </w:rPr>
        <w:t xml:space="preserve"> от </w:t>
      </w:r>
      <w:r w:rsidRPr="00543029">
        <w:rPr>
          <w:i/>
          <w:color w:val="000000"/>
        </w:rPr>
        <w:t>схемите за предоставяне на безвъзмездни средства,</w:t>
      </w:r>
      <w:r w:rsidRPr="00543029">
        <w:rPr>
          <w:i/>
        </w:rPr>
        <w:t xml:space="preserve"> изпълнени и финансирани от СКФ (или ЕФР и ЕЗФРСР, ако е приложимо за програмата) в България в периода 2007</w:t>
      </w:r>
      <w:r>
        <w:rPr>
          <w:i/>
          <w:lang w:val="en-US"/>
        </w:rPr>
        <w:t xml:space="preserve"> </w:t>
      </w:r>
      <w:r w:rsidRPr="00543029">
        <w:rPr>
          <w:i/>
        </w:rPr>
        <w:t>-</w:t>
      </w:r>
      <w:r>
        <w:rPr>
          <w:i/>
          <w:lang w:val="en-US"/>
        </w:rPr>
        <w:t xml:space="preserve"> </w:t>
      </w:r>
      <w:r w:rsidRPr="00543029">
        <w:rPr>
          <w:i/>
        </w:rPr>
        <w:t xml:space="preserve">2013 г., които са със стойност на БФП в интервала на групата по стойност, в която попада максималното допустимо </w:t>
      </w:r>
      <w:r w:rsidRPr="00543029">
        <w:rPr>
          <w:i/>
        </w:rPr>
        <w:lastRenderedPageBreak/>
        <w:t>финансиране за един бенефициер по схемата, за която се определя единната ставка на размерите на сумите за финансиране на дейности за организац</w:t>
      </w:r>
      <w:r>
        <w:rPr>
          <w:i/>
        </w:rPr>
        <w:t>ия и управление…“).</w:t>
      </w:r>
    </w:p>
    <w:p w:rsidR="00F91458" w:rsidRDefault="00F91458" w:rsidP="00F91458">
      <w:pPr>
        <w:spacing w:before="120" w:after="120" w:line="276" w:lineRule="auto"/>
        <w:jc w:val="both"/>
      </w:pPr>
      <w:r>
        <w:tab/>
      </w:r>
      <w:r w:rsidRPr="00F620E5">
        <w:t xml:space="preserve">Размерът на единната ставка </w:t>
      </w:r>
      <w:r>
        <w:t>е определен</w:t>
      </w:r>
      <w:r w:rsidRPr="00F620E5">
        <w:t xml:space="preserve"> за разходите за организация, които по своята същност представляват </w:t>
      </w:r>
      <w:r>
        <w:t>„</w:t>
      </w:r>
      <w:r w:rsidRPr="00F620E5">
        <w:t>непреки</w:t>
      </w:r>
      <w:r>
        <w:t>“</w:t>
      </w:r>
      <w:r w:rsidRPr="00F620E5">
        <w:t xml:space="preserve"> разходи. Единна</w:t>
      </w:r>
      <w:r>
        <w:t xml:space="preserve">та ставка за непреките разходи </w:t>
      </w:r>
      <w:r w:rsidRPr="00F620E5">
        <w:t>е определ</w:t>
      </w:r>
      <w:r>
        <w:t>ена</w:t>
      </w:r>
      <w:r w:rsidRPr="00F620E5">
        <w:t xml:space="preserve"> след съпоставяне размера на </w:t>
      </w:r>
      <w:r>
        <w:t>сертифицираните „</w:t>
      </w:r>
      <w:r w:rsidRPr="00F620E5">
        <w:t>непреки</w:t>
      </w:r>
      <w:r>
        <w:t>“</w:t>
      </w:r>
      <w:r w:rsidRPr="00F620E5">
        <w:t xml:space="preserve"> към размера на </w:t>
      </w:r>
      <w:r>
        <w:t>сертифицираните</w:t>
      </w:r>
      <w:r w:rsidRPr="00F620E5">
        <w:t xml:space="preserve"> </w:t>
      </w:r>
      <w:r>
        <w:t>„</w:t>
      </w:r>
      <w:r w:rsidRPr="00F620E5">
        <w:t>преки</w:t>
      </w:r>
      <w:r>
        <w:t>“</w:t>
      </w:r>
      <w:r w:rsidRPr="00F620E5">
        <w:t xml:space="preserve"> разходи, които се явяват разходи</w:t>
      </w:r>
      <w:r>
        <w:t>,</w:t>
      </w:r>
      <w:r w:rsidRPr="00F620E5">
        <w:t xml:space="preserve"> свързани с изпълнението на дейностите по съответния проект, т.е. пряко насочени към постигането на неговите цели и резултати.</w:t>
      </w:r>
    </w:p>
    <w:p w:rsidR="00F91458" w:rsidRDefault="00F91458" w:rsidP="00F91458">
      <w:pPr>
        <w:spacing w:before="120" w:after="120" w:line="276" w:lineRule="auto"/>
        <w:jc w:val="both"/>
      </w:pPr>
      <w:r>
        <w:tab/>
        <w:t xml:space="preserve">За разходи за организация и управление, съответно вид „непреки“ разходи се считат разходите, свързани с възнагражденията на персонала по администриране на проекта - ръководител на проект, технически сътрудник, счетоводител и друг експертен или технически персонал, както и други разходи за администриране на проекта (свързани с управлението на проекта, посочени за допустими в документите по чл. 26, ал. 1 от ЗУСЕСИФ и съгласно раздел III от Националната методология, като режийни разходи, консумативи, разходи за комуникация, разходи за командировки за екипа за организация и управление, както и разходи за публичност и одит). </w:t>
      </w:r>
    </w:p>
    <w:p w:rsidR="00427CAF" w:rsidRDefault="00F91458" w:rsidP="00F91458">
      <w:pPr>
        <w:spacing w:before="120" w:after="120" w:line="276" w:lineRule="auto"/>
        <w:jc w:val="both"/>
      </w:pPr>
      <w:r>
        <w:tab/>
      </w:r>
      <w:r w:rsidRPr="00B75846">
        <w:t>С цел извеждане на съотве</w:t>
      </w:r>
      <w:r>
        <w:t>т</w:t>
      </w:r>
      <w:r w:rsidRPr="00B75846">
        <w:t xml:space="preserve">ните </w:t>
      </w:r>
      <w:r>
        <w:t>стойности за преките и непреките разходи за вече изпълнените проекти</w:t>
      </w:r>
      <w:r>
        <w:rPr>
          <w:lang w:val="en-US"/>
        </w:rPr>
        <w:t>,</w:t>
      </w:r>
      <w:r>
        <w:t xml:space="preserve"> е определен обхватът на непреките дейности и разходи за </w:t>
      </w:r>
      <w:r w:rsidR="00427CAF" w:rsidRPr="00427CAF">
        <w:t xml:space="preserve">всички процедури </w:t>
      </w:r>
      <w:r w:rsidR="00505D5A">
        <w:t>по</w:t>
      </w:r>
      <w:r w:rsidR="00427CAF" w:rsidRPr="00427CAF">
        <w:t xml:space="preserve"> ОПОС 2007 - 2013 г., които имат отношение към прилагане на методиката за изчисление на единна ставка</w:t>
      </w:r>
      <w:r w:rsidR="00505D5A">
        <w:t>.</w:t>
      </w:r>
    </w:p>
    <w:p w:rsidR="00F91458" w:rsidRDefault="00F91458" w:rsidP="00F91458">
      <w:pPr>
        <w:spacing w:before="120" w:after="120" w:line="276" w:lineRule="auto"/>
        <w:jc w:val="both"/>
      </w:pPr>
      <w:r>
        <w:t>Разходите са формулирани съгласно предвидените</w:t>
      </w:r>
      <w:r>
        <w:rPr>
          <w:lang w:val="en-US"/>
        </w:rPr>
        <w:t xml:space="preserve"> </w:t>
      </w:r>
      <w:r>
        <w:t>в съответните насоки/покани за кандидатстване и пера/групи в бюджетите към тях, като в случаите, в които даден вид разход в минал период (2007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2013 г.) не е бил част от разходите за организация и управление, но в настоящия (2014 -</w:t>
      </w:r>
      <w:r>
        <w:rPr>
          <w:lang w:val="en-US"/>
        </w:rPr>
        <w:t xml:space="preserve"> </w:t>
      </w:r>
      <w:r>
        <w:t>2020 г.) е (като разходите за информация и публичност), то за целите на изчисляване на конкретния размер на единната ставка</w:t>
      </w:r>
      <w:r>
        <w:rPr>
          <w:lang w:val="en-US"/>
        </w:rPr>
        <w:t>,</w:t>
      </w:r>
      <w:r>
        <w:t xml:space="preserve"> се отнася към съвкупността на разходите за организация и управление</w:t>
      </w:r>
      <w:r w:rsidRPr="007E73AC">
        <w:t>. По отношение на разходите за одит, в някои от процедурите от програмен период 2007</w:t>
      </w:r>
      <w:r>
        <w:rPr>
          <w:lang w:val="en-US"/>
        </w:rPr>
        <w:t xml:space="preserve"> </w:t>
      </w:r>
      <w:r w:rsidRPr="007E73AC">
        <w:t>-</w:t>
      </w:r>
      <w:r>
        <w:rPr>
          <w:lang w:val="en-US"/>
        </w:rPr>
        <w:t xml:space="preserve"> </w:t>
      </w:r>
      <w:r w:rsidRPr="007E73AC">
        <w:t xml:space="preserve">2013 г. тези разходи са дефинирани като </w:t>
      </w:r>
      <w:r>
        <w:t>„</w:t>
      </w:r>
      <w:r w:rsidRPr="007E73AC">
        <w:t>преки</w:t>
      </w:r>
      <w:r>
        <w:t>“</w:t>
      </w:r>
      <w:r w:rsidRPr="007E73AC">
        <w:t xml:space="preserve"> разходи, а в други – като </w:t>
      </w:r>
      <w:r>
        <w:t>„</w:t>
      </w:r>
      <w:r w:rsidRPr="007E73AC">
        <w:t>непреки</w:t>
      </w:r>
      <w:r>
        <w:t>“</w:t>
      </w:r>
      <w:r w:rsidRPr="007E73AC">
        <w:t xml:space="preserve">. С оглед факта, че към настоящия момент </w:t>
      </w:r>
      <w:r>
        <w:t xml:space="preserve">такива разходи </w:t>
      </w:r>
      <w:r w:rsidRPr="007E73AC">
        <w:t>не са предвидени за финансиране по ОПОС 2014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 w:rsidRPr="007E73AC">
        <w:t>2020</w:t>
      </w:r>
      <w:r>
        <w:t xml:space="preserve"> г.</w:t>
      </w:r>
      <w:r w:rsidRPr="007E73AC">
        <w:t>, същите са изключени от базата на непреките разходи.</w:t>
      </w:r>
    </w:p>
    <w:p w:rsidR="00940FCF" w:rsidRDefault="00A6736F" w:rsidP="00A6736F">
      <w:pPr>
        <w:spacing w:before="120" w:after="120" w:line="276" w:lineRule="auto"/>
        <w:ind w:firstLine="284"/>
        <w:jc w:val="both"/>
      </w:pPr>
      <w:r w:rsidRPr="00A6736F">
        <w:t xml:space="preserve">Съгласно Националната методология </w:t>
      </w:r>
      <w:r w:rsidRPr="00A6736F">
        <w:rPr>
          <w:i/>
        </w:rPr>
        <w:t>„В определянето на размера на сумите за финансиране на дейности за организация и управление на проекти, съфинансирани от ЕСИФ, не влизат преките разходи за договори за изпълнение или разходи за ресурси, предоставени от други източници, различни от БФП по дадената процедура, както и собствения принос на бенефициера“</w:t>
      </w:r>
      <w:r w:rsidRPr="00A6736F">
        <w:t xml:space="preserve">. Съобразявайки се с текстовете в Националната методология, УО </w:t>
      </w:r>
      <w:bookmarkStart w:id="0" w:name="_GoBack"/>
      <w:bookmarkEnd w:id="0"/>
      <w:r w:rsidRPr="00A6736F">
        <w:t>изключи разходите, които представляват собствен принос на бенефициента</w:t>
      </w:r>
      <w:r w:rsidR="001728D7">
        <w:t>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lastRenderedPageBreak/>
        <w:t xml:space="preserve">Съгласно </w:t>
      </w:r>
      <w:r>
        <w:t xml:space="preserve">т. </w:t>
      </w:r>
      <w:r>
        <w:rPr>
          <w:lang w:val="en-US"/>
        </w:rPr>
        <w:t xml:space="preserve">I.2. </w:t>
      </w:r>
      <w:r>
        <w:t>от</w:t>
      </w:r>
      <w:r>
        <w:rPr>
          <w:lang w:val="en-US"/>
        </w:rPr>
        <w:t xml:space="preserve"> </w:t>
      </w:r>
      <w:r>
        <w:t>Националната м</w:t>
      </w:r>
      <w:r w:rsidRPr="00543029">
        <w:t>етодология</w:t>
      </w:r>
      <w:r>
        <w:t xml:space="preserve"> групирането на проектите по ОПОС </w:t>
      </w:r>
      <w:r>
        <w:t>е</w:t>
      </w:r>
      <w:r>
        <w:t xml:space="preserve"> извършено</w:t>
      </w:r>
      <w:r w:rsidRPr="00543029">
        <w:t xml:space="preserve"> в следните интервални групи (страти)</w:t>
      </w:r>
      <w:r>
        <w:t xml:space="preserve"> според размера на БФП</w:t>
      </w:r>
      <w:r w:rsidRPr="00543029">
        <w:t>: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543029">
        <w:t>под 400 000 лв.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>- о</w:t>
      </w:r>
      <w:r w:rsidRPr="00543029">
        <w:t>т 400 001 - 1 000 000 лв.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>- о</w:t>
      </w:r>
      <w:r w:rsidRPr="00543029">
        <w:t>т 1 000 001 - 2 500 000 лв.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>- о</w:t>
      </w:r>
      <w:r w:rsidRPr="00543029">
        <w:t>т 2 500 001 - 7 000 000 лв.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>- о</w:t>
      </w:r>
      <w:r w:rsidRPr="00543029">
        <w:t>т 7 000 001 - 10 000 000 лв.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>- о</w:t>
      </w:r>
      <w:r w:rsidRPr="00543029">
        <w:t>т 10 000 001 до 15 000 000 лв.</w:t>
      </w:r>
    </w:p>
    <w:p w:rsidR="001728D7" w:rsidRDefault="001728D7" w:rsidP="001728D7">
      <w:pPr>
        <w:spacing w:before="120" w:after="120" w:line="276" w:lineRule="auto"/>
        <w:jc w:val="both"/>
      </w:pPr>
      <w:r>
        <w:t>- н</w:t>
      </w:r>
      <w:r w:rsidRPr="00543029">
        <w:t>ад 15 000 001 лв.</w:t>
      </w:r>
    </w:p>
    <w:p w:rsidR="001728D7" w:rsidRDefault="001728D7" w:rsidP="001728D7">
      <w:pPr>
        <w:spacing w:before="120" w:after="120" w:line="276" w:lineRule="auto"/>
        <w:jc w:val="both"/>
      </w:pPr>
      <w:r w:rsidRPr="001728D7">
        <w:t xml:space="preserve">В резултат на </w:t>
      </w:r>
      <w:r>
        <w:t>извършените изчисления от УО в съответствие с Националната Методология са изведени</w:t>
      </w:r>
      <w:r w:rsidRPr="001728D7">
        <w:t xml:space="preserve"> 7 конкретни процента на единна ставка за определяне на размера на сумите за финансиране на дейности за организация и управление, </w:t>
      </w:r>
      <w:r>
        <w:t xml:space="preserve">включително и информация и комуникация, </w:t>
      </w:r>
      <w:r w:rsidRPr="001728D7">
        <w:t>като според интервалната група/страта процентът е: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под </w:t>
      </w:r>
      <w:r w:rsidRPr="00543029">
        <w:t>400 000 лв.</w:t>
      </w:r>
      <w:r>
        <w:t xml:space="preserve"> – 17%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</w:t>
      </w:r>
      <w:r>
        <w:t>о</w:t>
      </w:r>
      <w:r w:rsidRPr="00543029">
        <w:t>т 400 001 - 1 000 000 лв.</w:t>
      </w:r>
      <w:r>
        <w:t xml:space="preserve"> – 10%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</w:t>
      </w:r>
      <w:r>
        <w:t>о</w:t>
      </w:r>
      <w:r w:rsidRPr="00543029">
        <w:t>т 1 000 001 - 2 500 000 лв.</w:t>
      </w:r>
      <w:r>
        <w:t xml:space="preserve"> – 9%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</w:t>
      </w:r>
      <w:r>
        <w:t>о</w:t>
      </w:r>
      <w:r w:rsidRPr="00543029">
        <w:t>т 2 500 001 - 7 000 000 лв.</w:t>
      </w:r>
      <w:r>
        <w:t xml:space="preserve"> – 4%</w:t>
      </w:r>
    </w:p>
    <w:p w:rsidR="001728D7" w:rsidRPr="00543029" w:rsidRDefault="001728D7" w:rsidP="001728D7">
      <w:pPr>
        <w:spacing w:before="120" w:after="120" w:line="276" w:lineRule="auto"/>
        <w:jc w:val="both"/>
      </w:pPr>
      <w:r w:rsidRPr="001728D7">
        <w:t>- за група със стойност на БФП от 7 000 001 - 10 000 000 лв. – 3%</w:t>
      </w:r>
    </w:p>
    <w:p w:rsidR="001728D7" w:rsidRPr="00543029" w:rsidRDefault="001728D7" w:rsidP="001728D7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</w:t>
      </w:r>
      <w:r>
        <w:t>о</w:t>
      </w:r>
      <w:r w:rsidRPr="00543029">
        <w:t>т 10 000 001 до 15 000 000 лв.</w:t>
      </w:r>
      <w:r>
        <w:t xml:space="preserve"> – 2%</w:t>
      </w:r>
    </w:p>
    <w:p w:rsidR="0075133C" w:rsidRDefault="001728D7" w:rsidP="00F44A9C">
      <w:pPr>
        <w:spacing w:before="120" w:after="120" w:line="276" w:lineRule="auto"/>
        <w:jc w:val="both"/>
      </w:pPr>
      <w:r>
        <w:t xml:space="preserve">- </w:t>
      </w:r>
      <w:r w:rsidRPr="00AB1E56">
        <w:t xml:space="preserve">за група със стойност на БФП </w:t>
      </w:r>
      <w:r>
        <w:t>н</w:t>
      </w:r>
      <w:r w:rsidRPr="00543029">
        <w:t>ад 15 000 001 лв.</w:t>
      </w:r>
      <w:r>
        <w:t xml:space="preserve"> – 2%</w:t>
      </w:r>
    </w:p>
    <w:sectPr w:rsidR="007513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F"/>
    <w:rsid w:val="000526A8"/>
    <w:rsid w:val="000D2ADF"/>
    <w:rsid w:val="001728D7"/>
    <w:rsid w:val="002718A8"/>
    <w:rsid w:val="00280756"/>
    <w:rsid w:val="00427CAF"/>
    <w:rsid w:val="004779B0"/>
    <w:rsid w:val="004D7250"/>
    <w:rsid w:val="004F3BF2"/>
    <w:rsid w:val="00505D5A"/>
    <w:rsid w:val="00566B00"/>
    <w:rsid w:val="006657CA"/>
    <w:rsid w:val="006C0D47"/>
    <w:rsid w:val="0075133C"/>
    <w:rsid w:val="00940FCF"/>
    <w:rsid w:val="00A6736F"/>
    <w:rsid w:val="00C822EA"/>
    <w:rsid w:val="00C906B5"/>
    <w:rsid w:val="00CB4B50"/>
    <w:rsid w:val="00E31573"/>
    <w:rsid w:val="00EE1040"/>
    <w:rsid w:val="00F44A9C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RTsvetanova</dc:creator>
  <cp:lastModifiedBy>RTsvetanova</cp:lastModifiedBy>
  <cp:revision>9</cp:revision>
  <dcterms:created xsi:type="dcterms:W3CDTF">2018-11-09T14:17:00Z</dcterms:created>
  <dcterms:modified xsi:type="dcterms:W3CDTF">2018-11-09T15:40:00Z</dcterms:modified>
</cp:coreProperties>
</file>