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CF" w:rsidRPr="00486516" w:rsidRDefault="00940FCF" w:rsidP="006C0D47">
      <w:pPr>
        <w:spacing w:after="200" w:line="360" w:lineRule="auto"/>
        <w:ind w:left="-284" w:right="-233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tbl>
      <w:tblPr>
        <w:tblpPr w:leftFromText="142" w:rightFromText="142" w:topFromText="573" w:vertAnchor="page" w:horzAnchor="margin" w:tblpXSpec="center" w:tblpY="803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2268"/>
        <w:gridCol w:w="5758"/>
        <w:gridCol w:w="2147"/>
      </w:tblGrid>
      <w:tr w:rsidR="006C0D47" w:rsidRPr="002C2A6D" w:rsidTr="00725561">
        <w:trPr>
          <w:trHeight w:val="1839"/>
        </w:trPr>
        <w:tc>
          <w:tcPr>
            <w:tcW w:w="2268" w:type="dxa"/>
            <w:tcBorders>
              <w:top w:val="nil"/>
              <w:left w:val="nil"/>
              <w:bottom w:val="double" w:sz="4" w:space="0" w:color="99CC00"/>
              <w:right w:val="nil"/>
            </w:tcBorders>
            <w:hideMark/>
          </w:tcPr>
          <w:p w:rsidR="006C0D47" w:rsidRPr="002C2A6D" w:rsidRDefault="006C0D47" w:rsidP="006C0D47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B76D52C" wp14:editId="68DC9DB2">
                  <wp:extent cx="1351915" cy="1073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  <w:tcBorders>
              <w:top w:val="nil"/>
              <w:left w:val="nil"/>
              <w:bottom w:val="double" w:sz="4" w:space="0" w:color="99CC00"/>
              <w:right w:val="nil"/>
            </w:tcBorders>
            <w:vAlign w:val="center"/>
            <w:hideMark/>
          </w:tcPr>
          <w:p w:rsidR="006C0D47" w:rsidRPr="002C2A6D" w:rsidRDefault="006C0D47" w:rsidP="006C0D4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</w:pPr>
            <w:r w:rsidRPr="002C2A6D"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  <w:t>ОПЕРАТИВНА ПРОГРАМА</w:t>
            </w:r>
          </w:p>
          <w:p w:rsidR="006C0D47" w:rsidRPr="002C2A6D" w:rsidRDefault="006C0D47" w:rsidP="006C0D4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</w:pPr>
            <w:r w:rsidRPr="002C2A6D"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  <w:t>“ОКОЛНА СРЕДА 2014 – 2020 г.”</w:t>
            </w:r>
          </w:p>
        </w:tc>
        <w:tc>
          <w:tcPr>
            <w:tcW w:w="2147" w:type="dxa"/>
            <w:tcBorders>
              <w:top w:val="nil"/>
              <w:left w:val="nil"/>
              <w:bottom w:val="double" w:sz="4" w:space="0" w:color="99CC00"/>
              <w:right w:val="nil"/>
            </w:tcBorders>
            <w:hideMark/>
          </w:tcPr>
          <w:p w:rsidR="006C0D47" w:rsidRPr="002C2A6D" w:rsidRDefault="006C0D47" w:rsidP="006C0D47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29AB603" wp14:editId="34459710">
                  <wp:extent cx="580390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D47" w:rsidRPr="002C2A6D" w:rsidRDefault="006C0D47" w:rsidP="006C0D47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</w:pPr>
            <w:r w:rsidRPr="002C2A6D"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  <w:t>Европейски съюз</w:t>
            </w:r>
          </w:p>
          <w:p w:rsidR="006C0D47" w:rsidRPr="002C2A6D" w:rsidRDefault="006C0D47" w:rsidP="006C0D47">
            <w:pPr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</w:rPr>
            </w:pPr>
            <w:r w:rsidRPr="002C2A6D">
              <w:rPr>
                <w:rFonts w:ascii="Arial" w:hAnsi="Arial" w:cs="Arial"/>
                <w:color w:val="808080"/>
                <w:sz w:val="20"/>
                <w:szCs w:val="20"/>
                <w:lang w:eastAsia="fr-FR"/>
              </w:rPr>
              <w:t>Европейски структурни и инвестиционни фондове</w:t>
            </w:r>
          </w:p>
        </w:tc>
      </w:tr>
      <w:tr w:rsidR="006C0D47" w:rsidRPr="002C2A6D" w:rsidTr="00725561">
        <w:trPr>
          <w:trHeight w:val="528"/>
        </w:trPr>
        <w:tc>
          <w:tcPr>
            <w:tcW w:w="10173" w:type="dxa"/>
            <w:gridSpan w:val="3"/>
            <w:tcBorders>
              <w:top w:val="double" w:sz="4" w:space="0" w:color="99CC00"/>
              <w:left w:val="nil"/>
              <w:bottom w:val="nil"/>
              <w:right w:val="nil"/>
            </w:tcBorders>
            <w:hideMark/>
          </w:tcPr>
          <w:p w:rsidR="006C0D47" w:rsidRPr="002C2A6D" w:rsidRDefault="006C0D47" w:rsidP="006C0D47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</w:rPr>
            </w:pP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</w:rPr>
              <w:t>Главна дирекция “Оперативна програма околна среда”</w:t>
            </w:r>
          </w:p>
          <w:p w:rsidR="006C0D47" w:rsidRPr="002C2A6D" w:rsidRDefault="006C0D47" w:rsidP="006C0D47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sz w:val="20"/>
                <w:szCs w:val="20"/>
              </w:rPr>
            </w:pP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ope</w:t>
            </w: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ru-RU"/>
              </w:rPr>
              <w:t>@</w:t>
            </w: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moew</w:t>
            </w: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ru-RU"/>
              </w:rPr>
              <w:t>.</w:t>
            </w: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government</w:t>
            </w: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ru-RU"/>
              </w:rPr>
              <w:t>.</w:t>
            </w:r>
            <w:r w:rsidRPr="002C2A6D">
              <w:rPr>
                <w:rFonts w:ascii="Arial Narrow" w:hAnsi="Arial Narrow" w:cs="Tahoma"/>
                <w:noProof/>
                <w:color w:val="808080"/>
                <w:spacing w:val="24"/>
                <w:sz w:val="20"/>
                <w:szCs w:val="20"/>
                <w:lang w:val="en-US"/>
              </w:rPr>
              <w:t>bg</w:t>
            </w:r>
          </w:p>
        </w:tc>
      </w:tr>
    </w:tbl>
    <w:p w:rsidR="006C0D47" w:rsidRPr="007B3E6B" w:rsidRDefault="007B3E6B" w:rsidP="006A08BA">
      <w:pPr>
        <w:spacing w:after="200" w:line="360" w:lineRule="auto"/>
        <w:ind w:left="-284" w:right="-233"/>
        <w:jc w:val="center"/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</w:pPr>
      <w:r>
        <w:rPr>
          <w:rFonts w:ascii="Verdana" w:eastAsiaTheme="minorHAnsi" w:hAnsi="Verdana" w:cstheme="minorBid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6280030" cy="6707976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hodology_0402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030" cy="670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CF" w:rsidRDefault="001728D7" w:rsidP="006A08BA">
      <w:pPr>
        <w:spacing w:before="120" w:after="120" w:line="276" w:lineRule="auto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 Е З Ю М Е</w:t>
      </w:r>
    </w:p>
    <w:p w:rsidR="00A6736F" w:rsidRDefault="00A6736F" w:rsidP="006A08BA">
      <w:pPr>
        <w:spacing w:before="120" w:after="120" w:line="276" w:lineRule="auto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</w:t>
      </w:r>
    </w:p>
    <w:p w:rsidR="00940FCF" w:rsidRPr="00577E55" w:rsidRDefault="00940FCF" w:rsidP="006A08BA">
      <w:pPr>
        <w:spacing w:before="120" w:after="120" w:line="276" w:lineRule="auto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Е Т О Д О Л О Г И Я</w:t>
      </w:r>
    </w:p>
    <w:p w:rsidR="00940FCF" w:rsidRDefault="00940FCF" w:rsidP="006A08BA">
      <w:pPr>
        <w:spacing w:before="120" w:after="120" w:line="276" w:lineRule="auto"/>
        <w:ind w:firstLine="284"/>
        <w:jc w:val="center"/>
        <w:rPr>
          <w:b/>
          <w:sz w:val="32"/>
          <w:szCs w:val="32"/>
        </w:rPr>
      </w:pPr>
      <w:r w:rsidRPr="00543029">
        <w:rPr>
          <w:b/>
          <w:sz w:val="32"/>
          <w:szCs w:val="32"/>
        </w:rPr>
        <w:t>за</w:t>
      </w:r>
    </w:p>
    <w:p w:rsidR="00940FCF" w:rsidRDefault="00940FCF" w:rsidP="00940FCF">
      <w:pPr>
        <w:spacing w:before="120" w:after="120" w:line="276" w:lineRule="auto"/>
        <w:ind w:firstLine="284"/>
        <w:jc w:val="center"/>
        <w:rPr>
          <w:b/>
          <w:sz w:val="32"/>
          <w:szCs w:val="32"/>
        </w:rPr>
      </w:pPr>
      <w:r w:rsidRPr="00543029">
        <w:rPr>
          <w:b/>
          <w:sz w:val="32"/>
          <w:szCs w:val="32"/>
        </w:rPr>
        <w:t>определяне на размерите на единна ставка за финансиране на дейности за организация и управление на проекти по ОПОС</w:t>
      </w:r>
      <w:r>
        <w:rPr>
          <w:b/>
          <w:sz w:val="32"/>
          <w:szCs w:val="32"/>
        </w:rPr>
        <w:t xml:space="preserve"> 2014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2020 г.</w:t>
      </w:r>
      <w:r w:rsidRPr="00543029">
        <w:rPr>
          <w:b/>
          <w:sz w:val="32"/>
          <w:szCs w:val="32"/>
        </w:rPr>
        <w:t xml:space="preserve">, съфинансирани от </w:t>
      </w:r>
      <w:r w:rsidRPr="00E004F3">
        <w:rPr>
          <w:b/>
          <w:sz w:val="32"/>
          <w:szCs w:val="32"/>
        </w:rPr>
        <w:t>Европейските структурни фондове и Кохезионния фонд</w:t>
      </w:r>
    </w:p>
    <w:p w:rsidR="00F82C0D" w:rsidRDefault="00F82C0D" w:rsidP="00940FCF">
      <w:pPr>
        <w:spacing w:before="120" w:after="120" w:line="276" w:lineRule="auto"/>
        <w:ind w:firstLine="284"/>
        <w:jc w:val="both"/>
        <w:rPr>
          <w:b/>
          <w:sz w:val="32"/>
          <w:szCs w:val="32"/>
        </w:rPr>
      </w:pPr>
    </w:p>
    <w:p w:rsidR="001728D7" w:rsidRDefault="004050EE" w:rsidP="00486516">
      <w:pPr>
        <w:spacing w:before="120" w:after="120" w:line="276" w:lineRule="auto"/>
        <w:jc w:val="both"/>
      </w:pPr>
      <w:r>
        <w:tab/>
      </w:r>
      <w:r w:rsidR="00486516" w:rsidRPr="009E189E">
        <w:t xml:space="preserve">В изпълнение на Решение </w:t>
      </w:r>
      <w:r>
        <w:t>№</w:t>
      </w:r>
      <w:r w:rsidR="00486516" w:rsidRPr="009E189E">
        <w:t>253</w:t>
      </w:r>
      <w:r w:rsidR="00FB5BE9">
        <w:t>/03.05.2017 г. на Министерски с</w:t>
      </w:r>
      <w:r w:rsidR="00486516" w:rsidRPr="009E189E">
        <w:t xml:space="preserve">ъвет за одобряване на </w:t>
      </w:r>
      <w:r w:rsidR="00486516" w:rsidRPr="0045047D">
        <w:t>Националната методология за определяне на размерите на единна ставка за финансиране на дейности за организация и управление на проекти, съфинансирани от Европейските структурни и инвестиционни фондове</w:t>
      </w:r>
      <w:r w:rsidR="00486516" w:rsidRPr="009E189E">
        <w:t xml:space="preserve"> и </w:t>
      </w:r>
      <w:r w:rsidR="00486516" w:rsidRPr="0045047D">
        <w:t>Решение №20</w:t>
      </w:r>
      <w:r w:rsidR="00486516">
        <w:t>/</w:t>
      </w:r>
      <w:r w:rsidR="00486516" w:rsidRPr="0045047D">
        <w:t xml:space="preserve">12.01.2018 г. </w:t>
      </w:r>
      <w:r w:rsidR="00486516" w:rsidRPr="009E189E">
        <w:t xml:space="preserve">на </w:t>
      </w:r>
      <w:r w:rsidR="00486516" w:rsidRPr="0045047D">
        <w:t xml:space="preserve">Министерският съвет </w:t>
      </w:r>
      <w:r w:rsidR="00486516" w:rsidRPr="009E189E">
        <w:t>за</w:t>
      </w:r>
      <w:r>
        <w:t xml:space="preserve"> изменение на Решение №</w:t>
      </w:r>
      <w:r w:rsidR="00486516" w:rsidRPr="0045047D">
        <w:t>25</w:t>
      </w:r>
      <w:r w:rsidR="00486516" w:rsidRPr="009E189E">
        <w:t>3/</w:t>
      </w:r>
      <w:r w:rsidR="00486516" w:rsidRPr="0045047D">
        <w:t>03.05.2017 г.</w:t>
      </w:r>
      <w:r w:rsidR="00486516" w:rsidRPr="009E189E">
        <w:t xml:space="preserve"> </w:t>
      </w:r>
      <w:r w:rsidR="00CB0735">
        <w:t>,р</w:t>
      </w:r>
      <w:r w:rsidR="00486516" w:rsidRPr="009E189E">
        <w:t>ъководителя</w:t>
      </w:r>
      <w:r w:rsidR="00486516">
        <w:t>т</w:t>
      </w:r>
      <w:r w:rsidR="00486516" w:rsidRPr="009E189E">
        <w:t xml:space="preserve"> на Управляващия орган на Оперативна програма „</w:t>
      </w:r>
      <w:r>
        <w:t>Околна среда 2014 – 2020 г.</w:t>
      </w:r>
      <w:r w:rsidR="00486516" w:rsidRPr="009E189E">
        <w:t xml:space="preserve">“ </w:t>
      </w:r>
      <w:r w:rsidR="00486516">
        <w:t xml:space="preserve">одобри </w:t>
      </w:r>
      <w:r w:rsidR="00725561">
        <w:t xml:space="preserve">на 04.02.2019 г. Актуализирана </w:t>
      </w:r>
      <w:r w:rsidR="00CB0735">
        <w:t>м</w:t>
      </w:r>
      <w:r w:rsidR="00486516">
        <w:t xml:space="preserve">етодология за определяне на </w:t>
      </w:r>
      <w:r w:rsidR="00486516" w:rsidRPr="009E189E">
        <w:t xml:space="preserve">размерите на единна ставка за финансиране на дейности за организация и управление </w:t>
      </w:r>
      <w:r>
        <w:t>по ОПОС</w:t>
      </w:r>
      <w:r w:rsidR="00486516">
        <w:t xml:space="preserve">. </w:t>
      </w:r>
    </w:p>
    <w:p w:rsidR="00C823CC" w:rsidRDefault="001728D7" w:rsidP="00C823CC">
      <w:pPr>
        <w:spacing w:before="120" w:after="120" w:line="276" w:lineRule="auto"/>
        <w:jc w:val="both"/>
      </w:pPr>
      <w:r w:rsidRPr="001728D7">
        <w:t xml:space="preserve">В резултат на </w:t>
      </w:r>
      <w:r>
        <w:t xml:space="preserve">извършените </w:t>
      </w:r>
      <w:r w:rsidR="00CB0735">
        <w:t>в съответствие с Националната м</w:t>
      </w:r>
      <w:r w:rsidR="004050EE">
        <w:t>етодология</w:t>
      </w:r>
      <w:r w:rsidR="004050EE">
        <w:t xml:space="preserve"> </w:t>
      </w:r>
      <w:r>
        <w:t>изчисления от УО</w:t>
      </w:r>
      <w:r w:rsidR="00C823CC">
        <w:t>,</w:t>
      </w:r>
      <w:r>
        <w:t xml:space="preserve"> са изведени</w:t>
      </w:r>
      <w:r w:rsidRPr="001728D7">
        <w:t xml:space="preserve"> 7 конкретни процента </w:t>
      </w:r>
      <w:r w:rsidR="00C823CC" w:rsidRPr="00AB1E56">
        <w:t xml:space="preserve">на единна ставка за определяне на размера на сумите за финансиране на дейности за организация и управление, като </w:t>
      </w:r>
      <w:r w:rsidR="004050EE">
        <w:t>в зависимост от общата стойност на проекта</w:t>
      </w:r>
      <w:r w:rsidR="004050EE" w:rsidRPr="00AB1E56">
        <w:t xml:space="preserve"> </w:t>
      </w:r>
      <w:r w:rsidR="00C823CC" w:rsidRPr="00AB1E56">
        <w:t>процент</w:t>
      </w:r>
      <w:r w:rsidR="00C823CC">
        <w:t>ът</w:t>
      </w:r>
      <w:r w:rsidR="00C823CC" w:rsidRPr="00AB1E56">
        <w:t xml:space="preserve"> е:</w:t>
      </w:r>
    </w:p>
    <w:p w:rsidR="00C823CC" w:rsidRPr="00226F01" w:rsidRDefault="00C823CC" w:rsidP="00C823CC">
      <w:pPr>
        <w:spacing w:before="120" w:after="120" w:line="276" w:lineRule="auto"/>
        <w:jc w:val="both"/>
      </w:pPr>
      <w:r w:rsidRPr="00226F01">
        <w:t>- за група със стойност на БФП под 400 000 лв. – 1</w:t>
      </w:r>
      <w:r w:rsidRPr="0034223A">
        <w:t>4</w:t>
      </w:r>
      <w:r w:rsidRPr="00226F01">
        <w:t>%</w:t>
      </w:r>
    </w:p>
    <w:p w:rsidR="00C823CC" w:rsidRPr="00226F01" w:rsidRDefault="00C823CC" w:rsidP="00C823CC">
      <w:pPr>
        <w:spacing w:before="120" w:after="120" w:line="276" w:lineRule="auto"/>
        <w:jc w:val="both"/>
      </w:pPr>
      <w:r w:rsidRPr="00226F01">
        <w:t>- за група със стойност на БФП от 400 001 - 1 000 000 лв. – 10%</w:t>
      </w:r>
    </w:p>
    <w:p w:rsidR="00C823CC" w:rsidRPr="00226F01" w:rsidRDefault="00C823CC" w:rsidP="00C823CC">
      <w:pPr>
        <w:spacing w:before="120" w:after="120" w:line="276" w:lineRule="auto"/>
        <w:jc w:val="both"/>
      </w:pPr>
      <w:r w:rsidRPr="00226F01">
        <w:t>- за група със стойност на БФП от 1 000 001 - 2 500 000 лв. – 9%</w:t>
      </w:r>
    </w:p>
    <w:p w:rsidR="00C823CC" w:rsidRPr="00226F01" w:rsidRDefault="00C823CC" w:rsidP="00C823CC">
      <w:pPr>
        <w:spacing w:before="120" w:after="120" w:line="276" w:lineRule="auto"/>
        <w:jc w:val="both"/>
      </w:pPr>
      <w:r w:rsidRPr="00226F01">
        <w:t>- за група със стойност на БФП от 2 500 001 - 7 000 000 лв. – 4%</w:t>
      </w:r>
    </w:p>
    <w:p w:rsidR="00C823CC" w:rsidRPr="00226F01" w:rsidRDefault="00C823CC" w:rsidP="00C823CC">
      <w:pPr>
        <w:spacing w:before="120" w:after="120" w:line="276" w:lineRule="auto"/>
        <w:jc w:val="both"/>
      </w:pPr>
      <w:r w:rsidRPr="0034223A">
        <w:t>- за група със стойност на БФП от 7 000 001 - 10 000 000 лв. – 3%</w:t>
      </w:r>
    </w:p>
    <w:p w:rsidR="00C823CC" w:rsidRPr="00226F01" w:rsidRDefault="00C823CC" w:rsidP="00C823CC">
      <w:pPr>
        <w:spacing w:before="120" w:after="120" w:line="276" w:lineRule="auto"/>
        <w:jc w:val="both"/>
      </w:pPr>
      <w:r w:rsidRPr="00226F01">
        <w:t>- за група със стойност на БФП от 10 000 001 до 15 000 000 лв. – 2%</w:t>
      </w:r>
    </w:p>
    <w:p w:rsidR="00C823CC" w:rsidRDefault="00C823CC" w:rsidP="00C823CC">
      <w:pPr>
        <w:spacing w:before="120" w:after="120" w:line="276" w:lineRule="auto"/>
        <w:jc w:val="both"/>
      </w:pPr>
      <w:r w:rsidRPr="00226F01">
        <w:t>- за група със стойност на БФП над 15 000 001 лв. – 2%</w:t>
      </w:r>
    </w:p>
    <w:p w:rsidR="007B3E6B" w:rsidRDefault="007B3E6B" w:rsidP="007B3E6B">
      <w:pPr>
        <w:spacing w:before="120" w:after="120" w:line="276" w:lineRule="auto"/>
        <w:jc w:val="both"/>
      </w:pPr>
      <w:r>
        <w:t>За</w:t>
      </w:r>
      <w:r>
        <w:t xml:space="preserve"> проекти по ОПОС конкретният процент на еди</w:t>
      </w:r>
      <w:r w:rsidR="00CB0735">
        <w:t xml:space="preserve">нна ставка определя размера на </w:t>
      </w:r>
      <w:r>
        <w:t>разход</w:t>
      </w:r>
      <w:r w:rsidR="00CB0735">
        <w:t>ите за организация и управление, които са непреки</w:t>
      </w:r>
      <w:r>
        <w:t xml:space="preserve"> разходи, свързани с възнаграждения на екипа по управление/администриране на проекта (ръководител, координатор, технически сътрудник, </w:t>
      </w:r>
      <w:r>
        <w:lastRenderedPageBreak/>
        <w:t xml:space="preserve">счетоводител и др.); разходи за пътни, настаняване и дневни на екипа; разходи за външни услуги във връзка с организацията и управлението на одобрения за финансиране проект; други разходи, необходими за администрирането/управлението на проекта (материали, консумативи и оборудване); разходи за подготовка на документация за възлагане на обществени поръчки, както и разходите за информация и комуникация, свързани с популяризиране </w:t>
      </w:r>
      <w:r w:rsidR="00C62395">
        <w:t>на изпълнението и резултатите от</w:t>
      </w:r>
      <w:r>
        <w:t xml:space="preserve"> проекта.</w:t>
      </w:r>
    </w:p>
    <w:p w:rsidR="00C823CC" w:rsidRDefault="007B3E6B" w:rsidP="007B3E6B">
      <w:pPr>
        <w:spacing w:before="120" w:after="120" w:line="276" w:lineRule="auto"/>
        <w:jc w:val="both"/>
      </w:pPr>
      <w:r>
        <w:t>Определеният конкретен процент на единната ставка за размера на сумите за финансиране на дейности за организация и управление на проекти по О</w:t>
      </w:r>
      <w:r w:rsidR="00C62395">
        <w:t>ПОС се прилага към допустимите преки</w:t>
      </w:r>
      <w:bookmarkStart w:id="0" w:name="_GoBack"/>
      <w:bookmarkEnd w:id="0"/>
      <w:r>
        <w:t xml:space="preserve"> разходи по проекта, финансирани от БФП.</w:t>
      </w:r>
    </w:p>
    <w:p w:rsidR="00486516" w:rsidRPr="00725029" w:rsidRDefault="00486516" w:rsidP="00486516">
      <w:pPr>
        <w:spacing w:before="120" w:after="120" w:line="276" w:lineRule="auto"/>
        <w:jc w:val="both"/>
        <w:rPr>
          <w:b/>
        </w:rPr>
      </w:pPr>
      <w:r w:rsidRPr="00725029">
        <w:rPr>
          <w:b/>
        </w:rPr>
        <w:t xml:space="preserve">За проекти, чиято стойност на БФП попада в интервала между горната граница на дадена група и долната граница на следващата по стойност група, се прилага процентът за групата с по-ниска стойност. </w:t>
      </w:r>
    </w:p>
    <w:p w:rsidR="00486516" w:rsidRPr="00C823CC" w:rsidRDefault="00486516" w:rsidP="007B3E6B">
      <w:pPr>
        <w:spacing w:before="120" w:after="120" w:line="276" w:lineRule="auto"/>
        <w:jc w:val="both"/>
      </w:pPr>
    </w:p>
    <w:sectPr w:rsidR="00486516" w:rsidRPr="00C823CC" w:rsidSect="006A08BA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CF"/>
    <w:rsid w:val="00017D12"/>
    <w:rsid w:val="000417C3"/>
    <w:rsid w:val="000526A8"/>
    <w:rsid w:val="000A4E9B"/>
    <w:rsid w:val="000B4C11"/>
    <w:rsid w:val="000D2ADF"/>
    <w:rsid w:val="001728D7"/>
    <w:rsid w:val="002718A8"/>
    <w:rsid w:val="00280756"/>
    <w:rsid w:val="00362EAA"/>
    <w:rsid w:val="004050EE"/>
    <w:rsid w:val="00427CAF"/>
    <w:rsid w:val="004779B0"/>
    <w:rsid w:val="00486516"/>
    <w:rsid w:val="004D7250"/>
    <w:rsid w:val="004F3BF2"/>
    <w:rsid w:val="00505D5A"/>
    <w:rsid w:val="00566B00"/>
    <w:rsid w:val="005F07F6"/>
    <w:rsid w:val="006657CA"/>
    <w:rsid w:val="006A08BA"/>
    <w:rsid w:val="006A5962"/>
    <w:rsid w:val="006C0D47"/>
    <w:rsid w:val="00725561"/>
    <w:rsid w:val="0075133C"/>
    <w:rsid w:val="007B3E6B"/>
    <w:rsid w:val="007E4180"/>
    <w:rsid w:val="00940FCF"/>
    <w:rsid w:val="00A31FE2"/>
    <w:rsid w:val="00A6736F"/>
    <w:rsid w:val="00C22E54"/>
    <w:rsid w:val="00C62395"/>
    <w:rsid w:val="00C822EA"/>
    <w:rsid w:val="00C823CC"/>
    <w:rsid w:val="00C906B5"/>
    <w:rsid w:val="00CB0735"/>
    <w:rsid w:val="00CB385B"/>
    <w:rsid w:val="00CB4B50"/>
    <w:rsid w:val="00D42FDC"/>
    <w:rsid w:val="00E31573"/>
    <w:rsid w:val="00EE1040"/>
    <w:rsid w:val="00EE2CA5"/>
    <w:rsid w:val="00F44A9C"/>
    <w:rsid w:val="00F82C0D"/>
    <w:rsid w:val="00F91458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F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CF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RTsvetanova</dc:creator>
  <cp:lastModifiedBy>RTsvetanova</cp:lastModifiedBy>
  <cp:revision>27</cp:revision>
  <dcterms:created xsi:type="dcterms:W3CDTF">2018-11-09T14:17:00Z</dcterms:created>
  <dcterms:modified xsi:type="dcterms:W3CDTF">2019-02-07T08:48:00Z</dcterms:modified>
</cp:coreProperties>
</file>