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D79E0" w14:textId="29A7A8D7" w:rsidR="00A917AB" w:rsidRPr="0088384F" w:rsidRDefault="00A917AB" w:rsidP="00305E48">
      <w:pPr>
        <w:autoSpaceDE w:val="0"/>
        <w:autoSpaceDN w:val="0"/>
        <w:adjustRightInd w:val="0"/>
        <w:jc w:val="center"/>
        <w:rPr>
          <w:rFonts w:eastAsia="Calibri"/>
          <w:b/>
          <w:bCs/>
          <w:sz w:val="26"/>
          <w:szCs w:val="26"/>
          <w:lang w:eastAsia="en-US"/>
        </w:rPr>
      </w:pPr>
      <w:bookmarkStart w:id="0" w:name="_Hlk62819581"/>
      <w:r w:rsidRPr="0088384F">
        <w:rPr>
          <w:rFonts w:eastAsia="Calibri"/>
          <w:b/>
          <w:bCs/>
          <w:sz w:val="26"/>
          <w:szCs w:val="26"/>
          <w:lang w:eastAsia="en-US"/>
        </w:rPr>
        <w:t xml:space="preserve">Списък на проектните предложения по процедура № </w:t>
      </w:r>
      <w:r w:rsidR="00FE0F1D" w:rsidRPr="00FE0F1D">
        <w:rPr>
          <w:rFonts w:eastAsia="Calibri"/>
          <w:b/>
          <w:bCs/>
          <w:sz w:val="26"/>
          <w:szCs w:val="26"/>
          <w:lang w:eastAsia="en-US"/>
        </w:rPr>
        <w:t xml:space="preserve">BG16M1OP002-3.021 „Подобряване на природозащитното състояние на природни местообитания“, </w:t>
      </w:r>
      <w:r w:rsidRPr="0088384F">
        <w:rPr>
          <w:rFonts w:eastAsia="Calibri"/>
          <w:b/>
          <w:bCs/>
          <w:sz w:val="26"/>
          <w:szCs w:val="26"/>
          <w:lang w:eastAsia="en-US"/>
        </w:rPr>
        <w:t xml:space="preserve">които не </w:t>
      </w:r>
      <w:r w:rsidR="00646140" w:rsidRPr="0088384F">
        <w:rPr>
          <w:rFonts w:eastAsia="Calibri"/>
          <w:b/>
          <w:bCs/>
          <w:sz w:val="26"/>
          <w:szCs w:val="26"/>
          <w:lang w:eastAsia="en-US"/>
        </w:rPr>
        <w:t xml:space="preserve">отговарят на критериите за административно съответствие и допустимост и които не </w:t>
      </w:r>
      <w:r w:rsidRPr="0088384F">
        <w:rPr>
          <w:rFonts w:eastAsia="Calibri"/>
          <w:b/>
          <w:bCs/>
          <w:sz w:val="26"/>
          <w:szCs w:val="26"/>
          <w:lang w:eastAsia="en-US"/>
        </w:rPr>
        <w:t>се допускат до техническа и финансова оценка</w:t>
      </w:r>
    </w:p>
    <w:p w14:paraId="085E4658" w14:textId="77777777" w:rsidR="0088384F" w:rsidRDefault="0088384F" w:rsidP="0088384F">
      <w:pPr>
        <w:autoSpaceDE w:val="0"/>
        <w:autoSpaceDN w:val="0"/>
        <w:adjustRightInd w:val="0"/>
        <w:jc w:val="both"/>
        <w:rPr>
          <w:rFonts w:eastAsia="Calibri"/>
          <w:b/>
          <w:bCs/>
          <w:sz w:val="28"/>
          <w:szCs w:val="28"/>
          <w:lang w:eastAsia="en-US"/>
        </w:rPr>
      </w:pPr>
    </w:p>
    <w:p w14:paraId="02DCE5D2" w14:textId="16AD107D" w:rsidR="0088384F" w:rsidRDefault="0088384F" w:rsidP="0088384F">
      <w:pPr>
        <w:autoSpaceDE w:val="0"/>
        <w:autoSpaceDN w:val="0"/>
        <w:adjustRightInd w:val="0"/>
        <w:jc w:val="both"/>
        <w:rPr>
          <w:sz w:val="22"/>
          <w:szCs w:val="22"/>
        </w:rPr>
      </w:pPr>
      <w:r w:rsidRPr="0088384F">
        <w:rPr>
          <w:sz w:val="22"/>
          <w:szCs w:val="22"/>
        </w:rPr>
        <w:t>На основание чл. 34, ал. 3 от ЗУСЕСИФ, във връзка с чл. 18, ал. 4 от ПМС № 162/ 2016 г., всеки кандидат, чието проектно предложение е включено в настоящия списък, може писмено да възрази пред Ръководителя на УО на ОПОС в едноседмичен срок от съобщаването. За дата на съобщаването се счита датата, на която съобщението е изпратено от страна на УО на ОПОС до профила на кандидата в ИСУН 2020 през модул „Комуникация“ на оценителната сесия на оценяваните проектни предложения. Възражението се подава до Ръководителя на УО на ОПОС чрез деловодството на Министерство на околната среда и водите на хартиен носител, подписано от кандидата или упълномощено лице. В случай на упълномощаване, към възражението следва да се представи и нотариално заверено пълномощно.</w:t>
      </w:r>
    </w:p>
    <w:p w14:paraId="4CF8AEDB" w14:textId="56980C5C" w:rsidR="0088384F" w:rsidRDefault="0088384F" w:rsidP="0088384F">
      <w:pPr>
        <w:autoSpaceDE w:val="0"/>
        <w:autoSpaceDN w:val="0"/>
        <w:adjustRightInd w:val="0"/>
        <w:jc w:val="both"/>
        <w:rPr>
          <w:sz w:val="22"/>
          <w:szCs w:val="22"/>
        </w:rPr>
      </w:pPr>
    </w:p>
    <w:p w14:paraId="3A38B924" w14:textId="4E33FA0E" w:rsidR="0088384F" w:rsidRDefault="0088384F" w:rsidP="0088384F">
      <w:pPr>
        <w:autoSpaceDE w:val="0"/>
        <w:autoSpaceDN w:val="0"/>
        <w:adjustRightInd w:val="0"/>
        <w:jc w:val="both"/>
        <w:rPr>
          <w:sz w:val="22"/>
          <w:szCs w:val="22"/>
        </w:rPr>
      </w:pPr>
      <w:r w:rsidRPr="0088384F">
        <w:rPr>
          <w:sz w:val="22"/>
          <w:szCs w:val="22"/>
        </w:rPr>
        <w:t>Съгласно чл. 18, ал. 5 от ПМС №162/ 2016 г., с подаване на възражението не могат да се представят нови документи, които не са били част от първоначално представеното проектно предложение и/или към допълнително представените такива на оценителната комисия, изискани по реда на</w:t>
      </w:r>
      <w:r>
        <w:rPr>
          <w:sz w:val="22"/>
          <w:szCs w:val="22"/>
        </w:rPr>
        <w:t xml:space="preserve"> чл. 18, ал. 2 от ПМС 162/ 2016 г. </w:t>
      </w:r>
      <w:r w:rsidRPr="0088384F">
        <w:rPr>
          <w:sz w:val="22"/>
          <w:szCs w:val="22"/>
        </w:rPr>
        <w:t>Няма да бъдат разглеждани възражения, които са подадени извън регламентирания срок или от лица, различни от представляващите кандидата или упълномощени лица. За дата на подаване на възражението по пощата ще се вземе предвид датата на приемане на писмото в съответната пощенска</w:t>
      </w:r>
      <w:r>
        <w:rPr>
          <w:sz w:val="22"/>
          <w:szCs w:val="22"/>
        </w:rPr>
        <w:t xml:space="preserve"> станция, удостоверена надлежно с пощенско клеймо.</w:t>
      </w:r>
    </w:p>
    <w:p w14:paraId="7FF3C37E" w14:textId="3B0CC2C1" w:rsidR="0088384F" w:rsidRPr="00D90D76" w:rsidRDefault="0088384F" w:rsidP="0088384F">
      <w:pPr>
        <w:autoSpaceDE w:val="0"/>
        <w:autoSpaceDN w:val="0"/>
        <w:adjustRightInd w:val="0"/>
        <w:jc w:val="both"/>
        <w:rPr>
          <w:sz w:val="22"/>
          <w:szCs w:val="22"/>
        </w:rPr>
      </w:pPr>
      <w:r w:rsidRPr="0088384F">
        <w:rPr>
          <w:sz w:val="22"/>
          <w:szCs w:val="22"/>
        </w:rPr>
        <w:br/>
      </w:r>
      <w:r w:rsidRPr="00D90D76">
        <w:rPr>
          <w:sz w:val="22"/>
          <w:szCs w:val="22"/>
        </w:rPr>
        <w:t>Възражението следва да бъде подадено на следния адрес:</w:t>
      </w:r>
    </w:p>
    <w:p w14:paraId="1999B6D0" w14:textId="77777777" w:rsidR="0088384F" w:rsidRPr="0088384F" w:rsidRDefault="0088384F" w:rsidP="0088384F">
      <w:pPr>
        <w:autoSpaceDE w:val="0"/>
        <w:autoSpaceDN w:val="0"/>
        <w:adjustRightInd w:val="0"/>
        <w:jc w:val="both"/>
        <w:rPr>
          <w:sz w:val="22"/>
          <w:szCs w:val="22"/>
        </w:rPr>
      </w:pPr>
      <w:r w:rsidRPr="0088384F">
        <w:rPr>
          <w:sz w:val="22"/>
          <w:szCs w:val="22"/>
        </w:rPr>
        <w:t>До Ръководителя на УО на ОПОС</w:t>
      </w:r>
    </w:p>
    <w:p w14:paraId="390715D7" w14:textId="77777777" w:rsidR="0088384F" w:rsidRPr="0088384F" w:rsidRDefault="0088384F" w:rsidP="0088384F">
      <w:pPr>
        <w:autoSpaceDE w:val="0"/>
        <w:autoSpaceDN w:val="0"/>
        <w:adjustRightInd w:val="0"/>
        <w:jc w:val="both"/>
        <w:rPr>
          <w:sz w:val="22"/>
          <w:szCs w:val="22"/>
        </w:rPr>
      </w:pPr>
      <w:r w:rsidRPr="0088384F">
        <w:rPr>
          <w:sz w:val="22"/>
          <w:szCs w:val="22"/>
        </w:rPr>
        <w:t>ГД „Оперативна програма „Околна среда“</w:t>
      </w:r>
    </w:p>
    <w:p w14:paraId="5FDDAF7F" w14:textId="77777777" w:rsidR="0088384F" w:rsidRPr="0088384F" w:rsidRDefault="0088384F" w:rsidP="0088384F">
      <w:pPr>
        <w:autoSpaceDE w:val="0"/>
        <w:autoSpaceDN w:val="0"/>
        <w:adjustRightInd w:val="0"/>
        <w:jc w:val="both"/>
        <w:rPr>
          <w:sz w:val="22"/>
          <w:szCs w:val="22"/>
        </w:rPr>
      </w:pPr>
      <w:r w:rsidRPr="0088384F">
        <w:rPr>
          <w:sz w:val="22"/>
          <w:szCs w:val="22"/>
        </w:rPr>
        <w:t>Министерство на околната среда и водите</w:t>
      </w:r>
    </w:p>
    <w:p w14:paraId="5CD85566" w14:textId="77777777" w:rsidR="00305E48" w:rsidRDefault="0088384F" w:rsidP="0088384F">
      <w:pPr>
        <w:autoSpaceDE w:val="0"/>
        <w:autoSpaceDN w:val="0"/>
        <w:adjustRightInd w:val="0"/>
        <w:jc w:val="both"/>
        <w:rPr>
          <w:sz w:val="22"/>
          <w:szCs w:val="22"/>
        </w:rPr>
      </w:pPr>
      <w:r w:rsidRPr="0088384F">
        <w:rPr>
          <w:sz w:val="22"/>
          <w:szCs w:val="22"/>
        </w:rPr>
        <w:t xml:space="preserve">гр. София 1000, </w:t>
      </w:r>
      <w:proofErr w:type="spellStart"/>
      <w:r w:rsidRPr="0088384F">
        <w:rPr>
          <w:sz w:val="22"/>
          <w:szCs w:val="22"/>
        </w:rPr>
        <w:t>ул</w:t>
      </w:r>
      <w:proofErr w:type="spellEnd"/>
      <w:r w:rsidRPr="0088384F">
        <w:rPr>
          <w:sz w:val="22"/>
          <w:szCs w:val="22"/>
        </w:rPr>
        <w:t>.“Уилям Гладстон“ № 67</w:t>
      </w:r>
    </w:p>
    <w:p w14:paraId="221F13A5" w14:textId="0A403906" w:rsidR="0088384F" w:rsidRPr="00E33B4C" w:rsidRDefault="0088384F" w:rsidP="0088384F">
      <w:pPr>
        <w:autoSpaceDE w:val="0"/>
        <w:autoSpaceDN w:val="0"/>
        <w:adjustRightInd w:val="0"/>
        <w:jc w:val="both"/>
        <w:rPr>
          <w:sz w:val="22"/>
          <w:szCs w:val="22"/>
        </w:rPr>
      </w:pPr>
      <w:r w:rsidRPr="0088384F">
        <w:rPr>
          <w:sz w:val="22"/>
          <w:szCs w:val="22"/>
        </w:rPr>
        <w:t>Относно: Възражение срещу недопускане до техническа и финансова оценка на проект № ........ /посочва се регистрационен номер на проекта в ИСУН 2020/</w:t>
      </w:r>
    </w:p>
    <w:bookmarkEnd w:id="0"/>
    <w:p w14:paraId="4E4FD1F6" w14:textId="77777777" w:rsidR="00E33B4C" w:rsidRDefault="00E33B4C" w:rsidP="00D90D76">
      <w:pPr>
        <w:autoSpaceDE w:val="0"/>
        <w:autoSpaceDN w:val="0"/>
        <w:adjustRightInd w:val="0"/>
        <w:rPr>
          <w:bCs/>
          <w:sz w:val="24"/>
          <w:szCs w:val="24"/>
          <w:lang w:eastAsia="bg-BG"/>
        </w:rPr>
      </w:pPr>
    </w:p>
    <w:tbl>
      <w:tblPr>
        <w:tblStyle w:val="TableGrid"/>
        <w:tblW w:w="0" w:type="auto"/>
        <w:tblLayout w:type="fixed"/>
        <w:tblLook w:val="04A0" w:firstRow="1" w:lastRow="0" w:firstColumn="1" w:lastColumn="0" w:noHBand="0" w:noVBand="1"/>
      </w:tblPr>
      <w:tblGrid>
        <w:gridCol w:w="1838"/>
        <w:gridCol w:w="2414"/>
        <w:gridCol w:w="1697"/>
        <w:gridCol w:w="1804"/>
        <w:gridCol w:w="1314"/>
        <w:gridCol w:w="4927"/>
      </w:tblGrid>
      <w:tr w:rsidR="00916B1A" w:rsidRPr="000953F9" w14:paraId="49159FFB" w14:textId="77777777" w:rsidTr="000953F9">
        <w:tc>
          <w:tcPr>
            <w:tcW w:w="1838" w:type="dxa"/>
            <w:tcBorders>
              <w:bottom w:val="single" w:sz="4" w:space="0" w:color="auto"/>
            </w:tcBorders>
            <w:shd w:val="clear" w:color="auto" w:fill="D9D9D9" w:themeFill="background1" w:themeFillShade="D9"/>
          </w:tcPr>
          <w:p w14:paraId="5B63C526" w14:textId="0E2ED2F8" w:rsidR="00A917AB" w:rsidRPr="000953F9" w:rsidRDefault="00A917AB" w:rsidP="00A917AB">
            <w:pPr>
              <w:autoSpaceDE w:val="0"/>
              <w:autoSpaceDN w:val="0"/>
              <w:adjustRightInd w:val="0"/>
              <w:jc w:val="center"/>
              <w:rPr>
                <w:b/>
                <w:sz w:val="24"/>
                <w:szCs w:val="24"/>
                <w:lang w:eastAsia="bg-BG"/>
              </w:rPr>
            </w:pPr>
            <w:bookmarkStart w:id="1" w:name="_Hlk62819475"/>
            <w:r w:rsidRPr="000953F9">
              <w:rPr>
                <w:b/>
                <w:sz w:val="24"/>
                <w:szCs w:val="24"/>
                <w:lang w:eastAsia="bg-BG"/>
              </w:rPr>
              <w:t>Рег. номер</w:t>
            </w:r>
          </w:p>
        </w:tc>
        <w:tc>
          <w:tcPr>
            <w:tcW w:w="2414" w:type="dxa"/>
            <w:tcBorders>
              <w:bottom w:val="single" w:sz="4" w:space="0" w:color="auto"/>
            </w:tcBorders>
            <w:shd w:val="clear" w:color="auto" w:fill="D9D9D9" w:themeFill="background1" w:themeFillShade="D9"/>
          </w:tcPr>
          <w:p w14:paraId="1D8F3992" w14:textId="2CD7B769" w:rsidR="00A917AB" w:rsidRPr="000953F9" w:rsidRDefault="00A917AB" w:rsidP="00A917AB">
            <w:pPr>
              <w:autoSpaceDE w:val="0"/>
              <w:autoSpaceDN w:val="0"/>
              <w:adjustRightInd w:val="0"/>
              <w:jc w:val="center"/>
              <w:rPr>
                <w:b/>
                <w:sz w:val="24"/>
                <w:szCs w:val="24"/>
                <w:lang w:eastAsia="bg-BG"/>
              </w:rPr>
            </w:pPr>
            <w:r w:rsidRPr="000953F9">
              <w:rPr>
                <w:b/>
                <w:sz w:val="24"/>
                <w:szCs w:val="24"/>
                <w:lang w:eastAsia="bg-BG"/>
              </w:rPr>
              <w:t>Наименование</w:t>
            </w:r>
          </w:p>
        </w:tc>
        <w:tc>
          <w:tcPr>
            <w:tcW w:w="1697" w:type="dxa"/>
            <w:tcBorders>
              <w:bottom w:val="single" w:sz="4" w:space="0" w:color="auto"/>
            </w:tcBorders>
            <w:shd w:val="clear" w:color="auto" w:fill="D9D9D9" w:themeFill="background1" w:themeFillShade="D9"/>
          </w:tcPr>
          <w:p w14:paraId="1AA045B2" w14:textId="60567E43" w:rsidR="00A917AB" w:rsidRPr="000953F9" w:rsidRDefault="00A917AB" w:rsidP="00A917AB">
            <w:pPr>
              <w:autoSpaceDE w:val="0"/>
              <w:autoSpaceDN w:val="0"/>
              <w:adjustRightInd w:val="0"/>
              <w:jc w:val="center"/>
              <w:rPr>
                <w:b/>
                <w:sz w:val="24"/>
                <w:szCs w:val="24"/>
                <w:lang w:eastAsia="bg-BG"/>
              </w:rPr>
            </w:pPr>
            <w:r w:rsidRPr="000953F9">
              <w:rPr>
                <w:b/>
                <w:sz w:val="24"/>
                <w:szCs w:val="24"/>
                <w:lang w:eastAsia="bg-BG"/>
              </w:rPr>
              <w:t>Дата на регистрация</w:t>
            </w:r>
          </w:p>
        </w:tc>
        <w:tc>
          <w:tcPr>
            <w:tcW w:w="1804" w:type="dxa"/>
            <w:tcBorders>
              <w:bottom w:val="single" w:sz="4" w:space="0" w:color="auto"/>
            </w:tcBorders>
            <w:shd w:val="clear" w:color="auto" w:fill="D9D9D9" w:themeFill="background1" w:themeFillShade="D9"/>
          </w:tcPr>
          <w:p w14:paraId="119E8539" w14:textId="3E900164" w:rsidR="00A917AB" w:rsidRPr="000953F9" w:rsidRDefault="00A917AB" w:rsidP="00A917AB">
            <w:pPr>
              <w:autoSpaceDE w:val="0"/>
              <w:autoSpaceDN w:val="0"/>
              <w:adjustRightInd w:val="0"/>
              <w:jc w:val="center"/>
              <w:rPr>
                <w:b/>
                <w:sz w:val="24"/>
                <w:szCs w:val="24"/>
                <w:lang w:eastAsia="bg-BG"/>
              </w:rPr>
            </w:pPr>
            <w:r w:rsidRPr="000953F9">
              <w:rPr>
                <w:b/>
                <w:sz w:val="24"/>
                <w:szCs w:val="24"/>
                <w:lang w:eastAsia="bg-BG"/>
              </w:rPr>
              <w:t>Кандидат</w:t>
            </w:r>
          </w:p>
        </w:tc>
        <w:tc>
          <w:tcPr>
            <w:tcW w:w="1314" w:type="dxa"/>
            <w:tcBorders>
              <w:bottom w:val="single" w:sz="4" w:space="0" w:color="auto"/>
            </w:tcBorders>
            <w:shd w:val="clear" w:color="auto" w:fill="D9D9D9" w:themeFill="background1" w:themeFillShade="D9"/>
          </w:tcPr>
          <w:p w14:paraId="0969A118" w14:textId="47C0E287" w:rsidR="00A917AB" w:rsidRPr="000953F9" w:rsidRDefault="00A917AB" w:rsidP="00A917AB">
            <w:pPr>
              <w:autoSpaceDE w:val="0"/>
              <w:autoSpaceDN w:val="0"/>
              <w:adjustRightInd w:val="0"/>
              <w:jc w:val="center"/>
              <w:rPr>
                <w:b/>
                <w:sz w:val="24"/>
                <w:szCs w:val="24"/>
                <w:lang w:eastAsia="bg-BG"/>
              </w:rPr>
            </w:pPr>
            <w:r w:rsidRPr="000953F9">
              <w:rPr>
                <w:b/>
                <w:sz w:val="24"/>
                <w:szCs w:val="24"/>
                <w:lang w:eastAsia="bg-BG"/>
              </w:rPr>
              <w:t>ЕИК</w:t>
            </w:r>
          </w:p>
        </w:tc>
        <w:tc>
          <w:tcPr>
            <w:tcW w:w="4927" w:type="dxa"/>
            <w:tcBorders>
              <w:bottom w:val="single" w:sz="4" w:space="0" w:color="auto"/>
            </w:tcBorders>
            <w:shd w:val="clear" w:color="auto" w:fill="D9D9D9" w:themeFill="background1" w:themeFillShade="D9"/>
          </w:tcPr>
          <w:p w14:paraId="5B3987A5" w14:textId="254DC65F" w:rsidR="00A917AB" w:rsidRPr="000953F9" w:rsidRDefault="00A917AB" w:rsidP="00A917AB">
            <w:pPr>
              <w:autoSpaceDE w:val="0"/>
              <w:autoSpaceDN w:val="0"/>
              <w:adjustRightInd w:val="0"/>
              <w:jc w:val="center"/>
              <w:rPr>
                <w:b/>
                <w:sz w:val="24"/>
                <w:szCs w:val="24"/>
                <w:lang w:eastAsia="bg-BG"/>
              </w:rPr>
            </w:pPr>
            <w:r w:rsidRPr="000953F9">
              <w:rPr>
                <w:b/>
                <w:sz w:val="24"/>
                <w:szCs w:val="24"/>
                <w:lang w:eastAsia="bg-BG"/>
              </w:rPr>
              <w:t>Причина за недопускане до ТФО</w:t>
            </w:r>
          </w:p>
        </w:tc>
      </w:tr>
      <w:tr w:rsidR="000953F9" w:rsidRPr="000953F9" w14:paraId="016E03E9" w14:textId="77777777" w:rsidTr="000953F9">
        <w:tc>
          <w:tcPr>
            <w:tcW w:w="1838" w:type="dxa"/>
          </w:tcPr>
          <w:p w14:paraId="31637CDF" w14:textId="71455119" w:rsidR="000953F9" w:rsidRPr="000953F9" w:rsidRDefault="000953F9" w:rsidP="000953F9">
            <w:pPr>
              <w:autoSpaceDE w:val="0"/>
              <w:autoSpaceDN w:val="0"/>
              <w:adjustRightInd w:val="0"/>
              <w:jc w:val="center"/>
              <w:rPr>
                <w:b/>
                <w:sz w:val="24"/>
                <w:szCs w:val="24"/>
                <w:lang w:eastAsia="bg-BG"/>
              </w:rPr>
            </w:pPr>
            <w:r w:rsidRPr="000953F9">
              <w:rPr>
                <w:color w:val="333333"/>
              </w:rPr>
              <w:t>BG16M1OP002-3.021-0002</w:t>
            </w:r>
          </w:p>
        </w:tc>
        <w:tc>
          <w:tcPr>
            <w:tcW w:w="2414" w:type="dxa"/>
          </w:tcPr>
          <w:p w14:paraId="50BA4D7A" w14:textId="0B451D9A" w:rsidR="000953F9" w:rsidRPr="000953F9" w:rsidRDefault="000953F9" w:rsidP="000953F9">
            <w:pPr>
              <w:autoSpaceDE w:val="0"/>
              <w:autoSpaceDN w:val="0"/>
              <w:adjustRightInd w:val="0"/>
              <w:jc w:val="center"/>
              <w:rPr>
                <w:b/>
                <w:sz w:val="24"/>
                <w:szCs w:val="24"/>
                <w:lang w:eastAsia="bg-BG"/>
              </w:rPr>
            </w:pPr>
            <w:r w:rsidRPr="000953F9">
              <w:rPr>
                <w:color w:val="333333"/>
              </w:rPr>
              <w:t>Подобряване природозащитното състояние на местообитания 40C0 „</w:t>
            </w:r>
            <w:proofErr w:type="spellStart"/>
            <w:r w:rsidRPr="000953F9">
              <w:rPr>
                <w:color w:val="333333"/>
              </w:rPr>
              <w:t>Понто</w:t>
            </w:r>
            <w:proofErr w:type="spellEnd"/>
            <w:r w:rsidRPr="000953F9">
              <w:rPr>
                <w:color w:val="333333"/>
              </w:rPr>
              <w:t>-сарматски широколистни храстчета“ и 40А0 „</w:t>
            </w:r>
            <w:proofErr w:type="spellStart"/>
            <w:r w:rsidRPr="000953F9">
              <w:rPr>
                <w:color w:val="333333"/>
              </w:rPr>
              <w:t>Субконтинентални</w:t>
            </w:r>
            <w:proofErr w:type="spellEnd"/>
            <w:r w:rsidRPr="000953F9">
              <w:rPr>
                <w:color w:val="333333"/>
              </w:rPr>
              <w:t xml:space="preserve"> </w:t>
            </w:r>
            <w:proofErr w:type="spellStart"/>
            <w:r w:rsidRPr="000953F9">
              <w:rPr>
                <w:color w:val="333333"/>
              </w:rPr>
              <w:t>перипанонски</w:t>
            </w:r>
            <w:proofErr w:type="spellEnd"/>
            <w:r w:rsidRPr="000953F9">
              <w:rPr>
                <w:color w:val="333333"/>
              </w:rPr>
              <w:t xml:space="preserve"> храстови съобщества“ по параметри: площ, структура и функции и бъдещи перспективи в 15 защитени зони от мрежата на Натура 2000 в България</w:t>
            </w:r>
          </w:p>
        </w:tc>
        <w:tc>
          <w:tcPr>
            <w:tcW w:w="1697" w:type="dxa"/>
          </w:tcPr>
          <w:p w14:paraId="163B32B1" w14:textId="758D579C" w:rsidR="000953F9" w:rsidRPr="000953F9" w:rsidRDefault="000953F9" w:rsidP="000953F9">
            <w:pPr>
              <w:autoSpaceDE w:val="0"/>
              <w:autoSpaceDN w:val="0"/>
              <w:adjustRightInd w:val="0"/>
              <w:jc w:val="center"/>
              <w:rPr>
                <w:bCs/>
                <w:sz w:val="24"/>
                <w:szCs w:val="24"/>
                <w:lang w:eastAsia="bg-BG"/>
              </w:rPr>
            </w:pPr>
            <w:r w:rsidRPr="000953F9">
              <w:rPr>
                <w:color w:val="333333"/>
              </w:rPr>
              <w:t>9.1.2021 г.</w:t>
            </w:r>
          </w:p>
        </w:tc>
        <w:tc>
          <w:tcPr>
            <w:tcW w:w="1804" w:type="dxa"/>
          </w:tcPr>
          <w:p w14:paraId="78145CF4" w14:textId="4A67047E" w:rsidR="000953F9" w:rsidRPr="000953F9" w:rsidRDefault="000953F9" w:rsidP="000953F9">
            <w:pPr>
              <w:autoSpaceDE w:val="0"/>
              <w:autoSpaceDN w:val="0"/>
              <w:adjustRightInd w:val="0"/>
              <w:jc w:val="center"/>
              <w:rPr>
                <w:b/>
                <w:sz w:val="24"/>
                <w:szCs w:val="24"/>
                <w:lang w:eastAsia="bg-BG"/>
              </w:rPr>
            </w:pPr>
            <w:r w:rsidRPr="000953F9">
              <w:rPr>
                <w:color w:val="333333"/>
              </w:rPr>
              <w:t>Клуб "Приятели на Народен парк "Русенски Лом"</w:t>
            </w:r>
          </w:p>
        </w:tc>
        <w:tc>
          <w:tcPr>
            <w:tcW w:w="1314" w:type="dxa"/>
          </w:tcPr>
          <w:p w14:paraId="403F06BC" w14:textId="6D242352" w:rsidR="000953F9" w:rsidRPr="000953F9" w:rsidRDefault="000953F9" w:rsidP="000953F9">
            <w:pPr>
              <w:autoSpaceDE w:val="0"/>
              <w:autoSpaceDN w:val="0"/>
              <w:adjustRightInd w:val="0"/>
              <w:jc w:val="center"/>
              <w:rPr>
                <w:b/>
                <w:sz w:val="24"/>
                <w:szCs w:val="24"/>
                <w:lang w:eastAsia="bg-BG"/>
              </w:rPr>
            </w:pPr>
            <w:r w:rsidRPr="000953F9">
              <w:rPr>
                <w:color w:val="333333"/>
              </w:rPr>
              <w:t>Булстат: 117082309</w:t>
            </w:r>
          </w:p>
        </w:tc>
        <w:tc>
          <w:tcPr>
            <w:tcW w:w="4927" w:type="dxa"/>
          </w:tcPr>
          <w:p w14:paraId="4CF22B25" w14:textId="14D6C2A2" w:rsidR="000953F9" w:rsidRPr="000953F9" w:rsidRDefault="000953F9" w:rsidP="000953F9">
            <w:pPr>
              <w:autoSpaceDE w:val="0"/>
              <w:autoSpaceDN w:val="0"/>
              <w:adjustRightInd w:val="0"/>
              <w:jc w:val="center"/>
              <w:rPr>
                <w:b/>
                <w:sz w:val="24"/>
                <w:szCs w:val="24"/>
                <w:lang w:eastAsia="bg-BG"/>
              </w:rPr>
            </w:pPr>
            <w:r w:rsidRPr="000953F9">
              <w:rPr>
                <w:color w:val="333333"/>
                <w:shd w:val="clear" w:color="auto" w:fill="FFFFFF"/>
              </w:rPr>
              <w:t xml:space="preserve">Кандидатът не отговаря на изискванията на критерии № 2 и № 8 от етап административно съответствие и допустимост. За доказване на съответствието по критерии № 2 и № 8 в т. 13 от формуляра за кандидатстване е представена схема на плащания за екологични услуги от 2013г. Съгласно изискванията на т. 24.15. от условията за кандидатстване "документите, с които се доказва, че кандидат/партньор ЮЛНЦ, научен институт, висше училище има постоянни приходи и източници на финансиране, различни от донорски програми и финансиране по проекти (годишни финансови отчети за последна/и приключена/и финансова/и година/и преди датата на кандидатстване (не повече от 3 години), удостоверения от банки, справка за общия оборот и/или за оборота в сферата, попадаща в обхвата на проектното предложение; копие/я от приходен/и касов/и ордер/и, извлечение/я от банкова/и сметка/и, от касова наличност и др., като няма ограничение по отношение на техния брой или периода, за който се отнасят; други приложими документи). В отговор на запитване по т. 4 от уведомлението "Не са представени документи, </w:t>
            </w:r>
            <w:r w:rsidRPr="000953F9">
              <w:rPr>
                <w:color w:val="333333"/>
                <w:shd w:val="clear" w:color="auto" w:fill="FFFFFF"/>
              </w:rPr>
              <w:lastRenderedPageBreak/>
              <w:t>съгласно точка 24.15 от НК. Кандидатът следва да представи обяснение за констатираната непълнота.", изпратено чрез комуникацията на 08.02.2021г., кандидатът декларира, че през последните 3 години не е имал друг източник на финансиране, различни от донорски програми и финансиране по проекти, и се позовава на приложената в раздел 13 от формуляра за кандидатстване "Схема за плащания за естетическата стойност и ценността на биоразнообразието в Природен парк „Русенски Лом от 2013г.". Съгласно тази схема кандидатът счита, че има опит в набирането на средства и тяхното оползотворяване от други източници, но от същото не следва извода, че има постоянни приходи през последните 3 /три/ години, каквото е изискването на насоките за кандидатстване. Направена е и служебна проверка в Търговския регистър, при което не се установиха документи, които да потвърждават, съответствието на кандидата с изискванията на критерии №2 и № 8, поради което не следва да премине на следващ етап на оценка.</w:t>
            </w:r>
          </w:p>
        </w:tc>
      </w:tr>
      <w:tr w:rsidR="000953F9" w:rsidRPr="000953F9" w14:paraId="39B0E604" w14:textId="77777777" w:rsidTr="000953F9">
        <w:tc>
          <w:tcPr>
            <w:tcW w:w="1838" w:type="dxa"/>
          </w:tcPr>
          <w:p w14:paraId="21D1C281" w14:textId="4D7C17A2" w:rsidR="000953F9" w:rsidRPr="000953F9" w:rsidRDefault="000953F9" w:rsidP="000953F9">
            <w:pPr>
              <w:autoSpaceDE w:val="0"/>
              <w:autoSpaceDN w:val="0"/>
              <w:adjustRightInd w:val="0"/>
              <w:jc w:val="center"/>
              <w:rPr>
                <w:b/>
                <w:sz w:val="24"/>
                <w:szCs w:val="24"/>
                <w:lang w:eastAsia="bg-BG"/>
              </w:rPr>
            </w:pPr>
            <w:r w:rsidRPr="000953F9">
              <w:rPr>
                <w:color w:val="333333"/>
              </w:rPr>
              <w:lastRenderedPageBreak/>
              <w:t>BG16M1OP002-3.021-0003</w:t>
            </w:r>
          </w:p>
        </w:tc>
        <w:tc>
          <w:tcPr>
            <w:tcW w:w="2414" w:type="dxa"/>
          </w:tcPr>
          <w:p w14:paraId="071F8EC8" w14:textId="2CA3777F" w:rsidR="000953F9" w:rsidRPr="000953F9" w:rsidRDefault="000953F9" w:rsidP="000953F9">
            <w:pPr>
              <w:autoSpaceDE w:val="0"/>
              <w:autoSpaceDN w:val="0"/>
              <w:adjustRightInd w:val="0"/>
              <w:jc w:val="center"/>
              <w:rPr>
                <w:b/>
                <w:sz w:val="24"/>
                <w:szCs w:val="24"/>
                <w:lang w:eastAsia="bg-BG"/>
              </w:rPr>
            </w:pPr>
            <w:r w:rsidRPr="000953F9">
              <w:rPr>
                <w:color w:val="333333"/>
              </w:rPr>
              <w:t xml:space="preserve">Подобряване природозащитното състояние на местообитания 2130 „Неподвижни крайбрежни дюни с </w:t>
            </w:r>
            <w:r w:rsidRPr="000953F9">
              <w:rPr>
                <w:color w:val="333333"/>
              </w:rPr>
              <w:lastRenderedPageBreak/>
              <w:t>тревна растителност (сиви дюни)“ и 2180 „</w:t>
            </w:r>
            <w:proofErr w:type="spellStart"/>
            <w:r w:rsidRPr="000953F9">
              <w:rPr>
                <w:color w:val="333333"/>
              </w:rPr>
              <w:t>Облесени</w:t>
            </w:r>
            <w:proofErr w:type="spellEnd"/>
            <w:r w:rsidRPr="000953F9">
              <w:rPr>
                <w:color w:val="333333"/>
              </w:rPr>
              <w:t xml:space="preserve"> дюни“ по параметри: площ, структура и функции и бъдещи перспективи в 7 защитени зони от мрежата на Натура 2000 в България</w:t>
            </w:r>
          </w:p>
        </w:tc>
        <w:tc>
          <w:tcPr>
            <w:tcW w:w="1697" w:type="dxa"/>
          </w:tcPr>
          <w:p w14:paraId="60B53FCF" w14:textId="162C0E38" w:rsidR="000953F9" w:rsidRPr="000953F9" w:rsidRDefault="000953F9" w:rsidP="000953F9">
            <w:pPr>
              <w:autoSpaceDE w:val="0"/>
              <w:autoSpaceDN w:val="0"/>
              <w:adjustRightInd w:val="0"/>
              <w:jc w:val="center"/>
              <w:rPr>
                <w:bCs/>
                <w:sz w:val="24"/>
                <w:szCs w:val="24"/>
                <w:lang w:eastAsia="bg-BG"/>
              </w:rPr>
            </w:pPr>
            <w:r w:rsidRPr="000953F9">
              <w:rPr>
                <w:color w:val="333333"/>
              </w:rPr>
              <w:lastRenderedPageBreak/>
              <w:t>9.1.2021 г.</w:t>
            </w:r>
          </w:p>
        </w:tc>
        <w:tc>
          <w:tcPr>
            <w:tcW w:w="1804" w:type="dxa"/>
          </w:tcPr>
          <w:p w14:paraId="245DC809" w14:textId="332A2DF8" w:rsidR="000953F9" w:rsidRPr="000953F9" w:rsidRDefault="000953F9" w:rsidP="000953F9">
            <w:pPr>
              <w:autoSpaceDE w:val="0"/>
              <w:autoSpaceDN w:val="0"/>
              <w:adjustRightInd w:val="0"/>
              <w:jc w:val="center"/>
              <w:rPr>
                <w:b/>
                <w:sz w:val="24"/>
                <w:szCs w:val="24"/>
                <w:lang w:eastAsia="bg-BG"/>
              </w:rPr>
            </w:pPr>
            <w:r w:rsidRPr="000953F9">
              <w:rPr>
                <w:color w:val="333333"/>
              </w:rPr>
              <w:t>Клуб "Приятели на Народен парк "Русенски Лом"</w:t>
            </w:r>
          </w:p>
        </w:tc>
        <w:tc>
          <w:tcPr>
            <w:tcW w:w="1314" w:type="dxa"/>
          </w:tcPr>
          <w:p w14:paraId="3CCFC0F6" w14:textId="743262B3" w:rsidR="000953F9" w:rsidRPr="000953F9" w:rsidRDefault="000953F9" w:rsidP="000953F9">
            <w:pPr>
              <w:autoSpaceDE w:val="0"/>
              <w:autoSpaceDN w:val="0"/>
              <w:adjustRightInd w:val="0"/>
              <w:jc w:val="center"/>
              <w:rPr>
                <w:b/>
                <w:sz w:val="24"/>
                <w:szCs w:val="24"/>
                <w:lang w:eastAsia="bg-BG"/>
              </w:rPr>
            </w:pPr>
            <w:r w:rsidRPr="000953F9">
              <w:rPr>
                <w:color w:val="333333"/>
              </w:rPr>
              <w:t>Булстат: 117082309</w:t>
            </w:r>
          </w:p>
        </w:tc>
        <w:tc>
          <w:tcPr>
            <w:tcW w:w="4927" w:type="dxa"/>
          </w:tcPr>
          <w:p w14:paraId="092A5FFB" w14:textId="0520B30E" w:rsidR="000953F9" w:rsidRPr="000953F9" w:rsidRDefault="000953F9" w:rsidP="000953F9">
            <w:pPr>
              <w:autoSpaceDE w:val="0"/>
              <w:autoSpaceDN w:val="0"/>
              <w:adjustRightInd w:val="0"/>
              <w:jc w:val="center"/>
              <w:rPr>
                <w:b/>
                <w:sz w:val="24"/>
                <w:szCs w:val="24"/>
                <w:lang w:eastAsia="bg-BG"/>
              </w:rPr>
            </w:pPr>
            <w:r w:rsidRPr="000953F9">
              <w:rPr>
                <w:color w:val="333333"/>
                <w:shd w:val="clear" w:color="auto" w:fill="FFFFFF"/>
              </w:rPr>
              <w:t xml:space="preserve">Проектно предложение с рег. № BG16M1OP002-3.021-0003 не отговаря на изискванията на критерии № 2 и № 8 от етап административно съответствие и допустимост. Съгласно раздел 24.15. от насоките за кандидатстване към раздел 13 от формуляра за кандидатстване следва да се представят "Документи, с </w:t>
            </w:r>
            <w:r w:rsidRPr="000953F9">
              <w:rPr>
                <w:color w:val="333333"/>
                <w:shd w:val="clear" w:color="auto" w:fill="FFFFFF"/>
              </w:rPr>
              <w:lastRenderedPageBreak/>
              <w:t xml:space="preserve">които се доказва, че кандидат/партньор ЮЛНЦ, научен институт, висше училище има постоянни приходи и източници на финансиране, различни от донорски програми и финансиране по проекти (годишни финансови отчети за последна/и приключена/и финансова/и година/и преди датата на кандидатстване (не повече от 3 години), удостоверения от банки, справка за общия оборот и/или за оборота в сферата, попадаща в обхвата на проектното предложение; копие/я от приходен/и касов/и ордер/и, извлечение/я от банкова/и сметка/и, от касова наличност и др., като няма ограничение по отношение на техния брой или периода, за който се отнасят; други приложими документи)". В раздел 13 на формуляра за кандидатстване в колона "описание" срещу "Документи, че кандидатът има постоянни приходи и източници на финансиране, различни от донорски програми и проекти" е посочено "КПНПРЛ прилага схемата на Плащания за екологични услуги" и е приложен файл "Схема за плащания за естетическата стойност и ценността на биоразнообразието в Природен Парк „Русенски Лом”, публикувана от WWF България през 2013 година. С писмо за установени нередовности от 08.02.2021 г. от кандидата е изискано да представи писмено обяснение по какъв начин приложените в раздел 13 на ФК документи отговарят на изискванията на раздел 24.15. </w:t>
            </w:r>
            <w:r w:rsidRPr="000953F9">
              <w:rPr>
                <w:color w:val="333333"/>
                <w:shd w:val="clear" w:color="auto" w:fill="FFFFFF"/>
              </w:rPr>
              <w:lastRenderedPageBreak/>
              <w:t xml:space="preserve">от насоките за кандидатстване, с които се доказва, че кандидата има постоянни приходи и източници на финансиране, различни от донорски програми и финансиране по проекти. С писмо от 13.02.2021 г. от кандидата е дадено следното обяснение "През последните 3 години „Клуб „Приятели на Народен парк „Русенски Лом“ не е имал друг източник на средства, различни от донорски програми и проекти, за това не сме приложили годишни финансови отчети за последна/и приключена/и финансова/и година/и преди датата на кандидатстване (не повече от 3 години), удостоверения от банки, справка за общия оборот и/или за оборота в сферата, попадаща в обхвата на проектното предложение; копие/я от приходен/и касов/и ордер/и, извлечение/я от банкова/и сметка/и, от касова наличност и др. Приложената схема за плащания за естетическата стойност и ценността на биоразнообразието в Природен Парк „Русенски Лом” е пример за това, че имаме опит в набиране на средства и тяхното оползотворяване от други източници". Съгласно принципните действия, описани в Приложение № 9 "ДЕТАЙЛЕН ОЦЕНИТЕЛЕН ЛИСТ" към насоките за кандидатстване по: - критерий № 2: В случай че кандидатът не е представил изисканите документи, подписани и представени във формата, посочен в Раздел 24. от условията за кандидатстване, </w:t>
            </w:r>
            <w:r w:rsidRPr="000953F9">
              <w:rPr>
                <w:color w:val="333333"/>
                <w:shd w:val="clear" w:color="auto" w:fill="FFFFFF"/>
              </w:rPr>
              <w:lastRenderedPageBreak/>
              <w:t>оценителната комисия на основание чл. 18, ал. 2 от ПМС 162/05.07.2016 г. ще изиска разяснения/ отстраняване на нередовността допълнително само един път. В случай, че разяснения не бъдат представени /</w:t>
            </w:r>
            <w:proofErr w:type="spellStart"/>
            <w:r w:rsidRPr="000953F9">
              <w:rPr>
                <w:color w:val="333333"/>
                <w:shd w:val="clear" w:color="auto" w:fill="FFFFFF"/>
              </w:rPr>
              <w:t>нередовностите</w:t>
            </w:r>
            <w:proofErr w:type="spellEnd"/>
            <w:r w:rsidRPr="000953F9">
              <w:rPr>
                <w:color w:val="333333"/>
                <w:shd w:val="clear" w:color="auto" w:fill="FFFFFF"/>
              </w:rPr>
              <w:t xml:space="preserve"> не бъдат отстранени в определения за това срок, проектното предложение ще бъде отхвърлено; - критерий № 8: В случай че от представените в т. 13 на ФК документи (съгласно изискванията на т. 24.15. от условията за кандидатстване) не е видно, че кандидатът има постоянни приходи и източници на финансиране, различни от донорски програми и финансиране на проекти, Оценителната комисия на основание чл. 18, ал. 2 от ПМС 162/05.07.2016 г. ще изиска разяснения допълнително само един път. В случай че същите не бъдат представени в определения за това срок или същите не доказват постоянни приходи и финансиране, различни от донорски програми и проекти, проектното предложение ще бъде отхвърлено. С представеният отговор кандидата декларира обстоятелство, което не отговаря на изискванията на критерий № 2 "Кандидатът е представил всички документи, които се изискват за целите на кандидатстването, описани в Раздел 24 от условията за кандидатстване, като документите са приложени съгласно указанията в същия раздел" и критерий № 8 "Кандидатът има постоянни приходи и </w:t>
            </w:r>
            <w:r w:rsidRPr="000953F9">
              <w:rPr>
                <w:color w:val="333333"/>
                <w:shd w:val="clear" w:color="auto" w:fill="FFFFFF"/>
              </w:rPr>
              <w:lastRenderedPageBreak/>
              <w:t xml:space="preserve">източници на финансиране, различни от донорски програми и финансиране по проекти" от оценка за административно съответствие и допустимост, съгласно раздел 22 "Критерии и методика за оценка на проектните предложения" на насоките за кандидатстване. Към формуляра за кандидатстване не са представени документи по раздел 24.15. от насоките за кандидатстване "Документи, с които се доказва, че кандидат/партньор ЮЛНЦ, научен институт, висше училище има постоянни приходи и източници на финансиране, различни от донорски програми и финансиране по проекти (годишни финансови отчети за последна/и приключена/и финансова/и година/и преди датата на кандидатстване (не повече от 3 години), удостоверения от банки, справка за общия оборот и/или за оборота в сферата, попадаща в обхвата на проектното предложение; копие/я от приходен/и касов/и ордер/и, извлечение/я от банкова/и сметка/и, от касова наличност и др., като няма ограничение по отношение на техния брой или периода, за който се отнасят; други приложими документи)". Приложената в раздел 13 от формуляра за кандидатстване "Схема за плащания за естетическата стойност и ценността на биоразнообразието в Природен Парк „Русенски Лом” представлява доклад за работата на Дунавско-Карпатската програма на WWF по изпробване на </w:t>
            </w:r>
            <w:r w:rsidRPr="000953F9">
              <w:rPr>
                <w:color w:val="333333"/>
                <w:shd w:val="clear" w:color="auto" w:fill="FFFFFF"/>
              </w:rPr>
              <w:lastRenderedPageBreak/>
              <w:t xml:space="preserve">схема за плащания за екосистемни услуги в Природен парк „Русенски Лом”, като част от ангажиментите по проект „Насърчаване на схеми за устойчиво финансиране и за плащания за екосистемни услуги (ПЕС) в басейна на река Дунав” с финансиране от GEF и с подкрепата за реализиране на UNEP от октомври 2009 г., не доказва наличието на постоянни приходи и източници на финансиране, различни от донорски програми и финансиране по проекти. Извършените служебни проверки в Търговски регистър и регистър на юридическите лица с нестопанска цел и </w:t>
            </w:r>
            <w:proofErr w:type="spellStart"/>
            <w:r w:rsidRPr="000953F9">
              <w:rPr>
                <w:color w:val="333333"/>
                <w:shd w:val="clear" w:color="auto" w:fill="FFFFFF"/>
              </w:rPr>
              <w:t>Сиела</w:t>
            </w:r>
            <w:proofErr w:type="spellEnd"/>
            <w:r w:rsidRPr="000953F9">
              <w:rPr>
                <w:color w:val="333333"/>
                <w:shd w:val="clear" w:color="auto" w:fill="FFFFFF"/>
              </w:rPr>
              <w:t>. НЕТ не показват обявени годишни финансови отчети за последните три приключени финансови години преди датата на кандидатстване и наличие на постоянни приходи и източници на финансиране, различни от донорски програми и финансиране по проекти на кандидат Сдружение "КЛУБ ПРИЯТЕЛИ НА НАРОДЕН ПАРК РУСЕНСКИ ЛОМ" (ЕИК 117082309), поради което проектното предложение не следва да премине на следващ етап на оценка.</w:t>
            </w:r>
          </w:p>
        </w:tc>
      </w:tr>
      <w:bookmarkEnd w:id="1"/>
    </w:tbl>
    <w:p w14:paraId="0EFC6F7F" w14:textId="56E97425" w:rsidR="00646B7E" w:rsidRPr="00A917AB" w:rsidRDefault="00646B7E"/>
    <w:sectPr w:rsidR="00646B7E" w:rsidRPr="00A917AB" w:rsidSect="00A917AB">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1D855" w14:textId="77777777" w:rsidR="00C24B84" w:rsidRDefault="00C24B84" w:rsidP="00305E48">
      <w:r>
        <w:separator/>
      </w:r>
    </w:p>
  </w:endnote>
  <w:endnote w:type="continuationSeparator" w:id="0">
    <w:p w14:paraId="56E03821" w14:textId="77777777" w:rsidR="00C24B84" w:rsidRDefault="00C24B84" w:rsidP="0030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35108" w14:textId="77777777" w:rsidR="00C24B84" w:rsidRDefault="00C24B84" w:rsidP="00305E48">
      <w:r>
        <w:separator/>
      </w:r>
    </w:p>
  </w:footnote>
  <w:footnote w:type="continuationSeparator" w:id="0">
    <w:p w14:paraId="5BE3A21F" w14:textId="77777777" w:rsidR="00C24B84" w:rsidRDefault="00C24B84" w:rsidP="00305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63A82" w14:textId="21ACAFA3" w:rsidR="00305E48" w:rsidRDefault="00305E48">
    <w:pPr>
      <w:pStyle w:val="Header"/>
    </w:pPr>
  </w:p>
  <w:tbl>
    <w:tblPr>
      <w:tblpPr w:leftFromText="142" w:rightFromText="142" w:topFromText="573" w:vertAnchor="page" w:horzAnchor="margin" w:tblpXSpec="center" w:tblpY="879"/>
      <w:tblOverlap w:val="never"/>
      <w:tblW w:w="5000" w:type="pct"/>
      <w:tblLook w:val="01E0" w:firstRow="1" w:lastRow="1" w:firstColumn="1" w:lastColumn="1" w:noHBand="0" w:noVBand="0"/>
    </w:tblPr>
    <w:tblGrid>
      <w:gridCol w:w="3011"/>
      <w:gridCol w:w="7649"/>
      <w:gridCol w:w="3344"/>
    </w:tblGrid>
    <w:tr w:rsidR="00305E48" w:rsidRPr="00F56E34" w14:paraId="67697820" w14:textId="77777777" w:rsidTr="0054770D">
      <w:trPr>
        <w:trHeight w:val="1585"/>
      </w:trPr>
      <w:tc>
        <w:tcPr>
          <w:tcW w:w="1075" w:type="pct"/>
          <w:tcBorders>
            <w:bottom w:val="double" w:sz="4" w:space="0" w:color="808080"/>
          </w:tcBorders>
          <w:shd w:val="clear" w:color="auto" w:fill="auto"/>
        </w:tcPr>
        <w:p w14:paraId="6E6F5F6C" w14:textId="77777777" w:rsidR="00305E48" w:rsidRPr="00F56E34" w:rsidRDefault="00305E48" w:rsidP="00305E48">
          <w:pPr>
            <w:pStyle w:val="Header"/>
            <w:spacing w:before="60"/>
            <w:jc w:val="center"/>
            <w:rPr>
              <w:lang w:val="bg-BG"/>
            </w:rPr>
          </w:pPr>
        </w:p>
        <w:p w14:paraId="41ACA181" w14:textId="77777777" w:rsidR="00305E48" w:rsidRPr="00F56E34" w:rsidRDefault="00305E48" w:rsidP="00305E48">
          <w:pPr>
            <w:pStyle w:val="Header"/>
            <w:spacing w:after="40"/>
            <w:jc w:val="center"/>
            <w:rPr>
              <w:lang w:val="ru-RU"/>
            </w:rPr>
          </w:pPr>
          <w:r w:rsidRPr="00BC0C57">
            <w:rPr>
              <w:noProof/>
              <w:lang w:val="ru-RU"/>
            </w:rPr>
            <w:drawing>
              <wp:anchor distT="0" distB="0" distL="114300" distR="114300" simplePos="0" relativeHeight="251659264" behindDoc="0" locked="0" layoutInCell="1" allowOverlap="1" wp14:anchorId="644D4D0B" wp14:editId="0491873A">
                <wp:simplePos x="0" y="0"/>
                <wp:positionH relativeFrom="column">
                  <wp:posOffset>118110</wp:posOffset>
                </wp:positionH>
                <wp:positionV relativeFrom="paragraph">
                  <wp:posOffset>1270</wp:posOffset>
                </wp:positionV>
                <wp:extent cx="1085850" cy="866775"/>
                <wp:effectExtent l="0" t="0" r="0"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31" w:type="pct"/>
          <w:tcBorders>
            <w:bottom w:val="double" w:sz="4" w:space="0" w:color="808080"/>
          </w:tcBorders>
          <w:shd w:val="clear" w:color="auto" w:fill="auto"/>
          <w:vAlign w:val="center"/>
        </w:tcPr>
        <w:p w14:paraId="16BCA1AA" w14:textId="77777777" w:rsidR="00305E48" w:rsidRPr="00F56E34" w:rsidRDefault="00305E48" w:rsidP="00305E48">
          <w:pPr>
            <w:pStyle w:val="Header"/>
            <w:jc w:val="center"/>
            <w:rPr>
              <w:rFonts w:ascii="Arial Narrow" w:hAnsi="Arial Narrow" w:cs="Tahoma"/>
              <w:b/>
              <w:noProof/>
              <w:color w:val="808080"/>
              <w:spacing w:val="80"/>
              <w:sz w:val="24"/>
              <w:szCs w:val="24"/>
              <w:lang w:val="bg-BG" w:eastAsia="bg-BG"/>
            </w:rPr>
          </w:pPr>
          <w:r w:rsidRPr="00F56E34">
            <w:rPr>
              <w:rFonts w:ascii="Arial Narrow" w:hAnsi="Arial Narrow" w:cs="Tahoma"/>
              <w:b/>
              <w:noProof/>
              <w:color w:val="808080"/>
              <w:spacing w:val="80"/>
              <w:sz w:val="24"/>
              <w:szCs w:val="24"/>
              <w:lang w:val="bg-BG" w:eastAsia="bg-BG"/>
            </w:rPr>
            <w:t>ОПЕРАТИВНА ПРОГРАМА</w:t>
          </w:r>
        </w:p>
        <w:p w14:paraId="5D92BB64" w14:textId="77777777" w:rsidR="00305E48" w:rsidRPr="00F56E34" w:rsidRDefault="00305E48" w:rsidP="00305E48">
          <w:pPr>
            <w:pStyle w:val="Header"/>
            <w:jc w:val="center"/>
            <w:rPr>
              <w:lang w:val="ru-RU"/>
            </w:rPr>
          </w:pPr>
          <w:r w:rsidRPr="00F56E34">
            <w:rPr>
              <w:rFonts w:ascii="Arial Narrow" w:hAnsi="Arial Narrow" w:cs="Tahoma"/>
              <w:b/>
              <w:noProof/>
              <w:color w:val="808080"/>
              <w:spacing w:val="80"/>
              <w:sz w:val="24"/>
              <w:szCs w:val="24"/>
              <w:lang w:val="bg-BG" w:eastAsia="bg-BG"/>
            </w:rPr>
            <w:t>“ОКОЛНА СРЕДА 20</w:t>
          </w:r>
          <w:r>
            <w:rPr>
              <w:rFonts w:ascii="Arial Narrow" w:hAnsi="Arial Narrow" w:cs="Tahoma"/>
              <w:b/>
              <w:noProof/>
              <w:color w:val="808080"/>
              <w:spacing w:val="80"/>
              <w:sz w:val="24"/>
              <w:szCs w:val="24"/>
              <w:lang w:val="en-US" w:eastAsia="bg-BG"/>
            </w:rPr>
            <w:t>14</w:t>
          </w:r>
          <w:r w:rsidRPr="00F56E34">
            <w:rPr>
              <w:rFonts w:ascii="Arial Narrow" w:hAnsi="Arial Narrow" w:cs="Tahoma"/>
              <w:b/>
              <w:noProof/>
              <w:color w:val="808080"/>
              <w:spacing w:val="80"/>
              <w:sz w:val="24"/>
              <w:szCs w:val="24"/>
              <w:lang w:val="bg-BG" w:eastAsia="bg-BG"/>
            </w:rPr>
            <w:t xml:space="preserve"> – 20</w:t>
          </w:r>
          <w:r>
            <w:rPr>
              <w:rFonts w:ascii="Arial Narrow" w:hAnsi="Arial Narrow" w:cs="Tahoma"/>
              <w:b/>
              <w:noProof/>
              <w:color w:val="808080"/>
              <w:spacing w:val="80"/>
              <w:sz w:val="24"/>
              <w:szCs w:val="24"/>
              <w:lang w:val="en-US" w:eastAsia="bg-BG"/>
            </w:rPr>
            <w:t>20</w:t>
          </w:r>
          <w:r w:rsidRPr="00F56E34">
            <w:rPr>
              <w:rFonts w:ascii="Arial Narrow" w:hAnsi="Arial Narrow" w:cs="Tahoma"/>
              <w:b/>
              <w:noProof/>
              <w:color w:val="808080"/>
              <w:spacing w:val="80"/>
              <w:sz w:val="24"/>
              <w:szCs w:val="24"/>
              <w:lang w:val="bg-BG" w:eastAsia="bg-BG"/>
            </w:rPr>
            <w:t xml:space="preserve"> г.”</w:t>
          </w:r>
        </w:p>
      </w:tc>
      <w:tc>
        <w:tcPr>
          <w:tcW w:w="1195" w:type="pct"/>
          <w:tcBorders>
            <w:bottom w:val="double" w:sz="4" w:space="0" w:color="808080"/>
          </w:tcBorders>
          <w:shd w:val="clear" w:color="auto" w:fill="auto"/>
        </w:tcPr>
        <w:p w14:paraId="612BD3DA" w14:textId="77777777" w:rsidR="00305E48" w:rsidRPr="00F56E34" w:rsidRDefault="00305E48" w:rsidP="00305E48">
          <w:pPr>
            <w:pStyle w:val="Header"/>
            <w:spacing w:before="80"/>
            <w:jc w:val="center"/>
            <w:rPr>
              <w:rFonts w:ascii="Arial" w:hAnsi="Arial" w:cs="Arial"/>
              <w:lang w:val="bg-BG"/>
            </w:rPr>
          </w:pPr>
          <w:r w:rsidRPr="00F56E34">
            <w:rPr>
              <w:rFonts w:ascii="Arial" w:hAnsi="Arial" w:cs="Arial"/>
              <w:noProof/>
            </w:rPr>
            <w:drawing>
              <wp:inline distT="0" distB="0" distL="0" distR="0" wp14:anchorId="5DFD6295" wp14:editId="5CBBD5E7">
                <wp:extent cx="685800" cy="447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85800" cy="447675"/>
                        </a:xfrm>
                        <a:prstGeom prst="rect">
                          <a:avLst/>
                        </a:prstGeom>
                        <a:noFill/>
                        <a:ln>
                          <a:noFill/>
                        </a:ln>
                      </pic:spPr>
                    </pic:pic>
                  </a:graphicData>
                </a:graphic>
              </wp:inline>
            </w:drawing>
          </w:r>
        </w:p>
        <w:p w14:paraId="696B3AF1" w14:textId="77777777" w:rsidR="00305E48" w:rsidRPr="00F56E34" w:rsidRDefault="00305E48" w:rsidP="00305E48">
          <w:pPr>
            <w:jc w:val="center"/>
            <w:rPr>
              <w:rFonts w:ascii="Arial" w:hAnsi="Arial" w:cs="Arial"/>
              <w:color w:val="808080"/>
              <w:sz w:val="4"/>
              <w:szCs w:val="4"/>
            </w:rPr>
          </w:pPr>
        </w:p>
        <w:p w14:paraId="51C12D34" w14:textId="77777777" w:rsidR="00305E48" w:rsidRPr="00F56E34" w:rsidRDefault="00305E48" w:rsidP="00305E48">
          <w:pPr>
            <w:jc w:val="center"/>
            <w:rPr>
              <w:rFonts w:ascii="Arial" w:hAnsi="Arial" w:cs="Arial"/>
              <w:color w:val="808080"/>
            </w:rPr>
          </w:pPr>
          <w:r w:rsidRPr="00F56E34">
            <w:rPr>
              <w:rFonts w:ascii="Arial" w:hAnsi="Arial" w:cs="Arial"/>
              <w:color w:val="808080"/>
            </w:rPr>
            <w:t>Европейски съюз</w:t>
          </w:r>
        </w:p>
        <w:p w14:paraId="7AF0152E" w14:textId="77777777" w:rsidR="00305E48" w:rsidRPr="00F56E34" w:rsidRDefault="00305E48" w:rsidP="00305E48">
          <w:pPr>
            <w:jc w:val="center"/>
          </w:pPr>
          <w:r w:rsidRPr="00F56E34">
            <w:rPr>
              <w:rFonts w:ascii="Arial" w:hAnsi="Arial" w:cs="Arial"/>
              <w:color w:val="808080"/>
            </w:rPr>
            <w:t xml:space="preserve">Европейски </w:t>
          </w:r>
          <w:r>
            <w:rPr>
              <w:rFonts w:ascii="Arial" w:hAnsi="Arial" w:cs="Arial"/>
              <w:color w:val="808080"/>
            </w:rPr>
            <w:t>структурни и инвестиционни фондове</w:t>
          </w:r>
        </w:p>
      </w:tc>
    </w:tr>
    <w:tr w:rsidR="00305E48" w:rsidRPr="00F56E34" w14:paraId="33266DC1" w14:textId="77777777" w:rsidTr="0054770D">
      <w:trPr>
        <w:trHeight w:val="520"/>
      </w:trPr>
      <w:tc>
        <w:tcPr>
          <w:tcW w:w="5000" w:type="pct"/>
          <w:gridSpan w:val="3"/>
          <w:tcBorders>
            <w:top w:val="double" w:sz="4" w:space="0" w:color="808080"/>
          </w:tcBorders>
          <w:shd w:val="clear" w:color="auto" w:fill="auto"/>
        </w:tcPr>
        <w:p w14:paraId="54324B8D" w14:textId="77777777" w:rsidR="00305E48" w:rsidRPr="00F56E34" w:rsidRDefault="00305E48" w:rsidP="00305E48">
          <w:pPr>
            <w:pStyle w:val="Header"/>
            <w:spacing w:before="120"/>
            <w:jc w:val="right"/>
            <w:rPr>
              <w:rFonts w:ascii="Arial Narrow" w:hAnsi="Arial Narrow" w:cs="Tahoma"/>
              <w:noProof/>
              <w:color w:val="808080"/>
              <w:spacing w:val="24"/>
              <w:lang w:val="bg-BG" w:eastAsia="bg-BG"/>
            </w:rPr>
          </w:pPr>
          <w:r>
            <w:rPr>
              <w:rFonts w:ascii="Arial Narrow" w:hAnsi="Arial Narrow" w:cs="Tahoma"/>
              <w:noProof/>
              <w:color w:val="808080"/>
              <w:spacing w:val="24"/>
              <w:lang w:val="bg-BG" w:eastAsia="bg-BG"/>
            </w:rPr>
            <w:t>Главна дирекция</w:t>
          </w:r>
          <w:r w:rsidRPr="00F56E34">
            <w:rPr>
              <w:rFonts w:ascii="Arial Narrow" w:hAnsi="Arial Narrow" w:cs="Tahoma"/>
              <w:noProof/>
              <w:color w:val="808080"/>
              <w:spacing w:val="24"/>
              <w:lang w:val="bg-BG" w:eastAsia="bg-BG"/>
            </w:rPr>
            <w:t xml:space="preserve"> “</w:t>
          </w:r>
          <w:r>
            <w:rPr>
              <w:rFonts w:ascii="Arial Narrow" w:hAnsi="Arial Narrow" w:cs="Tahoma"/>
              <w:noProof/>
              <w:color w:val="808080"/>
              <w:spacing w:val="24"/>
              <w:lang w:val="bg-BG" w:eastAsia="bg-BG"/>
            </w:rPr>
            <w:t xml:space="preserve">Оперативна програма околна </w:t>
          </w:r>
          <w:r w:rsidRPr="00F56E34">
            <w:rPr>
              <w:rFonts w:ascii="Arial Narrow" w:hAnsi="Arial Narrow" w:cs="Tahoma"/>
              <w:noProof/>
              <w:color w:val="808080"/>
              <w:spacing w:val="24"/>
              <w:lang w:val="bg-BG" w:eastAsia="bg-BG"/>
            </w:rPr>
            <w:t>среда”</w:t>
          </w:r>
        </w:p>
        <w:p w14:paraId="28893797" w14:textId="77777777" w:rsidR="00305E48" w:rsidRPr="00F56E34" w:rsidRDefault="00305E48" w:rsidP="00305E48">
          <w:pPr>
            <w:pStyle w:val="Header"/>
            <w:jc w:val="right"/>
            <w:rPr>
              <w:noProof/>
              <w:lang w:val="bg-BG" w:eastAsia="bg-BG"/>
            </w:rPr>
          </w:pPr>
          <w:r w:rsidRPr="00F56E34">
            <w:rPr>
              <w:rFonts w:ascii="Arial Narrow" w:hAnsi="Arial Narrow" w:cs="Tahoma"/>
              <w:noProof/>
              <w:color w:val="808080"/>
              <w:spacing w:val="24"/>
              <w:lang w:val="en-US" w:eastAsia="bg-BG"/>
            </w:rPr>
            <w:t>ope</w:t>
          </w:r>
          <w:r w:rsidRPr="00F56E34">
            <w:rPr>
              <w:rFonts w:ascii="Arial Narrow" w:hAnsi="Arial Narrow" w:cs="Tahoma"/>
              <w:noProof/>
              <w:color w:val="808080"/>
              <w:spacing w:val="24"/>
              <w:lang w:val="ru-RU" w:eastAsia="bg-BG"/>
            </w:rPr>
            <w:t>@</w:t>
          </w:r>
          <w:r w:rsidRPr="00F56E34">
            <w:rPr>
              <w:rFonts w:ascii="Arial Narrow" w:hAnsi="Arial Narrow" w:cs="Tahoma"/>
              <w:noProof/>
              <w:color w:val="808080"/>
              <w:spacing w:val="24"/>
              <w:lang w:val="en-US" w:eastAsia="bg-BG"/>
            </w:rPr>
            <w:t>moew</w:t>
          </w:r>
          <w:r w:rsidRPr="00F56E34">
            <w:rPr>
              <w:rFonts w:ascii="Arial Narrow" w:hAnsi="Arial Narrow" w:cs="Tahoma"/>
              <w:noProof/>
              <w:color w:val="808080"/>
              <w:spacing w:val="24"/>
              <w:lang w:val="ru-RU" w:eastAsia="bg-BG"/>
            </w:rPr>
            <w:t>.</w:t>
          </w:r>
          <w:r w:rsidRPr="00F56E34">
            <w:rPr>
              <w:rFonts w:ascii="Arial Narrow" w:hAnsi="Arial Narrow" w:cs="Tahoma"/>
              <w:noProof/>
              <w:color w:val="808080"/>
              <w:spacing w:val="24"/>
              <w:lang w:val="en-US" w:eastAsia="bg-BG"/>
            </w:rPr>
            <w:t>government</w:t>
          </w:r>
          <w:r w:rsidRPr="00F56E34">
            <w:rPr>
              <w:rFonts w:ascii="Arial Narrow" w:hAnsi="Arial Narrow" w:cs="Tahoma"/>
              <w:noProof/>
              <w:color w:val="808080"/>
              <w:spacing w:val="24"/>
              <w:lang w:val="ru-RU" w:eastAsia="bg-BG"/>
            </w:rPr>
            <w:t>.</w:t>
          </w:r>
          <w:r w:rsidRPr="00F56E34">
            <w:rPr>
              <w:rFonts w:ascii="Arial Narrow" w:hAnsi="Arial Narrow" w:cs="Tahoma"/>
              <w:noProof/>
              <w:color w:val="808080"/>
              <w:spacing w:val="24"/>
              <w:lang w:val="en-US" w:eastAsia="bg-BG"/>
            </w:rPr>
            <w:t>bg</w:t>
          </w:r>
        </w:p>
      </w:tc>
    </w:tr>
  </w:tbl>
  <w:p w14:paraId="0E6068E0" w14:textId="4A0AF6D9" w:rsidR="00305E48" w:rsidRDefault="00305E48">
    <w:pPr>
      <w:pStyle w:val="Header"/>
    </w:pPr>
  </w:p>
  <w:p w14:paraId="034197CE" w14:textId="77777777" w:rsidR="00305E48" w:rsidRDefault="00305E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AB"/>
    <w:rsid w:val="00011197"/>
    <w:rsid w:val="00035F8D"/>
    <w:rsid w:val="000953F9"/>
    <w:rsid w:val="00117746"/>
    <w:rsid w:val="00184489"/>
    <w:rsid w:val="001A53FE"/>
    <w:rsid w:val="0021457C"/>
    <w:rsid w:val="0023149D"/>
    <w:rsid w:val="002760AA"/>
    <w:rsid w:val="002A1145"/>
    <w:rsid w:val="00305E48"/>
    <w:rsid w:val="00337F7F"/>
    <w:rsid w:val="00384D30"/>
    <w:rsid w:val="00387A11"/>
    <w:rsid w:val="003F35BB"/>
    <w:rsid w:val="00434EA4"/>
    <w:rsid w:val="00453F48"/>
    <w:rsid w:val="004551B2"/>
    <w:rsid w:val="004D058B"/>
    <w:rsid w:val="004E270F"/>
    <w:rsid w:val="004F0F01"/>
    <w:rsid w:val="004F5065"/>
    <w:rsid w:val="004F5B06"/>
    <w:rsid w:val="0051696D"/>
    <w:rsid w:val="005411EF"/>
    <w:rsid w:val="005427EB"/>
    <w:rsid w:val="005656CB"/>
    <w:rsid w:val="005D4842"/>
    <w:rsid w:val="005E22C4"/>
    <w:rsid w:val="00632750"/>
    <w:rsid w:val="00644158"/>
    <w:rsid w:val="00646140"/>
    <w:rsid w:val="00646B7E"/>
    <w:rsid w:val="006618F0"/>
    <w:rsid w:val="00687061"/>
    <w:rsid w:val="006A484F"/>
    <w:rsid w:val="006A608C"/>
    <w:rsid w:val="006B6332"/>
    <w:rsid w:val="006C00ED"/>
    <w:rsid w:val="007922D6"/>
    <w:rsid w:val="00826AF8"/>
    <w:rsid w:val="00842579"/>
    <w:rsid w:val="00874AAA"/>
    <w:rsid w:val="0088384F"/>
    <w:rsid w:val="00916B1A"/>
    <w:rsid w:val="00923F37"/>
    <w:rsid w:val="00941831"/>
    <w:rsid w:val="0095529E"/>
    <w:rsid w:val="00965E86"/>
    <w:rsid w:val="00A10FB6"/>
    <w:rsid w:val="00A246F9"/>
    <w:rsid w:val="00A917AB"/>
    <w:rsid w:val="00AA7A79"/>
    <w:rsid w:val="00AB591F"/>
    <w:rsid w:val="00AC79FF"/>
    <w:rsid w:val="00B1553B"/>
    <w:rsid w:val="00B253DE"/>
    <w:rsid w:val="00B33F55"/>
    <w:rsid w:val="00B3676D"/>
    <w:rsid w:val="00B3734F"/>
    <w:rsid w:val="00B556DA"/>
    <w:rsid w:val="00B55DAA"/>
    <w:rsid w:val="00B56180"/>
    <w:rsid w:val="00BD3302"/>
    <w:rsid w:val="00C24B84"/>
    <w:rsid w:val="00C46C4B"/>
    <w:rsid w:val="00C56E73"/>
    <w:rsid w:val="00C57541"/>
    <w:rsid w:val="00C72B44"/>
    <w:rsid w:val="00C84104"/>
    <w:rsid w:val="00C90E4A"/>
    <w:rsid w:val="00CA5730"/>
    <w:rsid w:val="00CB2C7B"/>
    <w:rsid w:val="00CD29D8"/>
    <w:rsid w:val="00CE02DA"/>
    <w:rsid w:val="00CF5A2D"/>
    <w:rsid w:val="00CF5D35"/>
    <w:rsid w:val="00D01025"/>
    <w:rsid w:val="00D25B7D"/>
    <w:rsid w:val="00D73903"/>
    <w:rsid w:val="00D90D76"/>
    <w:rsid w:val="00D93D28"/>
    <w:rsid w:val="00DC6C9A"/>
    <w:rsid w:val="00DE30ED"/>
    <w:rsid w:val="00E33B4C"/>
    <w:rsid w:val="00E408DC"/>
    <w:rsid w:val="00E52D75"/>
    <w:rsid w:val="00E57EC2"/>
    <w:rsid w:val="00E847E8"/>
    <w:rsid w:val="00EB5363"/>
    <w:rsid w:val="00ED10BB"/>
    <w:rsid w:val="00F02780"/>
    <w:rsid w:val="00F032B7"/>
    <w:rsid w:val="00F21086"/>
    <w:rsid w:val="00F27EEF"/>
    <w:rsid w:val="00F400E6"/>
    <w:rsid w:val="00F44CCE"/>
    <w:rsid w:val="00FC0D01"/>
    <w:rsid w:val="00FE0F1D"/>
    <w:rsid w:val="00FE160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F4536"/>
  <w15:chartTrackingRefBased/>
  <w15:docId w15:val="{83396971-2F9F-4C23-B13A-E3C721E6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7AB"/>
    <w:pPr>
      <w:spacing w:after="0" w:line="240" w:lineRule="auto"/>
    </w:pPr>
    <w:rPr>
      <w:rFonts w:ascii="Times New Roman" w:eastAsia="Times New Roman" w:hAnsi="Times New Roman" w:cs="Times New Roman"/>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E57EC2"/>
    <w:pPr>
      <w:tabs>
        <w:tab w:val="left" w:pos="709"/>
      </w:tabs>
    </w:pPr>
    <w:rPr>
      <w:rFonts w:ascii="Tahoma" w:hAnsi="Tahoma"/>
      <w:lang w:val="pl-PL" w:eastAsia="pl-PL"/>
    </w:rPr>
  </w:style>
  <w:style w:type="paragraph" w:styleId="Header">
    <w:name w:val="header"/>
    <w:basedOn w:val="Normal"/>
    <w:link w:val="HeaderChar"/>
    <w:uiPriority w:val="99"/>
    <w:rsid w:val="00E57EC2"/>
    <w:pPr>
      <w:tabs>
        <w:tab w:val="center" w:pos="4536"/>
        <w:tab w:val="right" w:pos="9072"/>
      </w:tabs>
    </w:pPr>
    <w:rPr>
      <w:lang w:val="en-GB"/>
    </w:rPr>
  </w:style>
  <w:style w:type="character" w:customStyle="1" w:styleId="HeaderChar">
    <w:name w:val="Header Char"/>
    <w:basedOn w:val="DefaultParagraphFont"/>
    <w:link w:val="Header"/>
    <w:uiPriority w:val="99"/>
    <w:rsid w:val="00E57EC2"/>
    <w:rPr>
      <w:rFonts w:ascii="Times New Roman" w:eastAsia="Times New Roman" w:hAnsi="Times New Roman" w:cs="Times New Roman"/>
      <w:sz w:val="20"/>
      <w:szCs w:val="20"/>
      <w:lang w:val="en-GB" w:eastAsia="fr-FR"/>
    </w:rPr>
  </w:style>
  <w:style w:type="paragraph" w:styleId="Footer">
    <w:name w:val="footer"/>
    <w:basedOn w:val="Normal"/>
    <w:link w:val="FooterChar"/>
    <w:uiPriority w:val="99"/>
    <w:unhideWhenUsed/>
    <w:rsid w:val="00305E48"/>
    <w:pPr>
      <w:tabs>
        <w:tab w:val="center" w:pos="4536"/>
        <w:tab w:val="right" w:pos="9072"/>
      </w:tabs>
    </w:pPr>
  </w:style>
  <w:style w:type="character" w:customStyle="1" w:styleId="FooterChar">
    <w:name w:val="Footer Char"/>
    <w:basedOn w:val="DefaultParagraphFont"/>
    <w:link w:val="Footer"/>
    <w:uiPriority w:val="99"/>
    <w:rsid w:val="00305E48"/>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43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65541-F2DB-4BCE-9D14-C82E2DD31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OPOS BG78</dc:creator>
  <cp:keywords/>
  <dc:description/>
  <cp:lastModifiedBy>OPOS BG51</cp:lastModifiedBy>
  <cp:revision>2</cp:revision>
  <dcterms:created xsi:type="dcterms:W3CDTF">2021-03-04T13:32:00Z</dcterms:created>
  <dcterms:modified xsi:type="dcterms:W3CDTF">2021-03-04T13:32:00Z</dcterms:modified>
</cp:coreProperties>
</file>